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7BE2F">
      <w:pPr>
        <w:wordWrap w:val="0"/>
        <w:spacing w:line="360" w:lineRule="auto"/>
        <w:ind w:firstLine="437"/>
        <w:jc w:val="center"/>
        <w:rPr>
          <w:rFonts w:ascii="宋体" w:hAnsi="Times New Roman" w:eastAsia="宋体" w:cs="Arial"/>
          <w:b/>
          <w:sz w:val="44"/>
          <w:szCs w:val="44"/>
        </w:rPr>
      </w:pPr>
      <w:bookmarkStart w:id="0" w:name="OLE_LINK16"/>
      <w:bookmarkStart w:id="1" w:name="OLE_LINK22"/>
    </w:p>
    <w:p w14:paraId="04EF5605">
      <w:pPr>
        <w:wordWrap w:val="0"/>
        <w:spacing w:line="360" w:lineRule="auto"/>
        <w:jc w:val="center"/>
        <w:rPr>
          <w:rFonts w:ascii="Times New Roman" w:hAnsi="Times New Roman" w:eastAsia="宋体" w:cs="Times New Roman"/>
          <w:b/>
          <w:spacing w:val="-4"/>
          <w:sz w:val="44"/>
          <w:szCs w:val="44"/>
        </w:rPr>
      </w:pPr>
      <w:r>
        <w:rPr>
          <w:rFonts w:hint="eastAsia" w:ascii="Times New Roman" w:hAnsi="Times New Roman" w:eastAsia="宋体" w:cs="Times New Roman"/>
          <w:b/>
          <w:spacing w:val="-4"/>
          <w:sz w:val="44"/>
          <w:szCs w:val="44"/>
          <w:lang w:eastAsia="zh-CN"/>
        </w:rPr>
        <w:t>南宁市智慧出行信息化工程二期项目-公共交通协同调度系统升级项目</w:t>
      </w:r>
    </w:p>
    <w:p w14:paraId="10A29632">
      <w:pPr>
        <w:wordWrap w:val="0"/>
        <w:spacing w:line="360" w:lineRule="auto"/>
        <w:jc w:val="center"/>
        <w:rPr>
          <w:rFonts w:ascii="Times New Roman" w:hAnsi="Times New Roman" w:eastAsia="宋体" w:cs="Times New Roman"/>
          <w:b/>
          <w:spacing w:val="-4"/>
          <w:sz w:val="44"/>
          <w:szCs w:val="44"/>
        </w:rPr>
      </w:pPr>
    </w:p>
    <w:p w14:paraId="21A75ED6">
      <w:pPr>
        <w:wordWrap w:val="0"/>
        <w:spacing w:line="360" w:lineRule="auto"/>
        <w:ind w:firstLine="437"/>
        <w:jc w:val="center"/>
        <w:rPr>
          <w:rFonts w:ascii="宋体" w:hAnsi="Times New Roman" w:eastAsia="宋体" w:cs="Arial"/>
          <w:b/>
          <w:sz w:val="44"/>
          <w:szCs w:val="44"/>
        </w:rPr>
      </w:pPr>
    </w:p>
    <w:p w14:paraId="765C42BC">
      <w:pPr>
        <w:wordWrap w:val="0"/>
        <w:spacing w:line="360" w:lineRule="auto"/>
        <w:ind w:firstLine="437"/>
        <w:jc w:val="center"/>
        <w:rPr>
          <w:rFonts w:ascii="宋体" w:hAnsi="Times New Roman" w:eastAsia="宋体" w:cs="Arial"/>
          <w:b/>
          <w:sz w:val="44"/>
          <w:szCs w:val="44"/>
        </w:rPr>
      </w:pPr>
    </w:p>
    <w:p w14:paraId="0A01A56B">
      <w:pPr>
        <w:wordWrap w:val="0"/>
        <w:spacing w:line="360" w:lineRule="auto"/>
        <w:jc w:val="center"/>
        <w:rPr>
          <w:rFonts w:ascii="Times New Roman" w:hAnsi="Times New Roman" w:eastAsia="宋体" w:cs="Times New Roman"/>
          <w:sz w:val="72"/>
          <w:szCs w:val="72"/>
        </w:rPr>
      </w:pPr>
      <w:r>
        <w:rPr>
          <w:rFonts w:hint="eastAsia" w:ascii="Times New Roman" w:hAnsi="宋体" w:eastAsia="宋体" w:cs="Times New Roman"/>
          <w:sz w:val="72"/>
          <w:szCs w:val="72"/>
        </w:rPr>
        <w:t>招</w:t>
      </w:r>
      <w:r>
        <w:rPr>
          <w:rFonts w:ascii="Times New Roman" w:hAnsi="Times New Roman" w:eastAsia="宋体" w:cs="Times New Roman"/>
          <w:sz w:val="72"/>
          <w:szCs w:val="72"/>
        </w:rPr>
        <w:t xml:space="preserve"> </w:t>
      </w:r>
      <w:r>
        <w:rPr>
          <w:rFonts w:hint="eastAsia" w:ascii="Times New Roman" w:hAnsi="宋体" w:eastAsia="宋体" w:cs="Times New Roman"/>
          <w:sz w:val="72"/>
          <w:szCs w:val="72"/>
        </w:rPr>
        <w:t>标</w:t>
      </w:r>
      <w:r>
        <w:rPr>
          <w:rFonts w:ascii="Times New Roman" w:hAnsi="Times New Roman" w:eastAsia="宋体" w:cs="Times New Roman"/>
          <w:sz w:val="72"/>
          <w:szCs w:val="72"/>
        </w:rPr>
        <w:t xml:space="preserve"> </w:t>
      </w:r>
      <w:r>
        <w:rPr>
          <w:rFonts w:hint="eastAsia" w:ascii="Times New Roman" w:hAnsi="宋体" w:eastAsia="宋体" w:cs="Times New Roman"/>
          <w:sz w:val="72"/>
          <w:szCs w:val="72"/>
        </w:rPr>
        <w:t>文</w:t>
      </w:r>
      <w:r>
        <w:rPr>
          <w:rFonts w:ascii="Times New Roman" w:hAnsi="Times New Roman" w:eastAsia="宋体" w:cs="Times New Roman"/>
          <w:sz w:val="72"/>
          <w:szCs w:val="72"/>
        </w:rPr>
        <w:t xml:space="preserve"> </w:t>
      </w:r>
      <w:r>
        <w:rPr>
          <w:rFonts w:hint="eastAsia" w:ascii="Times New Roman" w:hAnsi="宋体" w:eastAsia="宋体" w:cs="Times New Roman"/>
          <w:sz w:val="72"/>
          <w:szCs w:val="72"/>
        </w:rPr>
        <w:t>件</w:t>
      </w:r>
    </w:p>
    <w:p w14:paraId="25264232">
      <w:pPr>
        <w:wordWrap w:val="0"/>
        <w:spacing w:line="360" w:lineRule="auto"/>
        <w:ind w:firstLine="437"/>
        <w:jc w:val="center"/>
        <w:rPr>
          <w:rFonts w:ascii="Times New Roman" w:hAnsi="Times New Roman" w:eastAsia="宋体" w:cs="Times New Roman"/>
          <w:szCs w:val="21"/>
        </w:rPr>
      </w:pPr>
    </w:p>
    <w:p w14:paraId="61745F10">
      <w:pPr>
        <w:wordWrap w:val="0"/>
        <w:spacing w:line="360" w:lineRule="auto"/>
        <w:ind w:firstLine="437"/>
        <w:jc w:val="center"/>
        <w:rPr>
          <w:rFonts w:ascii="Times New Roman" w:hAnsi="Times New Roman" w:eastAsia="宋体" w:cs="Times New Roman"/>
          <w:szCs w:val="21"/>
        </w:rPr>
      </w:pPr>
    </w:p>
    <w:p w14:paraId="1456ECAD">
      <w:pPr>
        <w:wordWrap w:val="0"/>
        <w:spacing w:line="360" w:lineRule="auto"/>
        <w:ind w:firstLine="437"/>
        <w:jc w:val="center"/>
        <w:rPr>
          <w:rFonts w:ascii="Times New Roman" w:hAnsi="Times New Roman" w:eastAsia="宋体" w:cs="Times New Roman"/>
          <w:szCs w:val="21"/>
        </w:rPr>
      </w:pPr>
    </w:p>
    <w:p w14:paraId="17DFBACD">
      <w:pPr>
        <w:wordWrap w:val="0"/>
        <w:spacing w:line="360" w:lineRule="auto"/>
        <w:jc w:val="center"/>
        <w:rPr>
          <w:rFonts w:ascii="Times New Roman" w:hAnsi="Times New Roman" w:eastAsia="宋体" w:cs="Times New Roman"/>
          <w:sz w:val="28"/>
          <w:szCs w:val="28"/>
          <w:u w:val="single"/>
        </w:rPr>
      </w:pPr>
      <w:r>
        <w:rPr>
          <w:rFonts w:hint="eastAsia" w:ascii="Times New Roman" w:hAnsi="宋体" w:eastAsia="宋体" w:cs="Times New Roman"/>
          <w:sz w:val="28"/>
          <w:szCs w:val="28"/>
        </w:rPr>
        <w:t>项目编号：SKZX-2025-FW006</w:t>
      </w:r>
    </w:p>
    <w:p w14:paraId="215A48DD">
      <w:pPr>
        <w:wordWrap w:val="0"/>
        <w:spacing w:line="360" w:lineRule="auto"/>
        <w:ind w:firstLine="437"/>
        <w:jc w:val="center"/>
        <w:rPr>
          <w:rFonts w:ascii="Times New Roman" w:hAnsi="Times New Roman" w:eastAsia="宋体" w:cs="Times New Roman"/>
          <w:szCs w:val="21"/>
        </w:rPr>
      </w:pPr>
    </w:p>
    <w:p w14:paraId="4C05D3EA">
      <w:pPr>
        <w:wordWrap w:val="0"/>
        <w:spacing w:line="360" w:lineRule="auto"/>
        <w:ind w:firstLine="437"/>
        <w:jc w:val="center"/>
        <w:rPr>
          <w:rFonts w:ascii="Times New Roman" w:hAnsi="Times New Roman" w:eastAsia="宋体" w:cs="Times New Roman"/>
          <w:szCs w:val="21"/>
        </w:rPr>
      </w:pPr>
    </w:p>
    <w:p w14:paraId="69D31C54">
      <w:pPr>
        <w:wordWrap w:val="0"/>
        <w:spacing w:line="360" w:lineRule="auto"/>
        <w:ind w:firstLine="437"/>
        <w:jc w:val="center"/>
        <w:rPr>
          <w:rFonts w:ascii="Times New Roman" w:hAnsi="Times New Roman" w:eastAsia="宋体" w:cs="Times New Roman"/>
          <w:szCs w:val="21"/>
        </w:rPr>
      </w:pPr>
    </w:p>
    <w:p w14:paraId="18AD1E49">
      <w:pPr>
        <w:wordWrap w:val="0"/>
        <w:spacing w:line="360" w:lineRule="auto"/>
        <w:ind w:firstLine="437"/>
        <w:jc w:val="center"/>
        <w:rPr>
          <w:rFonts w:ascii="Times New Roman" w:hAnsi="Times New Roman" w:eastAsia="宋体" w:cs="Times New Roman"/>
          <w:szCs w:val="21"/>
        </w:rPr>
      </w:pPr>
    </w:p>
    <w:p w14:paraId="266D77EB">
      <w:pPr>
        <w:wordWrap w:val="0"/>
        <w:spacing w:line="360" w:lineRule="auto"/>
        <w:ind w:firstLine="437"/>
        <w:jc w:val="center"/>
        <w:rPr>
          <w:rFonts w:ascii="Times New Roman" w:hAnsi="Times New Roman" w:eastAsia="宋体" w:cs="Times New Roman"/>
          <w:szCs w:val="21"/>
        </w:rPr>
      </w:pPr>
    </w:p>
    <w:p w14:paraId="59D6A152">
      <w:pPr>
        <w:wordWrap w:val="0"/>
        <w:spacing w:line="360" w:lineRule="auto"/>
        <w:ind w:firstLine="437"/>
        <w:jc w:val="center"/>
        <w:rPr>
          <w:rFonts w:ascii="Times New Roman" w:hAnsi="Times New Roman" w:eastAsia="宋体" w:cs="Times New Roman"/>
          <w:sz w:val="32"/>
          <w:szCs w:val="32"/>
        </w:rPr>
      </w:pPr>
      <w:r>
        <w:rPr>
          <w:rFonts w:hint="eastAsia" w:ascii="Times New Roman" w:hAnsi="宋体" w:eastAsia="宋体" w:cs="Times New Roman"/>
          <w:sz w:val="32"/>
          <w:szCs w:val="32"/>
        </w:rPr>
        <w:t>招</w:t>
      </w:r>
      <w:r>
        <w:rPr>
          <w:rFonts w:ascii="Times New Roman" w:hAnsi="Times New Roman" w:eastAsia="宋体" w:cs="Times New Roman"/>
          <w:sz w:val="32"/>
          <w:szCs w:val="32"/>
        </w:rPr>
        <w:t xml:space="preserve"> </w:t>
      </w:r>
      <w:r>
        <w:rPr>
          <w:rFonts w:hint="eastAsia" w:ascii="Times New Roman" w:hAnsi="宋体" w:eastAsia="宋体" w:cs="Times New Roman"/>
          <w:sz w:val="32"/>
          <w:szCs w:val="32"/>
        </w:rPr>
        <w:t>标</w:t>
      </w:r>
      <w:r>
        <w:rPr>
          <w:rFonts w:ascii="Times New Roman" w:hAnsi="Times New Roman" w:eastAsia="宋体" w:cs="Times New Roman"/>
          <w:sz w:val="32"/>
          <w:szCs w:val="32"/>
        </w:rPr>
        <w:t xml:space="preserve"> </w:t>
      </w:r>
      <w:r>
        <w:rPr>
          <w:rFonts w:hint="eastAsia" w:ascii="Times New Roman" w:hAnsi="宋体" w:eastAsia="宋体" w:cs="Times New Roman"/>
          <w:sz w:val="32"/>
          <w:szCs w:val="32"/>
        </w:rPr>
        <w:t>人：南宁轨道交通集团有限责任公司（盖单位章）</w:t>
      </w:r>
    </w:p>
    <w:p w14:paraId="7253D95C">
      <w:pPr>
        <w:wordWrap w:val="0"/>
        <w:ind w:firstLine="437"/>
        <w:jc w:val="center"/>
        <w:rPr>
          <w:rFonts w:ascii="Times New Roman" w:hAnsi="Times New Roman" w:eastAsia="宋体" w:cs="Times New Roman"/>
          <w:sz w:val="32"/>
          <w:szCs w:val="32"/>
        </w:rPr>
      </w:pPr>
    </w:p>
    <w:p w14:paraId="5A58ED95">
      <w:pPr>
        <w:wordWrap w:val="0"/>
        <w:spacing w:line="360" w:lineRule="auto"/>
        <w:ind w:firstLine="437"/>
        <w:jc w:val="center"/>
        <w:rPr>
          <w:rFonts w:ascii="Times New Roman" w:hAnsi="Times New Roman" w:eastAsia="宋体" w:cs="Times New Roman"/>
          <w:sz w:val="32"/>
          <w:szCs w:val="32"/>
        </w:rPr>
      </w:pPr>
      <w:r>
        <w:rPr>
          <w:rFonts w:hint="eastAsia" w:ascii="Times New Roman" w:hAnsi="宋体" w:eastAsia="宋体" w:cs="Times New Roman"/>
          <w:sz w:val="32"/>
          <w:szCs w:val="32"/>
        </w:rPr>
        <w:t>招标代理机构：广西双科建设工程咨询有限公司（盖单位章）</w:t>
      </w:r>
    </w:p>
    <w:p w14:paraId="7295AFDD">
      <w:pPr>
        <w:wordWrap w:val="0"/>
        <w:ind w:firstLine="437"/>
        <w:jc w:val="center"/>
        <w:rPr>
          <w:rFonts w:ascii="Times New Roman" w:hAnsi="Times New Roman" w:eastAsia="宋体" w:cs="Times New Roman"/>
          <w:sz w:val="32"/>
          <w:szCs w:val="32"/>
        </w:rPr>
      </w:pPr>
    </w:p>
    <w:p w14:paraId="7A31FD82">
      <w:pPr>
        <w:tabs>
          <w:tab w:val="left" w:pos="5040"/>
        </w:tabs>
        <w:wordWrap w:val="0"/>
        <w:spacing w:line="360" w:lineRule="auto"/>
        <w:jc w:val="center"/>
        <w:rPr>
          <w:rFonts w:hint="eastAsia" w:ascii="Times New Roman" w:hAnsi="宋体" w:eastAsia="宋体" w:cs="Times New Roman"/>
          <w:sz w:val="32"/>
          <w:szCs w:val="32"/>
        </w:rPr>
      </w:pPr>
      <w:r>
        <w:rPr>
          <w:rFonts w:hint="eastAsia" w:ascii="Times New Roman" w:hAnsi="宋体" w:eastAsia="宋体" w:cs="Times New Roman"/>
          <w:sz w:val="32"/>
          <w:szCs w:val="32"/>
        </w:rPr>
        <w:t>日期：</w:t>
      </w:r>
      <w:r>
        <w:rPr>
          <w:rFonts w:hint="eastAsia" w:ascii="Times New Roman" w:hAnsi="宋体" w:eastAsia="宋体" w:cs="Times New Roman"/>
          <w:sz w:val="32"/>
          <w:szCs w:val="32"/>
          <w:u w:val="single"/>
        </w:rPr>
        <w:t>2025</w:t>
      </w:r>
      <w:r>
        <w:rPr>
          <w:rFonts w:hint="eastAsia" w:ascii="Times New Roman" w:hAnsi="宋体" w:eastAsia="宋体" w:cs="Times New Roman"/>
          <w:sz w:val="32"/>
          <w:szCs w:val="32"/>
        </w:rPr>
        <w:t>年</w:t>
      </w:r>
      <w:r>
        <w:rPr>
          <w:rFonts w:hint="eastAsia" w:ascii="Times New Roman" w:hAnsi="宋体" w:eastAsia="宋体" w:cs="Times New Roman"/>
          <w:sz w:val="32"/>
          <w:szCs w:val="32"/>
          <w:u w:val="single"/>
          <w:lang w:val="en-US" w:eastAsia="zh-CN"/>
        </w:rPr>
        <w:t>7</w:t>
      </w:r>
      <w:r>
        <w:rPr>
          <w:rFonts w:hint="eastAsia" w:ascii="Times New Roman" w:hAnsi="宋体" w:eastAsia="宋体" w:cs="Times New Roman"/>
          <w:sz w:val="32"/>
          <w:szCs w:val="32"/>
        </w:rPr>
        <w:t>月</w:t>
      </w:r>
      <w:bookmarkStart w:id="2" w:name="_Toc374888830"/>
    </w:p>
    <w:bookmarkEnd w:id="2"/>
    <w:p w14:paraId="2F0CA9D9">
      <w:pPr>
        <w:tabs>
          <w:tab w:val="right" w:leader="dot" w:pos="8659"/>
        </w:tabs>
        <w:wordWrap w:val="0"/>
        <w:spacing w:line="360" w:lineRule="auto"/>
        <w:jc w:val="center"/>
        <w:rPr>
          <w:rFonts w:ascii="Times New Roman" w:hAnsi="Times New Roman" w:eastAsia="黑体" w:cs="Times New Roman"/>
          <w:sz w:val="32"/>
          <w:szCs w:val="32"/>
        </w:rPr>
      </w:pPr>
    </w:p>
    <w:bookmarkEnd w:id="0"/>
    <w:bookmarkEnd w:id="1"/>
    <w:p w14:paraId="0A1613FE">
      <w:pPr>
        <w:wordWrap w:val="0"/>
        <w:spacing w:line="360" w:lineRule="auto"/>
        <w:jc w:val="center"/>
        <w:rPr>
          <w:rFonts w:ascii="Times New Roman" w:hAnsi="Times New Roman" w:eastAsia="宋体" w:cs="Times New Roman"/>
          <w:b/>
          <w:spacing w:val="-4"/>
          <w:sz w:val="44"/>
          <w:szCs w:val="44"/>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start="1"/>
          <w:cols w:space="720" w:num="1"/>
          <w:docGrid w:linePitch="312" w:charSpace="0"/>
        </w:sectPr>
      </w:pPr>
    </w:p>
    <w:sdt>
      <w:sdtPr>
        <w:rPr>
          <w:rFonts w:ascii="宋体" w:hAnsi="宋体" w:eastAsia="宋体" w:cstheme="minorBidi"/>
          <w:kern w:val="2"/>
          <w:sz w:val="21"/>
          <w:szCs w:val="22"/>
          <w:lang w:val="en-US" w:eastAsia="zh-CN" w:bidi="ar-SA"/>
        </w:rPr>
        <w:id w:val="147468740"/>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14:paraId="3B8DAA20">
          <w:pPr>
            <w:spacing w:before="0" w:beforeLines="0" w:after="0" w:afterLines="0" w:line="360" w:lineRule="auto"/>
            <w:ind w:left="0" w:leftChars="0" w:right="0" w:rightChars="0" w:firstLine="0" w:firstLineChars="0"/>
            <w:jc w:val="center"/>
            <w:rPr>
              <w:rFonts w:hint="eastAsia" w:ascii="宋体" w:hAnsi="宋体" w:eastAsia="宋体" w:cs="宋体"/>
              <w:sz w:val="24"/>
              <w:szCs w:val="24"/>
            </w:rPr>
          </w:pPr>
          <w:r>
            <w:rPr>
              <w:rFonts w:ascii="宋体" w:hAnsi="宋体" w:eastAsia="宋体"/>
              <w:sz w:val="24"/>
              <w:szCs w:val="28"/>
            </w:rPr>
            <w:t>目</w:t>
          </w:r>
          <w:r>
            <w:rPr>
              <w:rFonts w:hint="eastAsia" w:ascii="宋体" w:hAnsi="宋体" w:eastAsia="宋体"/>
              <w:sz w:val="24"/>
              <w:szCs w:val="28"/>
              <w:lang w:val="en-US" w:eastAsia="zh-CN"/>
            </w:rPr>
            <w:t xml:space="preserve"> </w:t>
          </w:r>
          <w:r>
            <w:rPr>
              <w:rFonts w:ascii="宋体" w:hAnsi="宋体" w:eastAsia="宋体"/>
              <w:sz w:val="24"/>
              <w:szCs w:val="28"/>
            </w:rPr>
            <w:t>录</w:t>
          </w:r>
        </w:p>
        <w:p w14:paraId="13ECC4B5">
          <w:pPr>
            <w:pStyle w:val="288"/>
            <w:tabs>
              <w:tab w:val="right" w:leader="dot" w:pos="9070"/>
            </w:tabs>
            <w:spacing w:line="360" w:lineRule="auto"/>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fldChar w:fldCharType="begin"/>
          </w:r>
          <w:r>
            <w:rPr>
              <w:rFonts w:hint="eastAsia" w:ascii="宋体" w:hAnsi="宋体" w:eastAsia="宋体" w:cs="宋体"/>
              <w:b/>
              <w:kern w:val="2"/>
              <w:sz w:val="21"/>
              <w:szCs w:val="21"/>
              <w:lang w:val="en-US" w:eastAsia="zh-CN" w:bidi="ar-SA"/>
            </w:rPr>
            <w:instrText xml:space="preserve">TOC \o "1-1" \h \u </w:instrText>
          </w:r>
          <w:r>
            <w:rPr>
              <w:rFonts w:hint="eastAsia" w:ascii="宋体" w:hAnsi="宋体" w:eastAsia="宋体" w:cs="宋体"/>
              <w:b/>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_Toc13015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bCs/>
              <w:kern w:val="0"/>
              <w:sz w:val="21"/>
              <w:szCs w:val="21"/>
            </w:rPr>
            <w:t>第一章  招标公告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_Toc13015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kern w:val="2"/>
              <w:sz w:val="21"/>
              <w:szCs w:val="21"/>
              <w:lang w:val="en-US" w:eastAsia="zh-CN" w:bidi="ar-SA"/>
            </w:rPr>
            <w:fldChar w:fldCharType="end"/>
          </w:r>
        </w:p>
        <w:p w14:paraId="3A9810BE">
          <w:pPr>
            <w:pStyle w:val="288"/>
            <w:tabs>
              <w:tab w:val="right" w:leader="dot" w:pos="9070"/>
            </w:tabs>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_Toc1749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bCs/>
              <w:kern w:val="0"/>
              <w:sz w:val="21"/>
              <w:szCs w:val="21"/>
            </w:rPr>
            <w:t>第二章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kern w:val="2"/>
              <w:sz w:val="21"/>
              <w:szCs w:val="21"/>
              <w:lang w:val="en-US" w:eastAsia="zh-CN" w:bidi="ar-SA"/>
            </w:rPr>
            <w:fldChar w:fldCharType="end"/>
          </w:r>
        </w:p>
        <w:p w14:paraId="702003E8">
          <w:pPr>
            <w:pStyle w:val="288"/>
            <w:tabs>
              <w:tab w:val="right" w:leader="dot" w:pos="9070"/>
            </w:tabs>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_Toc2462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bCs/>
              <w:kern w:val="0"/>
              <w:sz w:val="21"/>
              <w:szCs w:val="21"/>
            </w:rPr>
            <w:t>第三章  评标办法及标准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_Toc2462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kern w:val="2"/>
              <w:sz w:val="21"/>
              <w:szCs w:val="21"/>
              <w:lang w:val="en-US" w:eastAsia="zh-CN" w:bidi="ar-SA"/>
            </w:rPr>
            <w:fldChar w:fldCharType="end"/>
          </w:r>
        </w:p>
        <w:p w14:paraId="475D52FF">
          <w:pPr>
            <w:pStyle w:val="288"/>
            <w:tabs>
              <w:tab w:val="right" w:leader="dot" w:pos="9070"/>
            </w:tabs>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_Toc6701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bCs/>
              <w:kern w:val="0"/>
              <w:sz w:val="21"/>
              <w:szCs w:val="21"/>
            </w:rPr>
            <w:t>第四章  合同条款及格式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_Toc6701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kern w:val="2"/>
              <w:sz w:val="21"/>
              <w:szCs w:val="21"/>
              <w:lang w:val="en-US" w:eastAsia="zh-CN" w:bidi="ar-SA"/>
            </w:rPr>
            <w:fldChar w:fldCharType="end"/>
          </w:r>
        </w:p>
        <w:p w14:paraId="54452F73">
          <w:pPr>
            <w:pStyle w:val="288"/>
            <w:tabs>
              <w:tab w:val="right" w:leader="dot" w:pos="9070"/>
            </w:tabs>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_Toc13802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bCs/>
              <w:kern w:val="0"/>
              <w:sz w:val="21"/>
              <w:szCs w:val="21"/>
            </w:rPr>
            <w:t>第五章  用户需求书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_Toc13802 \h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kern w:val="2"/>
              <w:sz w:val="21"/>
              <w:szCs w:val="21"/>
              <w:lang w:val="en-US" w:eastAsia="zh-CN" w:bidi="ar-SA"/>
            </w:rPr>
            <w:fldChar w:fldCharType="end"/>
          </w:r>
        </w:p>
        <w:p w14:paraId="003E4A9D">
          <w:pPr>
            <w:pStyle w:val="288"/>
            <w:tabs>
              <w:tab w:val="right" w:leader="dot" w:pos="9070"/>
            </w:tabs>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_Toc1594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bCs/>
              <w:kern w:val="0"/>
              <w:sz w:val="21"/>
              <w:szCs w:val="21"/>
            </w:rPr>
            <w:t>第六章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_Toc1594 \h </w:instrText>
          </w:r>
          <w:r>
            <w:rPr>
              <w:rFonts w:hint="eastAsia" w:ascii="宋体" w:hAnsi="宋体" w:eastAsia="宋体" w:cs="宋体"/>
              <w:sz w:val="21"/>
              <w:szCs w:val="21"/>
            </w:rPr>
            <w:fldChar w:fldCharType="separate"/>
          </w:r>
          <w:r>
            <w:rPr>
              <w:rFonts w:hint="eastAsia" w:ascii="宋体" w:hAnsi="宋体" w:eastAsia="宋体" w:cs="宋体"/>
              <w:sz w:val="21"/>
              <w:szCs w:val="21"/>
            </w:rPr>
            <w:t>102</w:t>
          </w:r>
          <w:r>
            <w:rPr>
              <w:rFonts w:hint="eastAsia" w:ascii="宋体" w:hAnsi="宋体" w:eastAsia="宋体" w:cs="宋体"/>
              <w:sz w:val="21"/>
              <w:szCs w:val="21"/>
            </w:rPr>
            <w:fldChar w:fldCharType="end"/>
          </w:r>
          <w:r>
            <w:rPr>
              <w:rFonts w:hint="eastAsia" w:ascii="宋体" w:hAnsi="宋体" w:eastAsia="宋体" w:cs="宋体"/>
              <w:kern w:val="2"/>
              <w:sz w:val="21"/>
              <w:szCs w:val="21"/>
              <w:lang w:val="en-US" w:eastAsia="zh-CN" w:bidi="ar-SA"/>
            </w:rPr>
            <w:fldChar w:fldCharType="end"/>
          </w:r>
        </w:p>
        <w:p w14:paraId="7E6C84E5">
          <w:pPr>
            <w:pStyle w:val="288"/>
            <w:tabs>
              <w:tab w:val="right" w:leader="dot" w:pos="9070"/>
            </w:tabs>
            <w:spacing w:line="360" w:lineRule="auto"/>
            <w:rPr>
              <w:rFonts w:hint="eastAsia" w:ascii="宋体" w:hAnsi="宋体" w:eastAsia="宋体" w:cs="宋体"/>
              <w:sz w:val="21"/>
              <w:szCs w:val="21"/>
            </w:rPr>
          </w:pPr>
        </w:p>
        <w:p w14:paraId="4F54BB04">
          <w:pPr>
            <w:wordWrap w:val="0"/>
            <w:spacing w:line="360" w:lineRule="auto"/>
            <w:jc w:val="center"/>
            <w:rPr>
              <w:rFonts w:hint="eastAsia" w:ascii="宋体" w:hAnsi="宋体" w:eastAsia="宋体" w:cs="Times New Roman"/>
              <w:kern w:val="2"/>
              <w:sz w:val="21"/>
              <w:szCs w:val="24"/>
              <w:lang w:val="en-US" w:eastAsia="zh-CN" w:bidi="ar-SA"/>
            </w:rPr>
          </w:pPr>
          <w:r>
            <w:rPr>
              <w:rFonts w:hint="eastAsia" w:ascii="宋体" w:hAnsi="宋体" w:eastAsia="宋体" w:cs="宋体"/>
              <w:kern w:val="2"/>
              <w:szCs w:val="21"/>
              <w:lang w:val="en-US" w:eastAsia="zh-CN" w:bidi="ar-SA"/>
            </w:rPr>
            <w:fldChar w:fldCharType="end"/>
          </w:r>
        </w:p>
      </w:sdtContent>
    </w:sdt>
    <w:p w14:paraId="3F88BD99">
      <w:pPr>
        <w:wordWrap w:val="0"/>
        <w:spacing w:line="312" w:lineRule="auto"/>
        <w:jc w:val="center"/>
        <w:rPr>
          <w:rFonts w:hint="eastAsia" w:ascii="宋体" w:hAnsi="宋体" w:eastAsia="宋体" w:cs="Times New Roman"/>
          <w:kern w:val="2"/>
          <w:sz w:val="21"/>
          <w:szCs w:val="24"/>
          <w:lang w:val="en-US" w:eastAsia="zh-CN" w:bidi="ar-SA"/>
        </w:rPr>
        <w:sectPr>
          <w:footerReference r:id="rId8" w:type="default"/>
          <w:pgSz w:w="11906" w:h="16838"/>
          <w:pgMar w:top="1418" w:right="1418" w:bottom="1418" w:left="1418" w:header="851" w:footer="992" w:gutter="0"/>
          <w:pgNumType w:start="1"/>
          <w:cols w:space="720" w:num="1"/>
          <w:docGrid w:linePitch="312" w:charSpace="0"/>
        </w:sectPr>
      </w:pPr>
    </w:p>
    <w:p w14:paraId="63DB6DD8">
      <w:pPr>
        <w:wordWrap w:val="0"/>
        <w:spacing w:line="312" w:lineRule="auto"/>
        <w:jc w:val="center"/>
        <w:outlineLvl w:val="0"/>
        <w:rPr>
          <w:rFonts w:hint="eastAsia" w:ascii="宋体" w:hAnsi="宋体" w:eastAsia="宋体" w:cs="Times New Roman"/>
          <w:sz w:val="24"/>
          <w:szCs w:val="24"/>
        </w:rPr>
      </w:pPr>
      <w:bookmarkStart w:id="3" w:name="_Toc32396"/>
      <w:bookmarkStart w:id="4" w:name="_Toc32520"/>
      <w:bookmarkStart w:id="5" w:name="_Toc13015"/>
      <w:r>
        <w:rPr>
          <w:rFonts w:hint="eastAsia" w:ascii="Times New Roman" w:hAnsi="Times New Roman" w:eastAsia="黑体" w:cs="Times New Roman"/>
          <w:b/>
          <w:bCs/>
          <w:kern w:val="0"/>
          <w:sz w:val="32"/>
          <w:szCs w:val="32"/>
        </w:rPr>
        <w:t>第一章</w:t>
      </w:r>
      <w:r>
        <w:rPr>
          <w:rFonts w:ascii="Times New Roman" w:hAnsi="Times New Roman" w:eastAsia="黑体" w:cs="Times New Roman"/>
          <w:b/>
          <w:bCs/>
          <w:kern w:val="0"/>
          <w:sz w:val="32"/>
          <w:szCs w:val="32"/>
        </w:rPr>
        <w:t xml:space="preserve">  </w:t>
      </w:r>
      <w:r>
        <w:rPr>
          <w:rFonts w:hint="eastAsia" w:ascii="Times New Roman" w:hAnsi="Times New Roman" w:eastAsia="黑体" w:cs="Times New Roman"/>
          <w:b/>
          <w:bCs/>
          <w:kern w:val="0"/>
          <w:sz w:val="32"/>
          <w:szCs w:val="32"/>
        </w:rPr>
        <w:t>招标公告</w:t>
      </w:r>
      <w:bookmarkEnd w:id="3"/>
      <w:bookmarkEnd w:id="4"/>
      <w:bookmarkEnd w:id="5"/>
    </w:p>
    <w:p w14:paraId="11EBCCB5">
      <w:pPr>
        <w:wordWrap w:val="0"/>
        <w:spacing w:line="312" w:lineRule="auto"/>
        <w:jc w:val="center"/>
        <w:outlineLvl w:val="1"/>
        <w:rPr>
          <w:rFonts w:hint="eastAsia" w:ascii="Arial" w:hAnsi="宋体" w:eastAsia="黑体" w:cs="Times New Roman"/>
          <w:b/>
          <w:bCs/>
          <w:sz w:val="28"/>
          <w:szCs w:val="28"/>
          <w:lang w:eastAsia="zh-CN"/>
        </w:rPr>
      </w:pPr>
      <w:bookmarkStart w:id="6" w:name="OLE_LINK69"/>
      <w:bookmarkStart w:id="7" w:name="OLE_LINK68"/>
      <w:bookmarkStart w:id="8" w:name="OLE_LINK105"/>
      <w:bookmarkStart w:id="9" w:name="OLE_LINK107"/>
      <w:bookmarkStart w:id="10" w:name="OLE_LINK106"/>
      <w:bookmarkStart w:id="11" w:name="OLE_LINK86"/>
      <w:bookmarkStart w:id="12" w:name="OLE_LINK43"/>
      <w:bookmarkStart w:id="13" w:name="OLE_LINK104"/>
      <w:bookmarkStart w:id="14" w:name="OLE_LINK39"/>
      <w:r>
        <w:rPr>
          <w:rFonts w:hint="eastAsia" w:ascii="Arial" w:hAnsi="宋体" w:eastAsia="黑体" w:cs="Times New Roman"/>
          <w:b/>
          <w:bCs/>
          <w:sz w:val="28"/>
          <w:szCs w:val="28"/>
          <w:lang w:eastAsia="zh-CN"/>
        </w:rPr>
        <w:t>南宁市智慧出行信息化工程二期项目-公共交通协同调度系统升级项目</w:t>
      </w:r>
    </w:p>
    <w:p w14:paraId="05254C39">
      <w:pPr>
        <w:wordWrap w:val="0"/>
        <w:spacing w:line="312" w:lineRule="auto"/>
        <w:jc w:val="center"/>
        <w:rPr>
          <w:rFonts w:hint="eastAsia" w:ascii="Arial" w:hAnsi="宋体" w:eastAsia="黑体" w:cs="Times New Roman"/>
          <w:b/>
          <w:bCs/>
          <w:sz w:val="28"/>
          <w:szCs w:val="28"/>
          <w:highlight w:val="none"/>
        </w:rPr>
      </w:pPr>
      <w:r>
        <w:rPr>
          <w:rFonts w:hint="eastAsia" w:ascii="Arial" w:hAnsi="宋体" w:eastAsia="黑体" w:cs="Times New Roman"/>
          <w:b/>
          <w:bCs/>
          <w:sz w:val="28"/>
          <w:szCs w:val="28"/>
          <w:highlight w:val="none"/>
        </w:rPr>
        <w:t>招标公告</w:t>
      </w:r>
      <w:bookmarkEnd w:id="6"/>
      <w:bookmarkEnd w:id="7"/>
      <w:bookmarkEnd w:id="8"/>
      <w:bookmarkEnd w:id="9"/>
    </w:p>
    <w:p w14:paraId="2F9BA42E">
      <w:pPr>
        <w:wordWrap w:val="0"/>
        <w:spacing w:line="348" w:lineRule="auto"/>
        <w:ind w:firstLine="420" w:firstLineChars="200"/>
        <w:rPr>
          <w:rFonts w:ascii="Times New Roman" w:hAnsi="Times New Roman" w:eastAsia="宋体" w:cs="Times New Roman"/>
          <w:szCs w:val="21"/>
        </w:rPr>
      </w:pPr>
      <w:bookmarkStart w:id="15" w:name="OLE_LINK87"/>
      <w:bookmarkStart w:id="16" w:name="OLE_LINK70"/>
      <w:r>
        <w:rPr>
          <w:rFonts w:hint="eastAsia" w:ascii="宋体" w:hAnsi="宋体" w:eastAsia="宋体" w:cs="Times New Roman"/>
          <w:szCs w:val="24"/>
          <w:highlight w:val="none"/>
        </w:rPr>
        <w:t>本招标项目</w:t>
      </w:r>
      <w:r>
        <w:rPr>
          <w:rFonts w:hint="eastAsia" w:ascii="Times New Roman" w:hAnsi="Times New Roman" w:eastAsia="宋体" w:cs="Times New Roman"/>
          <w:szCs w:val="21"/>
          <w:highlight w:val="none"/>
          <w:u w:val="single"/>
          <w:lang w:eastAsia="zh-CN"/>
        </w:rPr>
        <w:t>南宁市智慧出行信息化工程二期项目-公共交通协同调度系统升级项目</w:t>
      </w:r>
      <w:r>
        <w:rPr>
          <w:rFonts w:hint="eastAsia" w:ascii="Times New Roman" w:hAnsi="Times New Roman" w:eastAsia="宋体" w:cs="Times New Roman"/>
          <w:szCs w:val="21"/>
          <w:highlight w:val="none"/>
        </w:rPr>
        <w:t>，</w:t>
      </w:r>
      <w:r>
        <w:rPr>
          <w:rFonts w:hint="eastAsia" w:ascii="宋体" w:hAnsi="宋体" w:eastAsia="宋体" w:cs="Times New Roman"/>
          <w:szCs w:val="24"/>
          <w:highlight w:val="none"/>
        </w:rPr>
        <w:t>招</w:t>
      </w:r>
      <w:r>
        <w:rPr>
          <w:rFonts w:hint="eastAsia" w:ascii="宋体" w:hAnsi="宋体" w:eastAsia="宋体" w:cs="Times New Roman"/>
          <w:szCs w:val="24"/>
        </w:rPr>
        <w:t xml:space="preserve">标人为 </w:t>
      </w:r>
      <w:r>
        <w:rPr>
          <w:rFonts w:hint="eastAsia" w:ascii="宋体" w:hAnsi="宋体" w:eastAsia="宋体" w:cs="Times New Roman"/>
          <w:szCs w:val="24"/>
          <w:u w:val="single"/>
        </w:rPr>
        <w:t>南宁轨道交通集团有限责任公司</w:t>
      </w:r>
      <w:r>
        <w:rPr>
          <w:rFonts w:hint="eastAsia" w:ascii="宋体" w:hAnsi="宋体" w:eastAsia="宋体" w:cs="Times New Roman"/>
          <w:szCs w:val="24"/>
        </w:rPr>
        <w:t>，招标项目资金来源</w:t>
      </w:r>
      <w:r>
        <w:rPr>
          <w:rFonts w:hint="eastAsia" w:ascii="宋体" w:hAnsi="宋体" w:eastAsia="宋体" w:cs="Times New Roman"/>
          <w:szCs w:val="24"/>
          <w:u w:val="single"/>
        </w:rPr>
        <w:t>政府专项债及企业自筹</w:t>
      </w:r>
      <w:r>
        <w:rPr>
          <w:rFonts w:hint="eastAsia" w:ascii="宋体" w:hAnsi="宋体" w:eastAsia="宋体" w:cs="Times New Roman"/>
          <w:szCs w:val="24"/>
        </w:rPr>
        <w:t>。该项目已具备招标条件，现对本项目进行公开招标</w:t>
      </w:r>
      <w:r>
        <w:rPr>
          <w:rFonts w:hint="eastAsia" w:ascii="宋体" w:hAnsi="宋体" w:eastAsia="宋体" w:cs="Times New Roman"/>
          <w:kern w:val="0"/>
          <w:szCs w:val="21"/>
        </w:rPr>
        <w:t>，现邀请有意向的合格投标人参加投标</w:t>
      </w:r>
      <w:r>
        <w:rPr>
          <w:rFonts w:hint="eastAsia" w:ascii="宋体" w:hAnsi="宋体" w:eastAsia="宋体" w:cs="Times New Roman"/>
          <w:szCs w:val="24"/>
        </w:rPr>
        <w:t>。</w:t>
      </w:r>
    </w:p>
    <w:p w14:paraId="22903E1A">
      <w:pPr>
        <w:keepNext/>
        <w:keepLines/>
        <w:wordWrap w:val="0"/>
        <w:spacing w:before="240" w:beforeLines="100" w:line="348" w:lineRule="auto"/>
        <w:outlineLvl w:val="1"/>
        <w:rPr>
          <w:rFonts w:ascii="Arial" w:hAnsi="Arial" w:eastAsia="黑体" w:cs="Times New Roman"/>
          <w:b/>
          <w:bCs/>
          <w:sz w:val="24"/>
          <w:szCs w:val="24"/>
        </w:rPr>
      </w:pPr>
      <w:bookmarkStart w:id="17" w:name="_Toc17196"/>
      <w:bookmarkStart w:id="18" w:name="_Toc16976"/>
      <w:bookmarkStart w:id="19" w:name="_Toc530736521"/>
      <w:bookmarkStart w:id="20" w:name="_Toc24050"/>
      <w:bookmarkStart w:id="21" w:name="_Toc7639"/>
      <w:bookmarkStart w:id="22" w:name="_Toc441059940"/>
      <w:bookmarkStart w:id="23" w:name="_Toc450314168"/>
      <w:bookmarkStart w:id="24" w:name="_Toc16455"/>
      <w:bookmarkStart w:id="25" w:name="_Toc441064051"/>
      <w:bookmarkStart w:id="26" w:name="_Toc24118"/>
      <w:bookmarkStart w:id="27" w:name="_Toc450657240"/>
      <w:r>
        <w:rPr>
          <w:rFonts w:hint="eastAsia" w:ascii="Arial" w:hAnsi="Arial" w:eastAsia="黑体" w:cs="Times New Roman"/>
          <w:b/>
          <w:bCs/>
          <w:sz w:val="24"/>
          <w:szCs w:val="24"/>
        </w:rPr>
        <w:t>1</w:t>
      </w:r>
      <w:r>
        <w:rPr>
          <w:rFonts w:ascii="Arial" w:hAnsi="Arial" w:eastAsia="黑体" w:cs="Times New Roman"/>
          <w:b/>
          <w:bCs/>
          <w:sz w:val="24"/>
          <w:szCs w:val="24"/>
        </w:rPr>
        <w:t xml:space="preserve"> </w:t>
      </w:r>
      <w:r>
        <w:rPr>
          <w:rFonts w:hint="eastAsia" w:ascii="Arial" w:hAnsi="Arial" w:eastAsia="黑体" w:cs="Times New Roman"/>
          <w:b/>
          <w:bCs/>
          <w:sz w:val="24"/>
          <w:szCs w:val="24"/>
        </w:rPr>
        <w:t>项目概况与招标范围</w:t>
      </w:r>
      <w:bookmarkEnd w:id="17"/>
      <w:bookmarkEnd w:id="18"/>
      <w:bookmarkEnd w:id="19"/>
      <w:bookmarkEnd w:id="20"/>
      <w:bookmarkEnd w:id="21"/>
      <w:bookmarkEnd w:id="22"/>
      <w:bookmarkEnd w:id="23"/>
      <w:bookmarkEnd w:id="24"/>
      <w:bookmarkEnd w:id="25"/>
      <w:bookmarkEnd w:id="26"/>
      <w:bookmarkEnd w:id="27"/>
    </w:p>
    <w:p w14:paraId="7D59594B">
      <w:pPr>
        <w:widowControl/>
        <w:wordWrap w:val="0"/>
        <w:spacing w:line="360" w:lineRule="auto"/>
        <w:ind w:firstLine="422" w:firstLineChars="200"/>
        <w:jc w:val="left"/>
        <w:rPr>
          <w:rFonts w:hint="eastAsia" w:ascii="宋体" w:hAnsi="宋体" w:eastAsia="宋体" w:cs="宋体"/>
          <w:szCs w:val="21"/>
          <w:lang w:eastAsia="zh-CN"/>
        </w:rPr>
      </w:pPr>
      <w:r>
        <w:rPr>
          <w:rFonts w:hint="eastAsia" w:ascii="宋体" w:hAnsi="宋体" w:eastAsia="宋体" w:cs="宋体"/>
          <w:b/>
          <w:szCs w:val="21"/>
        </w:rPr>
        <w:t>1.1项目名称：</w:t>
      </w:r>
      <w:r>
        <w:rPr>
          <w:rFonts w:hint="eastAsia" w:ascii="宋体" w:hAnsi="宋体" w:eastAsia="宋体" w:cs="宋体"/>
          <w:szCs w:val="21"/>
          <w:lang w:eastAsia="zh-CN"/>
        </w:rPr>
        <w:t>南宁市智慧出行信息化工程二期项目-公共交通协同调度系统升级项目</w:t>
      </w:r>
    </w:p>
    <w:p w14:paraId="4716E3AB">
      <w:pPr>
        <w:widowControl/>
        <w:wordWrap w:val="0"/>
        <w:spacing w:line="360" w:lineRule="auto"/>
        <w:ind w:firstLine="422" w:firstLineChars="200"/>
        <w:jc w:val="left"/>
        <w:rPr>
          <w:rFonts w:hint="default" w:ascii="宋体" w:hAnsi="宋体" w:eastAsia="宋体" w:cs="宋体"/>
          <w:szCs w:val="21"/>
          <w:lang w:val="en-US" w:eastAsia="zh-CN"/>
        </w:rPr>
      </w:pPr>
      <w:r>
        <w:rPr>
          <w:rFonts w:hint="eastAsia" w:ascii="宋体" w:hAnsi="宋体" w:eastAsia="宋体" w:cs="宋体"/>
          <w:b/>
          <w:bCs/>
          <w:szCs w:val="21"/>
          <w:lang w:val="en-US" w:eastAsia="zh-CN"/>
        </w:rPr>
        <w:t>1.2项目编号：</w:t>
      </w:r>
      <w:r>
        <w:rPr>
          <w:rFonts w:hint="eastAsia" w:ascii="宋体" w:hAnsi="宋体" w:eastAsia="宋体" w:cs="宋体"/>
          <w:szCs w:val="21"/>
          <w:lang w:val="en-US" w:eastAsia="zh-CN"/>
        </w:rPr>
        <w:t>SKZX-2025-FW006</w:t>
      </w:r>
    </w:p>
    <w:p w14:paraId="2FD90CF1">
      <w:pPr>
        <w:widowControl/>
        <w:wordWrap w:val="0"/>
        <w:spacing w:line="360" w:lineRule="auto"/>
        <w:ind w:firstLine="422" w:firstLineChars="200"/>
        <w:jc w:val="left"/>
        <w:rPr>
          <w:rFonts w:hint="eastAsia" w:ascii="宋体" w:hAnsi="宋体" w:eastAsia="宋体" w:cs="Times New Roman"/>
          <w:szCs w:val="21"/>
        </w:rPr>
      </w:pPr>
      <w:r>
        <w:rPr>
          <w:rFonts w:hint="eastAsia" w:ascii="宋体" w:hAnsi="宋体" w:eastAsia="宋体" w:cs="宋体"/>
          <w:b/>
          <w:szCs w:val="21"/>
        </w:rPr>
        <w:t>1.</w:t>
      </w:r>
      <w:r>
        <w:rPr>
          <w:rFonts w:hint="eastAsia" w:ascii="宋体" w:hAnsi="宋体" w:eastAsia="宋体" w:cs="宋体"/>
          <w:b/>
          <w:szCs w:val="21"/>
          <w:lang w:val="en-US" w:eastAsia="zh-CN"/>
        </w:rPr>
        <w:t>3</w:t>
      </w:r>
      <w:r>
        <w:rPr>
          <w:rFonts w:hint="eastAsia" w:ascii="宋体" w:hAnsi="宋体" w:eastAsia="宋体" w:cs="宋体"/>
          <w:b/>
          <w:szCs w:val="21"/>
        </w:rPr>
        <w:t>项目地点：</w:t>
      </w:r>
      <w:r>
        <w:rPr>
          <w:rFonts w:hint="eastAsia" w:ascii="宋体" w:hAnsi="宋体" w:eastAsia="宋体" w:cs="宋体"/>
          <w:szCs w:val="21"/>
        </w:rPr>
        <w:t>广西壮族自治区南宁市</w:t>
      </w:r>
    </w:p>
    <w:p w14:paraId="6AE206D6">
      <w:pPr>
        <w:widowControl/>
        <w:spacing w:line="360" w:lineRule="auto"/>
        <w:ind w:firstLine="422" w:firstLineChars="200"/>
        <w:jc w:val="left"/>
        <w:rPr>
          <w:rFonts w:hint="eastAsia" w:ascii="宋体" w:hAnsi="宋体" w:eastAsia="宋体" w:cs="Times New Roman"/>
          <w:b/>
          <w:szCs w:val="21"/>
        </w:rPr>
      </w:pPr>
      <w:bookmarkStart w:id="28" w:name="_Toc30177"/>
      <w:r>
        <w:rPr>
          <w:rFonts w:hint="eastAsia" w:ascii="宋体" w:hAnsi="宋体" w:eastAsia="宋体" w:cs="Times New Roman"/>
          <w:b/>
          <w:szCs w:val="21"/>
        </w:rPr>
        <w:t>1.</w:t>
      </w:r>
      <w:r>
        <w:rPr>
          <w:rFonts w:hint="eastAsia" w:ascii="宋体" w:hAnsi="宋体" w:eastAsia="宋体" w:cs="Times New Roman"/>
          <w:b/>
          <w:szCs w:val="21"/>
          <w:lang w:val="en-US" w:eastAsia="zh-CN"/>
        </w:rPr>
        <w:t>4</w:t>
      </w:r>
      <w:r>
        <w:rPr>
          <w:rFonts w:hint="eastAsia" w:ascii="宋体" w:hAnsi="宋体" w:eastAsia="宋体" w:cs="Times New Roman"/>
          <w:b/>
          <w:szCs w:val="21"/>
        </w:rPr>
        <w:t>项目概况：</w:t>
      </w:r>
    </w:p>
    <w:p w14:paraId="704FBB79">
      <w:pPr>
        <w:widowControl/>
        <w:spacing w:line="360" w:lineRule="auto"/>
        <w:ind w:firstLine="420" w:firstLineChars="200"/>
        <w:jc w:val="left"/>
        <w:rPr>
          <w:rFonts w:hint="eastAsia" w:ascii="宋体" w:hAnsi="宋体" w:eastAsia="宋体" w:cs="Times New Roman"/>
          <w:b w:val="0"/>
          <w:bCs/>
          <w:szCs w:val="21"/>
        </w:rPr>
      </w:pPr>
      <w:r>
        <w:rPr>
          <w:rFonts w:hint="eastAsia" w:ascii="宋体" w:hAnsi="宋体" w:eastAsia="宋体" w:cs="Times New Roman"/>
          <w:b w:val="0"/>
          <w:bCs/>
          <w:szCs w:val="21"/>
        </w:rPr>
        <w:t>为继续贯彻落实国家对于综合交通体系数字化、高效化、融合化的指导要求，以及《广西综合交通运输发展“十四五”规划》中“推进智慧交通发展，建立和完善广西出行综合信息服务系统，推行出行信息服务‘一站式’查询”的部署，特别是《南宁市综合交通运输发展“十四五”规划》明确提出要“升级智慧交通平台系统，打造智慧交通”并建设MaaS一体化出行服务系统的目标，南宁市亟需开展智慧出行信息化工程，通过整合多方式交通资源和数据资源，打破信息孤岛，将各种交通模式整合在统一的服务体系与平台上，提供全过程出行服务。平台将利用大数据进行交通供需的优化配合和运营决策，致力于建立无缝衔接的、以出行者为核心的交通一体化出行服务系统，从而为城市出行者打造一站式、无缝化的出行体验，提供更为灵活、高效、经济的“一站式”出行服务，最终推进南宁智慧交通和交通数字化转型，扎实支撑“智慧南宁”建设目标的实现。本项目为公共交通协同调度系统升级，</w:t>
      </w:r>
      <w:r>
        <w:rPr>
          <w:rFonts w:hint="eastAsia" w:ascii="宋体" w:hAnsi="宋体" w:eastAsia="宋体" w:cs="Times New Roman"/>
          <w:b w:val="0"/>
          <w:bCs/>
          <w:szCs w:val="21"/>
          <w:lang w:val="en-US" w:eastAsia="zh-CN"/>
        </w:rPr>
        <w:t>作为</w:t>
      </w:r>
      <w:r>
        <w:rPr>
          <w:rFonts w:hint="eastAsia" w:ascii="宋体" w:hAnsi="宋体" w:eastAsia="宋体" w:cs="Times New Roman"/>
          <w:b w:val="0"/>
          <w:bCs/>
          <w:szCs w:val="21"/>
        </w:rPr>
        <w:t>公共交通协同监控中心（PIMC）一期</w:t>
      </w:r>
      <w:r>
        <w:rPr>
          <w:rFonts w:hint="eastAsia" w:ascii="宋体" w:hAnsi="宋体" w:eastAsia="宋体" w:cs="Times New Roman"/>
          <w:b w:val="0"/>
          <w:bCs/>
          <w:szCs w:val="21"/>
          <w:lang w:val="en-US" w:eastAsia="zh-CN"/>
        </w:rPr>
        <w:t>的子项目，</w:t>
      </w:r>
      <w:r>
        <w:rPr>
          <w:rFonts w:hint="eastAsia" w:ascii="宋体" w:hAnsi="宋体" w:eastAsia="宋体" w:cs="Times New Roman"/>
          <w:b w:val="0"/>
          <w:bCs/>
          <w:szCs w:val="21"/>
        </w:rPr>
        <w:t>聚焦完善新型基础设施、夯实统一数据底座、推动公交与轨道两网协同调度优化三项重点任务开展建设。</w:t>
      </w:r>
    </w:p>
    <w:p w14:paraId="5B845928">
      <w:pPr>
        <w:widowControl/>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1.</w:t>
      </w:r>
      <w:r>
        <w:rPr>
          <w:rFonts w:hint="eastAsia" w:ascii="宋体" w:hAnsi="宋体" w:eastAsia="宋体" w:cs="Times New Roman"/>
          <w:b/>
          <w:szCs w:val="21"/>
          <w:lang w:val="en-US" w:eastAsia="zh-CN"/>
        </w:rPr>
        <w:t>5</w:t>
      </w:r>
      <w:r>
        <w:rPr>
          <w:rFonts w:hint="eastAsia" w:ascii="宋体" w:hAnsi="宋体" w:eastAsia="宋体" w:cs="Times New Roman"/>
          <w:b/>
          <w:szCs w:val="21"/>
        </w:rPr>
        <w:t>招标范围：</w:t>
      </w:r>
      <w:bookmarkEnd w:id="28"/>
      <w:bookmarkStart w:id="29" w:name="OLE_LINK62"/>
      <w:bookmarkStart w:id="30" w:name="OLE_LINK50"/>
    </w:p>
    <w:p w14:paraId="543EA972">
      <w:pPr>
        <w:widowControl/>
        <w:spacing w:line="360" w:lineRule="auto"/>
        <w:ind w:firstLine="420" w:firstLineChars="200"/>
        <w:jc w:val="left"/>
        <w:rPr>
          <w:rFonts w:hint="eastAsia" w:cs="Times New Roman" w:asciiTheme="minorEastAsia" w:hAnsiTheme="minorEastAsia"/>
          <w:szCs w:val="21"/>
          <w:highlight w:val="none"/>
        </w:rPr>
      </w:pPr>
      <w:r>
        <w:rPr>
          <w:rFonts w:hint="eastAsia" w:cs="Times New Roman" w:asciiTheme="minorEastAsia" w:hAnsiTheme="minorEastAsia"/>
          <w:szCs w:val="21"/>
        </w:rPr>
        <w:t>（1）本项目城轨与公交协同调度指挥系统需实现南宁轨道交通1号线（火车东站-石埠）、2号线（坛泽-西津</w:t>
      </w:r>
      <w:r>
        <w:rPr>
          <w:rFonts w:hint="eastAsia" w:cs="Times New Roman" w:asciiTheme="minorEastAsia" w:hAnsiTheme="minorEastAsia"/>
          <w:szCs w:val="21"/>
          <w:highlight w:val="none"/>
        </w:rPr>
        <w:t>）、3号线（科园大道-平良立交）、4号线（洪运路-龙岗）、5号线（国凯大道-金桥客运站）号线，共5条城轨数据的接入。</w:t>
      </w:r>
    </w:p>
    <w:p w14:paraId="46BC9F5A">
      <w:pPr>
        <w:widowControl/>
        <w:spacing w:line="360" w:lineRule="auto"/>
        <w:ind w:firstLine="420" w:firstLineChars="200"/>
        <w:jc w:val="left"/>
        <w:rPr>
          <w:rFonts w:hint="eastAsia" w:cs="Times New Roman" w:asciiTheme="minorEastAsia" w:hAnsiTheme="minorEastAsia"/>
          <w:szCs w:val="21"/>
          <w:highlight w:val="none"/>
        </w:rPr>
      </w:pPr>
      <w:r>
        <w:rPr>
          <w:rFonts w:hint="eastAsia" w:cs="Times New Roman" w:asciiTheme="minorEastAsia" w:hAnsiTheme="minorEastAsia"/>
          <w:szCs w:val="21"/>
          <w:highlight w:val="none"/>
        </w:rPr>
        <w:t>（2）本项目城轨与公交协同调度指挥系统需实现南宁公共交通集团有限公司辖下所有公交线路、公交车辆数据的接入。</w:t>
      </w:r>
    </w:p>
    <w:p w14:paraId="5C7D7486">
      <w:pPr>
        <w:widowControl/>
        <w:spacing w:line="360" w:lineRule="auto"/>
        <w:ind w:firstLine="420" w:firstLineChars="200"/>
        <w:jc w:val="left"/>
        <w:rPr>
          <w:rFonts w:hint="eastAsia" w:cs="Times New Roman" w:asciiTheme="minorEastAsia" w:hAnsiTheme="minorEastAsia"/>
          <w:szCs w:val="21"/>
          <w:highlight w:val="none"/>
        </w:rPr>
      </w:pPr>
      <w:r>
        <w:rPr>
          <w:rFonts w:hint="eastAsia" w:cs="Times New Roman" w:asciiTheme="minorEastAsia" w:hAnsiTheme="minorEastAsia"/>
          <w:szCs w:val="21"/>
          <w:highlight w:val="none"/>
        </w:rPr>
        <w:t>（3）本项目城轨与公交协同调度指挥系统需选取2个典型场景在1至2条关键公交线路上应用（具体场景及公交线路在设计联络会阶段明确）。</w:t>
      </w:r>
    </w:p>
    <w:p w14:paraId="7A08E690">
      <w:pPr>
        <w:widowControl/>
        <w:spacing w:line="360" w:lineRule="auto"/>
        <w:ind w:firstLine="422" w:firstLineChars="200"/>
        <w:jc w:val="left"/>
        <w:rPr>
          <w:rFonts w:hint="eastAsia" w:ascii="宋体" w:hAnsi="宋体" w:eastAsia="宋体" w:cs="宋体"/>
          <w:szCs w:val="21"/>
          <w:highlight w:val="none"/>
        </w:rPr>
      </w:pPr>
      <w:r>
        <w:rPr>
          <w:rFonts w:hint="eastAsia" w:ascii="宋体" w:hAnsi="宋体" w:eastAsia="宋体" w:cs="Times New Roman"/>
          <w:b/>
          <w:szCs w:val="21"/>
          <w:highlight w:val="none"/>
        </w:rPr>
        <w:t>具体详见招标文件第五章用户需求书。</w:t>
      </w:r>
      <w:bookmarkEnd w:id="29"/>
      <w:bookmarkEnd w:id="30"/>
    </w:p>
    <w:p w14:paraId="3F85A594">
      <w:pPr>
        <w:widowControl/>
        <w:wordWrap w:val="0"/>
        <w:spacing w:line="360" w:lineRule="auto"/>
        <w:ind w:firstLine="422" w:firstLineChars="200"/>
        <w:jc w:val="left"/>
        <w:rPr>
          <w:rFonts w:hint="eastAsia" w:ascii="宋体" w:hAnsi="宋体" w:eastAsia="宋体" w:cs="宋体"/>
          <w:kern w:val="0"/>
          <w:szCs w:val="21"/>
          <w:highlight w:val="none"/>
          <w:lang w:val="zh-CN"/>
        </w:rPr>
      </w:pPr>
      <w:r>
        <w:rPr>
          <w:rFonts w:hint="eastAsia" w:ascii="宋体" w:hAnsi="宋体" w:eastAsia="宋体" w:cs="Times New Roman"/>
          <w:b/>
          <w:szCs w:val="21"/>
          <w:highlight w:val="none"/>
        </w:rPr>
        <w:t>1.</w:t>
      </w:r>
      <w:r>
        <w:rPr>
          <w:rFonts w:hint="eastAsia" w:ascii="宋体" w:hAnsi="宋体" w:eastAsia="宋体" w:cs="Times New Roman"/>
          <w:b/>
          <w:szCs w:val="21"/>
          <w:highlight w:val="none"/>
          <w:lang w:val="en-US" w:eastAsia="zh-CN"/>
        </w:rPr>
        <w:t>6项目预算价</w:t>
      </w:r>
      <w:r>
        <w:rPr>
          <w:rFonts w:hint="eastAsia" w:ascii="宋体" w:hAnsi="宋体" w:eastAsia="宋体" w:cs="Times New Roman"/>
          <w:b/>
          <w:szCs w:val="21"/>
          <w:highlight w:val="none"/>
        </w:rPr>
        <w:t>：</w:t>
      </w:r>
      <w:r>
        <w:rPr>
          <w:rFonts w:hint="eastAsia" w:ascii="宋体" w:hAnsi="宋体" w:eastAsia="宋体" w:cs="宋体"/>
          <w:kern w:val="0"/>
          <w:szCs w:val="21"/>
          <w:highlight w:val="none"/>
          <w:lang w:val="zh-CN"/>
        </w:rPr>
        <w:t>本项目含税</w:t>
      </w:r>
      <w:r>
        <w:rPr>
          <w:rFonts w:hint="eastAsia" w:ascii="宋体" w:hAnsi="宋体" w:eastAsia="宋体" w:cs="宋体"/>
          <w:kern w:val="0"/>
          <w:szCs w:val="21"/>
          <w:highlight w:val="none"/>
          <w:lang w:val="en-US" w:eastAsia="zh-CN"/>
        </w:rPr>
        <w:t>预算价</w:t>
      </w:r>
      <w:r>
        <w:rPr>
          <w:rFonts w:hint="eastAsia" w:ascii="宋体" w:hAnsi="宋体" w:eastAsia="宋体" w:cs="宋体"/>
          <w:kern w:val="0"/>
          <w:szCs w:val="21"/>
          <w:highlight w:val="none"/>
          <w:lang w:val="zh-CN"/>
        </w:rPr>
        <w:t>为</w:t>
      </w:r>
      <w:r>
        <w:rPr>
          <w:rFonts w:hint="eastAsia" w:ascii="宋体" w:hAnsi="宋体" w:eastAsia="宋体" w:cs="宋体"/>
          <w:kern w:val="0"/>
          <w:szCs w:val="21"/>
          <w:highlight w:val="none"/>
        </w:rPr>
        <w:t>1000</w:t>
      </w:r>
      <w:r>
        <w:rPr>
          <w:rFonts w:hint="eastAsia" w:ascii="宋体" w:hAnsi="宋体" w:eastAsia="宋体" w:cs="宋体"/>
          <w:kern w:val="0"/>
          <w:szCs w:val="21"/>
          <w:highlight w:val="none"/>
          <w:lang w:val="zh-CN"/>
        </w:rPr>
        <w:t>万元。</w:t>
      </w:r>
    </w:p>
    <w:p w14:paraId="50849765">
      <w:pPr>
        <w:widowControl/>
        <w:wordWrap w:val="0"/>
        <w:spacing w:line="360" w:lineRule="auto"/>
        <w:ind w:firstLine="422" w:firstLineChars="200"/>
        <w:jc w:val="left"/>
        <w:rPr>
          <w:rFonts w:hint="eastAsia" w:ascii="宋体" w:hAnsi="宋体" w:eastAsia="宋体" w:cs="Times New Roman"/>
          <w:szCs w:val="24"/>
          <w:highlight w:val="none"/>
        </w:rPr>
      </w:pPr>
      <w:r>
        <w:rPr>
          <w:rFonts w:hint="eastAsia" w:ascii="宋体" w:hAnsi="宋体" w:eastAsia="宋体" w:cs="Times New Roman"/>
          <w:b/>
          <w:szCs w:val="21"/>
          <w:highlight w:val="none"/>
        </w:rPr>
        <w:t>1.</w:t>
      </w:r>
      <w:r>
        <w:rPr>
          <w:rFonts w:hint="eastAsia" w:ascii="宋体" w:hAnsi="宋体" w:eastAsia="宋体" w:cs="Times New Roman"/>
          <w:b/>
          <w:szCs w:val="21"/>
          <w:highlight w:val="none"/>
          <w:lang w:val="en-US" w:eastAsia="zh-CN"/>
        </w:rPr>
        <w:t>7</w:t>
      </w:r>
      <w:r>
        <w:rPr>
          <w:rFonts w:hint="eastAsia" w:ascii="宋体" w:hAnsi="宋体" w:eastAsia="宋体" w:cs="Times New Roman"/>
          <w:b/>
          <w:szCs w:val="21"/>
          <w:highlight w:val="none"/>
        </w:rPr>
        <w:t>服务期：</w:t>
      </w:r>
      <w:r>
        <w:rPr>
          <w:rFonts w:hint="eastAsia" w:eastAsia="宋体" w:cs="Times New Roman" w:asciiTheme="minorEastAsia" w:hAnsiTheme="minorEastAsia"/>
          <w:szCs w:val="21"/>
          <w:highlight w:val="none"/>
        </w:rPr>
        <w:t>自合同签订之日起4个月内完成验收交付</w:t>
      </w:r>
      <w:r>
        <w:rPr>
          <w:rFonts w:hint="eastAsia" w:ascii="宋体" w:hAnsi="宋体" w:eastAsia="宋体" w:cs="宋体"/>
          <w:szCs w:val="21"/>
          <w:highlight w:val="none"/>
        </w:rPr>
        <w:t>。</w:t>
      </w:r>
      <w:r>
        <w:rPr>
          <w:rFonts w:hint="eastAsia" w:ascii="宋体" w:hAnsi="宋体" w:eastAsia="宋体" w:cs="Times New Roman"/>
          <w:b/>
          <w:szCs w:val="21"/>
          <w:highlight w:val="none"/>
        </w:rPr>
        <w:t>具体详见招标文件第五章用户需求书。</w:t>
      </w:r>
    </w:p>
    <w:p w14:paraId="07DED254">
      <w:pPr>
        <w:wordWrap w:val="0"/>
        <w:spacing w:line="360" w:lineRule="auto"/>
        <w:ind w:firstLine="422" w:firstLineChars="200"/>
        <w:rPr>
          <w:rFonts w:hint="eastAsia" w:ascii="宋体" w:hAnsi="宋体" w:eastAsia="宋体" w:cs="Times New Roman"/>
          <w:sz w:val="24"/>
          <w:szCs w:val="24"/>
        </w:rPr>
      </w:pPr>
      <w:r>
        <w:rPr>
          <w:rFonts w:hint="eastAsia" w:ascii="宋体" w:hAnsi="宋体" w:eastAsia="宋体" w:cs="Times New Roman"/>
          <w:b/>
          <w:szCs w:val="21"/>
          <w:highlight w:val="none"/>
        </w:rPr>
        <w:t>1.</w:t>
      </w:r>
      <w:r>
        <w:rPr>
          <w:rFonts w:hint="eastAsia" w:ascii="宋体" w:hAnsi="宋体" w:eastAsia="宋体" w:cs="Times New Roman"/>
          <w:b/>
          <w:szCs w:val="21"/>
          <w:highlight w:val="none"/>
          <w:lang w:val="en-US" w:eastAsia="zh-CN"/>
        </w:rPr>
        <w:t>8</w:t>
      </w:r>
      <w:r>
        <w:rPr>
          <w:rFonts w:hint="eastAsia" w:ascii="宋体" w:hAnsi="宋体" w:eastAsia="宋体" w:cs="Times New Roman"/>
          <w:b/>
          <w:szCs w:val="21"/>
          <w:highlight w:val="none"/>
        </w:rPr>
        <w:t>质量要求：</w:t>
      </w:r>
      <w:r>
        <w:rPr>
          <w:rFonts w:hint="eastAsia" w:ascii="宋体" w:hAnsi="宋体" w:eastAsia="宋体" w:cs="宋体"/>
          <w:bCs/>
          <w:szCs w:val="21"/>
          <w:highlight w:val="none"/>
        </w:rPr>
        <w:t>满足国家现行规范、标准、招标文件要求和项目实际</w:t>
      </w:r>
      <w:r>
        <w:rPr>
          <w:rFonts w:hint="eastAsia" w:ascii="宋体" w:hAnsi="宋体" w:eastAsia="宋体" w:cs="宋体"/>
          <w:bCs/>
          <w:szCs w:val="21"/>
        </w:rPr>
        <w:t>需要。</w:t>
      </w:r>
      <w:bookmarkStart w:id="31" w:name="_Toc31663"/>
      <w:bookmarkStart w:id="32" w:name="_Toc16098"/>
      <w:bookmarkStart w:id="33" w:name="_Toc450657241"/>
      <w:bookmarkStart w:id="34" w:name="_Toc30993"/>
      <w:bookmarkStart w:id="35" w:name="_Toc441064052"/>
      <w:bookmarkStart w:id="36" w:name="_Toc530736522"/>
      <w:bookmarkStart w:id="37" w:name="_Toc441059941"/>
      <w:bookmarkStart w:id="38" w:name="_Toc450314169"/>
    </w:p>
    <w:p w14:paraId="6E8A8542">
      <w:pPr>
        <w:keepNext/>
        <w:keepLines/>
        <w:wordWrap w:val="0"/>
        <w:spacing w:before="240" w:beforeLines="100" w:line="348" w:lineRule="auto"/>
        <w:outlineLvl w:val="1"/>
        <w:rPr>
          <w:rFonts w:ascii="Arial" w:hAnsi="Arial" w:eastAsia="黑体" w:cs="Times New Roman"/>
          <w:b/>
          <w:bCs/>
          <w:sz w:val="24"/>
          <w:szCs w:val="24"/>
        </w:rPr>
      </w:pPr>
      <w:bookmarkStart w:id="39" w:name="_Toc12980"/>
      <w:bookmarkStart w:id="40" w:name="_Toc29219"/>
      <w:bookmarkStart w:id="41" w:name="_Toc11493"/>
      <w:r>
        <w:rPr>
          <w:rFonts w:hint="eastAsia" w:ascii="Arial" w:hAnsi="Arial" w:eastAsia="黑体" w:cs="Times New Roman"/>
          <w:b/>
          <w:bCs/>
          <w:sz w:val="24"/>
          <w:szCs w:val="24"/>
        </w:rPr>
        <w:t>2</w:t>
      </w:r>
      <w:r>
        <w:rPr>
          <w:rFonts w:ascii="Arial" w:hAnsi="Arial" w:eastAsia="黑体" w:cs="Times New Roman"/>
          <w:b/>
          <w:bCs/>
          <w:sz w:val="24"/>
          <w:szCs w:val="24"/>
        </w:rPr>
        <w:t xml:space="preserve"> </w:t>
      </w:r>
      <w:r>
        <w:rPr>
          <w:rFonts w:hint="eastAsia" w:ascii="Arial" w:hAnsi="Arial" w:eastAsia="黑体" w:cs="Times New Roman"/>
          <w:b/>
          <w:bCs/>
          <w:sz w:val="24"/>
          <w:szCs w:val="24"/>
        </w:rPr>
        <w:t>投标人资格要求</w:t>
      </w:r>
      <w:bookmarkEnd w:id="31"/>
      <w:bookmarkEnd w:id="32"/>
      <w:bookmarkEnd w:id="33"/>
      <w:bookmarkEnd w:id="34"/>
      <w:bookmarkEnd w:id="35"/>
      <w:bookmarkEnd w:id="36"/>
      <w:bookmarkEnd w:id="37"/>
      <w:bookmarkEnd w:id="38"/>
      <w:bookmarkEnd w:id="39"/>
      <w:bookmarkEnd w:id="40"/>
      <w:bookmarkEnd w:id="41"/>
    </w:p>
    <w:p w14:paraId="556A9D68">
      <w:pPr>
        <w:wordWrap w:val="0"/>
        <w:spacing w:line="360" w:lineRule="auto"/>
        <w:ind w:firstLine="420" w:firstLineChars="200"/>
        <w:textAlignment w:val="baseline"/>
        <w:rPr>
          <w:rFonts w:hint="eastAsia" w:ascii="宋体" w:hAnsi="宋体" w:eastAsia="宋体" w:cs="Times New Roman"/>
          <w:szCs w:val="21"/>
        </w:rPr>
      </w:pPr>
      <w:bookmarkStart w:id="42" w:name="OLE_LINK66"/>
      <w:bookmarkStart w:id="43" w:name="OLE_LINK63"/>
      <w:r>
        <w:rPr>
          <w:rFonts w:hint="eastAsia" w:ascii="宋体" w:hAnsi="宋体" w:eastAsia="宋体" w:cs="Times New Roman"/>
          <w:szCs w:val="21"/>
        </w:rPr>
        <w:t>2.1投标人为中华人民共和国境内依法设立的法人或其他组织（若以分公司名义参与投标的须出具总公司授权参与的证明）。</w:t>
      </w:r>
    </w:p>
    <w:p w14:paraId="4AB05E41">
      <w:pPr>
        <w:wordWrap w:val="0"/>
        <w:spacing w:line="360" w:lineRule="auto"/>
        <w:ind w:firstLine="420" w:firstLineChars="200"/>
        <w:textAlignment w:val="baseline"/>
        <w:rPr>
          <w:rFonts w:hint="eastAsia" w:ascii="宋体" w:hAnsi="宋体" w:cs="Times New Roman"/>
          <w:szCs w:val="21"/>
          <w:highlight w:val="none"/>
        </w:rPr>
      </w:pPr>
      <w:r>
        <w:rPr>
          <w:rFonts w:hint="eastAsia" w:ascii="宋体" w:hAnsi="宋体" w:eastAsia="宋体" w:cs="Times New Roman"/>
          <w:szCs w:val="21"/>
        </w:rPr>
        <w:t>2.2资质要求：无要求。</w:t>
      </w:r>
    </w:p>
    <w:p w14:paraId="7C568023">
      <w:pPr>
        <w:wordWrap w:val="0"/>
        <w:spacing w:line="360" w:lineRule="auto"/>
        <w:ind w:firstLine="420" w:firstLineChars="200"/>
        <w:textAlignment w:val="baseline"/>
        <w:rPr>
          <w:rFonts w:hint="eastAsia" w:ascii="宋体" w:hAnsi="宋体" w:eastAsia="宋体" w:cs="Times New Roman"/>
          <w:szCs w:val="21"/>
          <w:highlight w:val="none"/>
        </w:rPr>
      </w:pPr>
      <w:r>
        <w:rPr>
          <w:rFonts w:hint="eastAsia" w:ascii="宋体" w:hAnsi="宋体" w:eastAsia="宋体" w:cs="Times New Roman"/>
          <w:szCs w:val="21"/>
          <w:highlight w:val="none"/>
        </w:rPr>
        <w:t>2.3业绩要求：</w:t>
      </w:r>
      <w:bookmarkStart w:id="44" w:name="OLE_LINK18"/>
      <w:r>
        <w:rPr>
          <w:rFonts w:hint="eastAsia" w:ascii="宋体" w:hAnsi="宋体" w:eastAsia="宋体" w:cs="Times New Roman"/>
          <w:szCs w:val="21"/>
          <w:highlight w:val="none"/>
        </w:rPr>
        <w:t>自2021年1月1日至投标截止时间止（业绩时间以合同签订时间为准），投标人须具有公共交通</w:t>
      </w:r>
      <w:r>
        <w:rPr>
          <w:rFonts w:hint="eastAsia" w:ascii="宋体" w:hAnsi="宋体" w:eastAsia="宋体" w:cs="Times New Roman"/>
          <w:szCs w:val="21"/>
          <w:highlight w:val="none"/>
          <w:lang w:val="en-US" w:eastAsia="zh-CN"/>
        </w:rPr>
        <w:t>行业</w:t>
      </w:r>
      <w:r>
        <w:rPr>
          <w:rFonts w:hint="eastAsia" w:ascii="宋体" w:hAnsi="宋体" w:eastAsia="宋体" w:cs="Times New Roman"/>
          <w:szCs w:val="21"/>
          <w:highlight w:val="none"/>
        </w:rPr>
        <w:t>信息化系统或公共交通</w:t>
      </w:r>
      <w:r>
        <w:rPr>
          <w:rFonts w:hint="eastAsia" w:ascii="宋体" w:hAnsi="宋体" w:eastAsia="宋体" w:cs="Times New Roman"/>
          <w:szCs w:val="21"/>
          <w:highlight w:val="none"/>
          <w:lang w:val="en-US" w:eastAsia="zh-CN"/>
        </w:rPr>
        <w:t>行业</w:t>
      </w:r>
      <w:r>
        <w:rPr>
          <w:rFonts w:hint="eastAsia" w:ascii="宋体" w:hAnsi="宋体" w:eastAsia="宋体" w:cs="Times New Roman"/>
          <w:szCs w:val="21"/>
          <w:highlight w:val="none"/>
        </w:rPr>
        <w:t>智慧化系统的系统集成或升级改造业绩。联合体业绩、分包业绩均不予认可。</w:t>
      </w:r>
      <w:bookmarkEnd w:id="44"/>
    </w:p>
    <w:p w14:paraId="0AFEA731">
      <w:pPr>
        <w:wordWrap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highlight w:val="none"/>
        </w:rPr>
        <w:t>2.4投标人没有处于被责令停业，或投标资格被</w:t>
      </w:r>
      <w:r>
        <w:rPr>
          <w:rFonts w:hint="eastAsia" w:ascii="宋体" w:hAnsi="宋体" w:eastAsia="宋体" w:cs="Times New Roman"/>
          <w:szCs w:val="21"/>
        </w:rPr>
        <w:t>行政主管部门取消，或财产被接管、冻结、破产状态，在投标截止前3年内没有骗取中标、严重违约或重大安全质量事故。</w:t>
      </w:r>
    </w:p>
    <w:p w14:paraId="344659D1">
      <w:pPr>
        <w:wordWrap w:val="0"/>
        <w:spacing w:line="360" w:lineRule="auto"/>
        <w:ind w:firstLine="420" w:firstLineChars="200"/>
        <w:textAlignment w:val="baseline"/>
        <w:rPr>
          <w:rFonts w:ascii="Times New Roman" w:hAnsi="Times New Roman" w:eastAsia="宋体" w:cs="Times New Roman"/>
          <w:szCs w:val="24"/>
        </w:rPr>
      </w:pPr>
      <w:r>
        <w:rPr>
          <w:rFonts w:hint="eastAsia" w:ascii="宋体" w:hAnsi="宋体" w:eastAsia="宋体" w:cs="Times New Roman"/>
          <w:szCs w:val="21"/>
        </w:rPr>
        <w:t>2.5其他要求：单位负责人为同一人或者存在控股、管理关系的不同单位，不得参加同一标段投标或者未划分标段的同一招标项目投标。</w:t>
      </w:r>
    </w:p>
    <w:p w14:paraId="74A680A7">
      <w:pPr>
        <w:wordWrap w:val="0"/>
        <w:spacing w:line="360" w:lineRule="auto"/>
        <w:ind w:left="210" w:leftChars="100" w:firstLine="210" w:firstLineChars="100"/>
        <w:textAlignment w:val="baseline"/>
        <w:rPr>
          <w:rFonts w:hint="eastAsia" w:ascii="宋体" w:hAnsi="宋体" w:eastAsia="宋体" w:cs="Times New Roman"/>
          <w:szCs w:val="21"/>
        </w:rPr>
      </w:pPr>
      <w:r>
        <w:rPr>
          <w:rFonts w:hint="eastAsia" w:ascii="宋体" w:hAnsi="宋体" w:eastAsia="宋体" w:cs="Times New Roman"/>
          <w:szCs w:val="24"/>
        </w:rPr>
        <w:t>2.6联合体投标：</w:t>
      </w:r>
      <w:bookmarkEnd w:id="42"/>
      <w:bookmarkEnd w:id="43"/>
      <w:r>
        <w:rPr>
          <w:rFonts w:hint="eastAsia" w:ascii="宋体" w:hAnsi="宋体" w:eastAsia="宋体" w:cs="Times New Roman"/>
          <w:szCs w:val="21"/>
        </w:rPr>
        <w:t>本项目不接受联合体投标。</w:t>
      </w:r>
    </w:p>
    <w:p w14:paraId="53B2ECC7">
      <w:pPr>
        <w:keepNext/>
        <w:keepLines/>
        <w:wordWrap w:val="0"/>
        <w:spacing w:before="240" w:beforeLines="100" w:line="348" w:lineRule="auto"/>
        <w:outlineLvl w:val="1"/>
        <w:rPr>
          <w:rFonts w:ascii="Arial" w:hAnsi="Arial" w:eastAsia="黑体" w:cs="Times New Roman"/>
          <w:b/>
          <w:bCs/>
          <w:sz w:val="24"/>
          <w:szCs w:val="24"/>
        </w:rPr>
      </w:pPr>
      <w:bookmarkStart w:id="45" w:name="_Toc28832"/>
      <w:bookmarkStart w:id="46" w:name="_Toc3842"/>
      <w:bookmarkStart w:id="47" w:name="_Toc18885"/>
      <w:r>
        <w:rPr>
          <w:rFonts w:hint="eastAsia" w:ascii="Arial" w:hAnsi="Arial" w:eastAsia="黑体" w:cs="Times New Roman"/>
          <w:b/>
          <w:bCs/>
          <w:sz w:val="24"/>
          <w:szCs w:val="24"/>
        </w:rPr>
        <w:t>3</w:t>
      </w:r>
      <w:r>
        <w:rPr>
          <w:rFonts w:ascii="Arial" w:hAnsi="Arial" w:eastAsia="黑体" w:cs="Times New Roman"/>
          <w:b/>
          <w:bCs/>
          <w:sz w:val="24"/>
          <w:szCs w:val="24"/>
        </w:rPr>
        <w:t xml:space="preserve"> </w:t>
      </w:r>
      <w:r>
        <w:rPr>
          <w:rFonts w:hint="eastAsia" w:ascii="Arial" w:hAnsi="Arial" w:eastAsia="黑体" w:cs="Times New Roman"/>
          <w:b/>
          <w:bCs/>
          <w:sz w:val="24"/>
          <w:szCs w:val="24"/>
        </w:rPr>
        <w:t>资格审查方式</w:t>
      </w:r>
      <w:bookmarkEnd w:id="45"/>
      <w:bookmarkEnd w:id="46"/>
      <w:bookmarkEnd w:id="47"/>
    </w:p>
    <w:p w14:paraId="08E056F4">
      <w:pPr>
        <w:wordWrap w:val="0"/>
        <w:spacing w:after="120"/>
        <w:ind w:firstLine="420" w:firstLineChars="200"/>
        <w:rPr>
          <w:rFonts w:ascii="Calibri" w:hAnsi="Calibri" w:eastAsia="宋体" w:cs="Times New Roman"/>
          <w:kern w:val="0"/>
          <w:sz w:val="24"/>
          <w:szCs w:val="24"/>
        </w:rPr>
      </w:pPr>
      <w:r>
        <w:rPr>
          <w:rFonts w:hint="eastAsia" w:ascii="宋体" w:hAnsi="宋体" w:eastAsia="Times New Roman" w:cs="Times New Roman"/>
          <w:kern w:val="0"/>
          <w:szCs w:val="21"/>
        </w:rPr>
        <w:t>本项目采用资格后审方式。</w:t>
      </w:r>
    </w:p>
    <w:p w14:paraId="3676C2C8">
      <w:pPr>
        <w:keepNext/>
        <w:keepLines/>
        <w:kinsoku w:val="0"/>
        <w:wordWrap w:val="0"/>
        <w:overflowPunct w:val="0"/>
        <w:autoSpaceDE w:val="0"/>
        <w:autoSpaceDN w:val="0"/>
        <w:spacing w:before="240" w:beforeLines="100" w:line="348" w:lineRule="auto"/>
        <w:outlineLvl w:val="1"/>
        <w:rPr>
          <w:rFonts w:ascii="Arial" w:hAnsi="Arial" w:eastAsia="黑体" w:cs="Times New Roman"/>
          <w:b/>
          <w:bCs/>
          <w:sz w:val="24"/>
          <w:szCs w:val="24"/>
        </w:rPr>
      </w:pPr>
      <w:bookmarkStart w:id="48" w:name="_Toc17760"/>
      <w:bookmarkStart w:id="49" w:name="_Toc4150"/>
      <w:bookmarkStart w:id="50" w:name="_Toc530736523"/>
      <w:bookmarkStart w:id="51" w:name="_Toc450314170"/>
      <w:bookmarkStart w:id="52" w:name="_Toc450657242"/>
      <w:bookmarkStart w:id="53" w:name="_Toc441059942"/>
      <w:bookmarkStart w:id="54" w:name="_Toc8846"/>
      <w:bookmarkStart w:id="55" w:name="_Toc441064053"/>
      <w:bookmarkStart w:id="56" w:name="_Toc7571"/>
      <w:bookmarkStart w:id="57" w:name="_Toc7570"/>
      <w:r>
        <w:rPr>
          <w:rFonts w:hint="eastAsia" w:ascii="Arial" w:hAnsi="Arial" w:eastAsia="黑体" w:cs="Times New Roman"/>
          <w:b/>
          <w:bCs/>
          <w:sz w:val="24"/>
          <w:szCs w:val="24"/>
        </w:rPr>
        <w:t>4 招标文件的获取</w:t>
      </w:r>
    </w:p>
    <w:p w14:paraId="720A6644">
      <w:pPr>
        <w:wordWrap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凡有意参加投标者，自本项目招标公告发布起至投标截止时间止，由潜在投标人登录</w:t>
      </w:r>
      <w:r>
        <w:rPr>
          <w:rFonts w:hint="eastAsia" w:ascii="宋体" w:hAnsi="宋体"/>
        </w:rPr>
        <w:t>e车网（</w:t>
      </w:r>
      <w:r>
        <w:rPr>
          <w:rFonts w:hint="eastAsia"/>
        </w:rPr>
        <w:fldChar w:fldCharType="begin"/>
      </w:r>
      <w:r>
        <w:instrText xml:space="preserve"> HYPERLINK "http://www.ecrrc.com/" </w:instrText>
      </w:r>
      <w:r>
        <w:rPr>
          <w:rFonts w:hint="eastAsia"/>
        </w:rPr>
        <w:fldChar w:fldCharType="separate"/>
      </w:r>
      <w:r>
        <w:rPr>
          <w:rFonts w:hint="eastAsia" w:ascii="宋体" w:hAnsi="宋体"/>
        </w:rPr>
        <w:t>http://www.ecrrc.com/</w:t>
      </w:r>
      <w:r>
        <w:rPr>
          <w:rFonts w:hint="eastAsia" w:ascii="宋体" w:hAnsi="宋体"/>
        </w:rPr>
        <w:fldChar w:fldCharType="end"/>
      </w:r>
      <w:r>
        <w:rPr>
          <w:rFonts w:hint="eastAsia" w:ascii="宋体" w:hAnsi="宋体"/>
        </w:rPr>
        <w:t>）</w:t>
      </w:r>
      <w:r>
        <w:rPr>
          <w:rFonts w:hint="eastAsia" w:ascii="宋体" w:hAnsi="宋体" w:eastAsia="宋体" w:cs="Times New Roman"/>
          <w:szCs w:val="21"/>
        </w:rPr>
        <w:t>免费下载招标文件。</w:t>
      </w:r>
    </w:p>
    <w:p w14:paraId="4A3A1346">
      <w:pPr>
        <w:keepNext/>
        <w:keepLines/>
        <w:wordWrap w:val="0"/>
        <w:spacing w:before="240" w:beforeLines="100" w:line="348" w:lineRule="auto"/>
        <w:outlineLvl w:val="1"/>
        <w:rPr>
          <w:rFonts w:ascii="Arial" w:hAnsi="Arial" w:eastAsia="黑体" w:cs="Times New Roman"/>
          <w:b/>
          <w:bCs/>
          <w:sz w:val="24"/>
          <w:szCs w:val="24"/>
        </w:rPr>
      </w:pPr>
      <w:bookmarkStart w:id="58" w:name="_Toc18309"/>
      <w:bookmarkStart w:id="59" w:name="_Toc30000"/>
      <w:bookmarkStart w:id="60" w:name="_Toc144298631"/>
      <w:bookmarkStart w:id="61" w:name="_Toc1326829956"/>
      <w:bookmarkStart w:id="62" w:name="_Toc16881"/>
      <w:r>
        <w:rPr>
          <w:rFonts w:hint="eastAsia" w:ascii="Arial" w:hAnsi="Arial" w:eastAsia="黑体" w:cs="Times New Roman"/>
          <w:b/>
          <w:bCs/>
          <w:sz w:val="24"/>
          <w:szCs w:val="24"/>
        </w:rPr>
        <w:t>5 投标文件的递交</w:t>
      </w:r>
      <w:bookmarkEnd w:id="58"/>
      <w:bookmarkEnd w:id="59"/>
      <w:bookmarkEnd w:id="60"/>
      <w:bookmarkEnd w:id="61"/>
      <w:bookmarkEnd w:id="62"/>
    </w:p>
    <w:p w14:paraId="15B679AC">
      <w:pPr>
        <w:wordWrap w:val="0"/>
        <w:spacing w:line="360" w:lineRule="auto"/>
        <w:ind w:firstLine="420" w:firstLineChars="200"/>
        <w:jc w:val="left"/>
        <w:textAlignment w:val="baseline"/>
        <w:rPr>
          <w:rFonts w:hint="eastAsia" w:ascii="宋体" w:hAnsi="宋体" w:eastAsia="宋体" w:cs="Times New Roman"/>
          <w:szCs w:val="21"/>
        </w:rPr>
      </w:pPr>
      <w:r>
        <w:rPr>
          <w:rFonts w:hint="eastAsia" w:ascii="宋体" w:hAnsi="宋体" w:eastAsia="宋体" w:cs="Times New Roman"/>
          <w:szCs w:val="21"/>
        </w:rPr>
        <w:t>5.1投标截止时间：2025 年</w:t>
      </w:r>
      <w:r>
        <w:rPr>
          <w:rFonts w:hint="eastAsia" w:ascii="宋体" w:hAnsi="宋体" w:eastAsia="宋体" w:cs="Times New Roman"/>
          <w:szCs w:val="21"/>
          <w:lang w:val="en-US" w:eastAsia="zh-CN"/>
        </w:rPr>
        <w:t>8</w:t>
      </w:r>
      <w:r>
        <w:rPr>
          <w:rFonts w:hint="eastAsia" w:ascii="宋体" w:hAnsi="宋体" w:eastAsia="宋体" w:cs="Times New Roman"/>
          <w:szCs w:val="21"/>
        </w:rPr>
        <w:t>月</w:t>
      </w:r>
      <w:r>
        <w:rPr>
          <w:rFonts w:hint="eastAsia" w:ascii="宋体" w:hAnsi="宋体" w:eastAsia="宋体" w:cs="Times New Roman"/>
          <w:szCs w:val="21"/>
          <w:lang w:val="en-US" w:eastAsia="zh-CN"/>
        </w:rPr>
        <w:t>1</w:t>
      </w:r>
      <w:r>
        <w:rPr>
          <w:rFonts w:hint="eastAsia" w:ascii="宋体" w:hAnsi="宋体" w:eastAsia="宋体" w:cs="Times New Roman"/>
          <w:szCs w:val="21"/>
        </w:rPr>
        <w:t>日9时30分（北京时间），投标文件须密封后在投标截止时间前递交。</w:t>
      </w:r>
    </w:p>
    <w:p w14:paraId="2B57CF74">
      <w:pPr>
        <w:wordWrap w:val="0"/>
        <w:spacing w:line="360" w:lineRule="auto"/>
        <w:ind w:firstLine="420" w:firstLineChars="200"/>
        <w:jc w:val="left"/>
        <w:textAlignment w:val="baseline"/>
        <w:rPr>
          <w:rFonts w:hint="eastAsia" w:ascii="宋体" w:hAnsi="宋体" w:eastAsia="宋体" w:cs="Times New Roman"/>
          <w:szCs w:val="21"/>
        </w:rPr>
      </w:pPr>
      <w:r>
        <w:rPr>
          <w:rFonts w:hint="eastAsia" w:ascii="宋体" w:hAnsi="宋体" w:eastAsia="宋体" w:cs="Times New Roman"/>
          <w:szCs w:val="21"/>
        </w:rPr>
        <w:t>5.2逾期送达的或者未送达指定地点或者未按招标文件要求密封的投标文件将被拒绝。</w:t>
      </w:r>
    </w:p>
    <w:p w14:paraId="5032373E">
      <w:pPr>
        <w:widowControl/>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5.3投标文件递交地点：</w:t>
      </w:r>
      <w:r>
        <w:rPr>
          <w:rFonts w:hint="eastAsia"/>
          <w:kern w:val="0"/>
          <w:szCs w:val="21"/>
        </w:rPr>
        <w:t>南宁市青秀区凤岭北路111号南宁国际旅游中心3号楼（C座）28楼2801开标室</w:t>
      </w:r>
      <w:r>
        <w:rPr>
          <w:rFonts w:hint="eastAsia"/>
        </w:rPr>
        <w:t>。</w:t>
      </w:r>
    </w:p>
    <w:p w14:paraId="6E91EFE6">
      <w:pPr>
        <w:wordWrap w:val="0"/>
        <w:spacing w:line="360" w:lineRule="auto"/>
        <w:ind w:firstLine="420" w:firstLineChars="200"/>
        <w:jc w:val="left"/>
        <w:textAlignment w:val="baseline"/>
        <w:rPr>
          <w:rFonts w:hint="eastAsia" w:ascii="宋体" w:hAnsi="宋体" w:eastAsia="宋体" w:cs="Times New Roman"/>
          <w:szCs w:val="21"/>
        </w:rPr>
      </w:pPr>
      <w:r>
        <w:rPr>
          <w:rFonts w:hint="eastAsia" w:ascii="宋体" w:hAnsi="宋体" w:eastAsia="宋体" w:cs="Times New Roman"/>
          <w:szCs w:val="21"/>
        </w:rPr>
        <w:t>5.4投标人可自行决定是否参加现场开标活动。参加现场开标活动的投标人法定代表人或其委托代理人（以下统称“投标人代表”）必须在投标截止前到开标地点招标代理机构处签到确认参加开标会。开标前须出示法定代表人资格证明书原件和本人有效身份证（限中国公民居民身份证、外籍有效护照，下同）的原件，投标人委托代理人还必须同时出示法定代表人授权委托书原件和本人有效身份证，以证明委托代理人的身份和被授权范围。</w:t>
      </w:r>
    </w:p>
    <w:bookmarkEnd w:id="48"/>
    <w:bookmarkEnd w:id="49"/>
    <w:bookmarkEnd w:id="50"/>
    <w:bookmarkEnd w:id="51"/>
    <w:bookmarkEnd w:id="52"/>
    <w:bookmarkEnd w:id="53"/>
    <w:bookmarkEnd w:id="54"/>
    <w:bookmarkEnd w:id="55"/>
    <w:bookmarkEnd w:id="56"/>
    <w:bookmarkEnd w:id="57"/>
    <w:p w14:paraId="1B8C2CB9">
      <w:pPr>
        <w:keepNext/>
        <w:keepLines/>
        <w:wordWrap w:val="0"/>
        <w:spacing w:before="240" w:beforeLines="100" w:line="348" w:lineRule="auto"/>
        <w:outlineLvl w:val="1"/>
        <w:rPr>
          <w:rFonts w:ascii="Arial" w:hAnsi="Arial" w:eastAsia="黑体" w:cs="Times New Roman"/>
          <w:b/>
          <w:bCs/>
          <w:sz w:val="24"/>
          <w:szCs w:val="24"/>
        </w:rPr>
      </w:pPr>
      <w:bookmarkStart w:id="63" w:name="_Toc147917065"/>
      <w:bookmarkStart w:id="64" w:name="_Toc389065128"/>
      <w:bookmarkStart w:id="65" w:name="_Toc46135640"/>
      <w:bookmarkStart w:id="66" w:name="_Toc8340"/>
      <w:bookmarkStart w:id="67" w:name="_Toc13044"/>
      <w:bookmarkStart w:id="68" w:name="_Toc30536"/>
      <w:bookmarkStart w:id="69" w:name="_Toc28721"/>
      <w:bookmarkStart w:id="70" w:name="_Toc6933"/>
      <w:bookmarkStart w:id="71" w:name="_Toc441059947"/>
      <w:bookmarkStart w:id="72" w:name="_Toc25335"/>
      <w:bookmarkStart w:id="73" w:name="_Toc530736526"/>
      <w:bookmarkStart w:id="74" w:name="_Toc450314175"/>
      <w:bookmarkStart w:id="75" w:name="_Toc441064058"/>
      <w:bookmarkStart w:id="76" w:name="_Toc450657245"/>
      <w:bookmarkStart w:id="77" w:name="_Toc27383"/>
      <w:r>
        <w:rPr>
          <w:rFonts w:hint="eastAsia" w:ascii="Arial" w:hAnsi="Arial" w:eastAsia="黑体" w:cs="Times New Roman"/>
          <w:b/>
          <w:bCs/>
          <w:sz w:val="24"/>
          <w:szCs w:val="24"/>
        </w:rPr>
        <w:t>6 评标方式</w:t>
      </w:r>
      <w:bookmarkEnd w:id="63"/>
      <w:bookmarkEnd w:id="64"/>
      <w:bookmarkEnd w:id="65"/>
      <w:bookmarkEnd w:id="66"/>
    </w:p>
    <w:p w14:paraId="005B43F7">
      <w:pPr>
        <w:wordWrap w:val="0"/>
        <w:adjustRightInd w:val="0"/>
        <w:snapToGrid w:val="0"/>
        <w:spacing w:line="360" w:lineRule="auto"/>
        <w:ind w:firstLine="420" w:firstLineChars="200"/>
        <w:rPr>
          <w:rFonts w:hint="eastAsia" w:ascii="宋体" w:hAnsi="宋体" w:eastAsia="宋体" w:cs="Times New Roman"/>
          <w:szCs w:val="21"/>
        </w:rPr>
      </w:pPr>
      <w:bookmarkStart w:id="78" w:name="_Hlk31364737"/>
      <w:r>
        <w:rPr>
          <w:rFonts w:ascii="宋体" w:hAnsi="宋体" w:eastAsia="宋体" w:cs="Times New Roman"/>
          <w:szCs w:val="21"/>
        </w:rPr>
        <w:t>本项目采用综合评估法</w:t>
      </w:r>
      <w:bookmarkEnd w:id="78"/>
      <w:r>
        <w:rPr>
          <w:rFonts w:hint="eastAsia" w:ascii="宋体" w:hAnsi="宋体" w:eastAsia="宋体" w:cs="Times New Roman"/>
          <w:szCs w:val="21"/>
        </w:rPr>
        <w:t>。</w:t>
      </w:r>
    </w:p>
    <w:p w14:paraId="014C3CB6">
      <w:pPr>
        <w:keepNext/>
        <w:keepLines/>
        <w:wordWrap w:val="0"/>
        <w:spacing w:before="240" w:beforeLines="100" w:line="348" w:lineRule="auto"/>
        <w:outlineLvl w:val="1"/>
        <w:rPr>
          <w:rFonts w:ascii="Arial" w:hAnsi="Arial" w:eastAsia="黑体" w:cs="Times New Roman"/>
          <w:b/>
          <w:bCs/>
          <w:sz w:val="24"/>
          <w:szCs w:val="24"/>
        </w:rPr>
      </w:pPr>
      <w:bookmarkStart w:id="79" w:name="_Toc15863"/>
      <w:r>
        <w:rPr>
          <w:rFonts w:hint="eastAsia" w:ascii="Arial" w:hAnsi="Arial" w:eastAsia="黑体" w:cs="Times New Roman"/>
          <w:b/>
          <w:bCs/>
          <w:sz w:val="24"/>
          <w:szCs w:val="24"/>
        </w:rPr>
        <w:t>7</w:t>
      </w:r>
      <w:r>
        <w:rPr>
          <w:rFonts w:ascii="Arial" w:hAnsi="Arial" w:eastAsia="黑体" w:cs="Times New Roman"/>
          <w:b/>
          <w:bCs/>
          <w:sz w:val="24"/>
          <w:szCs w:val="24"/>
        </w:rPr>
        <w:t xml:space="preserve"> </w:t>
      </w:r>
      <w:r>
        <w:rPr>
          <w:rFonts w:hint="eastAsia" w:ascii="Arial" w:hAnsi="Arial" w:eastAsia="黑体" w:cs="Times New Roman"/>
          <w:b/>
          <w:bCs/>
          <w:sz w:val="24"/>
          <w:szCs w:val="24"/>
        </w:rPr>
        <w:t>发布公告的媒介</w:t>
      </w:r>
      <w:bookmarkEnd w:id="67"/>
      <w:bookmarkEnd w:id="79"/>
    </w:p>
    <w:p w14:paraId="78C18BFE">
      <w:pPr>
        <w:spacing w:line="360" w:lineRule="auto"/>
        <w:ind w:firstLine="420"/>
        <w:rPr>
          <w:rFonts w:hint="eastAsia" w:ascii="宋体" w:hAnsi="宋体" w:eastAsia="宋体" w:cs="Times New Roman"/>
          <w:szCs w:val="21"/>
        </w:rPr>
      </w:pPr>
      <w:bookmarkStart w:id="80" w:name="OLE_LINK88"/>
      <w:r>
        <w:rPr>
          <w:rFonts w:hint="eastAsia" w:ascii="宋体" w:hAnsi="宋体" w:eastAsia="宋体" w:cs="Times New Roman"/>
          <w:szCs w:val="21"/>
        </w:rPr>
        <w:t>本次招标公告同时在</w:t>
      </w:r>
      <w:bookmarkStart w:id="81" w:name="OLE_LINK113"/>
      <w:bookmarkStart w:id="82" w:name="OLE_LINK112"/>
      <w:r>
        <w:rPr>
          <w:rFonts w:hint="eastAsia" w:ascii="宋体" w:hAnsi="宋体" w:eastAsia="宋体" w:cs="Times New Roman"/>
          <w:szCs w:val="21"/>
        </w:rPr>
        <w:t>南宁轨道数智科技有限公司-官方网站（https://www.nn-cc.cn/）</w:t>
      </w:r>
      <w:r>
        <w:rPr>
          <w:rFonts w:hint="eastAsia"/>
          <w:color w:val="000000"/>
          <w:szCs w:val="21"/>
        </w:rPr>
        <w:t>、</w:t>
      </w:r>
      <w:r>
        <w:rPr>
          <w:rFonts w:hint="eastAsia" w:ascii="宋体" w:hAnsi="宋体"/>
        </w:rPr>
        <w:t>e车网（</w:t>
      </w:r>
      <w:r>
        <w:rPr>
          <w:rFonts w:hint="eastAsia"/>
        </w:rPr>
        <w:fldChar w:fldCharType="begin"/>
      </w:r>
      <w:r>
        <w:instrText xml:space="preserve"> HYPERLINK "http://www.ecrrc.com/" </w:instrText>
      </w:r>
      <w:r>
        <w:rPr>
          <w:rFonts w:hint="eastAsia"/>
        </w:rPr>
        <w:fldChar w:fldCharType="separate"/>
      </w:r>
      <w:r>
        <w:rPr>
          <w:rFonts w:hint="eastAsia" w:ascii="宋体" w:hAnsi="宋体"/>
        </w:rPr>
        <w:t>http://www.ecrrc.com/</w:t>
      </w:r>
      <w:r>
        <w:rPr>
          <w:rFonts w:hint="eastAsia" w:ascii="宋体" w:hAnsi="宋体"/>
        </w:rPr>
        <w:fldChar w:fldCharType="end"/>
      </w:r>
      <w:r>
        <w:rPr>
          <w:rFonts w:hint="eastAsia" w:ascii="宋体" w:hAnsi="宋体"/>
        </w:rPr>
        <w:t>）、</w:t>
      </w:r>
      <w:r>
        <w:rPr>
          <w:rFonts w:hint="eastAsia"/>
          <w:color w:val="000000"/>
          <w:szCs w:val="21"/>
        </w:rPr>
        <w:t>中国采购与招标网（http://www.chinabidding.com.cn/）</w:t>
      </w:r>
      <w:bookmarkEnd w:id="81"/>
      <w:bookmarkEnd w:id="82"/>
      <w:r>
        <w:rPr>
          <w:rFonts w:hint="eastAsia" w:ascii="宋体" w:hAnsi="宋体" w:eastAsia="宋体" w:cs="Times New Roman"/>
          <w:szCs w:val="21"/>
        </w:rPr>
        <w:t>上发布。</w:t>
      </w:r>
      <w:bookmarkEnd w:id="15"/>
      <w:bookmarkEnd w:id="80"/>
    </w:p>
    <w:bookmarkEnd w:id="16"/>
    <w:p w14:paraId="40C1153E">
      <w:pPr>
        <w:keepNext/>
        <w:keepLines/>
        <w:wordWrap w:val="0"/>
        <w:spacing w:before="240" w:beforeLines="100" w:line="348" w:lineRule="auto"/>
        <w:outlineLvl w:val="1"/>
        <w:rPr>
          <w:rFonts w:ascii="Arial" w:hAnsi="Arial" w:eastAsia="黑体" w:cs="Times New Roman"/>
          <w:b/>
          <w:bCs/>
          <w:sz w:val="24"/>
          <w:szCs w:val="24"/>
        </w:rPr>
      </w:pPr>
      <w:bookmarkStart w:id="83" w:name="_Toc15239"/>
      <w:r>
        <w:rPr>
          <w:rFonts w:hint="eastAsia" w:ascii="Arial" w:hAnsi="Arial" w:eastAsia="黑体" w:cs="Times New Roman"/>
          <w:b/>
          <w:bCs/>
          <w:sz w:val="24"/>
          <w:szCs w:val="24"/>
        </w:rPr>
        <w:t>8</w:t>
      </w:r>
      <w:r>
        <w:rPr>
          <w:rFonts w:ascii="Arial" w:hAnsi="Arial" w:eastAsia="黑体" w:cs="Times New Roman"/>
          <w:b/>
          <w:bCs/>
          <w:sz w:val="24"/>
          <w:szCs w:val="24"/>
        </w:rPr>
        <w:t xml:space="preserve"> </w:t>
      </w:r>
      <w:r>
        <w:rPr>
          <w:rFonts w:hint="eastAsia" w:ascii="Arial" w:hAnsi="Arial" w:eastAsia="黑体" w:cs="Times New Roman"/>
          <w:b/>
          <w:bCs/>
          <w:sz w:val="24"/>
          <w:szCs w:val="24"/>
        </w:rPr>
        <w:t>联系方式</w:t>
      </w:r>
      <w:bookmarkEnd w:id="68"/>
      <w:bookmarkEnd w:id="69"/>
      <w:bookmarkEnd w:id="70"/>
      <w:bookmarkEnd w:id="71"/>
      <w:bookmarkEnd w:id="72"/>
      <w:bookmarkEnd w:id="73"/>
      <w:bookmarkEnd w:id="74"/>
      <w:bookmarkEnd w:id="75"/>
      <w:bookmarkEnd w:id="76"/>
      <w:bookmarkEnd w:id="77"/>
      <w:bookmarkEnd w:id="83"/>
    </w:p>
    <w:tbl>
      <w:tblPr>
        <w:tblStyle w:val="90"/>
        <w:tblW w:w="8885" w:type="dxa"/>
        <w:tblInd w:w="0" w:type="dxa"/>
        <w:tblLayout w:type="fixed"/>
        <w:tblCellMar>
          <w:top w:w="0" w:type="dxa"/>
          <w:left w:w="108" w:type="dxa"/>
          <w:bottom w:w="0" w:type="dxa"/>
          <w:right w:w="108" w:type="dxa"/>
        </w:tblCellMar>
      </w:tblPr>
      <w:tblGrid>
        <w:gridCol w:w="4442"/>
        <w:gridCol w:w="4443"/>
      </w:tblGrid>
      <w:tr w14:paraId="09F590EC">
        <w:tblPrEx>
          <w:tblCellMar>
            <w:top w:w="0" w:type="dxa"/>
            <w:left w:w="108" w:type="dxa"/>
            <w:bottom w:w="0" w:type="dxa"/>
            <w:right w:w="108" w:type="dxa"/>
          </w:tblCellMar>
        </w:tblPrEx>
        <w:trPr>
          <w:trHeight w:val="680" w:hRule="atLeast"/>
        </w:trPr>
        <w:tc>
          <w:tcPr>
            <w:tcW w:w="4442" w:type="dxa"/>
          </w:tcPr>
          <w:p w14:paraId="311338B7">
            <w:pPr>
              <w:wordWrap w:val="0"/>
              <w:spacing w:line="360" w:lineRule="auto"/>
              <w:rPr>
                <w:rFonts w:hint="eastAsia" w:ascii="宋体" w:hAnsi="宋体" w:eastAsia="宋体" w:cs="宋体"/>
                <w:szCs w:val="24"/>
              </w:rPr>
            </w:pPr>
            <w:r>
              <w:rPr>
                <w:rFonts w:hint="eastAsia" w:ascii="宋体" w:hAnsi="宋体" w:eastAsia="宋体" w:cs="宋体"/>
                <w:szCs w:val="24"/>
              </w:rPr>
              <w:t>招标人：</w:t>
            </w:r>
            <w:r>
              <w:rPr>
                <w:rFonts w:hint="eastAsia" w:ascii="宋体" w:hAnsi="宋体" w:eastAsia="宋体" w:cs="Times New Roman"/>
                <w:szCs w:val="24"/>
              </w:rPr>
              <w:t>南宁轨道交通集团有限责任公司</w:t>
            </w:r>
          </w:p>
        </w:tc>
        <w:tc>
          <w:tcPr>
            <w:tcW w:w="4443" w:type="dxa"/>
          </w:tcPr>
          <w:p w14:paraId="2A04A9F1">
            <w:pPr>
              <w:wordWrap w:val="0"/>
              <w:spacing w:line="360" w:lineRule="auto"/>
              <w:rPr>
                <w:rFonts w:hint="eastAsia" w:ascii="宋体" w:hAnsi="宋体" w:eastAsia="宋体" w:cs="宋体"/>
                <w:szCs w:val="24"/>
              </w:rPr>
            </w:pPr>
            <w:r>
              <w:rPr>
                <w:rFonts w:hint="eastAsia" w:ascii="宋体" w:hAnsi="宋体" w:eastAsia="宋体" w:cs="宋体"/>
                <w:szCs w:val="24"/>
              </w:rPr>
              <w:t>招标代理机构：</w:t>
            </w:r>
            <w:r>
              <w:rPr>
                <w:rFonts w:hint="eastAsia" w:ascii="宋体" w:hAnsi="宋体" w:eastAsia="宋体" w:cs="Times New Roman"/>
                <w:szCs w:val="21"/>
              </w:rPr>
              <w:t>广西双科建设工程咨询有限公司</w:t>
            </w:r>
          </w:p>
        </w:tc>
      </w:tr>
      <w:tr w14:paraId="7AEA49DE">
        <w:tblPrEx>
          <w:tblCellMar>
            <w:top w:w="0" w:type="dxa"/>
            <w:left w:w="108" w:type="dxa"/>
            <w:bottom w:w="0" w:type="dxa"/>
            <w:right w:w="108" w:type="dxa"/>
          </w:tblCellMar>
        </w:tblPrEx>
        <w:tc>
          <w:tcPr>
            <w:tcW w:w="4442" w:type="dxa"/>
          </w:tcPr>
          <w:p w14:paraId="11E03F6B">
            <w:pPr>
              <w:wordWrap w:val="0"/>
              <w:spacing w:line="360" w:lineRule="auto"/>
              <w:rPr>
                <w:rFonts w:hint="eastAsia" w:ascii="宋体" w:hAnsi="宋体" w:eastAsia="宋体" w:cs="宋体"/>
                <w:szCs w:val="24"/>
              </w:rPr>
            </w:pPr>
            <w:r>
              <w:rPr>
                <w:rFonts w:hint="eastAsia" w:ascii="宋体" w:hAnsi="宋体" w:eastAsia="宋体" w:cs="宋体"/>
                <w:szCs w:val="24"/>
              </w:rPr>
              <w:t>地址：</w:t>
            </w:r>
            <w:r>
              <w:rPr>
                <w:rFonts w:hint="eastAsia"/>
                <w:color w:val="000000"/>
              </w:rPr>
              <w:t>南宁市青秀区凤岭北路111号南宁国际旅游中心3号楼（C座）19楼</w:t>
            </w:r>
          </w:p>
        </w:tc>
        <w:tc>
          <w:tcPr>
            <w:tcW w:w="4443" w:type="dxa"/>
          </w:tcPr>
          <w:p w14:paraId="238967E2">
            <w:pPr>
              <w:wordWrap w:val="0"/>
              <w:spacing w:line="360" w:lineRule="auto"/>
              <w:rPr>
                <w:rFonts w:hint="eastAsia" w:ascii="宋体" w:hAnsi="宋体" w:eastAsia="宋体" w:cs="宋体"/>
                <w:szCs w:val="24"/>
              </w:rPr>
            </w:pPr>
            <w:r>
              <w:rPr>
                <w:rFonts w:hint="eastAsia" w:ascii="宋体" w:hAnsi="宋体" w:eastAsia="宋体" w:cs="宋体"/>
                <w:szCs w:val="24"/>
              </w:rPr>
              <w:t>地址：</w:t>
            </w:r>
            <w:r>
              <w:rPr>
                <w:rFonts w:hint="eastAsia"/>
                <w:color w:val="000000"/>
              </w:rPr>
              <w:t>南宁市青秀区凤岭北路111号南宁国际旅游中心3号楼（C座）28楼</w:t>
            </w:r>
          </w:p>
        </w:tc>
      </w:tr>
      <w:tr w14:paraId="06034F2F">
        <w:tblPrEx>
          <w:tblCellMar>
            <w:top w:w="0" w:type="dxa"/>
            <w:left w:w="108" w:type="dxa"/>
            <w:bottom w:w="0" w:type="dxa"/>
            <w:right w:w="108" w:type="dxa"/>
          </w:tblCellMar>
        </w:tblPrEx>
        <w:tc>
          <w:tcPr>
            <w:tcW w:w="4442" w:type="dxa"/>
          </w:tcPr>
          <w:p w14:paraId="6531C55D">
            <w:pPr>
              <w:wordWrap w:val="0"/>
              <w:spacing w:line="360" w:lineRule="auto"/>
              <w:rPr>
                <w:rFonts w:hint="eastAsia" w:ascii="宋体" w:hAnsi="宋体" w:eastAsia="宋体" w:cs="宋体"/>
                <w:szCs w:val="24"/>
              </w:rPr>
            </w:pPr>
            <w:r>
              <w:rPr>
                <w:rFonts w:hint="eastAsia" w:ascii="宋体" w:hAnsi="宋体" w:eastAsia="宋体" w:cs="宋体"/>
                <w:szCs w:val="24"/>
              </w:rPr>
              <w:t>邮编：</w:t>
            </w:r>
            <w:r>
              <w:rPr>
                <w:rFonts w:ascii="宋体" w:hAnsi="宋体" w:eastAsia="宋体" w:cs="宋体"/>
                <w:szCs w:val="24"/>
              </w:rPr>
              <w:t>5300</w:t>
            </w:r>
            <w:r>
              <w:rPr>
                <w:rFonts w:hint="eastAsia" w:ascii="宋体" w:hAnsi="宋体" w:eastAsia="宋体" w:cs="宋体"/>
                <w:szCs w:val="24"/>
              </w:rPr>
              <w:t>29</w:t>
            </w:r>
          </w:p>
        </w:tc>
        <w:tc>
          <w:tcPr>
            <w:tcW w:w="4443" w:type="dxa"/>
          </w:tcPr>
          <w:p w14:paraId="1E5892A4">
            <w:pPr>
              <w:wordWrap w:val="0"/>
              <w:spacing w:line="360" w:lineRule="auto"/>
              <w:rPr>
                <w:rFonts w:hint="eastAsia" w:ascii="宋体" w:hAnsi="宋体" w:eastAsia="宋体" w:cs="宋体"/>
                <w:szCs w:val="24"/>
              </w:rPr>
            </w:pPr>
            <w:r>
              <w:rPr>
                <w:rFonts w:hint="eastAsia" w:ascii="宋体" w:hAnsi="宋体" w:eastAsia="宋体" w:cs="宋体"/>
                <w:szCs w:val="24"/>
              </w:rPr>
              <w:t>邮编：</w:t>
            </w:r>
            <w:r>
              <w:rPr>
                <w:rFonts w:ascii="宋体" w:hAnsi="宋体" w:eastAsia="宋体" w:cs="宋体"/>
                <w:szCs w:val="24"/>
              </w:rPr>
              <w:t>5300</w:t>
            </w:r>
            <w:r>
              <w:rPr>
                <w:rFonts w:hint="eastAsia" w:ascii="宋体" w:hAnsi="宋体" w:eastAsia="宋体" w:cs="宋体"/>
                <w:szCs w:val="24"/>
              </w:rPr>
              <w:t>29</w:t>
            </w:r>
          </w:p>
        </w:tc>
      </w:tr>
      <w:tr w14:paraId="7EAE64A4">
        <w:tblPrEx>
          <w:tblCellMar>
            <w:top w:w="0" w:type="dxa"/>
            <w:left w:w="108" w:type="dxa"/>
            <w:bottom w:w="0" w:type="dxa"/>
            <w:right w:w="108" w:type="dxa"/>
          </w:tblCellMar>
        </w:tblPrEx>
        <w:tc>
          <w:tcPr>
            <w:tcW w:w="4442" w:type="dxa"/>
          </w:tcPr>
          <w:p w14:paraId="3A144F72">
            <w:pPr>
              <w:wordWrap w:val="0"/>
              <w:spacing w:line="360" w:lineRule="auto"/>
              <w:rPr>
                <w:rFonts w:hint="eastAsia" w:ascii="宋体" w:hAnsi="宋体" w:eastAsia="宋体" w:cs="宋体"/>
                <w:szCs w:val="24"/>
              </w:rPr>
            </w:pPr>
            <w:r>
              <w:rPr>
                <w:rFonts w:hint="eastAsia" w:ascii="宋体" w:hAnsi="宋体" w:eastAsia="宋体" w:cs="宋体"/>
                <w:szCs w:val="24"/>
              </w:rPr>
              <w:t>联系人：李工</w:t>
            </w:r>
          </w:p>
        </w:tc>
        <w:tc>
          <w:tcPr>
            <w:tcW w:w="4443" w:type="dxa"/>
          </w:tcPr>
          <w:p w14:paraId="6E08449E">
            <w:pPr>
              <w:wordWrap w:val="0"/>
              <w:spacing w:line="360" w:lineRule="auto"/>
              <w:rPr>
                <w:rFonts w:hint="eastAsia" w:ascii="宋体" w:hAnsi="宋体" w:eastAsia="宋体" w:cs="宋体"/>
                <w:szCs w:val="24"/>
              </w:rPr>
            </w:pPr>
            <w:r>
              <w:rPr>
                <w:rFonts w:hint="eastAsia" w:ascii="宋体" w:hAnsi="宋体" w:eastAsia="宋体" w:cs="宋体"/>
                <w:szCs w:val="24"/>
              </w:rPr>
              <w:t>联系人：郑路宁、</w:t>
            </w:r>
            <w:r>
              <w:rPr>
                <w:rFonts w:hint="eastAsia" w:ascii="宋体" w:hAnsi="宋体" w:eastAsia="宋体" w:cs="宋体"/>
                <w:szCs w:val="24"/>
                <w:lang w:val="en-US" w:eastAsia="zh-CN"/>
              </w:rPr>
              <w:t>杨堃、</w:t>
            </w:r>
            <w:r>
              <w:rPr>
                <w:rFonts w:hint="eastAsia" w:ascii="宋体" w:hAnsi="宋体" w:eastAsia="宋体" w:cs="宋体"/>
                <w:szCs w:val="24"/>
              </w:rPr>
              <w:t>陈思潮</w:t>
            </w:r>
          </w:p>
        </w:tc>
      </w:tr>
      <w:tr w14:paraId="027B34E1">
        <w:tblPrEx>
          <w:tblCellMar>
            <w:top w:w="0" w:type="dxa"/>
            <w:left w:w="108" w:type="dxa"/>
            <w:bottom w:w="0" w:type="dxa"/>
            <w:right w:w="108" w:type="dxa"/>
          </w:tblCellMar>
        </w:tblPrEx>
        <w:tc>
          <w:tcPr>
            <w:tcW w:w="4442" w:type="dxa"/>
          </w:tcPr>
          <w:p w14:paraId="0725D810">
            <w:pPr>
              <w:wordWrap w:val="0"/>
              <w:spacing w:line="360" w:lineRule="auto"/>
              <w:rPr>
                <w:rFonts w:hint="eastAsia" w:ascii="宋体" w:hAnsi="宋体" w:eastAsia="宋体" w:cs="宋体"/>
                <w:szCs w:val="24"/>
              </w:rPr>
            </w:pPr>
            <w:r>
              <w:rPr>
                <w:rFonts w:hint="eastAsia" w:ascii="宋体" w:hAnsi="宋体" w:eastAsia="宋体" w:cs="宋体"/>
                <w:szCs w:val="24"/>
              </w:rPr>
              <w:t>电话：</w:t>
            </w:r>
            <w:r>
              <w:rPr>
                <w:rFonts w:hint="eastAsia" w:ascii="宋体" w:hAnsi="宋体" w:eastAsia="宋体" w:cs="Times New Roman"/>
                <w:szCs w:val="21"/>
              </w:rPr>
              <w:t>13669684343</w:t>
            </w:r>
          </w:p>
        </w:tc>
        <w:tc>
          <w:tcPr>
            <w:tcW w:w="4443" w:type="dxa"/>
          </w:tcPr>
          <w:p w14:paraId="242D35F4">
            <w:pPr>
              <w:wordWrap w:val="0"/>
              <w:spacing w:line="360" w:lineRule="auto"/>
              <w:rPr>
                <w:rFonts w:hint="eastAsia" w:ascii="宋体" w:hAnsi="宋体" w:eastAsia="宋体" w:cs="宋体"/>
                <w:szCs w:val="24"/>
              </w:rPr>
            </w:pPr>
            <w:r>
              <w:rPr>
                <w:rFonts w:hint="eastAsia" w:ascii="宋体" w:hAnsi="宋体" w:eastAsia="宋体" w:cs="宋体"/>
                <w:szCs w:val="24"/>
              </w:rPr>
              <w:t>电话：</w:t>
            </w:r>
            <w:r>
              <w:rPr>
                <w:rFonts w:ascii="宋体" w:hAnsi="宋体" w:eastAsia="宋体" w:cs="宋体"/>
                <w:szCs w:val="24"/>
              </w:rPr>
              <w:t>0771-</w:t>
            </w:r>
            <w:r>
              <w:rPr>
                <w:rFonts w:hint="eastAsia" w:ascii="宋体" w:hAnsi="宋体" w:eastAsia="宋体" w:cs="宋体"/>
                <w:szCs w:val="24"/>
              </w:rPr>
              <w:t>4800838</w:t>
            </w:r>
          </w:p>
        </w:tc>
      </w:tr>
      <w:tr w14:paraId="021A80CF">
        <w:tblPrEx>
          <w:tblCellMar>
            <w:top w:w="0" w:type="dxa"/>
            <w:left w:w="108" w:type="dxa"/>
            <w:bottom w:w="0" w:type="dxa"/>
            <w:right w:w="108" w:type="dxa"/>
          </w:tblCellMar>
        </w:tblPrEx>
        <w:tc>
          <w:tcPr>
            <w:tcW w:w="4442" w:type="dxa"/>
          </w:tcPr>
          <w:p w14:paraId="19362383">
            <w:pPr>
              <w:wordWrap w:val="0"/>
              <w:spacing w:line="360" w:lineRule="auto"/>
              <w:rPr>
                <w:rFonts w:hint="eastAsia" w:ascii="宋体" w:hAnsi="宋体" w:eastAsia="宋体" w:cs="宋体"/>
                <w:szCs w:val="24"/>
              </w:rPr>
            </w:pPr>
            <w:r>
              <w:rPr>
                <w:rFonts w:hint="eastAsia" w:ascii="宋体" w:hAnsi="宋体" w:eastAsia="宋体" w:cs="宋体"/>
                <w:szCs w:val="24"/>
              </w:rPr>
              <w:t>传真：/</w:t>
            </w:r>
          </w:p>
        </w:tc>
        <w:tc>
          <w:tcPr>
            <w:tcW w:w="4443" w:type="dxa"/>
          </w:tcPr>
          <w:p w14:paraId="74FE9A00">
            <w:pPr>
              <w:wordWrap w:val="0"/>
              <w:spacing w:line="360" w:lineRule="auto"/>
              <w:rPr>
                <w:rFonts w:hint="eastAsia" w:ascii="宋体" w:hAnsi="宋体" w:eastAsia="宋体" w:cs="宋体"/>
                <w:szCs w:val="24"/>
                <w:lang w:eastAsia="zh-CN"/>
              </w:rPr>
            </w:pPr>
            <w:r>
              <w:rPr>
                <w:rFonts w:hint="eastAsia" w:ascii="宋体" w:hAnsi="宋体" w:eastAsia="宋体" w:cs="宋体"/>
                <w:szCs w:val="24"/>
              </w:rPr>
              <w:t>传真：</w:t>
            </w:r>
            <w:r>
              <w:rPr>
                <w:rFonts w:hint="eastAsia" w:ascii="宋体" w:hAnsi="宋体" w:eastAsia="宋体" w:cs="宋体"/>
                <w:szCs w:val="24"/>
                <w:lang w:val="en-US" w:eastAsia="zh-CN"/>
              </w:rPr>
              <w:t>/</w:t>
            </w:r>
          </w:p>
        </w:tc>
      </w:tr>
      <w:tr w14:paraId="31A65E54">
        <w:tblPrEx>
          <w:tblCellMar>
            <w:top w:w="0" w:type="dxa"/>
            <w:left w:w="108" w:type="dxa"/>
            <w:bottom w:w="0" w:type="dxa"/>
            <w:right w:w="108" w:type="dxa"/>
          </w:tblCellMar>
        </w:tblPrEx>
        <w:tc>
          <w:tcPr>
            <w:tcW w:w="4442" w:type="dxa"/>
          </w:tcPr>
          <w:p w14:paraId="52BC3BC9">
            <w:pPr>
              <w:wordWrap w:val="0"/>
              <w:spacing w:line="360" w:lineRule="auto"/>
              <w:rPr>
                <w:rFonts w:hint="eastAsia" w:ascii="宋体" w:hAnsi="宋体" w:eastAsia="宋体" w:cs="宋体"/>
                <w:szCs w:val="24"/>
              </w:rPr>
            </w:pPr>
            <w:r>
              <w:rPr>
                <w:rFonts w:hint="eastAsia" w:ascii="宋体" w:hAnsi="宋体" w:eastAsia="宋体" w:cs="宋体"/>
                <w:szCs w:val="24"/>
              </w:rPr>
              <w:t>电子邮箱：nnssmkgs@163.com</w:t>
            </w:r>
          </w:p>
        </w:tc>
        <w:tc>
          <w:tcPr>
            <w:tcW w:w="4443" w:type="dxa"/>
          </w:tcPr>
          <w:p w14:paraId="27742C06">
            <w:pPr>
              <w:wordWrap w:val="0"/>
              <w:spacing w:line="360" w:lineRule="auto"/>
              <w:rPr>
                <w:rFonts w:hint="eastAsia" w:ascii="宋体" w:hAnsi="宋体" w:eastAsia="宋体" w:cs="宋体"/>
                <w:szCs w:val="24"/>
              </w:rPr>
            </w:pPr>
            <w:r>
              <w:rPr>
                <w:rFonts w:hint="eastAsia" w:ascii="宋体" w:hAnsi="宋体" w:eastAsia="宋体" w:cs="宋体"/>
                <w:szCs w:val="24"/>
              </w:rPr>
              <w:t>电子邮箱：skzb0601@163.com</w:t>
            </w:r>
          </w:p>
        </w:tc>
      </w:tr>
      <w:tr w14:paraId="7B095EC6">
        <w:tblPrEx>
          <w:tblCellMar>
            <w:top w:w="0" w:type="dxa"/>
            <w:left w:w="108" w:type="dxa"/>
            <w:bottom w:w="0" w:type="dxa"/>
            <w:right w:w="108" w:type="dxa"/>
          </w:tblCellMar>
        </w:tblPrEx>
        <w:tc>
          <w:tcPr>
            <w:tcW w:w="4442" w:type="dxa"/>
          </w:tcPr>
          <w:p w14:paraId="42F4AA2E">
            <w:pPr>
              <w:wordWrap w:val="0"/>
              <w:spacing w:line="360" w:lineRule="auto"/>
              <w:rPr>
                <w:rFonts w:hint="eastAsia" w:ascii="宋体" w:hAnsi="宋体" w:eastAsia="宋体" w:cs="宋体"/>
                <w:szCs w:val="24"/>
              </w:rPr>
            </w:pPr>
            <w:r>
              <w:rPr>
                <w:rFonts w:hint="eastAsia" w:ascii="宋体" w:hAnsi="宋体" w:eastAsia="宋体" w:cs="宋体"/>
                <w:szCs w:val="24"/>
              </w:rPr>
              <w:t>网址：https://www.nn-cc.cn/</w:t>
            </w:r>
          </w:p>
        </w:tc>
        <w:tc>
          <w:tcPr>
            <w:tcW w:w="4443" w:type="dxa"/>
          </w:tcPr>
          <w:p w14:paraId="591572AD">
            <w:pPr>
              <w:wordWrap w:val="0"/>
              <w:spacing w:line="360" w:lineRule="auto"/>
              <w:rPr>
                <w:rFonts w:hint="eastAsia" w:ascii="宋体" w:hAnsi="宋体" w:eastAsia="宋体" w:cs="宋体"/>
                <w:szCs w:val="24"/>
              </w:rPr>
            </w:pPr>
            <w:r>
              <w:rPr>
                <w:rFonts w:hint="eastAsia" w:ascii="宋体" w:hAnsi="宋体" w:eastAsia="宋体" w:cs="宋体"/>
                <w:szCs w:val="24"/>
              </w:rPr>
              <w:t>网址：/</w:t>
            </w:r>
          </w:p>
        </w:tc>
      </w:tr>
    </w:tbl>
    <w:p w14:paraId="580EE201">
      <w:pPr>
        <w:tabs>
          <w:tab w:val="left" w:pos="5073"/>
        </w:tabs>
        <w:wordWrap w:val="0"/>
        <w:spacing w:line="348" w:lineRule="auto"/>
        <w:jc w:val="right"/>
        <w:rPr>
          <w:rFonts w:hint="eastAsia" w:ascii="Times New Roman" w:hAnsi="宋体" w:eastAsia="宋体" w:cs="Times New Roman"/>
          <w:szCs w:val="21"/>
        </w:rPr>
      </w:pPr>
      <w:r>
        <w:rPr>
          <w:rFonts w:hint="eastAsia" w:ascii="Times New Roman" w:hAnsi="宋体" w:eastAsia="宋体" w:cs="Times New Roman"/>
          <w:szCs w:val="21"/>
        </w:rPr>
        <w:tab/>
      </w:r>
      <w:r>
        <w:rPr>
          <w:rFonts w:hint="eastAsia" w:ascii="宋体" w:hAnsi="宋体" w:eastAsia="宋体" w:cs="Times New Roman"/>
          <w:szCs w:val="21"/>
        </w:rPr>
        <w:t xml:space="preserve"> 2025</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10</w:t>
      </w:r>
      <w:r>
        <w:rPr>
          <w:rFonts w:hint="eastAsia" w:ascii="宋体" w:hAnsi="宋体" w:eastAsia="宋体" w:cs="宋体"/>
          <w:kern w:val="0"/>
          <w:szCs w:val="21"/>
        </w:rPr>
        <w:t>日</w:t>
      </w:r>
    </w:p>
    <w:p w14:paraId="68953D11">
      <w:pPr>
        <w:wordWrap w:val="0"/>
        <w:spacing w:line="348" w:lineRule="auto"/>
        <w:ind w:firstLine="420" w:firstLineChars="200"/>
        <w:rPr>
          <w:rFonts w:hint="eastAsia" w:ascii="Times New Roman" w:hAnsi="宋体" w:eastAsia="宋体" w:cs="Times New Roman"/>
          <w:szCs w:val="21"/>
        </w:rPr>
      </w:pPr>
      <w:r>
        <w:rPr>
          <w:rFonts w:hint="eastAsia" w:ascii="Times New Roman" w:hAnsi="宋体" w:eastAsia="宋体" w:cs="Times New Roman"/>
          <w:szCs w:val="21"/>
        </w:rPr>
        <w:t xml:space="preserve">                            </w:t>
      </w:r>
    </w:p>
    <w:p w14:paraId="6005F9A6">
      <w:pPr>
        <w:rPr>
          <w:rFonts w:hint="eastAsia" w:ascii="Times New Roman" w:hAnsi="宋体" w:eastAsia="宋体" w:cs="Times New Roman"/>
          <w:szCs w:val="21"/>
        </w:rPr>
      </w:pPr>
      <w:r>
        <w:rPr>
          <w:rFonts w:hint="eastAsia" w:ascii="Times New Roman" w:hAnsi="宋体" w:eastAsia="宋体" w:cs="Times New Roman"/>
          <w:szCs w:val="21"/>
        </w:rPr>
        <w:br w:type="page"/>
      </w:r>
    </w:p>
    <w:bookmarkEnd w:id="10"/>
    <w:bookmarkEnd w:id="11"/>
    <w:bookmarkEnd w:id="12"/>
    <w:bookmarkEnd w:id="13"/>
    <w:bookmarkEnd w:id="14"/>
    <w:p w14:paraId="660C5998">
      <w:pPr>
        <w:wordWrap w:val="0"/>
        <w:spacing w:line="348" w:lineRule="auto"/>
        <w:ind w:firstLine="2891" w:firstLineChars="900"/>
        <w:jc w:val="left"/>
        <w:outlineLvl w:val="0"/>
        <w:rPr>
          <w:rFonts w:ascii="Times New Roman" w:hAnsi="Times New Roman" w:eastAsia="黑体" w:cs="Times New Roman"/>
          <w:b/>
          <w:bCs/>
          <w:kern w:val="0"/>
          <w:sz w:val="32"/>
          <w:szCs w:val="32"/>
        </w:rPr>
      </w:pPr>
      <w:bookmarkStart w:id="84" w:name="_Toc13673"/>
      <w:bookmarkStart w:id="85" w:name="_Toc5510"/>
      <w:bookmarkStart w:id="86" w:name="_Toc1749"/>
      <w:bookmarkStart w:id="87" w:name="_Toc29089"/>
      <w:bookmarkStart w:id="88" w:name="_Toc20028"/>
      <w:bookmarkStart w:id="89" w:name="_Toc14360"/>
      <w:bookmarkStart w:id="90" w:name="_Toc234121006"/>
      <w:bookmarkStart w:id="91" w:name="_Toc21986"/>
      <w:bookmarkStart w:id="92" w:name="_Toc530736527"/>
      <w:r>
        <w:rPr>
          <w:rFonts w:hint="eastAsia" w:ascii="Times New Roman" w:hAnsi="Times New Roman" w:eastAsia="黑体" w:cs="Times New Roman"/>
          <w:b/>
          <w:bCs/>
          <w:kern w:val="0"/>
          <w:sz w:val="32"/>
          <w:szCs w:val="32"/>
        </w:rPr>
        <w:t>第二章</w:t>
      </w:r>
      <w:r>
        <w:rPr>
          <w:rFonts w:ascii="Times New Roman" w:hAnsi="Times New Roman" w:eastAsia="黑体" w:cs="Times New Roman"/>
          <w:b/>
          <w:bCs/>
          <w:kern w:val="0"/>
          <w:sz w:val="32"/>
          <w:szCs w:val="32"/>
        </w:rPr>
        <w:t xml:space="preserve">  </w:t>
      </w:r>
      <w:r>
        <w:rPr>
          <w:rFonts w:hint="eastAsia" w:ascii="Times New Roman" w:hAnsi="Times New Roman" w:eastAsia="黑体" w:cs="Times New Roman"/>
          <w:b/>
          <w:bCs/>
          <w:kern w:val="0"/>
          <w:sz w:val="32"/>
          <w:szCs w:val="32"/>
        </w:rPr>
        <w:t>投标人须知</w:t>
      </w:r>
      <w:bookmarkEnd w:id="84"/>
      <w:bookmarkEnd w:id="85"/>
      <w:bookmarkEnd w:id="86"/>
      <w:bookmarkEnd w:id="87"/>
      <w:bookmarkEnd w:id="88"/>
      <w:bookmarkEnd w:id="89"/>
      <w:bookmarkEnd w:id="90"/>
      <w:bookmarkEnd w:id="91"/>
      <w:bookmarkEnd w:id="92"/>
      <w:bookmarkStart w:id="93" w:name="_Toc143421654"/>
    </w:p>
    <w:p w14:paraId="4279E8D1">
      <w:pPr>
        <w:keepNext/>
        <w:keepLines/>
        <w:wordWrap w:val="0"/>
        <w:autoSpaceDE w:val="0"/>
        <w:autoSpaceDN w:val="0"/>
        <w:adjustRightInd w:val="0"/>
        <w:spacing w:before="220" w:after="220" w:line="360" w:lineRule="auto"/>
        <w:ind w:right="412" w:rightChars="196"/>
        <w:jc w:val="center"/>
        <w:outlineLvl w:val="1"/>
        <w:rPr>
          <w:rFonts w:ascii="Arial" w:hAnsi="Arial" w:eastAsia="黑体" w:cs="Times New Roman"/>
          <w:b/>
          <w:bCs/>
          <w:sz w:val="32"/>
          <w:szCs w:val="32"/>
        </w:rPr>
      </w:pPr>
      <w:bookmarkStart w:id="94" w:name="_Toc19030"/>
      <w:bookmarkStart w:id="95" w:name="_Toc3556"/>
      <w:bookmarkStart w:id="96" w:name="_Toc24824"/>
      <w:bookmarkStart w:id="97" w:name="_Toc234121007"/>
      <w:bookmarkStart w:id="98" w:name="_Toc15731"/>
      <w:bookmarkStart w:id="99" w:name="_Toc530736528"/>
      <w:bookmarkStart w:id="100" w:name="_Toc13640"/>
      <w:bookmarkStart w:id="101" w:name="_Toc20770"/>
      <w:bookmarkStart w:id="102" w:name="_Toc23974"/>
      <w:r>
        <w:rPr>
          <w:rFonts w:hint="eastAsia" w:ascii="Times New Roman" w:hAnsi="Times New Roman" w:eastAsia="黑体" w:cs="Times New Roman"/>
          <w:bCs/>
          <w:kern w:val="0"/>
          <w:sz w:val="28"/>
          <w:szCs w:val="28"/>
        </w:rPr>
        <w:t>投标人须知前附表</w:t>
      </w:r>
      <w:bookmarkEnd w:id="93"/>
      <w:bookmarkEnd w:id="94"/>
      <w:bookmarkEnd w:id="95"/>
      <w:bookmarkEnd w:id="96"/>
      <w:bookmarkEnd w:id="97"/>
      <w:bookmarkEnd w:id="98"/>
      <w:bookmarkEnd w:id="99"/>
      <w:bookmarkEnd w:id="100"/>
      <w:bookmarkEnd w:id="101"/>
      <w:bookmarkEnd w:id="102"/>
    </w:p>
    <w:tbl>
      <w:tblPr>
        <w:tblStyle w:val="90"/>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110"/>
        <w:gridCol w:w="5864"/>
      </w:tblGrid>
      <w:tr w14:paraId="2590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07" w:type="dxa"/>
            <w:shd w:val="clear" w:color="auto" w:fill="E6E6E6"/>
            <w:vAlign w:val="center"/>
          </w:tcPr>
          <w:p w14:paraId="171AE900">
            <w:pPr>
              <w:wordWrap w:val="0"/>
              <w:spacing w:line="360" w:lineRule="exact"/>
              <w:jc w:val="center"/>
              <w:rPr>
                <w:rFonts w:hint="eastAsia" w:ascii="宋体" w:hAnsi="宋体" w:eastAsia="宋体" w:cs="Times New Roman"/>
                <w:b/>
                <w:kern w:val="0"/>
                <w:szCs w:val="21"/>
              </w:rPr>
            </w:pPr>
            <w:r>
              <w:rPr>
                <w:rFonts w:ascii="宋体" w:hAnsi="宋体" w:eastAsia="宋体" w:cs="Times New Roman"/>
                <w:b/>
                <w:kern w:val="0"/>
                <w:szCs w:val="21"/>
              </w:rPr>
              <w:t>条款号</w:t>
            </w:r>
          </w:p>
        </w:tc>
        <w:tc>
          <w:tcPr>
            <w:tcW w:w="2110" w:type="dxa"/>
            <w:shd w:val="clear" w:color="auto" w:fill="E6E6E6"/>
            <w:vAlign w:val="center"/>
          </w:tcPr>
          <w:p w14:paraId="55B8DA7B">
            <w:pPr>
              <w:wordWrap w:val="0"/>
              <w:spacing w:line="360" w:lineRule="exact"/>
              <w:jc w:val="center"/>
              <w:rPr>
                <w:rFonts w:hint="eastAsia" w:ascii="宋体" w:hAnsi="宋体" w:eastAsia="宋体" w:cs="Times New Roman"/>
                <w:b/>
                <w:kern w:val="0"/>
                <w:szCs w:val="21"/>
              </w:rPr>
            </w:pPr>
            <w:r>
              <w:rPr>
                <w:rFonts w:ascii="宋体" w:hAnsi="宋体" w:eastAsia="宋体" w:cs="Times New Roman"/>
                <w:b/>
                <w:kern w:val="0"/>
                <w:szCs w:val="21"/>
              </w:rPr>
              <w:t>条  款  名  称</w:t>
            </w:r>
          </w:p>
        </w:tc>
        <w:tc>
          <w:tcPr>
            <w:tcW w:w="5864" w:type="dxa"/>
            <w:shd w:val="clear" w:color="auto" w:fill="E6E6E6"/>
            <w:vAlign w:val="center"/>
          </w:tcPr>
          <w:p w14:paraId="062A86F5">
            <w:pPr>
              <w:wordWrap w:val="0"/>
              <w:spacing w:line="360" w:lineRule="exact"/>
              <w:jc w:val="center"/>
              <w:rPr>
                <w:rFonts w:hint="eastAsia" w:ascii="宋体" w:hAnsi="宋体" w:eastAsia="宋体" w:cs="Times New Roman"/>
                <w:b/>
                <w:kern w:val="0"/>
                <w:szCs w:val="21"/>
              </w:rPr>
            </w:pPr>
            <w:r>
              <w:rPr>
                <w:rFonts w:ascii="宋体" w:hAnsi="宋体" w:eastAsia="宋体" w:cs="Times New Roman"/>
                <w:b/>
                <w:kern w:val="0"/>
                <w:szCs w:val="21"/>
              </w:rPr>
              <w:t>编  列  内  容</w:t>
            </w:r>
          </w:p>
        </w:tc>
      </w:tr>
      <w:tr w14:paraId="39B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B2F843B">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1.1.2</w:t>
            </w:r>
          </w:p>
        </w:tc>
        <w:tc>
          <w:tcPr>
            <w:tcW w:w="2110" w:type="dxa"/>
            <w:vAlign w:val="center"/>
          </w:tcPr>
          <w:p w14:paraId="0709B042">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招标人</w:t>
            </w:r>
          </w:p>
        </w:tc>
        <w:tc>
          <w:tcPr>
            <w:tcW w:w="5864" w:type="dxa"/>
            <w:vAlign w:val="center"/>
          </w:tcPr>
          <w:p w14:paraId="7F90DCED">
            <w:pPr>
              <w:wordWrap w:val="0"/>
              <w:spacing w:line="360" w:lineRule="exact"/>
              <w:rPr>
                <w:rFonts w:hint="eastAsia" w:ascii="宋体" w:hAnsi="宋体" w:eastAsia="宋体" w:cs="Times New Roman"/>
                <w:szCs w:val="21"/>
              </w:rPr>
            </w:pPr>
            <w:r>
              <w:rPr>
                <w:rFonts w:hint="eastAsia" w:ascii="宋体" w:hAnsi="宋体" w:eastAsia="宋体" w:cs="Times New Roman"/>
                <w:szCs w:val="21"/>
              </w:rPr>
              <w:t>招标人：南宁轨道交通集团有限责任公司</w:t>
            </w:r>
          </w:p>
          <w:p w14:paraId="52F34CF3">
            <w:pPr>
              <w:wordWrap w:val="0"/>
              <w:spacing w:line="360" w:lineRule="exact"/>
              <w:rPr>
                <w:rFonts w:hint="eastAsia" w:ascii="宋体" w:hAnsi="宋体" w:eastAsia="宋体" w:cs="Times New Roman"/>
                <w:szCs w:val="21"/>
              </w:rPr>
            </w:pPr>
            <w:r>
              <w:rPr>
                <w:rFonts w:hint="eastAsia" w:ascii="宋体" w:hAnsi="宋体" w:eastAsia="宋体" w:cs="Times New Roman"/>
                <w:szCs w:val="21"/>
              </w:rPr>
              <w:t>地</w:t>
            </w:r>
            <w:r>
              <w:rPr>
                <w:rFonts w:ascii="宋体" w:hAnsi="宋体" w:eastAsia="宋体" w:cs="Times New Roman"/>
                <w:szCs w:val="21"/>
              </w:rPr>
              <w:t xml:space="preserve">  </w:t>
            </w:r>
            <w:r>
              <w:rPr>
                <w:rFonts w:hint="eastAsia" w:ascii="宋体" w:hAnsi="宋体" w:eastAsia="宋体" w:cs="Times New Roman"/>
                <w:szCs w:val="21"/>
              </w:rPr>
              <w:t>址：</w:t>
            </w:r>
            <w:r>
              <w:rPr>
                <w:rFonts w:hint="eastAsia"/>
                <w:color w:val="000000"/>
              </w:rPr>
              <w:t>南宁市青秀区凤岭北路111号南宁国际旅游中心3号楼（C座）19楼</w:t>
            </w:r>
          </w:p>
          <w:p w14:paraId="55D97A04">
            <w:pPr>
              <w:wordWrap w:val="0"/>
              <w:spacing w:line="360" w:lineRule="exact"/>
              <w:rPr>
                <w:rFonts w:hint="eastAsia"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宋体"/>
                <w:szCs w:val="24"/>
              </w:rPr>
              <w:t>李工</w:t>
            </w:r>
          </w:p>
          <w:p w14:paraId="0F289749">
            <w:pPr>
              <w:wordWrap w:val="0"/>
              <w:spacing w:line="360" w:lineRule="exact"/>
              <w:jc w:val="left"/>
              <w:rPr>
                <w:rFonts w:ascii="Times New Roman" w:hAnsi="Times New Roman" w:eastAsia="宋体" w:cs="Times New Roman"/>
                <w:szCs w:val="24"/>
              </w:rPr>
            </w:pPr>
            <w:r>
              <w:rPr>
                <w:rFonts w:hint="eastAsia" w:ascii="宋体" w:hAnsi="宋体" w:eastAsia="宋体" w:cs="Times New Roman"/>
                <w:szCs w:val="21"/>
              </w:rPr>
              <w:t>电</w:t>
            </w:r>
            <w:r>
              <w:rPr>
                <w:rFonts w:ascii="宋体" w:hAnsi="宋体" w:eastAsia="宋体" w:cs="Times New Roman"/>
                <w:szCs w:val="21"/>
              </w:rPr>
              <w:t xml:space="preserve">  </w:t>
            </w:r>
            <w:r>
              <w:rPr>
                <w:rFonts w:hint="eastAsia" w:ascii="宋体" w:hAnsi="宋体" w:eastAsia="宋体" w:cs="Times New Roman"/>
                <w:szCs w:val="21"/>
              </w:rPr>
              <w:t>话：13669684343</w:t>
            </w:r>
          </w:p>
        </w:tc>
      </w:tr>
      <w:tr w14:paraId="65E2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629617E">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1.1.3</w:t>
            </w:r>
          </w:p>
        </w:tc>
        <w:tc>
          <w:tcPr>
            <w:tcW w:w="2110" w:type="dxa"/>
            <w:vAlign w:val="center"/>
          </w:tcPr>
          <w:p w14:paraId="4789EAAC">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招标代理机构</w:t>
            </w:r>
          </w:p>
        </w:tc>
        <w:tc>
          <w:tcPr>
            <w:tcW w:w="5864" w:type="dxa"/>
            <w:vAlign w:val="center"/>
          </w:tcPr>
          <w:p w14:paraId="5D158E1A">
            <w:pPr>
              <w:wordWrap w:val="0"/>
              <w:spacing w:line="360" w:lineRule="exact"/>
              <w:rPr>
                <w:rFonts w:hint="eastAsia" w:ascii="Times New Roman" w:hAnsi="宋体" w:eastAsia="宋体" w:cs="Times New Roman"/>
                <w:szCs w:val="21"/>
              </w:rPr>
            </w:pPr>
            <w:r>
              <w:rPr>
                <w:rFonts w:hint="eastAsia" w:ascii="Times New Roman" w:hAnsi="宋体" w:eastAsia="宋体" w:cs="Times New Roman"/>
                <w:szCs w:val="21"/>
              </w:rPr>
              <w:t>招标代理：广西双科建设工程咨询有限公司</w:t>
            </w:r>
          </w:p>
          <w:p w14:paraId="75245A24">
            <w:pPr>
              <w:wordWrap w:val="0"/>
              <w:spacing w:line="360" w:lineRule="exact"/>
              <w:rPr>
                <w:rFonts w:hint="eastAsia" w:ascii="Times New Roman" w:hAnsi="宋体" w:eastAsia="宋体" w:cs="Times New Roman"/>
                <w:szCs w:val="21"/>
              </w:rPr>
            </w:pPr>
            <w:r>
              <w:rPr>
                <w:rFonts w:hint="eastAsia" w:ascii="Times New Roman" w:hAnsi="宋体" w:eastAsia="宋体" w:cs="Times New Roman"/>
                <w:szCs w:val="21"/>
              </w:rPr>
              <w:t>地  址：</w:t>
            </w:r>
            <w:r>
              <w:rPr>
                <w:rFonts w:hint="eastAsia"/>
                <w:color w:val="000000"/>
              </w:rPr>
              <w:t>南宁市青秀区凤岭北路111号南宁国际旅游中心3号楼（C座）28楼</w:t>
            </w:r>
          </w:p>
          <w:p w14:paraId="2AFDF153">
            <w:pPr>
              <w:wordWrap w:val="0"/>
              <w:spacing w:line="360" w:lineRule="exact"/>
              <w:rPr>
                <w:color w:val="000000"/>
              </w:rPr>
            </w:pPr>
            <w:r>
              <w:rPr>
                <w:rFonts w:hint="eastAsia" w:ascii="Times New Roman" w:hAnsi="宋体" w:eastAsia="宋体" w:cs="Times New Roman"/>
                <w:szCs w:val="21"/>
              </w:rPr>
              <w:t>联系</w:t>
            </w:r>
            <w:r>
              <w:rPr>
                <w:rFonts w:hint="eastAsia"/>
                <w:color w:val="000000"/>
              </w:rPr>
              <w:t>人：郑路宁、</w:t>
            </w:r>
            <w:r>
              <w:rPr>
                <w:rFonts w:hint="eastAsia" w:ascii="宋体" w:hAnsi="宋体" w:eastAsia="宋体" w:cs="宋体"/>
                <w:szCs w:val="24"/>
                <w:lang w:val="en-US" w:eastAsia="zh-CN"/>
              </w:rPr>
              <w:t>杨堃、</w:t>
            </w:r>
            <w:r>
              <w:rPr>
                <w:rFonts w:hint="eastAsia"/>
                <w:color w:val="000000"/>
              </w:rPr>
              <w:t>陈思潮</w:t>
            </w:r>
          </w:p>
          <w:p w14:paraId="2BEECCD2">
            <w:pPr>
              <w:wordWrap w:val="0"/>
              <w:spacing w:line="360" w:lineRule="exact"/>
              <w:jc w:val="left"/>
              <w:rPr>
                <w:rFonts w:hint="eastAsia" w:ascii="宋体" w:hAnsi="宋体" w:eastAsia="宋体" w:cs="Times New Roman"/>
                <w:szCs w:val="21"/>
              </w:rPr>
            </w:pPr>
            <w:r>
              <w:rPr>
                <w:rFonts w:hint="eastAsia"/>
                <w:color w:val="000000"/>
              </w:rPr>
              <w:t xml:space="preserve">电  </w:t>
            </w:r>
            <w:r>
              <w:rPr>
                <w:rFonts w:hint="eastAsia" w:ascii="宋体" w:hAnsi="宋体" w:eastAsia="宋体" w:cs="Times New Roman"/>
                <w:szCs w:val="21"/>
              </w:rPr>
              <w:t>话：0771-4800838</w:t>
            </w:r>
          </w:p>
          <w:p w14:paraId="4D386720">
            <w:pPr>
              <w:wordWrap w:val="0"/>
              <w:spacing w:line="360" w:lineRule="exact"/>
              <w:jc w:val="left"/>
              <w:rPr>
                <w:rFonts w:hint="eastAsia" w:ascii="宋体" w:hAnsi="宋体" w:eastAsia="宋体" w:cs="Times New Roman"/>
                <w:kern w:val="0"/>
                <w:szCs w:val="21"/>
              </w:rPr>
            </w:pPr>
            <w:r>
              <w:rPr>
                <w:rFonts w:hint="eastAsia" w:ascii="Times New Roman" w:hAnsi="宋体" w:eastAsia="宋体" w:cs="Times New Roman"/>
                <w:szCs w:val="21"/>
              </w:rPr>
              <w:t>邮  箱：</w:t>
            </w:r>
            <w:r>
              <w:rPr>
                <w:rFonts w:hint="eastAsia" w:ascii="宋体" w:hAnsi="宋体" w:eastAsia="宋体" w:cs="Times New Roman"/>
                <w:szCs w:val="21"/>
              </w:rPr>
              <w:t>skzb0601@163.com</w:t>
            </w:r>
          </w:p>
        </w:tc>
      </w:tr>
      <w:tr w14:paraId="13D0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29285E6">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1.1.4</w:t>
            </w:r>
          </w:p>
        </w:tc>
        <w:tc>
          <w:tcPr>
            <w:tcW w:w="2110" w:type="dxa"/>
            <w:vAlign w:val="center"/>
          </w:tcPr>
          <w:p w14:paraId="36D0F985">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项目名称</w:t>
            </w:r>
          </w:p>
        </w:tc>
        <w:tc>
          <w:tcPr>
            <w:tcW w:w="5864" w:type="dxa"/>
            <w:vAlign w:val="center"/>
          </w:tcPr>
          <w:p w14:paraId="3BA7BCBF">
            <w:pPr>
              <w:wordWrap w:val="0"/>
              <w:spacing w:line="360" w:lineRule="exact"/>
              <w:jc w:val="left"/>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eastAsia="zh-CN"/>
              </w:rPr>
              <w:t>南宁市智慧出行信息化工程二期项目-公共交通协同调度系统升级项目</w:t>
            </w:r>
          </w:p>
        </w:tc>
      </w:tr>
      <w:tr w14:paraId="3DBB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7" w:type="dxa"/>
            <w:vAlign w:val="center"/>
          </w:tcPr>
          <w:p w14:paraId="6CCDBCE8">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1.1.5</w:t>
            </w:r>
          </w:p>
        </w:tc>
        <w:tc>
          <w:tcPr>
            <w:tcW w:w="2110" w:type="dxa"/>
            <w:vAlign w:val="center"/>
          </w:tcPr>
          <w:p w14:paraId="6CDD39F1">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项目</w:t>
            </w:r>
            <w:r>
              <w:rPr>
                <w:rFonts w:ascii="宋体" w:hAnsi="宋体" w:eastAsia="宋体" w:cs="Times New Roman"/>
                <w:kern w:val="0"/>
                <w:szCs w:val="21"/>
              </w:rPr>
              <w:t>地点</w:t>
            </w:r>
          </w:p>
        </w:tc>
        <w:tc>
          <w:tcPr>
            <w:tcW w:w="5864" w:type="dxa"/>
            <w:vAlign w:val="center"/>
          </w:tcPr>
          <w:p w14:paraId="5D473E38">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广西壮族自治区南宁市</w:t>
            </w:r>
          </w:p>
        </w:tc>
      </w:tr>
      <w:tr w14:paraId="5ABC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00E8365">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1.2.1</w:t>
            </w:r>
          </w:p>
        </w:tc>
        <w:tc>
          <w:tcPr>
            <w:tcW w:w="2110" w:type="dxa"/>
            <w:vAlign w:val="center"/>
          </w:tcPr>
          <w:p w14:paraId="0D7DB3FA">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资金来源</w:t>
            </w:r>
          </w:p>
        </w:tc>
        <w:tc>
          <w:tcPr>
            <w:tcW w:w="5864" w:type="dxa"/>
            <w:vAlign w:val="center"/>
          </w:tcPr>
          <w:p w14:paraId="1D0028EF">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szCs w:val="24"/>
                <w:u w:val="none"/>
              </w:rPr>
              <w:t>政府专项债及企业自筹</w:t>
            </w:r>
          </w:p>
        </w:tc>
      </w:tr>
      <w:tr w14:paraId="57C6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1EFA7B4">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1.2.2</w:t>
            </w:r>
          </w:p>
        </w:tc>
        <w:tc>
          <w:tcPr>
            <w:tcW w:w="2110" w:type="dxa"/>
            <w:vAlign w:val="center"/>
          </w:tcPr>
          <w:p w14:paraId="07859F0E">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出资比例</w:t>
            </w:r>
          </w:p>
        </w:tc>
        <w:tc>
          <w:tcPr>
            <w:tcW w:w="5864" w:type="dxa"/>
            <w:vAlign w:val="center"/>
          </w:tcPr>
          <w:p w14:paraId="29986B1B">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100%</w:t>
            </w:r>
          </w:p>
        </w:tc>
      </w:tr>
      <w:tr w14:paraId="17B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4D0B33B">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1.2.3</w:t>
            </w:r>
          </w:p>
        </w:tc>
        <w:tc>
          <w:tcPr>
            <w:tcW w:w="2110" w:type="dxa"/>
            <w:vAlign w:val="center"/>
          </w:tcPr>
          <w:p w14:paraId="170B3F83">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资金落实情况</w:t>
            </w:r>
          </w:p>
        </w:tc>
        <w:tc>
          <w:tcPr>
            <w:tcW w:w="5864" w:type="dxa"/>
            <w:vAlign w:val="center"/>
          </w:tcPr>
          <w:p w14:paraId="1165847D">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已落实</w:t>
            </w:r>
          </w:p>
        </w:tc>
      </w:tr>
      <w:tr w14:paraId="731B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F3E312E">
            <w:pPr>
              <w:wordWrap w:val="0"/>
              <w:spacing w:line="360" w:lineRule="exact"/>
              <w:jc w:val="center"/>
              <w:rPr>
                <w:rFonts w:hint="eastAsia" w:ascii="宋体" w:hAnsi="宋体" w:eastAsia="宋体" w:cs="Times New Roman"/>
                <w:kern w:val="0"/>
                <w:szCs w:val="21"/>
              </w:rPr>
            </w:pPr>
            <w:r>
              <w:rPr>
                <w:rFonts w:hint="eastAsia" w:ascii="宋体" w:hAnsi="宋体" w:eastAsia="宋体" w:cs="Times New Roman"/>
                <w:kern w:val="0"/>
                <w:szCs w:val="21"/>
              </w:rPr>
              <w:t>1.2.4</w:t>
            </w:r>
          </w:p>
        </w:tc>
        <w:tc>
          <w:tcPr>
            <w:tcW w:w="2110" w:type="dxa"/>
            <w:vAlign w:val="center"/>
          </w:tcPr>
          <w:p w14:paraId="02A12163">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本项目增值税计税方法</w:t>
            </w:r>
          </w:p>
        </w:tc>
        <w:tc>
          <w:tcPr>
            <w:tcW w:w="5864" w:type="dxa"/>
            <w:vAlign w:val="center"/>
          </w:tcPr>
          <w:p w14:paraId="012C9EB6">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国家现行税法执行</w:t>
            </w:r>
          </w:p>
        </w:tc>
      </w:tr>
      <w:tr w14:paraId="6943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3A690FC4">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1.3.1</w:t>
            </w:r>
          </w:p>
        </w:tc>
        <w:tc>
          <w:tcPr>
            <w:tcW w:w="2110" w:type="dxa"/>
            <w:vAlign w:val="center"/>
          </w:tcPr>
          <w:p w14:paraId="521AE13C">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招标范围</w:t>
            </w:r>
          </w:p>
        </w:tc>
        <w:tc>
          <w:tcPr>
            <w:tcW w:w="5864" w:type="dxa"/>
            <w:vAlign w:val="center"/>
          </w:tcPr>
          <w:p w14:paraId="42DFB2E4">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详见招标公告。</w:t>
            </w:r>
          </w:p>
        </w:tc>
      </w:tr>
      <w:tr w14:paraId="643F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F53A8E4">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1.3.2</w:t>
            </w:r>
          </w:p>
        </w:tc>
        <w:tc>
          <w:tcPr>
            <w:tcW w:w="2110" w:type="dxa"/>
            <w:vAlign w:val="center"/>
          </w:tcPr>
          <w:p w14:paraId="17F13A84">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服务</w:t>
            </w:r>
            <w:r>
              <w:rPr>
                <w:rFonts w:ascii="宋体" w:hAnsi="宋体" w:eastAsia="宋体" w:cs="Times New Roman"/>
                <w:kern w:val="0"/>
                <w:szCs w:val="21"/>
              </w:rPr>
              <w:t>期</w:t>
            </w:r>
          </w:p>
        </w:tc>
        <w:tc>
          <w:tcPr>
            <w:tcW w:w="5864" w:type="dxa"/>
            <w:vAlign w:val="center"/>
          </w:tcPr>
          <w:p w14:paraId="69F769D1">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详见招标公告。</w:t>
            </w:r>
          </w:p>
        </w:tc>
      </w:tr>
      <w:tr w14:paraId="696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D9425E9">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1.3.3</w:t>
            </w:r>
          </w:p>
        </w:tc>
        <w:tc>
          <w:tcPr>
            <w:tcW w:w="2110" w:type="dxa"/>
            <w:vAlign w:val="center"/>
          </w:tcPr>
          <w:p w14:paraId="19B45583">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质量要求</w:t>
            </w:r>
          </w:p>
        </w:tc>
        <w:tc>
          <w:tcPr>
            <w:tcW w:w="5864" w:type="dxa"/>
            <w:vAlign w:val="center"/>
          </w:tcPr>
          <w:p w14:paraId="606A91BF">
            <w:pPr>
              <w:wordWrap w:val="0"/>
              <w:spacing w:line="360" w:lineRule="exact"/>
              <w:rPr>
                <w:rFonts w:hint="eastAsia" w:ascii="宋体" w:hAnsi="宋体" w:eastAsia="宋体" w:cs="Times New Roman"/>
                <w:kern w:val="0"/>
                <w:szCs w:val="21"/>
              </w:rPr>
            </w:pPr>
            <w:r>
              <w:rPr>
                <w:rFonts w:hint="eastAsia" w:ascii="宋体" w:hAnsi="宋体" w:eastAsia="宋体" w:cs="宋体"/>
                <w:bCs/>
                <w:szCs w:val="21"/>
              </w:rPr>
              <w:t>满足国家现行规范、标准、招标文件要求和项目实际需要。</w:t>
            </w:r>
          </w:p>
        </w:tc>
      </w:tr>
      <w:tr w14:paraId="28FA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ABB64A7">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1.4.1</w:t>
            </w:r>
          </w:p>
        </w:tc>
        <w:tc>
          <w:tcPr>
            <w:tcW w:w="2110" w:type="dxa"/>
            <w:vAlign w:val="center"/>
          </w:tcPr>
          <w:p w14:paraId="367B0BE4">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投标人资质</w:t>
            </w:r>
            <w:r>
              <w:rPr>
                <w:rFonts w:hint="eastAsia" w:ascii="宋体" w:hAnsi="宋体" w:eastAsia="宋体" w:cs="Times New Roman"/>
                <w:kern w:val="0"/>
                <w:szCs w:val="21"/>
              </w:rPr>
              <w:t>要求</w:t>
            </w:r>
          </w:p>
        </w:tc>
        <w:tc>
          <w:tcPr>
            <w:tcW w:w="5864" w:type="dxa"/>
            <w:vAlign w:val="center"/>
          </w:tcPr>
          <w:p w14:paraId="7C2E97AB">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详见招标公告。</w:t>
            </w:r>
          </w:p>
        </w:tc>
      </w:tr>
      <w:tr w14:paraId="2D0A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ECF26C3">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1.4.2</w:t>
            </w:r>
          </w:p>
        </w:tc>
        <w:tc>
          <w:tcPr>
            <w:tcW w:w="2110" w:type="dxa"/>
            <w:vAlign w:val="center"/>
          </w:tcPr>
          <w:p w14:paraId="4076D335">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是否接受联合体投标</w:t>
            </w:r>
          </w:p>
        </w:tc>
        <w:tc>
          <w:tcPr>
            <w:tcW w:w="5864" w:type="dxa"/>
            <w:vAlign w:val="center"/>
          </w:tcPr>
          <w:p w14:paraId="0B73782E">
            <w:pPr>
              <w:wordWrap w:val="0"/>
              <w:spacing w:line="360" w:lineRule="exact"/>
              <w:textAlignment w:val="baseline"/>
              <w:rPr>
                <w:rFonts w:hint="eastAsia" w:ascii="宋体" w:hAnsi="宋体" w:eastAsia="宋体" w:cs="Times New Roman"/>
                <w:szCs w:val="21"/>
              </w:rPr>
            </w:pPr>
            <w:r>
              <w:rPr>
                <w:rFonts w:hint="eastAsia" w:ascii="宋体" w:hAnsi="宋体" w:eastAsia="宋体" w:cs="Times New Roman"/>
                <w:szCs w:val="21"/>
              </w:rPr>
              <w:t>本项目不接受联合体投标。</w:t>
            </w:r>
          </w:p>
        </w:tc>
      </w:tr>
      <w:tr w14:paraId="677F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0FC5E99">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1.9</w:t>
            </w:r>
          </w:p>
        </w:tc>
        <w:tc>
          <w:tcPr>
            <w:tcW w:w="2110" w:type="dxa"/>
            <w:vAlign w:val="center"/>
          </w:tcPr>
          <w:p w14:paraId="55325E23">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踏勘现场</w:t>
            </w:r>
          </w:p>
        </w:tc>
        <w:tc>
          <w:tcPr>
            <w:tcW w:w="5864" w:type="dxa"/>
            <w:vAlign w:val="center"/>
          </w:tcPr>
          <w:p w14:paraId="7C4B2408">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不组织</w:t>
            </w:r>
          </w:p>
        </w:tc>
      </w:tr>
      <w:tr w14:paraId="3BD5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BD820C8">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1.10</w:t>
            </w:r>
          </w:p>
        </w:tc>
        <w:tc>
          <w:tcPr>
            <w:tcW w:w="2110" w:type="dxa"/>
            <w:vAlign w:val="center"/>
          </w:tcPr>
          <w:p w14:paraId="5C036563">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投标预备会</w:t>
            </w:r>
          </w:p>
        </w:tc>
        <w:tc>
          <w:tcPr>
            <w:tcW w:w="5864" w:type="dxa"/>
            <w:vAlign w:val="center"/>
          </w:tcPr>
          <w:p w14:paraId="4716F22F">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不召开</w:t>
            </w:r>
          </w:p>
        </w:tc>
      </w:tr>
      <w:tr w14:paraId="4267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7404B36">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1.11</w:t>
            </w:r>
          </w:p>
        </w:tc>
        <w:tc>
          <w:tcPr>
            <w:tcW w:w="2110" w:type="dxa"/>
            <w:vAlign w:val="center"/>
          </w:tcPr>
          <w:p w14:paraId="7B2C2A97">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分  包</w:t>
            </w:r>
          </w:p>
        </w:tc>
        <w:tc>
          <w:tcPr>
            <w:tcW w:w="5864" w:type="dxa"/>
            <w:vAlign w:val="center"/>
          </w:tcPr>
          <w:p w14:paraId="7DB5D4E1">
            <w:pPr>
              <w:wordWrap w:val="0"/>
              <w:spacing w:line="360" w:lineRule="exact"/>
              <w:rPr>
                <w:rFonts w:hint="eastAsia" w:ascii="宋体" w:hAnsi="宋体" w:eastAsia="宋体" w:cs="Times New Roman"/>
                <w:szCs w:val="21"/>
              </w:rPr>
            </w:pPr>
            <w:r>
              <w:rPr>
                <w:rFonts w:hint="eastAsia" w:ascii="宋体" w:hAnsi="宋体" w:eastAsia="宋体" w:cs="宋体"/>
                <w:szCs w:val="21"/>
              </w:rPr>
              <w:t>不允许</w:t>
            </w:r>
          </w:p>
        </w:tc>
      </w:tr>
      <w:tr w14:paraId="790B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F8E4C35">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1.12</w:t>
            </w:r>
          </w:p>
        </w:tc>
        <w:tc>
          <w:tcPr>
            <w:tcW w:w="2110" w:type="dxa"/>
            <w:vAlign w:val="center"/>
          </w:tcPr>
          <w:p w14:paraId="604FFDF2">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偏  离</w:t>
            </w:r>
          </w:p>
        </w:tc>
        <w:tc>
          <w:tcPr>
            <w:tcW w:w="5864" w:type="dxa"/>
            <w:vAlign w:val="center"/>
          </w:tcPr>
          <w:p w14:paraId="1B5AFBE8">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不允许</w:t>
            </w:r>
          </w:p>
        </w:tc>
      </w:tr>
      <w:tr w14:paraId="4915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C2AEB9C">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1.1（8）</w:t>
            </w:r>
          </w:p>
        </w:tc>
        <w:tc>
          <w:tcPr>
            <w:tcW w:w="2110" w:type="dxa"/>
            <w:vAlign w:val="center"/>
          </w:tcPr>
          <w:p w14:paraId="592C9919">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构成招标文件的其他材料</w:t>
            </w:r>
          </w:p>
        </w:tc>
        <w:tc>
          <w:tcPr>
            <w:tcW w:w="5864" w:type="dxa"/>
            <w:vAlign w:val="center"/>
          </w:tcPr>
          <w:p w14:paraId="5C96AABD">
            <w:pPr>
              <w:tabs>
                <w:tab w:val="left" w:pos="826"/>
              </w:tabs>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招标文件的澄清、修改、补充通知等内容</w:t>
            </w:r>
            <w:r>
              <w:rPr>
                <w:rFonts w:hint="eastAsia" w:ascii="宋体" w:hAnsi="宋体" w:eastAsia="宋体" w:cs="Times New Roman"/>
                <w:kern w:val="0"/>
                <w:szCs w:val="21"/>
              </w:rPr>
              <w:t>。</w:t>
            </w:r>
          </w:p>
        </w:tc>
      </w:tr>
      <w:tr w14:paraId="1283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A002A2C">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2.2.1</w:t>
            </w:r>
          </w:p>
        </w:tc>
        <w:tc>
          <w:tcPr>
            <w:tcW w:w="2110" w:type="dxa"/>
            <w:vAlign w:val="center"/>
          </w:tcPr>
          <w:p w14:paraId="3E0CF083">
            <w:pPr>
              <w:wordWrap w:val="0"/>
              <w:spacing w:line="360" w:lineRule="exact"/>
              <w:rPr>
                <w:rFonts w:hint="eastAsia" w:ascii="宋体" w:hAnsi="宋体" w:eastAsia="宋体" w:cs="Times New Roman"/>
                <w:kern w:val="0"/>
                <w:szCs w:val="21"/>
              </w:rPr>
            </w:pPr>
            <w:r>
              <w:rPr>
                <w:rFonts w:hint="eastAsia" w:ascii="宋体" w:hAnsi="宋体" w:eastAsia="宋体" w:cs="宋体"/>
                <w:szCs w:val="21"/>
              </w:rPr>
              <w:t>投标人对招标文件提出异议的截止时间</w:t>
            </w:r>
          </w:p>
        </w:tc>
        <w:tc>
          <w:tcPr>
            <w:tcW w:w="5864" w:type="dxa"/>
            <w:vAlign w:val="center"/>
          </w:tcPr>
          <w:p w14:paraId="4FFDC26B">
            <w:pPr>
              <w:wordWrap w:val="0"/>
              <w:spacing w:line="360" w:lineRule="exact"/>
              <w:rPr>
                <w:rFonts w:hint="eastAsia" w:ascii="宋体" w:hAnsi="宋体" w:eastAsia="宋体" w:cs="Times New Roman"/>
                <w:szCs w:val="21"/>
              </w:rPr>
            </w:pPr>
            <w:r>
              <w:rPr>
                <w:rFonts w:hint="eastAsia" w:ascii="宋体" w:hAnsi="宋体" w:eastAsia="宋体" w:cs="宋体"/>
                <w:szCs w:val="21"/>
              </w:rPr>
              <w:t>投标截止时间</w:t>
            </w:r>
            <w:r>
              <w:rPr>
                <w:rFonts w:ascii="宋体" w:hAnsi="宋体" w:eastAsia="宋体" w:cs="Times New Roman"/>
                <w:szCs w:val="21"/>
              </w:rPr>
              <w:t>10</w:t>
            </w:r>
            <w:r>
              <w:rPr>
                <w:rFonts w:hint="eastAsia" w:ascii="宋体" w:hAnsi="宋体" w:eastAsia="宋体" w:cs="宋体"/>
                <w:szCs w:val="21"/>
              </w:rPr>
              <w:t>日前。投标人不在规定期限内提出，招标人有权不予答复，或答复后投标截止时间由招标人确定是否顺延。</w:t>
            </w:r>
          </w:p>
          <w:p w14:paraId="071255CD">
            <w:pPr>
              <w:wordWrap w:val="0"/>
              <w:spacing w:line="360" w:lineRule="exact"/>
              <w:jc w:val="left"/>
              <w:rPr>
                <w:rFonts w:hint="eastAsia" w:ascii="宋体" w:hAnsi="宋体" w:eastAsia="宋体" w:cs="Times New Roman"/>
                <w:kern w:val="0"/>
                <w:szCs w:val="21"/>
              </w:rPr>
            </w:pPr>
            <w:r>
              <w:rPr>
                <w:rFonts w:hint="eastAsia" w:ascii="宋体" w:hAnsi="宋体" w:eastAsia="宋体" w:cs="宋体"/>
                <w:szCs w:val="21"/>
              </w:rPr>
              <w:t>澄清在</w:t>
            </w:r>
            <w:r>
              <w:rPr>
                <w:rFonts w:hint="eastAsia" w:ascii="宋体" w:hAnsi="宋体" w:eastAsia="宋体" w:cs="Times New Roman"/>
                <w:kern w:val="0"/>
                <w:szCs w:val="21"/>
              </w:rPr>
              <w:t>招标</w:t>
            </w:r>
            <w:r>
              <w:rPr>
                <w:rFonts w:ascii="宋体" w:hAnsi="宋体" w:eastAsia="宋体" w:cs="Times New Roman"/>
                <w:kern w:val="0"/>
                <w:szCs w:val="21"/>
              </w:rPr>
              <w:t>公告发布网站上发布</w:t>
            </w:r>
            <w:r>
              <w:rPr>
                <w:rFonts w:hint="eastAsia" w:ascii="宋体" w:hAnsi="宋体" w:eastAsia="宋体" w:cs="宋体"/>
                <w:szCs w:val="21"/>
              </w:rPr>
              <w:t>。</w:t>
            </w:r>
          </w:p>
        </w:tc>
      </w:tr>
      <w:tr w14:paraId="4BA2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8A8C7CB">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3.1.1</w:t>
            </w:r>
          </w:p>
        </w:tc>
        <w:tc>
          <w:tcPr>
            <w:tcW w:w="2110" w:type="dxa"/>
            <w:vAlign w:val="center"/>
          </w:tcPr>
          <w:p w14:paraId="7162FB21">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构成投标文件的材料</w:t>
            </w:r>
          </w:p>
        </w:tc>
        <w:tc>
          <w:tcPr>
            <w:tcW w:w="5864" w:type="dxa"/>
            <w:vAlign w:val="center"/>
          </w:tcPr>
          <w:p w14:paraId="50C93A85">
            <w:pPr>
              <w:wordWrap w:val="0"/>
              <w:spacing w:line="360" w:lineRule="exact"/>
              <w:jc w:val="left"/>
              <w:rPr>
                <w:rFonts w:hint="eastAsia" w:ascii="宋体" w:hAnsi="宋体" w:eastAsia="宋体" w:cs="Times New Roman"/>
                <w:kern w:val="0"/>
                <w:szCs w:val="21"/>
                <w:highlight w:val="none"/>
              </w:rPr>
            </w:pPr>
            <w:r>
              <w:rPr>
                <w:rFonts w:ascii="宋体" w:hAnsi="宋体" w:eastAsia="宋体" w:cs="Times New Roman"/>
                <w:kern w:val="0"/>
                <w:szCs w:val="21"/>
                <w:highlight w:val="none"/>
              </w:rPr>
              <w:t>投标文件的组成部分：</w:t>
            </w:r>
            <w:r>
              <w:rPr>
                <w:rFonts w:hint="eastAsia" w:ascii="宋体" w:hAnsi="宋体" w:eastAsia="宋体" w:cs="Times New Roman"/>
                <w:kern w:val="0"/>
                <w:szCs w:val="21"/>
                <w:highlight w:val="none"/>
              </w:rPr>
              <w:t>资格审查文件</w:t>
            </w:r>
            <w:r>
              <w:rPr>
                <w:rFonts w:ascii="宋体" w:hAnsi="宋体" w:eastAsia="宋体" w:cs="Times New Roman"/>
                <w:kern w:val="0"/>
                <w:szCs w:val="21"/>
                <w:highlight w:val="none"/>
              </w:rPr>
              <w:t>、</w:t>
            </w:r>
            <w:r>
              <w:rPr>
                <w:rFonts w:hint="eastAsia" w:ascii="宋体" w:hAnsi="宋体" w:eastAsia="宋体" w:cs="Times New Roman"/>
                <w:kern w:val="0"/>
                <w:szCs w:val="21"/>
                <w:highlight w:val="none"/>
              </w:rPr>
              <w:t>资信文件</w:t>
            </w:r>
            <w:r>
              <w:rPr>
                <w:rFonts w:ascii="宋体" w:hAnsi="宋体" w:eastAsia="宋体" w:cs="Times New Roman"/>
                <w:kern w:val="0"/>
                <w:szCs w:val="21"/>
                <w:highlight w:val="none"/>
              </w:rPr>
              <w:t>、</w:t>
            </w:r>
            <w:r>
              <w:rPr>
                <w:rFonts w:hint="eastAsia" w:ascii="宋体" w:hAnsi="宋体" w:eastAsia="宋体" w:cs="Times New Roman"/>
                <w:kern w:val="0"/>
                <w:szCs w:val="21"/>
                <w:highlight w:val="none"/>
              </w:rPr>
              <w:t>技术文件</w:t>
            </w:r>
            <w:r>
              <w:rPr>
                <w:rFonts w:ascii="宋体" w:hAnsi="宋体" w:eastAsia="宋体" w:cs="Times New Roman"/>
                <w:kern w:val="0"/>
                <w:szCs w:val="21"/>
                <w:highlight w:val="none"/>
              </w:rPr>
              <w:t>、</w:t>
            </w:r>
            <w:r>
              <w:rPr>
                <w:rFonts w:hint="eastAsia" w:ascii="宋体" w:hAnsi="宋体" w:eastAsia="宋体" w:cs="Times New Roman"/>
                <w:kern w:val="0"/>
                <w:szCs w:val="21"/>
                <w:highlight w:val="none"/>
              </w:rPr>
              <w:t>报价文件四</w:t>
            </w:r>
            <w:r>
              <w:rPr>
                <w:rFonts w:ascii="宋体" w:hAnsi="宋体" w:eastAsia="宋体" w:cs="Times New Roman"/>
                <w:kern w:val="0"/>
                <w:szCs w:val="21"/>
                <w:highlight w:val="none"/>
              </w:rPr>
              <w:t>部分组成</w:t>
            </w:r>
            <w:r>
              <w:rPr>
                <w:rFonts w:hint="eastAsia" w:ascii="宋体" w:hAnsi="宋体" w:eastAsia="宋体" w:cs="Times New Roman"/>
                <w:kern w:val="0"/>
                <w:szCs w:val="21"/>
                <w:highlight w:val="none"/>
              </w:rPr>
              <w:t>。</w:t>
            </w:r>
          </w:p>
          <w:p w14:paraId="36B3691A">
            <w:pPr>
              <w:widowControl/>
              <w:wordWrap w:val="0"/>
              <w:spacing w:line="360" w:lineRule="exact"/>
              <w:jc w:val="left"/>
              <w:rPr>
                <w:rFonts w:hint="eastAsia" w:ascii="宋体" w:hAnsi="宋体" w:eastAsia="宋体" w:cs="Times New Roman"/>
                <w:b/>
                <w:kern w:val="0"/>
                <w:szCs w:val="21"/>
                <w:highlight w:val="none"/>
              </w:rPr>
            </w:pPr>
            <w:r>
              <w:rPr>
                <w:rFonts w:hint="eastAsia" w:ascii="宋体" w:hAnsi="宋体" w:eastAsia="宋体" w:cs="Times New Roman"/>
                <w:b/>
                <w:kern w:val="0"/>
                <w:szCs w:val="21"/>
                <w:highlight w:val="none"/>
              </w:rPr>
              <w:t>资格审查</w:t>
            </w:r>
            <w:r>
              <w:rPr>
                <w:rFonts w:ascii="宋体" w:hAnsi="宋体" w:eastAsia="宋体" w:cs="Times New Roman"/>
                <w:b/>
                <w:kern w:val="0"/>
                <w:szCs w:val="21"/>
                <w:highlight w:val="none"/>
              </w:rPr>
              <w:t>文件包括但不限于以下内容:</w:t>
            </w:r>
          </w:p>
          <w:p w14:paraId="11417C06">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1、法定代表人资格证明书及法定代表人授权委托书（如无授权时，只需提供法定代表人资格证明书），法定代表人及被授权人身份证正反面复印件；</w:t>
            </w:r>
          </w:p>
          <w:p w14:paraId="6CD6D092">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2、投标人有效的营业执照副本或事业单位法人证书等证明文件复印件；</w:t>
            </w:r>
          </w:p>
          <w:p w14:paraId="1B1CAD4C">
            <w:pPr>
              <w:widowControl/>
              <w:wordWrap w:val="0"/>
              <w:spacing w:line="360" w:lineRule="exact"/>
              <w:jc w:val="left"/>
              <w:rPr>
                <w:rFonts w:hint="eastAsia" w:ascii="宋体" w:hAnsi="宋体" w:eastAsia="宋体" w:cs="宋体"/>
                <w:b w:val="0"/>
                <w:kern w:val="0"/>
                <w:szCs w:val="21"/>
                <w:highlight w:val="none"/>
                <w:lang w:eastAsia="zh-CN"/>
              </w:rPr>
            </w:pPr>
            <w:r>
              <w:rPr>
                <w:rFonts w:hint="eastAsia" w:ascii="宋体" w:hAnsi="宋体" w:eastAsia="宋体" w:cs="宋体"/>
                <w:b w:val="0"/>
                <w:kern w:val="0"/>
                <w:szCs w:val="21"/>
                <w:highlight w:val="none"/>
              </w:rPr>
              <w:t>3、投标人类似项目业绩表，须提供合同关键页或中标通知书等复印件证明材料，证明材料须体现出合同双方、</w:t>
            </w:r>
            <w:r>
              <w:rPr>
                <w:rFonts w:hint="eastAsia" w:ascii="宋体" w:hAnsi="宋体" w:eastAsia="宋体" w:cs="宋体"/>
                <w:b w:val="0"/>
                <w:kern w:val="0"/>
                <w:szCs w:val="21"/>
                <w:highlight w:val="none"/>
                <w:lang w:val="en-US" w:eastAsia="zh-CN"/>
              </w:rPr>
              <w:t>合同金额、</w:t>
            </w:r>
            <w:r>
              <w:rPr>
                <w:rFonts w:hint="eastAsia" w:ascii="宋体" w:hAnsi="宋体" w:eastAsia="宋体" w:cs="宋体"/>
                <w:b w:val="0"/>
                <w:kern w:val="0"/>
                <w:szCs w:val="21"/>
                <w:highlight w:val="none"/>
              </w:rPr>
              <w:t>合同签订时间、合同服务等内容，否则评审时不予承认该业绩；联合体业绩、分包业绩均不予认可</w:t>
            </w:r>
            <w:r>
              <w:rPr>
                <w:rFonts w:hint="eastAsia" w:ascii="宋体" w:hAnsi="宋体" w:eastAsia="宋体" w:cs="宋体"/>
                <w:b w:val="0"/>
                <w:kern w:val="0"/>
                <w:szCs w:val="21"/>
                <w:highlight w:val="none"/>
                <w:lang w:eastAsia="zh-CN"/>
              </w:rPr>
              <w:t>；</w:t>
            </w:r>
          </w:p>
          <w:p w14:paraId="659BFFE2">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lang w:val="en-US" w:eastAsia="zh-CN"/>
              </w:rPr>
              <w:t>4</w:t>
            </w:r>
            <w:r>
              <w:rPr>
                <w:rFonts w:hint="eastAsia" w:ascii="宋体" w:hAnsi="宋体" w:eastAsia="宋体" w:cs="宋体"/>
                <w:b w:val="0"/>
                <w:kern w:val="0"/>
                <w:szCs w:val="21"/>
                <w:highlight w:val="none"/>
              </w:rPr>
              <w:t>、承诺书；</w:t>
            </w:r>
          </w:p>
          <w:p w14:paraId="48CA90B3">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lang w:val="en-US" w:eastAsia="zh-CN"/>
              </w:rPr>
              <w:t>5</w:t>
            </w:r>
            <w:r>
              <w:rPr>
                <w:rFonts w:hint="eastAsia" w:ascii="宋体" w:hAnsi="宋体" w:eastAsia="宋体" w:cs="宋体"/>
                <w:b w:val="0"/>
                <w:kern w:val="0"/>
                <w:szCs w:val="21"/>
                <w:highlight w:val="none"/>
              </w:rPr>
              <w:t>、投标人认为需要提交的其他资料。（如有）</w:t>
            </w:r>
          </w:p>
          <w:p w14:paraId="4E9F840E">
            <w:pPr>
              <w:wordWrap w:val="0"/>
              <w:spacing w:line="360" w:lineRule="exact"/>
              <w:jc w:val="left"/>
              <w:rPr>
                <w:rFonts w:hint="eastAsia" w:ascii="宋体" w:hAnsi="宋体" w:eastAsia="宋体" w:cs="Times New Roman"/>
                <w:b/>
                <w:kern w:val="0"/>
                <w:szCs w:val="21"/>
                <w:highlight w:val="none"/>
              </w:rPr>
            </w:pPr>
            <w:r>
              <w:rPr>
                <w:rFonts w:ascii="宋体" w:hAnsi="宋体" w:eastAsia="宋体" w:cs="Times New Roman"/>
                <w:b/>
                <w:kern w:val="0"/>
                <w:szCs w:val="21"/>
                <w:highlight w:val="none"/>
              </w:rPr>
              <w:t>资信文件包括但不限于以下内容</w:t>
            </w:r>
            <w:r>
              <w:rPr>
                <w:rFonts w:hint="eastAsia" w:ascii="宋体" w:hAnsi="宋体" w:eastAsia="宋体" w:cs="Times New Roman"/>
                <w:b/>
                <w:kern w:val="0"/>
                <w:szCs w:val="21"/>
                <w:highlight w:val="none"/>
              </w:rPr>
              <w:t>：</w:t>
            </w:r>
          </w:p>
          <w:p w14:paraId="3A0D0E7D">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1、投标人基本情况一览表；</w:t>
            </w:r>
          </w:p>
          <w:p w14:paraId="753797AC">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2、投标人有效的ISO9001质量管理体系认证证书复印件并加盖投标人公章；（如有）</w:t>
            </w:r>
          </w:p>
          <w:p w14:paraId="71E4C2F5">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3、企业业绩表，须提供合同关键页或中标通知书等复印件证明材料，证明材料须体现出合同双方、合同签订时间、合同服务等内容，否则评审时不予承认该业绩。联合体业绩、分包业绩均不予认可；（如有）</w:t>
            </w:r>
          </w:p>
          <w:p w14:paraId="49501E35">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4、投标人组织机构框图、拟投入本项目人员情况表、项目负责人简历表，提供项目负责人近1年内任意连续6个月的社保证明材料及提供合同证明材料或用户证明复印件且能清晰反映项目特征和拟派项目经理在该项目中担任的职务，用户证明须具有证明单位盖章，否则评审时不予承认该业绩，承接时间以合同或用户证明复印件上所载明的时间为准；</w:t>
            </w:r>
          </w:p>
          <w:p w14:paraId="30936801">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5、提供由注册会计师事务所出具的无保留意见的投标人 2024 年度审计报告（应包含资产负债表、损益表、现金流量表等主要财务报表及附注）；（如有）</w:t>
            </w:r>
          </w:p>
          <w:p w14:paraId="3E89D422">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6、商务条款响应表；</w:t>
            </w:r>
          </w:p>
          <w:p w14:paraId="2137D700">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7、提供经税务局盖章的2024年度纳税证明材料；（如有）</w:t>
            </w:r>
          </w:p>
          <w:p w14:paraId="534D9051">
            <w:pPr>
              <w:widowControl/>
              <w:wordWrap w:val="0"/>
              <w:spacing w:line="360" w:lineRule="exact"/>
              <w:jc w:val="left"/>
              <w:rPr>
                <w:rFonts w:hint="eastAsia" w:ascii="宋体" w:hAnsi="宋体" w:eastAsia="宋体" w:cs="宋体"/>
                <w:b w:val="0"/>
                <w:kern w:val="0"/>
                <w:szCs w:val="21"/>
                <w:highlight w:val="none"/>
              </w:rPr>
            </w:pPr>
            <w:r>
              <w:rPr>
                <w:rFonts w:hint="eastAsia" w:ascii="宋体" w:hAnsi="宋体" w:eastAsia="宋体" w:cs="宋体"/>
                <w:b w:val="0"/>
                <w:kern w:val="0"/>
                <w:szCs w:val="21"/>
                <w:highlight w:val="none"/>
              </w:rPr>
              <w:t>8、投标人认为需要提交的其他资料。（如有）</w:t>
            </w:r>
          </w:p>
          <w:p w14:paraId="3BD502EE">
            <w:pPr>
              <w:wordWrap w:val="0"/>
              <w:spacing w:line="360" w:lineRule="exact"/>
              <w:jc w:val="left"/>
              <w:rPr>
                <w:rFonts w:hint="eastAsia" w:ascii="宋体" w:hAnsi="宋体" w:eastAsia="宋体" w:cs="Times New Roman"/>
                <w:b/>
                <w:kern w:val="0"/>
                <w:szCs w:val="21"/>
                <w:highlight w:val="none"/>
              </w:rPr>
            </w:pPr>
            <w:r>
              <w:rPr>
                <w:rFonts w:ascii="宋体" w:hAnsi="宋体" w:eastAsia="宋体" w:cs="Times New Roman"/>
                <w:b/>
                <w:kern w:val="0"/>
                <w:szCs w:val="21"/>
                <w:highlight w:val="none"/>
              </w:rPr>
              <w:t>技术文件包括但不限于以下内容：</w:t>
            </w:r>
          </w:p>
          <w:p w14:paraId="3E7FBAD0">
            <w:pPr>
              <w:widowControl/>
              <w:wordWrap w:val="0"/>
              <w:spacing w:line="360" w:lineRule="exact"/>
              <w:jc w:val="left"/>
              <w:rPr>
                <w:rFonts w:hint="eastAsia" w:ascii="宋体" w:hAnsi="宋体" w:eastAsia="宋体" w:cs="Times New Roman"/>
                <w:b w:val="0"/>
                <w:bCs/>
                <w:kern w:val="0"/>
                <w:szCs w:val="21"/>
                <w:highlight w:val="none"/>
              </w:rPr>
            </w:pPr>
            <w:r>
              <w:rPr>
                <w:rFonts w:hint="eastAsia" w:ascii="宋体" w:hAnsi="宋体" w:eastAsia="宋体" w:cs="Times New Roman"/>
                <w:b w:val="0"/>
                <w:bCs/>
                <w:kern w:val="0"/>
                <w:szCs w:val="21"/>
                <w:highlight w:val="none"/>
              </w:rPr>
              <w:t>1.技术条款响应表；</w:t>
            </w:r>
          </w:p>
          <w:p w14:paraId="5B4DC2C5">
            <w:pPr>
              <w:widowControl/>
              <w:wordWrap w:val="0"/>
              <w:spacing w:line="360" w:lineRule="exact"/>
              <w:jc w:val="left"/>
              <w:rPr>
                <w:rFonts w:hint="eastAsia" w:ascii="宋体" w:hAnsi="宋体" w:eastAsia="宋体" w:cs="Times New Roman"/>
                <w:b w:val="0"/>
                <w:bCs/>
                <w:kern w:val="0"/>
                <w:szCs w:val="21"/>
                <w:highlight w:val="none"/>
              </w:rPr>
            </w:pPr>
            <w:r>
              <w:rPr>
                <w:rFonts w:hint="eastAsia" w:ascii="宋体" w:hAnsi="宋体" w:eastAsia="宋体" w:cs="Times New Roman"/>
                <w:b w:val="0"/>
                <w:bCs/>
                <w:kern w:val="0"/>
                <w:szCs w:val="21"/>
                <w:highlight w:val="none"/>
              </w:rPr>
              <w:t>2.</w:t>
            </w:r>
            <w:r>
              <w:rPr>
                <w:rFonts w:hint="eastAsia" w:ascii="宋体" w:hAnsi="宋体" w:eastAsia="宋体" w:cs="Times New Roman"/>
                <w:b w:val="0"/>
                <w:bCs/>
                <w:kern w:val="0"/>
                <w:szCs w:val="21"/>
                <w:highlight w:val="none"/>
                <w:lang w:val="en-US" w:eastAsia="zh-CN"/>
              </w:rPr>
              <w:t>公共交通大数据资源中台一期</w:t>
            </w:r>
            <w:r>
              <w:rPr>
                <w:rFonts w:hint="eastAsia" w:ascii="宋体" w:hAnsi="宋体" w:eastAsia="宋体" w:cs="Times New Roman"/>
                <w:b w:val="0"/>
                <w:bCs/>
                <w:kern w:val="0"/>
                <w:szCs w:val="21"/>
                <w:highlight w:val="none"/>
              </w:rPr>
              <w:t>；</w:t>
            </w:r>
          </w:p>
          <w:p w14:paraId="5A90957C">
            <w:pPr>
              <w:widowControl/>
              <w:wordWrap w:val="0"/>
              <w:spacing w:line="360" w:lineRule="exact"/>
              <w:jc w:val="left"/>
              <w:rPr>
                <w:rFonts w:hint="eastAsia" w:ascii="宋体" w:hAnsi="宋体" w:eastAsia="宋体" w:cs="Times New Roman"/>
                <w:b w:val="0"/>
                <w:bCs/>
                <w:kern w:val="0"/>
                <w:szCs w:val="21"/>
                <w:highlight w:val="none"/>
              </w:rPr>
            </w:pPr>
            <w:r>
              <w:rPr>
                <w:rFonts w:hint="eastAsia" w:ascii="宋体" w:hAnsi="宋体" w:eastAsia="宋体" w:cs="Times New Roman"/>
                <w:b w:val="0"/>
                <w:bCs/>
                <w:kern w:val="0"/>
                <w:szCs w:val="21"/>
                <w:highlight w:val="none"/>
              </w:rPr>
              <w:t>3.</w:t>
            </w:r>
            <w:r>
              <w:rPr>
                <w:rFonts w:hint="eastAsia" w:ascii="宋体" w:hAnsi="宋体" w:eastAsia="宋体" w:cs="Times New Roman"/>
                <w:b w:val="0"/>
                <w:bCs/>
                <w:kern w:val="0"/>
                <w:szCs w:val="21"/>
                <w:highlight w:val="none"/>
                <w:lang w:val="en-US" w:eastAsia="zh-CN"/>
              </w:rPr>
              <w:t>城轨</w:t>
            </w:r>
            <w:r>
              <w:rPr>
                <w:rFonts w:hint="eastAsia" w:ascii="宋体" w:hAnsi="宋体" w:eastAsia="宋体" w:cs="Times New Roman"/>
                <w:b w:val="0"/>
                <w:bCs/>
                <w:kern w:val="0"/>
                <w:szCs w:val="21"/>
                <w:highlight w:val="none"/>
              </w:rPr>
              <w:t>与公交协同调度指挥系统</w:t>
            </w:r>
            <w:r>
              <w:rPr>
                <w:rFonts w:hint="eastAsia" w:ascii="宋体" w:hAnsi="宋体" w:eastAsia="宋体" w:cs="Times New Roman"/>
                <w:b w:val="0"/>
                <w:bCs/>
                <w:kern w:val="0"/>
                <w:szCs w:val="21"/>
                <w:highlight w:val="none"/>
                <w:lang w:val="en-US" w:eastAsia="zh-CN"/>
              </w:rPr>
              <w:t>一期</w:t>
            </w:r>
            <w:r>
              <w:rPr>
                <w:rFonts w:hint="eastAsia" w:ascii="宋体" w:hAnsi="宋体" w:eastAsia="宋体" w:cs="Times New Roman"/>
                <w:b w:val="0"/>
                <w:bCs/>
                <w:kern w:val="0"/>
                <w:szCs w:val="21"/>
                <w:highlight w:val="none"/>
              </w:rPr>
              <w:t>；</w:t>
            </w:r>
          </w:p>
          <w:p w14:paraId="3E3F5124">
            <w:pPr>
              <w:widowControl/>
              <w:wordWrap w:val="0"/>
              <w:spacing w:line="360" w:lineRule="exact"/>
              <w:jc w:val="left"/>
              <w:rPr>
                <w:rFonts w:hint="eastAsia" w:ascii="宋体" w:hAnsi="宋体" w:eastAsia="宋体" w:cs="Times New Roman"/>
                <w:b w:val="0"/>
                <w:bCs/>
                <w:kern w:val="0"/>
                <w:szCs w:val="21"/>
                <w:highlight w:val="none"/>
              </w:rPr>
            </w:pPr>
            <w:r>
              <w:rPr>
                <w:rFonts w:hint="eastAsia" w:ascii="宋体" w:hAnsi="宋体" w:eastAsia="宋体" w:cs="Times New Roman"/>
                <w:b w:val="0"/>
                <w:bCs/>
                <w:kern w:val="0"/>
                <w:szCs w:val="21"/>
                <w:highlight w:val="none"/>
              </w:rPr>
              <w:t>4.</w:t>
            </w:r>
            <w:r>
              <w:rPr>
                <w:rFonts w:hint="eastAsia" w:ascii="宋体" w:hAnsi="宋体" w:eastAsia="宋体" w:cs="Times New Roman"/>
                <w:b w:val="0"/>
                <w:bCs/>
                <w:kern w:val="0"/>
                <w:szCs w:val="21"/>
                <w:highlight w:val="none"/>
                <w:lang w:val="en-US" w:eastAsia="zh-CN"/>
              </w:rPr>
              <w:t>公交</w:t>
            </w:r>
            <w:r>
              <w:rPr>
                <w:rFonts w:hint="eastAsia" w:ascii="宋体" w:hAnsi="宋体" w:eastAsia="宋体" w:cs="Times New Roman"/>
                <w:b w:val="0"/>
                <w:bCs/>
                <w:kern w:val="0"/>
                <w:szCs w:val="21"/>
                <w:highlight w:val="none"/>
                <w:lang w:eastAsia="zh-CN"/>
              </w:rPr>
              <w:t>智能调度系统</w:t>
            </w:r>
            <w:r>
              <w:rPr>
                <w:rFonts w:hint="eastAsia" w:ascii="宋体" w:hAnsi="宋体" w:eastAsia="宋体" w:cs="Times New Roman"/>
                <w:b w:val="0"/>
                <w:bCs/>
                <w:kern w:val="0"/>
                <w:szCs w:val="21"/>
                <w:highlight w:val="none"/>
                <w:lang w:val="en-US" w:eastAsia="zh-CN"/>
              </w:rPr>
              <w:t>升级改造</w:t>
            </w:r>
            <w:r>
              <w:rPr>
                <w:rFonts w:hint="eastAsia" w:ascii="宋体" w:hAnsi="宋体" w:eastAsia="宋体" w:cs="Times New Roman"/>
                <w:b w:val="0"/>
                <w:bCs/>
                <w:kern w:val="0"/>
                <w:szCs w:val="21"/>
                <w:highlight w:val="none"/>
              </w:rPr>
              <w:t>；</w:t>
            </w:r>
          </w:p>
          <w:p w14:paraId="51C4F843">
            <w:pPr>
              <w:widowControl/>
              <w:wordWrap w:val="0"/>
              <w:spacing w:line="360" w:lineRule="exact"/>
              <w:jc w:val="left"/>
              <w:rPr>
                <w:rFonts w:hint="eastAsia" w:ascii="宋体" w:hAnsi="宋体" w:eastAsia="宋体" w:cs="Times New Roman"/>
                <w:b w:val="0"/>
                <w:bCs/>
                <w:kern w:val="0"/>
                <w:szCs w:val="21"/>
                <w:highlight w:val="none"/>
              </w:rPr>
            </w:pPr>
            <w:r>
              <w:rPr>
                <w:rFonts w:hint="eastAsia" w:ascii="宋体" w:hAnsi="宋体" w:eastAsia="宋体" w:cs="Times New Roman"/>
                <w:b w:val="0"/>
                <w:bCs/>
                <w:kern w:val="0"/>
                <w:szCs w:val="21"/>
                <w:highlight w:val="none"/>
              </w:rPr>
              <w:t>5.</w:t>
            </w:r>
            <w:r>
              <w:rPr>
                <w:rFonts w:hint="eastAsia" w:ascii="宋体" w:hAnsi="宋体" w:eastAsia="宋体" w:cs="Times New Roman"/>
                <w:b w:val="0"/>
                <w:bCs/>
                <w:kern w:val="0"/>
                <w:szCs w:val="21"/>
                <w:highlight w:val="none"/>
                <w:lang w:eastAsia="zh-CN"/>
              </w:rPr>
              <w:t>共享（电）单车智慧监管系统一期</w:t>
            </w:r>
            <w:r>
              <w:rPr>
                <w:rFonts w:hint="eastAsia" w:ascii="宋体" w:hAnsi="宋体" w:eastAsia="宋体" w:cs="Times New Roman"/>
                <w:b w:val="0"/>
                <w:bCs/>
                <w:kern w:val="0"/>
                <w:szCs w:val="21"/>
                <w:highlight w:val="none"/>
              </w:rPr>
              <w:t>；</w:t>
            </w:r>
          </w:p>
          <w:p w14:paraId="0B7CDE0A">
            <w:pPr>
              <w:widowControl/>
              <w:wordWrap w:val="0"/>
              <w:spacing w:line="360" w:lineRule="exact"/>
              <w:jc w:val="left"/>
              <w:rPr>
                <w:rFonts w:hint="eastAsia" w:ascii="宋体" w:hAnsi="宋体" w:eastAsia="宋体" w:cs="Times New Roman"/>
                <w:b w:val="0"/>
                <w:bCs/>
                <w:kern w:val="0"/>
                <w:szCs w:val="21"/>
                <w:highlight w:val="none"/>
              </w:rPr>
            </w:pPr>
            <w:r>
              <w:rPr>
                <w:rFonts w:hint="eastAsia" w:ascii="宋体" w:hAnsi="宋体" w:eastAsia="宋体" w:cs="Times New Roman"/>
                <w:b w:val="0"/>
                <w:bCs/>
                <w:kern w:val="0"/>
                <w:szCs w:val="21"/>
                <w:highlight w:val="none"/>
                <w:lang w:val="en-US" w:eastAsia="zh-CN"/>
              </w:rPr>
              <w:t>6</w:t>
            </w:r>
            <w:r>
              <w:rPr>
                <w:rFonts w:hint="eastAsia" w:ascii="宋体" w:hAnsi="宋体" w:eastAsia="宋体" w:cs="Times New Roman"/>
                <w:b w:val="0"/>
                <w:bCs/>
                <w:kern w:val="0"/>
                <w:szCs w:val="21"/>
                <w:highlight w:val="none"/>
              </w:rPr>
              <w:t>.投标人认为需要提交的其他资料。（如有）</w:t>
            </w:r>
          </w:p>
          <w:p w14:paraId="4C6ED6F9">
            <w:pPr>
              <w:widowControl/>
              <w:wordWrap w:val="0"/>
              <w:spacing w:line="360" w:lineRule="exact"/>
              <w:jc w:val="left"/>
              <w:rPr>
                <w:rFonts w:hint="eastAsia" w:ascii="宋体" w:hAnsi="宋体" w:eastAsia="宋体" w:cs="Times New Roman"/>
                <w:b/>
                <w:kern w:val="0"/>
                <w:szCs w:val="21"/>
                <w:highlight w:val="none"/>
              </w:rPr>
            </w:pPr>
            <w:r>
              <w:rPr>
                <w:rFonts w:hint="eastAsia" w:ascii="宋体" w:hAnsi="宋体" w:eastAsia="宋体" w:cs="Times New Roman"/>
                <w:b/>
                <w:kern w:val="0"/>
                <w:szCs w:val="21"/>
                <w:highlight w:val="none"/>
              </w:rPr>
              <w:t>报价文件</w:t>
            </w:r>
            <w:r>
              <w:rPr>
                <w:rFonts w:ascii="宋体" w:hAnsi="宋体" w:eastAsia="宋体" w:cs="Times New Roman"/>
                <w:b/>
                <w:kern w:val="0"/>
                <w:szCs w:val="21"/>
                <w:highlight w:val="none"/>
              </w:rPr>
              <w:t>包括但不限于以下内容</w:t>
            </w:r>
            <w:r>
              <w:rPr>
                <w:rFonts w:hint="eastAsia" w:ascii="宋体" w:hAnsi="宋体" w:eastAsia="宋体" w:cs="Times New Roman"/>
                <w:b/>
                <w:kern w:val="0"/>
                <w:szCs w:val="21"/>
                <w:highlight w:val="none"/>
              </w:rPr>
              <w:t>：</w:t>
            </w:r>
          </w:p>
          <w:p w14:paraId="364404AE">
            <w:pPr>
              <w:wordWrap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投标函；</w:t>
            </w:r>
          </w:p>
          <w:p w14:paraId="2E70AE88">
            <w:pPr>
              <w:wordWrap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投标报价表；</w:t>
            </w:r>
          </w:p>
          <w:p w14:paraId="5FC0BE4D">
            <w:pPr>
              <w:wordWrap w:val="0"/>
              <w:spacing w:line="36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3.供货清单分项报价表；</w:t>
            </w:r>
          </w:p>
          <w:p w14:paraId="5D8A4780">
            <w:pPr>
              <w:wordWrap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投标人认为需要提交的其他资料。</w:t>
            </w:r>
            <w:r>
              <w:rPr>
                <w:rFonts w:hint="eastAsia" w:ascii="宋体" w:hAnsi="宋体" w:eastAsia="宋体" w:cs="宋体"/>
                <w:b w:val="0"/>
                <w:kern w:val="0"/>
                <w:szCs w:val="21"/>
                <w:highlight w:val="none"/>
              </w:rPr>
              <w:t>（如有）</w:t>
            </w:r>
          </w:p>
        </w:tc>
      </w:tr>
      <w:tr w14:paraId="60E2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D9828C9">
            <w:pPr>
              <w:wordWrap w:val="0"/>
              <w:spacing w:line="360" w:lineRule="exact"/>
              <w:jc w:val="center"/>
              <w:rPr>
                <w:rFonts w:hint="eastAsia" w:ascii="宋体" w:hAnsi="宋体" w:eastAsia="宋体" w:cs="Times New Roman"/>
                <w:kern w:val="0"/>
                <w:szCs w:val="21"/>
              </w:rPr>
            </w:pPr>
            <w:r>
              <w:rPr>
                <w:rFonts w:hint="eastAsia" w:ascii="宋体" w:hAnsi="宋体" w:eastAsia="宋体" w:cs="Times New Roman"/>
                <w:kern w:val="0"/>
                <w:szCs w:val="21"/>
              </w:rPr>
              <w:t>3.2</w:t>
            </w:r>
          </w:p>
        </w:tc>
        <w:tc>
          <w:tcPr>
            <w:tcW w:w="2110" w:type="dxa"/>
            <w:vAlign w:val="center"/>
          </w:tcPr>
          <w:p w14:paraId="72812443">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投标报价</w:t>
            </w:r>
          </w:p>
        </w:tc>
        <w:tc>
          <w:tcPr>
            <w:tcW w:w="5864" w:type="dxa"/>
            <w:vAlign w:val="center"/>
          </w:tcPr>
          <w:p w14:paraId="10EFAC73">
            <w:pPr>
              <w:wordWrap w:val="0"/>
              <w:spacing w:line="360" w:lineRule="exact"/>
              <w:jc w:val="left"/>
              <w:rPr>
                <w:rFonts w:hint="eastAsia" w:ascii="宋体" w:hAnsi="宋体" w:eastAsia="宋体" w:cs="Times New Roman"/>
                <w:szCs w:val="21"/>
                <w:highlight w:val="none"/>
              </w:rPr>
            </w:pPr>
            <w:r>
              <w:rPr>
                <w:rFonts w:hint="eastAsia" w:ascii="宋体" w:hAnsi="宋体" w:eastAsia="宋体" w:cs="Times New Roman"/>
                <w:szCs w:val="24"/>
                <w:highlight w:val="none"/>
              </w:rPr>
              <w:t>本项目采用固定总价</w:t>
            </w:r>
            <w:r>
              <w:rPr>
                <w:rFonts w:hint="eastAsia" w:ascii="宋体" w:hAnsi="宋体" w:eastAsia="宋体" w:cs="Times New Roman"/>
                <w:szCs w:val="24"/>
                <w:highlight w:val="none"/>
                <w:lang w:val="en-US" w:eastAsia="zh-CN"/>
              </w:rPr>
              <w:t>形式</w:t>
            </w:r>
            <w:r>
              <w:rPr>
                <w:rFonts w:hint="eastAsia" w:ascii="宋体" w:hAnsi="宋体" w:eastAsia="宋体" w:cs="Times New Roman"/>
                <w:szCs w:val="24"/>
                <w:highlight w:val="none"/>
                <w:lang w:eastAsia="zh-CN"/>
              </w:rPr>
              <w:t>，</w:t>
            </w:r>
            <w:r>
              <w:rPr>
                <w:rFonts w:hint="eastAsia" w:ascii="宋体" w:hAnsi="宋体" w:eastAsia="宋体" w:cs="Times New Roman"/>
                <w:szCs w:val="24"/>
              </w:rPr>
              <w:t>投</w:t>
            </w:r>
            <w:r>
              <w:rPr>
                <w:rFonts w:hint="eastAsia" w:ascii="宋体" w:hAnsi="宋体" w:eastAsia="宋体" w:cs="Times New Roman"/>
                <w:szCs w:val="24"/>
                <w:lang w:val="en-US" w:eastAsia="zh-CN"/>
              </w:rPr>
              <w:t>标</w:t>
            </w:r>
            <w:r>
              <w:rPr>
                <w:rFonts w:hint="eastAsia" w:ascii="宋体" w:hAnsi="宋体" w:eastAsia="宋体" w:cs="Times New Roman"/>
                <w:szCs w:val="24"/>
              </w:rPr>
              <w:t>报价为完成本项目全部服务内容的合同总价。</w:t>
            </w:r>
            <w:r>
              <w:rPr>
                <w:rFonts w:hint="eastAsia" w:ascii="Times New Roman" w:hAnsi="Times New Roman" w:eastAsia="宋体" w:cs="Times New Roman"/>
                <w:iCs/>
                <w:szCs w:val="24"/>
              </w:rPr>
              <w:t>合同执行</w:t>
            </w:r>
            <w:r>
              <w:rPr>
                <w:rFonts w:hint="eastAsia" w:ascii="Times New Roman" w:hAnsi="Times New Roman" w:eastAsia="宋体" w:cs="Times New Roman"/>
                <w:iCs/>
                <w:szCs w:val="24"/>
                <w:highlight w:val="none"/>
              </w:rPr>
              <w:t>过程中如遇国家税率调整，则按国家政策执行，以不含税价格调整合同总价。</w:t>
            </w:r>
          </w:p>
        </w:tc>
      </w:tr>
      <w:tr w14:paraId="6EC9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1F24FCA">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3.3.1</w:t>
            </w:r>
          </w:p>
        </w:tc>
        <w:tc>
          <w:tcPr>
            <w:tcW w:w="2110" w:type="dxa"/>
            <w:vAlign w:val="center"/>
          </w:tcPr>
          <w:p w14:paraId="3B9B3E36">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投标有效期</w:t>
            </w:r>
          </w:p>
        </w:tc>
        <w:tc>
          <w:tcPr>
            <w:tcW w:w="5864" w:type="dxa"/>
            <w:vAlign w:val="center"/>
          </w:tcPr>
          <w:p w14:paraId="399FE131">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递交投标文件的截止之日起120日历天</w:t>
            </w:r>
          </w:p>
        </w:tc>
      </w:tr>
      <w:tr w14:paraId="4840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1693182">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3.4</w:t>
            </w:r>
          </w:p>
        </w:tc>
        <w:tc>
          <w:tcPr>
            <w:tcW w:w="2110" w:type="dxa"/>
            <w:vAlign w:val="center"/>
          </w:tcPr>
          <w:p w14:paraId="042232F7">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投标保证金</w:t>
            </w:r>
          </w:p>
        </w:tc>
        <w:tc>
          <w:tcPr>
            <w:tcW w:w="5864" w:type="dxa"/>
            <w:vAlign w:val="center"/>
          </w:tcPr>
          <w:p w14:paraId="1275ECCA">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本项目无需</w:t>
            </w:r>
            <w:r>
              <w:rPr>
                <w:rFonts w:ascii="宋体" w:hAnsi="宋体" w:eastAsia="宋体" w:cs="Times New Roman"/>
                <w:kern w:val="0"/>
                <w:szCs w:val="21"/>
              </w:rPr>
              <w:t>递交投标保证金</w:t>
            </w:r>
          </w:p>
        </w:tc>
      </w:tr>
      <w:tr w14:paraId="502F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BE04681">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3.5</w:t>
            </w:r>
          </w:p>
        </w:tc>
        <w:tc>
          <w:tcPr>
            <w:tcW w:w="2110" w:type="dxa"/>
            <w:vAlign w:val="center"/>
          </w:tcPr>
          <w:p w14:paraId="40F3DF8D">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是否允许递交备选投标方案</w:t>
            </w:r>
          </w:p>
        </w:tc>
        <w:tc>
          <w:tcPr>
            <w:tcW w:w="5864" w:type="dxa"/>
            <w:vAlign w:val="center"/>
          </w:tcPr>
          <w:p w14:paraId="7D624548">
            <w:pPr>
              <w:wordWrap w:val="0"/>
              <w:spacing w:line="360" w:lineRule="exact"/>
              <w:jc w:val="left"/>
              <w:rPr>
                <w:rFonts w:hint="eastAsia" w:ascii="宋体" w:hAnsi="宋体" w:eastAsia="宋体" w:cs="Times New Roman"/>
                <w:kern w:val="0"/>
                <w:szCs w:val="21"/>
                <w:u w:val="single"/>
              </w:rPr>
            </w:pPr>
            <w:r>
              <w:rPr>
                <w:rFonts w:ascii="宋体" w:hAnsi="宋体" w:eastAsia="宋体" w:cs="Times New Roman"/>
                <w:kern w:val="0"/>
                <w:szCs w:val="21"/>
              </w:rPr>
              <w:t>不允许</w:t>
            </w:r>
          </w:p>
        </w:tc>
      </w:tr>
      <w:tr w14:paraId="3640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FC09100">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3.6.3</w:t>
            </w:r>
          </w:p>
        </w:tc>
        <w:tc>
          <w:tcPr>
            <w:tcW w:w="2110" w:type="dxa"/>
            <w:vAlign w:val="center"/>
          </w:tcPr>
          <w:p w14:paraId="69D93A0C">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签字和（或）盖章要求</w:t>
            </w:r>
          </w:p>
        </w:tc>
        <w:tc>
          <w:tcPr>
            <w:tcW w:w="5864" w:type="dxa"/>
            <w:vAlign w:val="center"/>
          </w:tcPr>
          <w:p w14:paraId="520404CE">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投标人应当按照招标文件规定，在投标文件封面和文本中明确要求之处进行签字或者盖章。</w:t>
            </w:r>
          </w:p>
        </w:tc>
      </w:tr>
      <w:tr w14:paraId="123D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8CF5B9A">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3.6.4</w:t>
            </w:r>
          </w:p>
        </w:tc>
        <w:tc>
          <w:tcPr>
            <w:tcW w:w="2110" w:type="dxa"/>
            <w:vAlign w:val="center"/>
          </w:tcPr>
          <w:p w14:paraId="4C0C52C3">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投标文件份数</w:t>
            </w:r>
          </w:p>
        </w:tc>
        <w:tc>
          <w:tcPr>
            <w:tcW w:w="5864" w:type="dxa"/>
            <w:vAlign w:val="center"/>
          </w:tcPr>
          <w:p w14:paraId="4222F1B0">
            <w:pPr>
              <w:wordWrap w:val="0"/>
              <w:spacing w:line="360" w:lineRule="exact"/>
              <w:jc w:val="left"/>
              <w:rPr>
                <w:rFonts w:hint="eastAsia" w:ascii="宋体" w:hAnsi="宋体" w:eastAsia="宋体" w:cs="Times New Roman"/>
                <w:caps/>
                <w:szCs w:val="21"/>
              </w:rPr>
            </w:pPr>
            <w:r>
              <w:rPr>
                <w:rFonts w:ascii="宋体" w:hAnsi="宋体" w:eastAsia="宋体" w:cs="Times New Roman"/>
                <w:caps/>
                <w:szCs w:val="21"/>
              </w:rPr>
              <w:t>正本</w:t>
            </w:r>
            <w:r>
              <w:rPr>
                <w:rFonts w:hint="eastAsia" w:ascii="宋体" w:hAnsi="宋体" w:eastAsia="宋体" w:cs="Times New Roman"/>
                <w:caps/>
                <w:szCs w:val="21"/>
                <w:u w:val="single"/>
              </w:rPr>
              <w:t xml:space="preserve"> </w:t>
            </w:r>
            <w:r>
              <w:rPr>
                <w:rFonts w:ascii="宋体" w:hAnsi="宋体" w:eastAsia="宋体" w:cs="Times New Roman"/>
                <w:b/>
                <w:caps/>
                <w:szCs w:val="21"/>
                <w:u w:val="single"/>
              </w:rPr>
              <w:t>一</w:t>
            </w:r>
            <w:r>
              <w:rPr>
                <w:rFonts w:hint="eastAsia" w:ascii="宋体" w:hAnsi="宋体" w:eastAsia="宋体" w:cs="Times New Roman"/>
                <w:b/>
                <w:caps/>
                <w:szCs w:val="21"/>
                <w:u w:val="single"/>
              </w:rPr>
              <w:t xml:space="preserve"> </w:t>
            </w:r>
            <w:r>
              <w:rPr>
                <w:rFonts w:hint="eastAsia" w:ascii="宋体" w:hAnsi="宋体" w:eastAsia="宋体" w:cs="Times New Roman"/>
                <w:caps/>
                <w:szCs w:val="21"/>
              </w:rPr>
              <w:t>份</w:t>
            </w:r>
            <w:r>
              <w:rPr>
                <w:rFonts w:ascii="宋体" w:hAnsi="宋体" w:eastAsia="宋体" w:cs="Times New Roman"/>
                <w:caps/>
                <w:szCs w:val="21"/>
              </w:rPr>
              <w:t>，副本</w:t>
            </w:r>
            <w:r>
              <w:rPr>
                <w:rFonts w:ascii="宋体" w:hAnsi="宋体" w:eastAsia="宋体" w:cs="Times New Roman"/>
                <w:b/>
                <w:caps/>
                <w:szCs w:val="21"/>
                <w:u w:val="single"/>
              </w:rPr>
              <w:t xml:space="preserve"> </w:t>
            </w:r>
            <w:r>
              <w:rPr>
                <w:rFonts w:hint="eastAsia" w:ascii="宋体" w:hAnsi="宋体" w:eastAsia="宋体" w:cs="Times New Roman"/>
                <w:caps/>
                <w:szCs w:val="21"/>
                <w:u w:val="single"/>
              </w:rPr>
              <w:t>四</w:t>
            </w:r>
            <w:r>
              <w:rPr>
                <w:rFonts w:ascii="宋体" w:hAnsi="宋体" w:eastAsia="宋体" w:cs="Times New Roman"/>
                <w:b/>
                <w:caps/>
                <w:szCs w:val="21"/>
                <w:u w:val="single"/>
              </w:rPr>
              <w:t xml:space="preserve"> </w:t>
            </w:r>
            <w:r>
              <w:rPr>
                <w:rFonts w:hint="eastAsia" w:ascii="宋体" w:hAnsi="宋体" w:eastAsia="宋体" w:cs="Times New Roman"/>
                <w:caps/>
                <w:szCs w:val="21"/>
              </w:rPr>
              <w:t>份</w:t>
            </w:r>
            <w:r>
              <w:rPr>
                <w:rFonts w:ascii="宋体" w:hAnsi="宋体" w:eastAsia="宋体" w:cs="Times New Roman"/>
                <w:caps/>
                <w:szCs w:val="21"/>
              </w:rPr>
              <w:t>，并应随投标文件提交包含投标文件全部内容的电子文件</w:t>
            </w:r>
            <w:r>
              <w:rPr>
                <w:rFonts w:hint="eastAsia" w:ascii="宋体" w:hAnsi="宋体" w:eastAsia="宋体" w:cs="Times New Roman"/>
                <w:b/>
                <w:caps/>
                <w:szCs w:val="21"/>
                <w:u w:val="single"/>
              </w:rPr>
              <w:t xml:space="preserve"> 二 </w:t>
            </w:r>
            <w:r>
              <w:rPr>
                <w:rFonts w:hint="eastAsia" w:ascii="宋体" w:hAnsi="宋体" w:eastAsia="宋体" w:cs="Times New Roman"/>
                <w:caps/>
                <w:szCs w:val="21"/>
              </w:rPr>
              <w:t>份</w:t>
            </w:r>
            <w:r>
              <w:rPr>
                <w:rFonts w:ascii="宋体" w:hAnsi="宋体" w:eastAsia="宋体" w:cs="Times New Roman"/>
                <w:caps/>
                <w:szCs w:val="21"/>
              </w:rPr>
              <w:t>U盘</w:t>
            </w:r>
            <w:r>
              <w:rPr>
                <w:rFonts w:hint="eastAsia" w:ascii="宋体" w:hAnsi="宋体" w:eastAsia="宋体" w:cs="Times New Roman"/>
                <w:caps/>
                <w:szCs w:val="21"/>
              </w:rPr>
              <w:t>。投标文件电子版内容及格式：每份以office或WPS版本(文本内容为Word格式，清单为word或Excel格式）的全套投标文件(资格文件、技术文件和价格文件)和盖章后的全套投标文件(资格文件、技术文件和价格文件)正本的PDF版本扫描件。</w:t>
            </w:r>
          </w:p>
          <w:p w14:paraId="79D84496">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caps/>
                <w:szCs w:val="21"/>
              </w:rPr>
              <w:t>投标人中标后须按招标人要求另提供若干份副本。</w:t>
            </w:r>
          </w:p>
        </w:tc>
      </w:tr>
      <w:tr w14:paraId="1FB3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F45659E">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3.6.5</w:t>
            </w:r>
          </w:p>
        </w:tc>
        <w:tc>
          <w:tcPr>
            <w:tcW w:w="2110" w:type="dxa"/>
            <w:vAlign w:val="center"/>
          </w:tcPr>
          <w:p w14:paraId="77A325F3">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装订要求</w:t>
            </w:r>
          </w:p>
        </w:tc>
        <w:tc>
          <w:tcPr>
            <w:tcW w:w="5864" w:type="dxa"/>
            <w:vAlign w:val="center"/>
          </w:tcPr>
          <w:p w14:paraId="5133E5F4">
            <w:pPr>
              <w:wordWrap w:val="0"/>
              <w:spacing w:line="360" w:lineRule="exact"/>
              <w:jc w:val="left"/>
              <w:rPr>
                <w:rFonts w:hint="eastAsia" w:ascii="宋体" w:hAnsi="宋体" w:eastAsia="宋体" w:cs="Times New Roman"/>
                <w:kern w:val="0"/>
                <w:szCs w:val="21"/>
              </w:rPr>
            </w:pPr>
            <w:bookmarkStart w:id="103" w:name="EB5b680c25c0a041ab8645025b2c354d54"/>
            <w:r>
              <w:rPr>
                <w:rFonts w:hint="eastAsia" w:ascii="宋体" w:hAnsi="宋体" w:eastAsia="宋体" w:cs="Times New Roman"/>
                <w:kern w:val="0"/>
                <w:szCs w:val="21"/>
              </w:rPr>
              <w:t>分册装订，共分4册，分别为：资格审查文件</w:t>
            </w:r>
            <w:r>
              <w:rPr>
                <w:rFonts w:ascii="宋体" w:hAnsi="宋体" w:eastAsia="宋体" w:cs="Times New Roman"/>
                <w:kern w:val="0"/>
                <w:szCs w:val="21"/>
              </w:rPr>
              <w:t>、</w:t>
            </w:r>
            <w:r>
              <w:rPr>
                <w:rFonts w:hint="eastAsia" w:ascii="宋体" w:hAnsi="宋体" w:eastAsia="宋体" w:cs="Times New Roman"/>
                <w:kern w:val="0"/>
                <w:szCs w:val="21"/>
              </w:rPr>
              <w:t>资信文件</w:t>
            </w:r>
            <w:r>
              <w:rPr>
                <w:rFonts w:ascii="宋体" w:hAnsi="宋体" w:eastAsia="宋体" w:cs="Times New Roman"/>
                <w:kern w:val="0"/>
                <w:szCs w:val="21"/>
              </w:rPr>
              <w:t>、</w:t>
            </w:r>
            <w:r>
              <w:rPr>
                <w:rFonts w:hint="eastAsia" w:ascii="宋体" w:hAnsi="宋体" w:eastAsia="宋体" w:cs="Times New Roman"/>
                <w:kern w:val="0"/>
                <w:szCs w:val="21"/>
              </w:rPr>
              <w:t>技术文件</w:t>
            </w:r>
            <w:r>
              <w:rPr>
                <w:rFonts w:ascii="宋体" w:hAnsi="宋体" w:eastAsia="宋体" w:cs="Times New Roman"/>
                <w:kern w:val="0"/>
                <w:szCs w:val="21"/>
              </w:rPr>
              <w:t>、</w:t>
            </w:r>
            <w:r>
              <w:rPr>
                <w:rFonts w:hint="eastAsia" w:ascii="宋体" w:hAnsi="宋体" w:eastAsia="宋体" w:cs="Times New Roman"/>
                <w:kern w:val="0"/>
                <w:szCs w:val="21"/>
              </w:rPr>
              <w:t>报价文件。</w:t>
            </w:r>
          </w:p>
          <w:p w14:paraId="77AB18BC">
            <w:pPr>
              <w:wordWrap w:val="0"/>
              <w:spacing w:line="360" w:lineRule="exact"/>
              <w:jc w:val="left"/>
              <w:rPr>
                <w:rFonts w:hint="eastAsia" w:ascii="宋体" w:hAnsi="宋体" w:eastAsia="宋体" w:cs="Times New Roman"/>
                <w:kern w:val="0"/>
                <w:szCs w:val="21"/>
                <w:u w:val="single"/>
              </w:rPr>
            </w:pPr>
            <w:r>
              <w:rPr>
                <w:rFonts w:hint="eastAsia" w:ascii="宋体" w:hAnsi="宋体" w:eastAsia="宋体" w:cs="Times New Roman"/>
                <w:kern w:val="0"/>
                <w:szCs w:val="21"/>
              </w:rPr>
              <w:t>投标文件每册装订应牢固、不易拆散和换页，不得采用活页装订</w:t>
            </w:r>
            <w:r>
              <w:rPr>
                <w:rFonts w:ascii="宋体" w:hAnsi="宋体" w:eastAsia="宋体" w:cs="Times New Roman"/>
                <w:kern w:val="0"/>
                <w:szCs w:val="21"/>
              </w:rPr>
              <w:t>，建议采用软封面和胶装方式装订</w:t>
            </w:r>
            <w:r>
              <w:rPr>
                <w:rFonts w:hint="eastAsia" w:ascii="宋体" w:hAnsi="宋体" w:eastAsia="宋体" w:cs="Times New Roman"/>
                <w:kern w:val="0"/>
                <w:szCs w:val="21"/>
              </w:rPr>
              <w:t>。</w:t>
            </w:r>
            <w:bookmarkEnd w:id="103"/>
          </w:p>
        </w:tc>
      </w:tr>
      <w:tr w14:paraId="359E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702C7F9">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4.1.1</w:t>
            </w:r>
          </w:p>
        </w:tc>
        <w:tc>
          <w:tcPr>
            <w:tcW w:w="2110" w:type="dxa"/>
            <w:vAlign w:val="center"/>
          </w:tcPr>
          <w:p w14:paraId="2077A6E1">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包装、密封</w:t>
            </w:r>
          </w:p>
        </w:tc>
        <w:tc>
          <w:tcPr>
            <w:tcW w:w="5864" w:type="dxa"/>
          </w:tcPr>
          <w:p w14:paraId="0EC90FA8">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投标人应将投标文件封装为四个包，分别密封在投标文件密封箱/袋里，四个包装中分别是：资格审查</w:t>
            </w:r>
            <w:r>
              <w:rPr>
                <w:rFonts w:hint="eastAsia" w:ascii="宋体" w:hAnsi="宋体" w:eastAsia="宋体" w:cs="Times New Roman"/>
                <w:kern w:val="0"/>
                <w:szCs w:val="21"/>
              </w:rPr>
              <w:t>文件</w:t>
            </w:r>
            <w:r>
              <w:rPr>
                <w:rFonts w:ascii="宋体" w:hAnsi="宋体" w:eastAsia="宋体" w:cs="Times New Roman"/>
                <w:kern w:val="0"/>
                <w:szCs w:val="21"/>
              </w:rPr>
              <w:t>正本和副本、资信</w:t>
            </w:r>
            <w:r>
              <w:rPr>
                <w:rFonts w:hint="eastAsia" w:ascii="宋体" w:hAnsi="宋体" w:eastAsia="宋体" w:cs="Times New Roman"/>
                <w:kern w:val="0"/>
                <w:szCs w:val="21"/>
              </w:rPr>
              <w:t>文件</w:t>
            </w:r>
            <w:r>
              <w:rPr>
                <w:rFonts w:ascii="宋体" w:hAnsi="宋体" w:eastAsia="宋体" w:cs="Times New Roman"/>
                <w:kern w:val="0"/>
                <w:szCs w:val="21"/>
              </w:rPr>
              <w:t>正本和副本、技术</w:t>
            </w:r>
            <w:r>
              <w:rPr>
                <w:rFonts w:hint="eastAsia" w:ascii="宋体" w:hAnsi="宋体" w:eastAsia="宋体" w:cs="Times New Roman"/>
                <w:kern w:val="0"/>
                <w:szCs w:val="21"/>
              </w:rPr>
              <w:t>文件</w:t>
            </w:r>
            <w:r>
              <w:rPr>
                <w:rFonts w:ascii="宋体" w:hAnsi="宋体" w:eastAsia="宋体" w:cs="Times New Roman"/>
                <w:kern w:val="0"/>
                <w:szCs w:val="21"/>
              </w:rPr>
              <w:t>正本和副本、报价</w:t>
            </w:r>
            <w:r>
              <w:rPr>
                <w:rFonts w:hint="eastAsia" w:ascii="宋体" w:hAnsi="宋体" w:eastAsia="宋体" w:cs="Times New Roman"/>
                <w:kern w:val="0"/>
                <w:szCs w:val="21"/>
              </w:rPr>
              <w:t>文件</w:t>
            </w:r>
            <w:r>
              <w:rPr>
                <w:rFonts w:ascii="宋体" w:hAnsi="宋体" w:eastAsia="宋体" w:cs="Times New Roman"/>
                <w:kern w:val="0"/>
                <w:szCs w:val="21"/>
              </w:rPr>
              <w:t>正本和副本（电子版文件封入此包装内）。密封箱/袋上应清楚的标明“资格审查</w:t>
            </w:r>
            <w:r>
              <w:rPr>
                <w:rFonts w:hint="eastAsia" w:ascii="宋体" w:hAnsi="宋体" w:eastAsia="宋体" w:cs="Times New Roman"/>
                <w:kern w:val="0"/>
                <w:szCs w:val="21"/>
              </w:rPr>
              <w:t>文件</w:t>
            </w:r>
            <w:r>
              <w:rPr>
                <w:rFonts w:ascii="宋体" w:hAnsi="宋体" w:eastAsia="宋体" w:cs="Times New Roman"/>
                <w:kern w:val="0"/>
                <w:szCs w:val="21"/>
              </w:rPr>
              <w:t>”、“资信</w:t>
            </w:r>
            <w:r>
              <w:rPr>
                <w:rFonts w:hint="eastAsia" w:ascii="宋体" w:hAnsi="宋体" w:eastAsia="宋体" w:cs="Times New Roman"/>
                <w:kern w:val="0"/>
                <w:szCs w:val="21"/>
              </w:rPr>
              <w:t>文件</w:t>
            </w:r>
            <w:r>
              <w:rPr>
                <w:rFonts w:ascii="宋体" w:hAnsi="宋体" w:eastAsia="宋体" w:cs="Times New Roman"/>
                <w:kern w:val="0"/>
                <w:szCs w:val="21"/>
              </w:rPr>
              <w:t>”、“技术</w:t>
            </w:r>
            <w:r>
              <w:rPr>
                <w:rFonts w:hint="eastAsia" w:ascii="宋体" w:hAnsi="宋体" w:eastAsia="宋体" w:cs="Times New Roman"/>
                <w:kern w:val="0"/>
                <w:szCs w:val="21"/>
              </w:rPr>
              <w:t>文件</w:t>
            </w:r>
            <w:r>
              <w:rPr>
                <w:rFonts w:ascii="宋体" w:hAnsi="宋体" w:eastAsia="宋体" w:cs="Times New Roman"/>
                <w:kern w:val="0"/>
                <w:szCs w:val="21"/>
              </w:rPr>
              <w:t>”、“报价</w:t>
            </w:r>
            <w:r>
              <w:rPr>
                <w:rFonts w:hint="eastAsia" w:ascii="宋体" w:hAnsi="宋体" w:eastAsia="宋体" w:cs="Times New Roman"/>
                <w:kern w:val="0"/>
                <w:szCs w:val="21"/>
              </w:rPr>
              <w:t>文件</w:t>
            </w:r>
            <w:r>
              <w:rPr>
                <w:rFonts w:ascii="宋体" w:hAnsi="宋体" w:eastAsia="宋体" w:cs="Times New Roman"/>
                <w:kern w:val="0"/>
                <w:szCs w:val="21"/>
              </w:rPr>
              <w:t>”。最后，投标人</w:t>
            </w:r>
            <w:r>
              <w:rPr>
                <w:rFonts w:hint="eastAsia" w:ascii="宋体" w:hAnsi="宋体" w:eastAsia="宋体" w:cs="Times New Roman"/>
                <w:kern w:val="0"/>
                <w:szCs w:val="21"/>
              </w:rPr>
              <w:t>可以</w:t>
            </w:r>
            <w:r>
              <w:rPr>
                <w:rFonts w:ascii="宋体" w:hAnsi="宋体" w:eastAsia="宋体" w:cs="Times New Roman"/>
                <w:kern w:val="0"/>
                <w:szCs w:val="21"/>
              </w:rPr>
              <w:t>将上述四个密封箱/袋</w:t>
            </w:r>
            <w:r>
              <w:rPr>
                <w:rFonts w:hint="eastAsia" w:ascii="宋体" w:hAnsi="宋体" w:eastAsia="宋体" w:cs="Times New Roman"/>
                <w:kern w:val="0"/>
                <w:szCs w:val="21"/>
              </w:rPr>
              <w:t>单独或者</w:t>
            </w:r>
            <w:r>
              <w:rPr>
                <w:rFonts w:ascii="宋体" w:hAnsi="宋体" w:eastAsia="宋体" w:cs="Times New Roman"/>
                <w:kern w:val="0"/>
                <w:szCs w:val="21"/>
              </w:rPr>
              <w:t>统一封装在一个</w:t>
            </w:r>
            <w:r>
              <w:rPr>
                <w:rFonts w:hint="eastAsia" w:ascii="宋体" w:hAnsi="宋体" w:eastAsia="宋体" w:cs="Times New Roman"/>
                <w:kern w:val="0"/>
                <w:szCs w:val="21"/>
              </w:rPr>
              <w:t>或多个</w:t>
            </w:r>
            <w:r>
              <w:rPr>
                <w:rFonts w:ascii="宋体" w:hAnsi="宋体" w:eastAsia="宋体" w:cs="Times New Roman"/>
                <w:kern w:val="0"/>
                <w:szCs w:val="21"/>
              </w:rPr>
              <w:t>大的密封箱/袋内</w:t>
            </w:r>
            <w:r>
              <w:rPr>
                <w:rFonts w:hint="eastAsia" w:ascii="宋体" w:hAnsi="宋体" w:eastAsia="宋体" w:cs="Times New Roman"/>
                <w:kern w:val="0"/>
                <w:szCs w:val="21"/>
              </w:rPr>
              <w:t>递交。</w:t>
            </w:r>
          </w:p>
        </w:tc>
      </w:tr>
      <w:tr w14:paraId="6448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B622ED1">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4.1.2</w:t>
            </w:r>
          </w:p>
        </w:tc>
        <w:tc>
          <w:tcPr>
            <w:tcW w:w="2110" w:type="dxa"/>
            <w:vAlign w:val="center"/>
          </w:tcPr>
          <w:p w14:paraId="29D7C1FD">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封套上写明</w:t>
            </w:r>
          </w:p>
        </w:tc>
        <w:tc>
          <w:tcPr>
            <w:tcW w:w="5864" w:type="dxa"/>
            <w:vAlign w:val="center"/>
          </w:tcPr>
          <w:p w14:paraId="58E7C815">
            <w:pPr>
              <w:wordWrap w:val="0"/>
              <w:spacing w:line="360" w:lineRule="exact"/>
              <w:jc w:val="left"/>
              <w:rPr>
                <w:rFonts w:hint="eastAsia" w:ascii="宋体" w:hAnsi="宋体" w:eastAsia="宋体" w:cs="Times New Roman"/>
                <w:kern w:val="0"/>
                <w:szCs w:val="21"/>
              </w:rPr>
            </w:pPr>
            <w:bookmarkStart w:id="104" w:name="EB0be95bca8da54c898cfef17ae2750f28"/>
            <w:r>
              <w:rPr>
                <w:rFonts w:hint="eastAsia" w:ascii="宋体" w:hAnsi="宋体" w:eastAsia="宋体" w:cs="Times New Roman"/>
                <w:kern w:val="0"/>
                <w:szCs w:val="21"/>
              </w:rPr>
              <w:t>招标编号：</w:t>
            </w:r>
          </w:p>
          <w:p w14:paraId="2A063434">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招标人名称：</w:t>
            </w:r>
          </w:p>
          <w:p w14:paraId="57D4D0B7">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___________（项目名称）</w:t>
            </w:r>
          </w:p>
          <w:p w14:paraId="6A710206">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投标文件</w:t>
            </w:r>
          </w:p>
          <w:p w14:paraId="3CA67CFA">
            <w:pPr>
              <w:wordWrap w:val="0"/>
              <w:spacing w:line="360" w:lineRule="exact"/>
              <w:jc w:val="left"/>
              <w:rPr>
                <w:rFonts w:hint="eastAsia" w:ascii="宋体" w:hAnsi="宋体" w:eastAsia="宋体" w:cs="Times New Roman"/>
                <w:kern w:val="0"/>
                <w:szCs w:val="21"/>
                <w:u w:val="single"/>
              </w:rPr>
            </w:pPr>
            <w:r>
              <w:rPr>
                <w:rFonts w:hint="eastAsia" w:ascii="宋体" w:hAnsi="宋体" w:eastAsia="宋体" w:cs="Times New Roman"/>
                <w:kern w:val="0"/>
                <w:szCs w:val="21"/>
                <w:u w:val="single"/>
              </w:rPr>
              <w:t>资格审查文件或资信文件或技术文件或报价文件</w:t>
            </w:r>
          </w:p>
          <w:p w14:paraId="0624CB43">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投标人地址：</w:t>
            </w:r>
          </w:p>
          <w:p w14:paraId="08A2A09B">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投标人名称：</w:t>
            </w:r>
          </w:p>
          <w:p w14:paraId="24A27BE9">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本投标文件投标截止时间前不得开启</w:t>
            </w:r>
            <w:bookmarkEnd w:id="104"/>
          </w:p>
        </w:tc>
      </w:tr>
      <w:tr w14:paraId="51A4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1C7B334">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4.2.2</w:t>
            </w:r>
          </w:p>
        </w:tc>
        <w:tc>
          <w:tcPr>
            <w:tcW w:w="2110" w:type="dxa"/>
            <w:vAlign w:val="center"/>
          </w:tcPr>
          <w:p w14:paraId="6C2BF18F">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递交投标文件地点</w:t>
            </w:r>
          </w:p>
        </w:tc>
        <w:tc>
          <w:tcPr>
            <w:tcW w:w="5864" w:type="dxa"/>
            <w:vAlign w:val="center"/>
          </w:tcPr>
          <w:p w14:paraId="59DEA58B">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详见招标公告。</w:t>
            </w:r>
          </w:p>
        </w:tc>
      </w:tr>
      <w:tr w14:paraId="1698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1298DDE">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4.2.3</w:t>
            </w:r>
          </w:p>
        </w:tc>
        <w:tc>
          <w:tcPr>
            <w:tcW w:w="2110" w:type="dxa"/>
            <w:vAlign w:val="center"/>
          </w:tcPr>
          <w:p w14:paraId="62722934">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是否退还投标文件</w:t>
            </w:r>
          </w:p>
        </w:tc>
        <w:tc>
          <w:tcPr>
            <w:tcW w:w="5864" w:type="dxa"/>
            <w:vAlign w:val="center"/>
          </w:tcPr>
          <w:p w14:paraId="6712DBEC">
            <w:pPr>
              <w:wordWrap w:val="0"/>
              <w:spacing w:line="360" w:lineRule="exact"/>
              <w:jc w:val="left"/>
              <w:rPr>
                <w:rFonts w:hint="eastAsia" w:ascii="宋体" w:hAnsi="宋体" w:eastAsia="宋体" w:cs="Times New Roman"/>
                <w:kern w:val="0"/>
                <w:szCs w:val="21"/>
                <w:u w:val="single"/>
              </w:rPr>
            </w:pPr>
            <w:r>
              <w:rPr>
                <w:rFonts w:ascii="宋体" w:hAnsi="宋体" w:eastAsia="宋体" w:cs="Times New Roman"/>
                <w:kern w:val="0"/>
                <w:szCs w:val="21"/>
              </w:rPr>
              <w:t>否</w:t>
            </w:r>
          </w:p>
        </w:tc>
      </w:tr>
      <w:tr w14:paraId="5BC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D266A61">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5.1</w:t>
            </w:r>
          </w:p>
        </w:tc>
        <w:tc>
          <w:tcPr>
            <w:tcW w:w="2110" w:type="dxa"/>
            <w:vAlign w:val="center"/>
          </w:tcPr>
          <w:p w14:paraId="6BA36E81">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截标、</w:t>
            </w:r>
            <w:r>
              <w:rPr>
                <w:rFonts w:ascii="宋体" w:hAnsi="宋体" w:eastAsia="宋体" w:cs="Times New Roman"/>
                <w:kern w:val="0"/>
                <w:szCs w:val="21"/>
              </w:rPr>
              <w:t>开标时间和地点</w:t>
            </w:r>
          </w:p>
        </w:tc>
        <w:tc>
          <w:tcPr>
            <w:tcW w:w="5864" w:type="dxa"/>
            <w:vAlign w:val="center"/>
          </w:tcPr>
          <w:p w14:paraId="062D76FF">
            <w:pPr>
              <w:wordWrap w:val="0"/>
              <w:spacing w:line="360" w:lineRule="exact"/>
              <w:jc w:val="left"/>
              <w:rPr>
                <w:rFonts w:hint="eastAsia" w:ascii="宋体" w:hAnsi="宋体" w:eastAsia="宋体" w:cs="Times New Roman"/>
                <w:szCs w:val="21"/>
              </w:rPr>
            </w:pPr>
            <w:bookmarkStart w:id="105" w:name="EB9dc210fb3ccf40ddb1c46c39ed5d1fbd"/>
            <w:r>
              <w:rPr>
                <w:rFonts w:ascii="宋体" w:hAnsi="宋体" w:eastAsia="宋体" w:cs="Times New Roman"/>
                <w:szCs w:val="21"/>
              </w:rPr>
              <w:t>投标截止时间：详见招标公告</w:t>
            </w:r>
          </w:p>
          <w:p w14:paraId="037EA669">
            <w:pPr>
              <w:wordWrap w:val="0"/>
              <w:spacing w:line="360" w:lineRule="exact"/>
              <w:jc w:val="left"/>
              <w:rPr>
                <w:rFonts w:hint="eastAsia" w:ascii="宋体" w:hAnsi="宋体" w:eastAsia="宋体" w:cs="Times New Roman"/>
                <w:szCs w:val="21"/>
              </w:rPr>
            </w:pPr>
            <w:r>
              <w:rPr>
                <w:rFonts w:ascii="宋体" w:hAnsi="宋体" w:eastAsia="宋体" w:cs="Times New Roman"/>
                <w:szCs w:val="21"/>
              </w:rPr>
              <w:t>开标时间：同投标截止时间</w:t>
            </w:r>
          </w:p>
          <w:p w14:paraId="3ACCCC8E">
            <w:pPr>
              <w:wordWrap w:val="0"/>
              <w:spacing w:line="360" w:lineRule="exact"/>
              <w:jc w:val="left"/>
              <w:rPr>
                <w:rFonts w:hint="eastAsia" w:ascii="宋体" w:hAnsi="宋体" w:eastAsia="宋体" w:cs="Times New Roman"/>
                <w:kern w:val="0"/>
                <w:szCs w:val="21"/>
              </w:rPr>
            </w:pPr>
            <w:r>
              <w:rPr>
                <w:rFonts w:ascii="宋体" w:hAnsi="宋体" w:eastAsia="宋体" w:cs="Times New Roman"/>
                <w:szCs w:val="21"/>
              </w:rPr>
              <w:t>开标地点：</w:t>
            </w:r>
            <w:bookmarkEnd w:id="105"/>
            <w:r>
              <w:rPr>
                <w:rFonts w:ascii="宋体" w:hAnsi="宋体" w:eastAsia="宋体" w:cs="Times New Roman"/>
                <w:szCs w:val="21"/>
              </w:rPr>
              <w:t>南宁市青秀区凤岭北路111号南宁国际旅游中心3号楼（C座）28楼2801开标室。</w:t>
            </w:r>
          </w:p>
        </w:tc>
      </w:tr>
      <w:tr w14:paraId="5642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52B35F4">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5.2</w:t>
            </w:r>
            <w:r>
              <w:rPr>
                <w:rFonts w:hint="eastAsia" w:ascii="宋体" w:hAnsi="宋体" w:eastAsia="宋体" w:cs="Times New Roman"/>
                <w:kern w:val="0"/>
                <w:szCs w:val="21"/>
              </w:rPr>
              <w:t>.</w:t>
            </w:r>
            <w:r>
              <w:rPr>
                <w:rFonts w:ascii="宋体" w:hAnsi="宋体" w:eastAsia="宋体" w:cs="Times New Roman"/>
                <w:kern w:val="0"/>
                <w:szCs w:val="21"/>
              </w:rPr>
              <w:t>1</w:t>
            </w:r>
          </w:p>
        </w:tc>
        <w:tc>
          <w:tcPr>
            <w:tcW w:w="2110" w:type="dxa"/>
            <w:vAlign w:val="center"/>
          </w:tcPr>
          <w:p w14:paraId="0C657989">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开标</w:t>
            </w:r>
          </w:p>
        </w:tc>
        <w:tc>
          <w:tcPr>
            <w:tcW w:w="5864" w:type="dxa"/>
            <w:vAlign w:val="center"/>
          </w:tcPr>
          <w:p w14:paraId="15B91F13">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开标顺序：</w:t>
            </w:r>
            <w:r>
              <w:rPr>
                <w:rFonts w:ascii="宋体" w:hAnsi="宋体" w:eastAsia="宋体" w:cs="Times New Roman"/>
                <w:kern w:val="0"/>
                <w:szCs w:val="21"/>
                <w:u w:val="single"/>
              </w:rPr>
              <w:t>随机</w:t>
            </w:r>
          </w:p>
        </w:tc>
      </w:tr>
      <w:tr w14:paraId="1303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F3716FE">
            <w:pPr>
              <w:wordWrap w:val="0"/>
              <w:spacing w:line="360" w:lineRule="exact"/>
              <w:jc w:val="center"/>
              <w:rPr>
                <w:rFonts w:hint="eastAsia" w:ascii="宋体" w:hAnsi="宋体" w:eastAsia="宋体" w:cs="Times New Roman"/>
                <w:kern w:val="0"/>
                <w:szCs w:val="21"/>
              </w:rPr>
            </w:pPr>
            <w:r>
              <w:rPr>
                <w:rFonts w:hint="eastAsia" w:ascii="宋体" w:hAnsi="宋体" w:eastAsia="宋体" w:cs="Times New Roman"/>
                <w:kern w:val="0"/>
                <w:szCs w:val="21"/>
              </w:rPr>
              <w:t>6.1.1</w:t>
            </w:r>
          </w:p>
        </w:tc>
        <w:tc>
          <w:tcPr>
            <w:tcW w:w="2110" w:type="dxa"/>
            <w:vAlign w:val="center"/>
          </w:tcPr>
          <w:p w14:paraId="1E2680A8">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评标委员会的组建</w:t>
            </w:r>
          </w:p>
        </w:tc>
        <w:tc>
          <w:tcPr>
            <w:tcW w:w="5864" w:type="dxa"/>
            <w:vAlign w:val="center"/>
          </w:tcPr>
          <w:p w14:paraId="024A9CCE">
            <w:pPr>
              <w:wordWrap w:val="0"/>
              <w:spacing w:line="360" w:lineRule="exact"/>
              <w:jc w:val="left"/>
              <w:rPr>
                <w:rFonts w:hint="eastAsia" w:ascii="宋体" w:hAnsi="宋体" w:eastAsia="宋体" w:cs="Times New Roman"/>
                <w:kern w:val="0"/>
                <w:szCs w:val="21"/>
              </w:rPr>
            </w:pPr>
            <w:bookmarkStart w:id="106" w:name="EBa378068603ea4135a471662f37485f80"/>
            <w:r>
              <w:rPr>
                <w:rFonts w:hint="eastAsia" w:ascii="宋体" w:hAnsi="宋体" w:eastAsia="宋体" w:cs="Times New Roman"/>
                <w:kern w:val="0"/>
                <w:szCs w:val="21"/>
              </w:rPr>
              <w:t>评标委员会构成：</w:t>
            </w:r>
            <w:r>
              <w:rPr>
                <w:rFonts w:ascii="宋体" w:hAnsi="宋体" w:eastAsia="宋体" w:cs="Times New Roman"/>
                <w:szCs w:val="21"/>
              </w:rPr>
              <w:t>成员人数为5人及以上单数，其中技术、经济等方面的专家组成不得少于成员总数的2/3，招标人委派评标专家不得多于成员总数的1/3。</w:t>
            </w:r>
            <w:bookmarkEnd w:id="106"/>
          </w:p>
        </w:tc>
      </w:tr>
      <w:tr w14:paraId="007C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5322BBA">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3</w:t>
            </w:r>
          </w:p>
        </w:tc>
        <w:tc>
          <w:tcPr>
            <w:tcW w:w="2110" w:type="dxa"/>
            <w:vAlign w:val="center"/>
          </w:tcPr>
          <w:p w14:paraId="2297AC29">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评标</w:t>
            </w:r>
            <w:r>
              <w:rPr>
                <w:rFonts w:hint="eastAsia" w:ascii="宋体" w:hAnsi="宋体" w:eastAsia="宋体" w:cs="Times New Roman"/>
                <w:kern w:val="0"/>
                <w:szCs w:val="21"/>
              </w:rPr>
              <w:t>办法</w:t>
            </w:r>
          </w:p>
        </w:tc>
        <w:tc>
          <w:tcPr>
            <w:tcW w:w="5864" w:type="dxa"/>
            <w:vAlign w:val="center"/>
          </w:tcPr>
          <w:p w14:paraId="592E8614">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采用</w:t>
            </w:r>
            <w:r>
              <w:rPr>
                <w:rFonts w:ascii="宋体" w:hAnsi="宋体" w:eastAsia="宋体" w:cs="Times New Roman"/>
                <w:kern w:val="0"/>
                <w:szCs w:val="21"/>
              </w:rPr>
              <w:t>综合评估法</w:t>
            </w:r>
            <w:r>
              <w:rPr>
                <w:rFonts w:hint="eastAsia" w:ascii="宋体" w:hAnsi="宋体" w:eastAsia="宋体" w:cs="Times New Roman"/>
                <w:kern w:val="0"/>
                <w:szCs w:val="21"/>
              </w:rPr>
              <w:t>，详见第三章《评标办法》</w:t>
            </w:r>
          </w:p>
        </w:tc>
      </w:tr>
      <w:tr w14:paraId="5DE9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2F20228">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7.1</w:t>
            </w:r>
          </w:p>
        </w:tc>
        <w:tc>
          <w:tcPr>
            <w:tcW w:w="2110" w:type="dxa"/>
            <w:vAlign w:val="center"/>
          </w:tcPr>
          <w:p w14:paraId="7530A1D9">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是否授权评标委员会确定中标人</w:t>
            </w:r>
          </w:p>
        </w:tc>
        <w:tc>
          <w:tcPr>
            <w:tcW w:w="5864" w:type="dxa"/>
            <w:vAlign w:val="center"/>
          </w:tcPr>
          <w:p w14:paraId="77264CC2">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否，</w:t>
            </w:r>
            <w:r>
              <w:rPr>
                <w:rFonts w:hint="eastAsia" w:ascii="宋体" w:hAnsi="宋体" w:eastAsia="宋体" w:cs="Times New Roman"/>
                <w:kern w:val="0"/>
                <w:szCs w:val="21"/>
              </w:rPr>
              <w:t>评标委员会</w:t>
            </w:r>
            <w:r>
              <w:rPr>
                <w:rFonts w:ascii="宋体" w:hAnsi="宋体" w:eastAsia="宋体" w:cs="Times New Roman"/>
                <w:kern w:val="0"/>
                <w:szCs w:val="21"/>
              </w:rPr>
              <w:t>根据综合评分排名情况，</w:t>
            </w:r>
            <w:r>
              <w:rPr>
                <w:rFonts w:hint="eastAsia" w:ascii="宋体" w:hAnsi="宋体" w:eastAsia="宋体" w:cs="Times New Roman"/>
                <w:kern w:val="0"/>
                <w:szCs w:val="21"/>
              </w:rPr>
              <w:t>推荐</w:t>
            </w:r>
            <w:r>
              <w:rPr>
                <w:rFonts w:ascii="宋体" w:hAnsi="宋体" w:eastAsia="宋体" w:cs="Times New Roman"/>
                <w:kern w:val="0"/>
                <w:szCs w:val="21"/>
              </w:rPr>
              <w:t>3</w:t>
            </w:r>
            <w:r>
              <w:rPr>
                <w:rFonts w:hint="eastAsia" w:ascii="宋体" w:hAnsi="宋体" w:eastAsia="宋体" w:cs="Times New Roman"/>
                <w:kern w:val="0"/>
                <w:szCs w:val="21"/>
              </w:rPr>
              <w:t>名中标候选人（当中标候选人不足</w:t>
            </w:r>
            <w:r>
              <w:rPr>
                <w:rFonts w:ascii="宋体" w:hAnsi="宋体" w:eastAsia="宋体" w:cs="Times New Roman"/>
                <w:kern w:val="0"/>
                <w:szCs w:val="21"/>
              </w:rPr>
              <w:t>3</w:t>
            </w:r>
            <w:r>
              <w:rPr>
                <w:rFonts w:hint="eastAsia" w:ascii="宋体" w:hAnsi="宋体" w:eastAsia="宋体" w:cs="Times New Roman"/>
                <w:kern w:val="0"/>
                <w:szCs w:val="21"/>
              </w:rPr>
              <w:t>名时按实际数量推荐），并标明排序。</w:t>
            </w:r>
          </w:p>
        </w:tc>
      </w:tr>
      <w:tr w14:paraId="768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B180C74">
            <w:pPr>
              <w:wordWrap w:val="0"/>
              <w:spacing w:line="360" w:lineRule="exact"/>
              <w:jc w:val="center"/>
              <w:rPr>
                <w:rFonts w:hint="eastAsia" w:ascii="宋体" w:hAnsi="宋体" w:eastAsia="宋体" w:cs="Times New Roman"/>
                <w:kern w:val="0"/>
                <w:szCs w:val="21"/>
              </w:rPr>
            </w:pPr>
            <w:r>
              <w:rPr>
                <w:rFonts w:ascii="宋体" w:hAnsi="宋体" w:eastAsia="宋体" w:cs="Times New Roman"/>
                <w:kern w:val="0"/>
                <w:szCs w:val="21"/>
              </w:rPr>
              <w:t>7.3.1</w:t>
            </w:r>
          </w:p>
        </w:tc>
        <w:tc>
          <w:tcPr>
            <w:tcW w:w="2110" w:type="dxa"/>
            <w:vAlign w:val="center"/>
          </w:tcPr>
          <w:p w14:paraId="20942B2B">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履约</w:t>
            </w:r>
            <w:r>
              <w:rPr>
                <w:rFonts w:hint="eastAsia" w:ascii="宋体" w:hAnsi="宋体" w:eastAsia="宋体" w:cs="Times New Roman"/>
                <w:kern w:val="0"/>
                <w:szCs w:val="21"/>
              </w:rPr>
              <w:t>保证金</w:t>
            </w:r>
          </w:p>
        </w:tc>
        <w:tc>
          <w:tcPr>
            <w:tcW w:w="5864" w:type="dxa"/>
            <w:vAlign w:val="center"/>
          </w:tcPr>
          <w:p w14:paraId="6FE85D52">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金额</w:t>
            </w:r>
            <w:r>
              <w:rPr>
                <w:rFonts w:hint="eastAsia" w:ascii="宋体" w:hAnsi="宋体" w:eastAsia="宋体" w:cs="Times New Roman"/>
                <w:kern w:val="0"/>
                <w:szCs w:val="21"/>
              </w:rPr>
              <w:t>：</w:t>
            </w:r>
            <w:bookmarkStart w:id="107" w:name="OLE_LINK47"/>
            <w:r>
              <w:rPr>
                <w:rFonts w:hint="eastAsia" w:ascii="宋体" w:hAnsi="宋体" w:eastAsia="宋体" w:cs="Times New Roman"/>
                <w:kern w:val="0"/>
                <w:szCs w:val="21"/>
              </w:rPr>
              <w:t>含税中标金额的3%；</w:t>
            </w:r>
            <w:r>
              <w:rPr>
                <w:rFonts w:hint="eastAsia" w:ascii="宋体" w:hAnsi="宋体" w:eastAsia="宋体" w:cs="Times New Roman"/>
                <w:szCs w:val="21"/>
              </w:rPr>
              <w:t>（精确到元，小数点后四舍五入）</w:t>
            </w:r>
            <w:bookmarkEnd w:id="107"/>
          </w:p>
          <w:p w14:paraId="12AEDD39">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形式：</w:t>
            </w:r>
            <w:bookmarkStart w:id="108" w:name="OLE_LINK27"/>
            <w:bookmarkStart w:id="109" w:name="OLE_LINK23"/>
            <w:r>
              <w:rPr>
                <w:rFonts w:hint="eastAsia" w:ascii="宋体" w:hAnsi="宋体" w:eastAsia="宋体" w:cs="Times New Roman"/>
                <w:kern w:val="0"/>
                <w:szCs w:val="21"/>
              </w:rPr>
              <w:t>履约保函、银行电汇、转账等形式</w:t>
            </w:r>
            <w:bookmarkEnd w:id="108"/>
            <w:bookmarkEnd w:id="109"/>
            <w:r>
              <w:rPr>
                <w:rFonts w:hint="eastAsia" w:ascii="宋体" w:hAnsi="宋体" w:eastAsia="宋体" w:cs="Times New Roman"/>
                <w:kern w:val="0"/>
                <w:szCs w:val="21"/>
              </w:rPr>
              <w:t>；</w:t>
            </w:r>
          </w:p>
          <w:p w14:paraId="448D9C34">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银行保函由中国境内各商业银行支行及其以上的银行开具的履约保函，格式符合第四章“合同文件格式”；</w:t>
            </w:r>
          </w:p>
          <w:p w14:paraId="338EAF43">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递交地点：南宁市青秀区凤岭北路111号南宁国际旅游中心3号楼（C座）19楼；</w:t>
            </w:r>
          </w:p>
          <w:p w14:paraId="668FFDDD">
            <w:pPr>
              <w:wordWrap w:val="0"/>
              <w:spacing w:line="360" w:lineRule="exact"/>
              <w:jc w:val="left"/>
              <w:rPr>
                <w:rFonts w:hint="eastAsia" w:ascii="宋体" w:hAnsi="宋体" w:eastAsia="宋体" w:cs="Times New Roman"/>
                <w:kern w:val="0"/>
                <w:szCs w:val="21"/>
              </w:rPr>
            </w:pPr>
            <w:r>
              <w:rPr>
                <w:rFonts w:hint="eastAsia" w:ascii="宋体" w:hAnsi="宋体" w:eastAsia="宋体" w:cs="Times New Roman"/>
                <w:kern w:val="0"/>
                <w:szCs w:val="21"/>
              </w:rPr>
              <w:t>提交时间：应在合同签订前、且最迟应在中标通知书发出之日起30天内。</w:t>
            </w:r>
          </w:p>
        </w:tc>
      </w:tr>
      <w:tr w14:paraId="282D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4576583">
            <w:pPr>
              <w:wordWrap w:val="0"/>
              <w:spacing w:line="360" w:lineRule="exact"/>
              <w:jc w:val="center"/>
              <w:rPr>
                <w:rFonts w:hint="eastAsia" w:ascii="宋体" w:hAnsi="宋体" w:eastAsia="宋体" w:cs="Times New Roman"/>
                <w:kern w:val="0"/>
                <w:szCs w:val="21"/>
              </w:rPr>
            </w:pPr>
            <w:r>
              <w:rPr>
                <w:rFonts w:hint="eastAsia" w:ascii="宋体" w:hAnsi="宋体" w:eastAsia="宋体" w:cs="Times New Roman"/>
                <w:kern w:val="0"/>
                <w:szCs w:val="21"/>
              </w:rPr>
              <w:t>7.4.4</w:t>
            </w:r>
          </w:p>
        </w:tc>
        <w:tc>
          <w:tcPr>
            <w:tcW w:w="2110" w:type="dxa"/>
            <w:vAlign w:val="center"/>
          </w:tcPr>
          <w:p w14:paraId="481A47BB">
            <w:pPr>
              <w:wordWrap w:val="0"/>
              <w:spacing w:line="360" w:lineRule="exact"/>
              <w:rPr>
                <w:rFonts w:hint="eastAsia" w:ascii="宋体" w:hAnsi="宋体" w:eastAsia="宋体" w:cs="Times New Roman"/>
                <w:kern w:val="0"/>
                <w:szCs w:val="21"/>
              </w:rPr>
            </w:pPr>
            <w:r>
              <w:rPr>
                <w:rFonts w:hint="eastAsia" w:ascii="宋体" w:hAnsi="宋体" w:eastAsia="宋体" w:cs="Times New Roman"/>
                <w:szCs w:val="24"/>
              </w:rPr>
              <w:t>放弃中标人资格</w:t>
            </w:r>
          </w:p>
        </w:tc>
        <w:tc>
          <w:tcPr>
            <w:tcW w:w="5864" w:type="dxa"/>
            <w:vAlign w:val="center"/>
          </w:tcPr>
          <w:p w14:paraId="11A07FB4">
            <w:pPr>
              <w:wordWrap w:val="0"/>
              <w:spacing w:line="360" w:lineRule="exact"/>
              <w:rPr>
                <w:rFonts w:hint="eastAsia" w:ascii="宋体" w:hAnsi="宋体" w:eastAsia="宋体" w:cs="Times New Roman"/>
                <w:kern w:val="0"/>
                <w:szCs w:val="21"/>
              </w:rPr>
            </w:pPr>
            <w:r>
              <w:rPr>
                <w:rFonts w:hint="eastAsia" w:ascii="宋体" w:hAnsi="宋体" w:eastAsia="宋体" w:cs="Times New Roman"/>
                <w:szCs w:val="24"/>
              </w:rPr>
              <w:t>中标人如放弃中标资格，则禁止1年内投属于招标人的项目。</w:t>
            </w:r>
          </w:p>
        </w:tc>
      </w:tr>
      <w:tr w14:paraId="11D1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1" w:type="dxa"/>
            <w:gridSpan w:val="3"/>
            <w:vAlign w:val="center"/>
          </w:tcPr>
          <w:p w14:paraId="57434B0E">
            <w:pPr>
              <w:wordWrap w:val="0"/>
              <w:spacing w:line="360" w:lineRule="exact"/>
              <w:jc w:val="left"/>
              <w:rPr>
                <w:rFonts w:hint="eastAsia" w:ascii="宋体" w:hAnsi="宋体" w:eastAsia="宋体" w:cs="Times New Roman"/>
                <w:kern w:val="0"/>
                <w:szCs w:val="21"/>
              </w:rPr>
            </w:pPr>
            <w:r>
              <w:rPr>
                <w:rFonts w:ascii="宋体" w:hAnsi="宋体" w:eastAsia="宋体" w:cs="Times New Roman"/>
                <w:kern w:val="0"/>
                <w:szCs w:val="21"/>
              </w:rPr>
              <w:t>10. 需要补充的其他内容</w:t>
            </w:r>
          </w:p>
        </w:tc>
      </w:tr>
      <w:tr w14:paraId="68FA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33D6C3B7">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10.1</w:t>
            </w:r>
          </w:p>
        </w:tc>
        <w:tc>
          <w:tcPr>
            <w:tcW w:w="2110" w:type="dxa"/>
            <w:vAlign w:val="center"/>
          </w:tcPr>
          <w:p w14:paraId="10C21174">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词语定义</w:t>
            </w:r>
          </w:p>
        </w:tc>
        <w:tc>
          <w:tcPr>
            <w:tcW w:w="5864" w:type="dxa"/>
            <w:vAlign w:val="center"/>
          </w:tcPr>
          <w:p w14:paraId="34B16DD2">
            <w:pPr>
              <w:wordWrap w:val="0"/>
              <w:spacing w:line="360" w:lineRule="exact"/>
              <w:rPr>
                <w:rFonts w:hint="eastAsia" w:ascii="宋体" w:hAnsi="宋体" w:eastAsia="宋体" w:cs="Times New Roman"/>
                <w:szCs w:val="21"/>
              </w:rPr>
            </w:pPr>
            <w:r>
              <w:rPr>
                <w:rFonts w:hint="eastAsia" w:ascii="宋体" w:hAnsi="宋体" w:eastAsia="宋体" w:cs="Times New Roman"/>
                <w:szCs w:val="21"/>
              </w:rPr>
              <w:t>1.本招标文件中描述投标人的</w:t>
            </w:r>
            <w:r>
              <w:rPr>
                <w:rFonts w:ascii="宋体" w:hAnsi="宋体" w:eastAsia="宋体" w:cs="Times New Roman"/>
                <w:szCs w:val="21"/>
              </w:rPr>
              <w:t>“</w:t>
            </w:r>
            <w:r>
              <w:rPr>
                <w:rFonts w:hint="eastAsia" w:ascii="宋体" w:hAnsi="宋体" w:eastAsia="宋体" w:cs="Times New Roman"/>
                <w:szCs w:val="21"/>
              </w:rPr>
              <w:t>公章</w:t>
            </w:r>
            <w:r>
              <w:rPr>
                <w:rFonts w:ascii="宋体" w:hAnsi="宋体" w:eastAsia="宋体" w:cs="Times New Roman"/>
                <w:szCs w:val="21"/>
              </w:rPr>
              <w:t>”</w:t>
            </w:r>
            <w:r>
              <w:rPr>
                <w:rFonts w:hint="eastAsia" w:ascii="宋体" w:hAnsi="宋体" w:eastAsia="宋体" w:cs="Times New Roman"/>
                <w:szCs w:val="21"/>
              </w:rPr>
              <w:t>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644EF5EA">
            <w:pPr>
              <w:wordWrap w:val="0"/>
              <w:spacing w:line="360" w:lineRule="exact"/>
              <w:jc w:val="left"/>
              <w:rPr>
                <w:rFonts w:hint="eastAsia" w:ascii="宋体" w:hAnsi="宋体" w:eastAsia="宋体" w:cs="Times New Roman"/>
                <w:kern w:val="0"/>
                <w:szCs w:val="21"/>
                <w:u w:val="single"/>
              </w:rPr>
            </w:pPr>
            <w:r>
              <w:rPr>
                <w:rFonts w:hint="eastAsia" w:ascii="宋体" w:hAnsi="宋体" w:eastAsia="宋体" w:cs="Times New Roman"/>
                <w:szCs w:val="21"/>
              </w:rPr>
              <w:t>2.本招标文件中描述投标人的</w:t>
            </w:r>
            <w:r>
              <w:rPr>
                <w:rFonts w:ascii="宋体" w:hAnsi="宋体" w:eastAsia="宋体" w:cs="Times New Roman"/>
                <w:szCs w:val="21"/>
              </w:rPr>
              <w:t>“</w:t>
            </w:r>
            <w:r>
              <w:rPr>
                <w:rFonts w:hint="eastAsia" w:ascii="宋体" w:hAnsi="宋体" w:eastAsia="宋体" w:cs="Times New Roman"/>
                <w:szCs w:val="21"/>
              </w:rPr>
              <w:t>签字</w:t>
            </w:r>
            <w:r>
              <w:rPr>
                <w:rFonts w:ascii="宋体" w:hAnsi="宋体" w:eastAsia="宋体" w:cs="Times New Roman"/>
                <w:szCs w:val="21"/>
              </w:rPr>
              <w:t>”</w:t>
            </w:r>
            <w:r>
              <w:rPr>
                <w:rFonts w:hint="eastAsia" w:ascii="宋体" w:hAnsi="宋体" w:eastAsia="宋体" w:cs="Times New Roman"/>
                <w:szCs w:val="21"/>
              </w:rPr>
              <w:t>是指投标人的法定代表人或被授权人亲自在招标文件规定签署处签字或签章的行为。</w:t>
            </w:r>
          </w:p>
        </w:tc>
      </w:tr>
      <w:tr w14:paraId="7CD0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618D940">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0.2</w:t>
            </w:r>
          </w:p>
        </w:tc>
        <w:tc>
          <w:tcPr>
            <w:tcW w:w="2110" w:type="dxa"/>
            <w:vAlign w:val="center"/>
          </w:tcPr>
          <w:p w14:paraId="444EFFD5">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招标控制价</w:t>
            </w:r>
          </w:p>
        </w:tc>
        <w:tc>
          <w:tcPr>
            <w:tcW w:w="5864" w:type="dxa"/>
            <w:vAlign w:val="center"/>
          </w:tcPr>
          <w:p w14:paraId="2189719B">
            <w:pPr>
              <w:widowControl/>
              <w:wordWrap w:val="0"/>
              <w:spacing w:line="360" w:lineRule="exact"/>
              <w:rPr>
                <w:rFonts w:ascii="Times New Roman" w:hAnsi="Times New Roman" w:eastAsia="宋体" w:cs="Times New Roman"/>
                <w:szCs w:val="24"/>
                <w:highlight w:val="none"/>
                <w:lang w:val="zh-CN"/>
              </w:rPr>
            </w:pPr>
            <w:r>
              <w:rPr>
                <w:rFonts w:hint="eastAsia" w:ascii="宋体" w:hAnsi="宋体" w:eastAsia="宋体" w:cs="宋体"/>
                <w:szCs w:val="24"/>
                <w:highlight w:val="none"/>
              </w:rPr>
              <w:t>招标</w:t>
            </w:r>
            <w:r>
              <w:rPr>
                <w:rFonts w:hint="eastAsia" w:ascii="Times New Roman" w:hAnsi="Times New Roman" w:eastAsia="宋体" w:cs="Times New Roman"/>
                <w:szCs w:val="24"/>
                <w:highlight w:val="none"/>
              </w:rPr>
              <w:t>控制价：</w:t>
            </w:r>
            <w:bookmarkStart w:id="110" w:name="OLE_LINK3"/>
            <w:r>
              <w:rPr>
                <w:rFonts w:hint="eastAsia" w:ascii="Times New Roman" w:hAnsi="Times New Roman" w:eastAsia="宋体" w:cs="Times New Roman"/>
                <w:szCs w:val="24"/>
                <w:highlight w:val="none"/>
                <w:lang w:val="zh-CN"/>
              </w:rPr>
              <w:t>本项目招标控制价</w:t>
            </w:r>
            <w:r>
              <w:rPr>
                <w:rFonts w:hint="eastAsia" w:ascii="Times New Roman" w:hAnsi="Times New Roman" w:eastAsia="宋体" w:cs="Times New Roman"/>
                <w:szCs w:val="24"/>
                <w:highlight w:val="none"/>
                <w:lang w:val="en-US" w:eastAsia="zh-CN"/>
              </w:rPr>
              <w:t>于开标7日前公布</w:t>
            </w:r>
            <w:r>
              <w:rPr>
                <w:rFonts w:hint="eastAsia" w:ascii="Times New Roman" w:hAnsi="Times New Roman" w:eastAsia="宋体" w:cs="Times New Roman"/>
                <w:szCs w:val="24"/>
                <w:highlight w:val="none"/>
                <w:lang w:val="zh-CN"/>
              </w:rPr>
              <w:t>。</w:t>
            </w:r>
            <w:bookmarkEnd w:id="110"/>
          </w:p>
          <w:p w14:paraId="3A45E37D">
            <w:pPr>
              <w:widowControl/>
              <w:wordWrap w:val="0"/>
              <w:spacing w:line="360" w:lineRule="exact"/>
              <w:rPr>
                <w:rFonts w:ascii="Times New Roman" w:hAnsi="Times New Roman" w:eastAsia="宋体" w:cs="Times New Roman"/>
                <w:szCs w:val="24"/>
                <w:highlight w:val="none"/>
              </w:rPr>
            </w:pPr>
            <w:r>
              <w:rPr>
                <w:rFonts w:hint="eastAsia" w:ascii="宋体" w:hAnsi="宋体" w:eastAsia="宋体" w:cs="Times New Roman"/>
                <w:kern w:val="0"/>
                <w:szCs w:val="21"/>
                <w:highlight w:val="none"/>
              </w:rPr>
              <w:t>投标报价高于招标控制价的投标文件将按否决投标处理。</w:t>
            </w:r>
          </w:p>
        </w:tc>
      </w:tr>
      <w:tr w14:paraId="5538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14:paraId="55EDF235">
            <w:pPr>
              <w:wordWrap w:val="0"/>
              <w:spacing w:line="360" w:lineRule="exact"/>
              <w:rPr>
                <w:rFonts w:hint="eastAsia" w:ascii="宋体" w:hAnsi="宋体" w:eastAsia="宋体" w:cs="Times New Roman"/>
                <w:kern w:val="0"/>
                <w:szCs w:val="21"/>
              </w:rPr>
            </w:pPr>
            <w:r>
              <w:rPr>
                <w:rFonts w:hint="eastAsia" w:ascii="宋体" w:hAnsi="宋体" w:eastAsia="宋体" w:cs="Times New Roman"/>
                <w:kern w:val="0"/>
                <w:szCs w:val="21"/>
              </w:rPr>
              <w:t>10.8</w:t>
            </w:r>
          </w:p>
        </w:tc>
        <w:tc>
          <w:tcPr>
            <w:tcW w:w="2110" w:type="dxa"/>
            <w:vAlign w:val="center"/>
          </w:tcPr>
          <w:p w14:paraId="770130AF">
            <w:pPr>
              <w:wordWrap w:val="0"/>
              <w:spacing w:line="360" w:lineRule="exact"/>
              <w:rPr>
                <w:rFonts w:hint="eastAsia" w:ascii="宋体" w:hAnsi="宋体" w:eastAsia="宋体" w:cs="Times New Roman"/>
                <w:kern w:val="0"/>
                <w:szCs w:val="21"/>
              </w:rPr>
            </w:pPr>
            <w:r>
              <w:rPr>
                <w:rFonts w:ascii="宋体" w:hAnsi="宋体" w:eastAsia="宋体" w:cs="Times New Roman"/>
                <w:kern w:val="0"/>
                <w:szCs w:val="21"/>
              </w:rPr>
              <w:t>其他</w:t>
            </w:r>
          </w:p>
        </w:tc>
        <w:tc>
          <w:tcPr>
            <w:tcW w:w="5864" w:type="dxa"/>
            <w:vAlign w:val="center"/>
          </w:tcPr>
          <w:p w14:paraId="474FCCA9">
            <w:pPr>
              <w:widowControl/>
              <w:wordWrap w:val="0"/>
              <w:spacing w:line="360" w:lineRule="exact"/>
              <w:rPr>
                <w:rFonts w:hint="eastAsia" w:ascii="宋体" w:hAnsi="宋体" w:eastAsia="宋体" w:cs="宋体"/>
                <w:szCs w:val="21"/>
              </w:rPr>
            </w:pPr>
            <w:r>
              <w:rPr>
                <w:rFonts w:hint="eastAsia" w:ascii="宋体" w:hAnsi="宋体" w:eastAsia="宋体" w:cs="Times New Roman"/>
                <w:szCs w:val="21"/>
              </w:rPr>
              <w:t>1.在签订合同前，招标人与中标人依据本次招标文件中的用户需求书、中标人的投标文件（如技术响应表、技术文件等），按照二者较优值形成技术规格书。并经双方确认后构成本合同的有效组成部分。在本合同执行中的系统技术指标以技术规格书为准。</w:t>
            </w:r>
            <w:r>
              <w:rPr>
                <w:rFonts w:hint="eastAsia" w:ascii="宋体" w:hAnsi="宋体" w:eastAsia="宋体" w:cs="宋体"/>
                <w:szCs w:val="21"/>
              </w:rPr>
              <w:t>若中标人在定标后及合同签订前，以上述事项为借口而不履行合同签订手续及执行合同，则视作放弃中标资格。</w:t>
            </w:r>
          </w:p>
          <w:p w14:paraId="13A902CA">
            <w:pPr>
              <w:wordWrap w:val="0"/>
              <w:spacing w:line="360" w:lineRule="exact"/>
              <w:rPr>
                <w:rFonts w:hint="eastAsia" w:ascii="宋体" w:hAnsi="宋体" w:eastAsia="宋体" w:cs="宋体"/>
                <w:b/>
                <w:szCs w:val="24"/>
              </w:rPr>
            </w:pPr>
            <w:r>
              <w:rPr>
                <w:rFonts w:hint="eastAsia" w:ascii="宋体" w:hAnsi="宋体" w:eastAsia="宋体" w:cs="宋体"/>
                <w:szCs w:val="24"/>
              </w:rPr>
              <w:t>2.</w:t>
            </w:r>
            <w:r>
              <w:rPr>
                <w:rFonts w:hint="eastAsia" w:ascii="宋体" w:hAnsi="宋体" w:eastAsia="宋体" w:cs="宋体"/>
                <w:color w:val="000000"/>
                <w:highlight w:val="none"/>
              </w:rPr>
              <w:t>中标人在领取中标通知书前，一次性向招标代理机构支付招标代理服务费。招标代理机构在收到费用后5个工作日内向中标人开具增值税发票。</w:t>
            </w:r>
            <w:r>
              <w:rPr>
                <w:rFonts w:hint="eastAsia" w:ascii="宋体" w:hAnsi="宋体" w:eastAsia="宋体" w:cs="宋体"/>
                <w:b/>
                <w:bCs/>
                <w:color w:val="auto"/>
                <w:highlight w:val="none"/>
              </w:rPr>
              <w:t>根据招标人与代理人签订的《招标代理协议书》</w:t>
            </w:r>
            <w:r>
              <w:rPr>
                <w:rFonts w:hint="eastAsia" w:ascii="宋体" w:hAnsi="宋体" w:eastAsia="宋体" w:cs="宋体"/>
                <w:b/>
                <w:bCs/>
                <w:color w:val="auto"/>
                <w:highlight w:val="none"/>
                <w:lang w:val="en-US" w:eastAsia="zh-CN"/>
              </w:rPr>
              <w:t>及《补充协议》</w:t>
            </w:r>
            <w:bookmarkStart w:id="615" w:name="_GoBack"/>
            <w:bookmarkEnd w:id="615"/>
            <w:r>
              <w:rPr>
                <w:rFonts w:hint="eastAsia" w:ascii="宋体" w:hAnsi="宋体" w:eastAsia="宋体" w:cs="宋体"/>
                <w:b/>
                <w:bCs/>
                <w:color w:val="auto"/>
                <w:highlight w:val="none"/>
              </w:rPr>
              <w:t>，</w:t>
            </w:r>
            <w:r>
              <w:rPr>
                <w:rFonts w:hint="eastAsia" w:ascii="宋体" w:hAnsi="宋体"/>
                <w:b/>
                <w:bCs/>
                <w:color w:val="000000"/>
                <w:highlight w:val="none"/>
              </w:rPr>
              <w:t>最终实际支付金额以中标价为基数计算</w:t>
            </w:r>
            <w:r>
              <w:rPr>
                <w:rFonts w:hint="eastAsia" w:ascii="宋体" w:hAnsi="宋体"/>
                <w:b/>
                <w:bCs/>
                <w:color w:val="000000"/>
                <w:highlight w:val="none"/>
                <w:lang w:val="en-US" w:eastAsia="zh-CN"/>
              </w:rPr>
              <w:t>招标代理服务费</w:t>
            </w:r>
            <w:r>
              <w:rPr>
                <w:rFonts w:hint="eastAsia" w:ascii="宋体" w:hAnsi="宋体" w:eastAsia="宋体" w:cs="宋体"/>
                <w:b/>
                <w:bCs/>
                <w:color w:val="auto"/>
                <w:highlight w:val="none"/>
              </w:rPr>
              <w:t>，由中标人支付。</w:t>
            </w:r>
            <w:r>
              <w:rPr>
                <w:rFonts w:hint="eastAsia" w:ascii="宋体" w:hAnsi="宋体" w:eastAsia="宋体" w:cs="宋体"/>
                <w:b/>
                <w:color w:val="auto"/>
                <w:szCs w:val="24"/>
                <w:highlight w:val="none"/>
              </w:rPr>
              <w:t>中标人提供转账凭证向招标人领取中标通知书。</w:t>
            </w:r>
          </w:p>
          <w:p w14:paraId="62D0C214">
            <w:pPr>
              <w:wordWrap w:val="0"/>
              <w:spacing w:line="360" w:lineRule="exact"/>
              <w:rPr>
                <w:rFonts w:hint="eastAsia" w:ascii="宋体" w:hAnsi="宋体" w:eastAsia="宋体" w:cs="Times New Roman"/>
                <w:szCs w:val="21"/>
              </w:rPr>
            </w:pPr>
            <w:r>
              <w:rPr>
                <w:rFonts w:hint="eastAsia" w:ascii="宋体" w:hAnsi="宋体" w:eastAsia="宋体" w:cs="Times New Roman"/>
                <w:szCs w:val="21"/>
              </w:rPr>
              <w:t>3.本项目招标文件的最终解释权归招标人。</w:t>
            </w:r>
          </w:p>
        </w:tc>
      </w:tr>
    </w:tbl>
    <w:p w14:paraId="73317290">
      <w:pPr>
        <w:wordWrap w:val="0"/>
        <w:jc w:val="center"/>
        <w:outlineLvl w:val="1"/>
        <w:rPr>
          <w:rFonts w:ascii="Times New Roman" w:hAnsi="Times New Roman" w:eastAsia="宋体" w:cs="Times New Roman"/>
          <w:szCs w:val="24"/>
        </w:rPr>
      </w:pPr>
      <w:bookmarkStart w:id="111" w:name="_Toc143421656"/>
      <w:r>
        <w:rPr>
          <w:rFonts w:ascii="Times New Roman" w:hAnsi="Times New Roman" w:eastAsia="宋体" w:cs="Times New Roman"/>
          <w:sz w:val="30"/>
          <w:szCs w:val="30"/>
        </w:rPr>
        <w:br w:type="page"/>
      </w:r>
      <w:bookmarkStart w:id="112" w:name="_Toc5989"/>
      <w:bookmarkStart w:id="113" w:name="_Toc389065144"/>
      <w:bookmarkStart w:id="114" w:name="_Toc13853"/>
      <w:bookmarkStart w:id="115" w:name="_Toc10996"/>
      <w:bookmarkStart w:id="116" w:name="_Toc2970"/>
      <w:bookmarkStart w:id="117" w:name="_Toc27304"/>
      <w:bookmarkStart w:id="118" w:name="_Toc3568"/>
      <w:bookmarkStart w:id="119" w:name="_Toc16600"/>
      <w:bookmarkStart w:id="120" w:name="_Toc20233"/>
      <w:bookmarkStart w:id="121" w:name="_Toc6370"/>
      <w:bookmarkStart w:id="122" w:name="_Toc29786923"/>
      <w:bookmarkStart w:id="123" w:name="_Toc26915"/>
      <w:bookmarkStart w:id="124" w:name="_Toc12219"/>
      <w:bookmarkStart w:id="125" w:name="_Toc234121008"/>
      <w:bookmarkStart w:id="126" w:name="_Toc13547"/>
      <w:bookmarkStart w:id="127" w:name="_Toc20357"/>
      <w:bookmarkStart w:id="128" w:name="_Toc7485"/>
      <w:bookmarkStart w:id="129" w:name="_Toc530736529"/>
      <w:r>
        <w:rPr>
          <w:rFonts w:hint="eastAsia" w:ascii="Times New Roman" w:hAnsi="Times New Roman" w:eastAsia="黑体" w:cs="Times New Roman"/>
          <w:b/>
          <w:bCs/>
          <w:kern w:val="0"/>
          <w:sz w:val="28"/>
          <w:szCs w:val="28"/>
        </w:rPr>
        <w:t>投标人须知正文部分</w:t>
      </w:r>
      <w:bookmarkEnd w:id="112"/>
      <w:bookmarkEnd w:id="113"/>
      <w:bookmarkEnd w:id="114"/>
      <w:bookmarkEnd w:id="115"/>
      <w:bookmarkEnd w:id="116"/>
      <w:bookmarkEnd w:id="117"/>
      <w:bookmarkEnd w:id="118"/>
      <w:bookmarkEnd w:id="119"/>
      <w:bookmarkEnd w:id="120"/>
      <w:bookmarkEnd w:id="121"/>
      <w:bookmarkEnd w:id="122"/>
      <w:bookmarkEnd w:id="123"/>
      <w:bookmarkStart w:id="130" w:name="_Toc14006"/>
      <w:bookmarkStart w:id="131" w:name="_Toc389065145"/>
    </w:p>
    <w:p w14:paraId="75524471">
      <w:pPr>
        <w:keepNext/>
        <w:keepLines/>
        <w:wordWrap w:val="0"/>
        <w:spacing w:before="240" w:beforeLines="100" w:line="360" w:lineRule="auto"/>
        <w:outlineLvl w:val="1"/>
        <w:rPr>
          <w:rFonts w:hint="eastAsia" w:ascii="黑体" w:hAnsi="黑体" w:eastAsia="黑体" w:cs="Times New Roman"/>
          <w:b/>
          <w:bCs/>
          <w:sz w:val="24"/>
          <w:szCs w:val="21"/>
        </w:rPr>
      </w:pPr>
      <w:r>
        <w:rPr>
          <w:rFonts w:ascii="黑体" w:hAnsi="黑体" w:eastAsia="黑体" w:cs="Times New Roman"/>
          <w:b/>
          <w:bCs/>
          <w:sz w:val="24"/>
          <w:szCs w:val="21"/>
        </w:rPr>
        <w:t>1</w:t>
      </w:r>
      <w:r>
        <w:rPr>
          <w:rFonts w:hint="eastAsia" w:ascii="黑体" w:hAnsi="黑体" w:eastAsia="黑体" w:cs="Times New Roman"/>
          <w:b/>
          <w:bCs/>
          <w:sz w:val="24"/>
          <w:szCs w:val="21"/>
        </w:rPr>
        <w:t xml:space="preserve"> </w:t>
      </w:r>
      <w:r>
        <w:rPr>
          <w:rFonts w:ascii="黑体" w:hAnsi="黑体" w:eastAsia="黑体" w:cs="Times New Roman"/>
          <w:b/>
          <w:bCs/>
          <w:sz w:val="24"/>
          <w:szCs w:val="21"/>
        </w:rPr>
        <w:t>总则</w:t>
      </w:r>
      <w:bookmarkEnd w:id="130"/>
      <w:bookmarkEnd w:id="131"/>
    </w:p>
    <w:p w14:paraId="40815086">
      <w:pPr>
        <w:keepNext/>
        <w:keepLines/>
        <w:wordWrap w:val="0"/>
        <w:spacing w:line="360" w:lineRule="auto"/>
        <w:outlineLvl w:val="3"/>
        <w:rPr>
          <w:rFonts w:hint="eastAsia" w:ascii="宋体" w:hAnsi="宋体" w:eastAsia="宋体" w:cs="Times New Roman"/>
          <w:b/>
          <w:bCs/>
          <w:szCs w:val="21"/>
        </w:rPr>
      </w:pPr>
      <w:bookmarkStart w:id="132" w:name="_Toc11792"/>
      <w:bookmarkStart w:id="133" w:name="_Toc389065146"/>
      <w:r>
        <w:rPr>
          <w:rFonts w:ascii="宋体" w:hAnsi="宋体" w:eastAsia="宋体" w:cs="Times New Roman"/>
          <w:b/>
          <w:bCs/>
          <w:szCs w:val="21"/>
        </w:rPr>
        <w:t>1.1 项目概况</w:t>
      </w:r>
      <w:bookmarkEnd w:id="132"/>
      <w:bookmarkEnd w:id="133"/>
    </w:p>
    <w:p w14:paraId="2E33D0EB">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1.1.1根据《中华人民共和国招标投标法》等有关法律、法规和规章的规定，本招标项目已具备招标条件，现对本</w:t>
      </w:r>
      <w:r>
        <w:rPr>
          <w:rFonts w:hint="eastAsia" w:ascii="宋体" w:hAnsi="宋体" w:eastAsia="宋体" w:cs="Times New Roman"/>
          <w:kern w:val="0"/>
          <w:szCs w:val="21"/>
        </w:rPr>
        <w:t>项目</w:t>
      </w:r>
      <w:r>
        <w:rPr>
          <w:rFonts w:ascii="宋体" w:hAnsi="宋体" w:eastAsia="宋体" w:cs="Times New Roman"/>
          <w:kern w:val="0"/>
          <w:szCs w:val="21"/>
        </w:rPr>
        <w:t>进行招标。</w:t>
      </w:r>
    </w:p>
    <w:p w14:paraId="168C934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1.1.2 本招标项目招标人：见“投标人须知前附表”。</w:t>
      </w:r>
    </w:p>
    <w:p w14:paraId="6C3E070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1.1.3 本</w:t>
      </w:r>
      <w:r>
        <w:rPr>
          <w:rFonts w:hint="eastAsia" w:ascii="宋体" w:hAnsi="宋体" w:eastAsia="宋体" w:cs="Times New Roman"/>
          <w:kern w:val="0"/>
          <w:szCs w:val="21"/>
        </w:rPr>
        <w:t>项目</w:t>
      </w:r>
      <w:r>
        <w:rPr>
          <w:rFonts w:ascii="宋体" w:hAnsi="宋体" w:eastAsia="宋体" w:cs="Times New Roman"/>
          <w:kern w:val="0"/>
          <w:szCs w:val="21"/>
        </w:rPr>
        <w:t>招标代理机构：见“投标人须知前附表”。</w:t>
      </w:r>
    </w:p>
    <w:p w14:paraId="5A97928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1.1.4 本招标项目名称：见“投标人须知前附表”。</w:t>
      </w:r>
    </w:p>
    <w:p w14:paraId="606561F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1.1.5 本</w:t>
      </w:r>
      <w:r>
        <w:rPr>
          <w:rFonts w:hint="eastAsia" w:ascii="宋体" w:hAnsi="宋体" w:eastAsia="宋体" w:cs="Times New Roman"/>
          <w:kern w:val="0"/>
          <w:szCs w:val="21"/>
        </w:rPr>
        <w:t>项目</w:t>
      </w:r>
      <w:r>
        <w:rPr>
          <w:rFonts w:ascii="宋体" w:hAnsi="宋体" w:eastAsia="宋体" w:cs="Times New Roman"/>
          <w:kern w:val="0"/>
          <w:szCs w:val="21"/>
        </w:rPr>
        <w:t>地点：见“投标人须知前附表”。</w:t>
      </w:r>
    </w:p>
    <w:p w14:paraId="7820074D">
      <w:pPr>
        <w:keepNext/>
        <w:keepLines/>
        <w:wordWrap w:val="0"/>
        <w:spacing w:line="360" w:lineRule="auto"/>
        <w:outlineLvl w:val="3"/>
        <w:rPr>
          <w:rFonts w:hint="eastAsia" w:ascii="宋体" w:hAnsi="宋体" w:eastAsia="宋体" w:cs="Times New Roman"/>
          <w:b/>
          <w:bCs/>
          <w:szCs w:val="21"/>
        </w:rPr>
      </w:pPr>
      <w:bookmarkStart w:id="134" w:name="_Toc31441"/>
      <w:bookmarkStart w:id="135" w:name="_Toc389065147"/>
      <w:r>
        <w:rPr>
          <w:rFonts w:ascii="宋体" w:hAnsi="宋体" w:eastAsia="宋体" w:cs="Times New Roman"/>
          <w:b/>
          <w:bCs/>
          <w:szCs w:val="21"/>
        </w:rPr>
        <w:t>1.2 资金来源和落实情况</w:t>
      </w:r>
      <w:bookmarkEnd w:id="134"/>
      <w:bookmarkEnd w:id="135"/>
    </w:p>
    <w:p w14:paraId="5BCEB70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1.2.1 本招标项目的资金来源：见“投标人须知前附表”。</w:t>
      </w:r>
    </w:p>
    <w:p w14:paraId="74FFA36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1.2.2 本招标项目的出资比例：见“投标人须知前附表”。</w:t>
      </w:r>
    </w:p>
    <w:p w14:paraId="75F9ECE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1.2.3 本招标项目的资金落实情况：见“投标人须知前附表”。</w:t>
      </w:r>
    </w:p>
    <w:p w14:paraId="09A9F139">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1.2.4 本招标项目的增值税计税方法：</w:t>
      </w:r>
      <w:r>
        <w:rPr>
          <w:rFonts w:ascii="宋体" w:hAnsi="宋体" w:eastAsia="宋体" w:cs="Times New Roman"/>
          <w:kern w:val="0"/>
          <w:szCs w:val="21"/>
        </w:rPr>
        <w:t>见“投标人须知前附表”。</w:t>
      </w:r>
    </w:p>
    <w:p w14:paraId="441CC246">
      <w:pPr>
        <w:keepNext/>
        <w:keepLines/>
        <w:wordWrap w:val="0"/>
        <w:spacing w:line="360" w:lineRule="auto"/>
        <w:outlineLvl w:val="3"/>
        <w:rPr>
          <w:rFonts w:hint="eastAsia" w:ascii="宋体" w:hAnsi="宋体" w:eastAsia="宋体" w:cs="Times New Roman"/>
          <w:b/>
          <w:bCs/>
          <w:szCs w:val="21"/>
        </w:rPr>
      </w:pPr>
      <w:bookmarkStart w:id="136" w:name="_Toc389065148"/>
      <w:bookmarkStart w:id="137" w:name="_Toc13334"/>
      <w:r>
        <w:rPr>
          <w:rFonts w:ascii="宋体" w:hAnsi="宋体" w:eastAsia="宋体" w:cs="Times New Roman"/>
          <w:b/>
          <w:bCs/>
          <w:szCs w:val="21"/>
        </w:rPr>
        <w:t>1.3 招标范围、计划</w:t>
      </w:r>
      <w:r>
        <w:rPr>
          <w:rFonts w:hint="eastAsia" w:ascii="宋体" w:hAnsi="宋体" w:eastAsia="宋体" w:cs="Times New Roman"/>
          <w:b/>
          <w:bCs/>
          <w:szCs w:val="21"/>
        </w:rPr>
        <w:t>服务期</w:t>
      </w:r>
      <w:r>
        <w:rPr>
          <w:rFonts w:ascii="宋体" w:hAnsi="宋体" w:eastAsia="宋体" w:cs="Times New Roman"/>
          <w:b/>
          <w:bCs/>
          <w:szCs w:val="21"/>
        </w:rPr>
        <w:t>和质量要求</w:t>
      </w:r>
      <w:bookmarkEnd w:id="136"/>
      <w:bookmarkEnd w:id="137"/>
    </w:p>
    <w:p w14:paraId="7097082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1.3.1 本次招标范围：见“投标人须知前附表”。</w:t>
      </w:r>
    </w:p>
    <w:p w14:paraId="0F61B75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1.3.2 本</w:t>
      </w:r>
      <w:r>
        <w:rPr>
          <w:rFonts w:hint="eastAsia" w:ascii="宋体" w:hAnsi="宋体" w:eastAsia="宋体" w:cs="Times New Roman"/>
          <w:kern w:val="0"/>
          <w:szCs w:val="21"/>
        </w:rPr>
        <w:t>项目</w:t>
      </w:r>
      <w:r>
        <w:rPr>
          <w:rFonts w:ascii="宋体" w:hAnsi="宋体" w:eastAsia="宋体" w:cs="Times New Roman"/>
          <w:kern w:val="0"/>
          <w:szCs w:val="21"/>
        </w:rPr>
        <w:t>的</w:t>
      </w:r>
      <w:r>
        <w:rPr>
          <w:rFonts w:hint="eastAsia" w:ascii="宋体" w:hAnsi="宋体" w:eastAsia="宋体" w:cs="Times New Roman"/>
          <w:kern w:val="0"/>
          <w:szCs w:val="21"/>
        </w:rPr>
        <w:t>服务期</w:t>
      </w:r>
      <w:r>
        <w:rPr>
          <w:rFonts w:ascii="宋体" w:hAnsi="宋体" w:eastAsia="宋体" w:cs="Times New Roman"/>
          <w:kern w:val="0"/>
          <w:szCs w:val="21"/>
        </w:rPr>
        <w:t>：见“投标人须知前附表”。</w:t>
      </w:r>
    </w:p>
    <w:p w14:paraId="5E069B3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1.3.3 本</w:t>
      </w:r>
      <w:r>
        <w:rPr>
          <w:rFonts w:hint="eastAsia" w:ascii="宋体" w:hAnsi="宋体" w:eastAsia="宋体" w:cs="Times New Roman"/>
          <w:kern w:val="0"/>
          <w:szCs w:val="21"/>
        </w:rPr>
        <w:t>项目</w:t>
      </w:r>
      <w:r>
        <w:rPr>
          <w:rFonts w:ascii="宋体" w:hAnsi="宋体" w:eastAsia="宋体" w:cs="Times New Roman"/>
          <w:kern w:val="0"/>
          <w:szCs w:val="21"/>
        </w:rPr>
        <w:t>的质量要求：见“投标人须知前附表”。</w:t>
      </w:r>
    </w:p>
    <w:p w14:paraId="2BEE93BB">
      <w:pPr>
        <w:keepNext/>
        <w:keepLines/>
        <w:wordWrap w:val="0"/>
        <w:spacing w:line="360" w:lineRule="auto"/>
        <w:outlineLvl w:val="3"/>
        <w:rPr>
          <w:rFonts w:hint="eastAsia" w:ascii="宋体" w:hAnsi="宋体" w:eastAsia="宋体" w:cs="Times New Roman"/>
          <w:b/>
          <w:bCs/>
          <w:szCs w:val="21"/>
        </w:rPr>
      </w:pPr>
      <w:bookmarkStart w:id="138" w:name="_Toc389065149"/>
      <w:bookmarkStart w:id="139" w:name="_Toc16860"/>
      <w:r>
        <w:rPr>
          <w:rFonts w:ascii="宋体" w:hAnsi="宋体" w:eastAsia="宋体" w:cs="Times New Roman"/>
          <w:b/>
          <w:bCs/>
          <w:szCs w:val="21"/>
        </w:rPr>
        <w:t>1.4 投标人资格要求</w:t>
      </w:r>
      <w:bookmarkEnd w:id="138"/>
      <w:bookmarkEnd w:id="139"/>
    </w:p>
    <w:p w14:paraId="64836B4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1.4.1 投标人应具备承担本项目的资质条件</w:t>
      </w:r>
      <w:r>
        <w:rPr>
          <w:rFonts w:hint="eastAsia" w:ascii="宋体" w:hAnsi="宋体" w:eastAsia="宋体" w:cs="Times New Roman"/>
          <w:kern w:val="0"/>
          <w:szCs w:val="21"/>
        </w:rPr>
        <w:t>,</w:t>
      </w:r>
      <w:r>
        <w:rPr>
          <w:rFonts w:ascii="宋体" w:hAnsi="宋体" w:eastAsia="宋体" w:cs="Times New Roman"/>
          <w:kern w:val="0"/>
          <w:szCs w:val="21"/>
        </w:rPr>
        <w:t>见“投标人须知前附表”。</w:t>
      </w:r>
    </w:p>
    <w:p w14:paraId="084FA4C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1.4.</w:t>
      </w:r>
      <w:r>
        <w:rPr>
          <w:rFonts w:hint="eastAsia" w:ascii="宋体" w:hAnsi="宋体" w:eastAsia="宋体" w:cs="Times New Roman"/>
          <w:kern w:val="0"/>
          <w:szCs w:val="21"/>
        </w:rPr>
        <w:t>2是否接受联合体投标：</w:t>
      </w:r>
      <w:r>
        <w:rPr>
          <w:rFonts w:ascii="宋体" w:hAnsi="宋体" w:eastAsia="宋体" w:cs="Times New Roman"/>
          <w:kern w:val="0"/>
          <w:szCs w:val="21"/>
        </w:rPr>
        <w:t>见“投标人须知前附表”</w:t>
      </w:r>
      <w:r>
        <w:rPr>
          <w:rFonts w:hint="eastAsia" w:ascii="宋体" w:hAnsi="宋体" w:eastAsia="宋体" w:cs="Times New Roman"/>
          <w:kern w:val="0"/>
          <w:szCs w:val="21"/>
        </w:rPr>
        <w:t>。</w:t>
      </w:r>
    </w:p>
    <w:p w14:paraId="376F3AE3">
      <w:pPr>
        <w:keepNext/>
        <w:keepLines/>
        <w:wordWrap w:val="0"/>
        <w:spacing w:line="360" w:lineRule="auto"/>
        <w:outlineLvl w:val="3"/>
        <w:rPr>
          <w:rFonts w:hint="eastAsia" w:ascii="宋体" w:hAnsi="宋体" w:eastAsia="宋体" w:cs="Times New Roman"/>
          <w:b/>
          <w:bCs/>
          <w:szCs w:val="21"/>
        </w:rPr>
      </w:pPr>
      <w:bookmarkStart w:id="140" w:name="_Toc25398"/>
      <w:bookmarkStart w:id="141" w:name="_Toc389065150"/>
      <w:r>
        <w:rPr>
          <w:rFonts w:ascii="宋体" w:hAnsi="宋体" w:eastAsia="宋体" w:cs="Times New Roman"/>
          <w:b/>
          <w:bCs/>
          <w:szCs w:val="21"/>
        </w:rPr>
        <w:t>1.5 费用承担</w:t>
      </w:r>
      <w:bookmarkEnd w:id="140"/>
      <w:bookmarkEnd w:id="141"/>
    </w:p>
    <w:p w14:paraId="6C19F97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投标人准备和参加投标活动发生的费用自理。</w:t>
      </w:r>
    </w:p>
    <w:p w14:paraId="57F0C59D">
      <w:pPr>
        <w:keepNext/>
        <w:keepLines/>
        <w:wordWrap w:val="0"/>
        <w:spacing w:line="360" w:lineRule="auto"/>
        <w:outlineLvl w:val="3"/>
        <w:rPr>
          <w:rFonts w:hint="eastAsia" w:ascii="宋体" w:hAnsi="宋体" w:eastAsia="宋体" w:cs="Times New Roman"/>
          <w:b/>
          <w:bCs/>
          <w:szCs w:val="21"/>
        </w:rPr>
      </w:pPr>
      <w:bookmarkStart w:id="142" w:name="_Toc30935"/>
      <w:bookmarkStart w:id="143" w:name="_Toc389065151"/>
      <w:r>
        <w:rPr>
          <w:rFonts w:ascii="宋体" w:hAnsi="宋体" w:eastAsia="宋体" w:cs="Times New Roman"/>
          <w:b/>
          <w:bCs/>
          <w:szCs w:val="21"/>
        </w:rPr>
        <w:t>1.6 保密</w:t>
      </w:r>
      <w:bookmarkEnd w:id="142"/>
      <w:bookmarkEnd w:id="143"/>
    </w:p>
    <w:p w14:paraId="58D1891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参与招标投标活动的各方应对招标文件和投标文件中的商业和技术等秘密保密，违者应对由此造成的后果承担法律责任。</w:t>
      </w:r>
    </w:p>
    <w:p w14:paraId="394571DC">
      <w:pPr>
        <w:keepNext/>
        <w:keepLines/>
        <w:wordWrap w:val="0"/>
        <w:spacing w:line="360" w:lineRule="auto"/>
        <w:outlineLvl w:val="3"/>
        <w:rPr>
          <w:rFonts w:hint="eastAsia" w:ascii="宋体" w:hAnsi="宋体" w:eastAsia="宋体" w:cs="Times New Roman"/>
          <w:b/>
          <w:bCs/>
          <w:szCs w:val="21"/>
        </w:rPr>
      </w:pPr>
      <w:bookmarkStart w:id="144" w:name="_Toc389065152"/>
      <w:bookmarkStart w:id="145" w:name="_Toc32212"/>
      <w:r>
        <w:rPr>
          <w:rFonts w:ascii="宋体" w:hAnsi="宋体" w:eastAsia="宋体" w:cs="Times New Roman"/>
          <w:b/>
          <w:bCs/>
          <w:szCs w:val="21"/>
        </w:rPr>
        <w:t>1.7 语言文字</w:t>
      </w:r>
      <w:bookmarkEnd w:id="144"/>
      <w:bookmarkEnd w:id="145"/>
    </w:p>
    <w:p w14:paraId="79F6212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除专用术语外，与招标投标有关的语言均使用中文。必要时专用术语应附有中文注释。</w:t>
      </w:r>
    </w:p>
    <w:p w14:paraId="767E4B91">
      <w:pPr>
        <w:keepNext/>
        <w:keepLines/>
        <w:wordWrap w:val="0"/>
        <w:spacing w:line="360" w:lineRule="auto"/>
        <w:outlineLvl w:val="3"/>
        <w:rPr>
          <w:rFonts w:hint="eastAsia" w:ascii="宋体" w:hAnsi="宋体" w:eastAsia="宋体" w:cs="Times New Roman"/>
          <w:b/>
          <w:bCs/>
          <w:szCs w:val="21"/>
        </w:rPr>
      </w:pPr>
      <w:bookmarkStart w:id="146" w:name="_Toc17517"/>
      <w:bookmarkStart w:id="147" w:name="_Toc389065153"/>
      <w:r>
        <w:rPr>
          <w:rFonts w:ascii="宋体" w:hAnsi="宋体" w:eastAsia="宋体" w:cs="Times New Roman"/>
          <w:b/>
          <w:bCs/>
          <w:szCs w:val="21"/>
        </w:rPr>
        <w:t>1.8 计量单位</w:t>
      </w:r>
      <w:bookmarkEnd w:id="146"/>
      <w:bookmarkEnd w:id="147"/>
    </w:p>
    <w:p w14:paraId="360895D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所有计量均采用中华人民共和国法定计量单位。</w:t>
      </w:r>
    </w:p>
    <w:p w14:paraId="53C09176">
      <w:pPr>
        <w:keepNext/>
        <w:keepLines/>
        <w:wordWrap w:val="0"/>
        <w:spacing w:line="360" w:lineRule="auto"/>
        <w:outlineLvl w:val="3"/>
        <w:rPr>
          <w:rFonts w:hint="eastAsia" w:ascii="宋体" w:hAnsi="宋体" w:eastAsia="宋体" w:cs="Times New Roman"/>
          <w:b/>
          <w:bCs/>
          <w:szCs w:val="21"/>
        </w:rPr>
      </w:pPr>
      <w:bookmarkStart w:id="148" w:name="_Toc14947"/>
      <w:bookmarkStart w:id="149" w:name="_Toc389065154"/>
      <w:r>
        <w:rPr>
          <w:rFonts w:ascii="宋体" w:hAnsi="宋体" w:eastAsia="宋体" w:cs="Times New Roman"/>
          <w:b/>
          <w:bCs/>
          <w:szCs w:val="21"/>
        </w:rPr>
        <w:t>1.9 踏勘现场</w:t>
      </w:r>
      <w:bookmarkEnd w:id="148"/>
      <w:bookmarkEnd w:id="149"/>
    </w:p>
    <w:p w14:paraId="33C6E1E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见“投标人须知前附表”</w:t>
      </w:r>
    </w:p>
    <w:p w14:paraId="65E0C118">
      <w:pPr>
        <w:keepNext/>
        <w:keepLines/>
        <w:wordWrap w:val="0"/>
        <w:spacing w:line="360" w:lineRule="auto"/>
        <w:outlineLvl w:val="3"/>
        <w:rPr>
          <w:rFonts w:hint="eastAsia" w:ascii="宋体" w:hAnsi="宋体" w:eastAsia="宋体" w:cs="Times New Roman"/>
          <w:b/>
          <w:bCs/>
          <w:szCs w:val="21"/>
        </w:rPr>
      </w:pPr>
      <w:bookmarkStart w:id="150" w:name="_Toc389065155"/>
      <w:bookmarkStart w:id="151" w:name="_Toc23535"/>
      <w:r>
        <w:rPr>
          <w:rFonts w:ascii="宋体" w:hAnsi="宋体" w:eastAsia="宋体" w:cs="Times New Roman"/>
          <w:b/>
          <w:bCs/>
          <w:szCs w:val="21"/>
        </w:rPr>
        <w:t>1.10 投标预备会</w:t>
      </w:r>
      <w:bookmarkEnd w:id="150"/>
      <w:bookmarkEnd w:id="151"/>
    </w:p>
    <w:p w14:paraId="31EF665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见“投标人须知前附表”</w:t>
      </w:r>
    </w:p>
    <w:p w14:paraId="2D383CC5">
      <w:pPr>
        <w:keepNext/>
        <w:keepLines/>
        <w:wordWrap w:val="0"/>
        <w:spacing w:line="360" w:lineRule="auto"/>
        <w:outlineLvl w:val="3"/>
        <w:rPr>
          <w:rFonts w:hint="eastAsia" w:ascii="宋体" w:hAnsi="宋体" w:eastAsia="宋体" w:cs="Times New Roman"/>
          <w:b/>
          <w:bCs/>
          <w:szCs w:val="21"/>
        </w:rPr>
      </w:pPr>
      <w:bookmarkStart w:id="152" w:name="_Toc389065156"/>
      <w:bookmarkStart w:id="153" w:name="_Toc2799"/>
      <w:r>
        <w:rPr>
          <w:rFonts w:ascii="宋体" w:hAnsi="宋体" w:eastAsia="宋体" w:cs="Times New Roman"/>
          <w:b/>
          <w:bCs/>
          <w:szCs w:val="21"/>
        </w:rPr>
        <w:t>1.11 分包</w:t>
      </w:r>
      <w:bookmarkEnd w:id="152"/>
      <w:bookmarkEnd w:id="153"/>
    </w:p>
    <w:p w14:paraId="11631D82">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见“投标人须知前附表”</w:t>
      </w:r>
    </w:p>
    <w:p w14:paraId="0AFB82A8">
      <w:pPr>
        <w:keepNext/>
        <w:keepLines/>
        <w:wordWrap w:val="0"/>
        <w:spacing w:line="360" w:lineRule="auto"/>
        <w:outlineLvl w:val="3"/>
        <w:rPr>
          <w:rFonts w:hint="eastAsia" w:ascii="宋体" w:hAnsi="宋体" w:eastAsia="宋体" w:cs="Times New Roman"/>
          <w:b/>
          <w:bCs/>
          <w:szCs w:val="21"/>
        </w:rPr>
      </w:pPr>
      <w:bookmarkStart w:id="154" w:name="_Toc389065157"/>
      <w:bookmarkStart w:id="155" w:name="_Toc10549"/>
      <w:r>
        <w:rPr>
          <w:rFonts w:ascii="宋体" w:hAnsi="宋体" w:eastAsia="宋体" w:cs="Times New Roman"/>
          <w:b/>
          <w:bCs/>
          <w:szCs w:val="21"/>
        </w:rPr>
        <w:t>1.12 偏离</w:t>
      </w:r>
      <w:bookmarkEnd w:id="154"/>
      <w:bookmarkEnd w:id="155"/>
    </w:p>
    <w:p w14:paraId="1C90D58C">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见“投标人须知前附表”</w:t>
      </w:r>
    </w:p>
    <w:p w14:paraId="62B80F6D">
      <w:pPr>
        <w:keepNext/>
        <w:keepLines/>
        <w:wordWrap w:val="0"/>
        <w:spacing w:before="240" w:beforeLines="100" w:line="360" w:lineRule="auto"/>
        <w:outlineLvl w:val="1"/>
        <w:rPr>
          <w:rFonts w:hint="eastAsia" w:ascii="黑体" w:hAnsi="黑体" w:eastAsia="黑体" w:cs="Times New Roman"/>
          <w:b/>
          <w:bCs/>
          <w:sz w:val="24"/>
          <w:szCs w:val="21"/>
        </w:rPr>
      </w:pPr>
      <w:bookmarkStart w:id="156" w:name="_Toc23044"/>
      <w:bookmarkStart w:id="157" w:name="_Toc389065158"/>
      <w:r>
        <w:rPr>
          <w:rFonts w:ascii="黑体" w:hAnsi="黑体" w:eastAsia="黑体" w:cs="Times New Roman"/>
          <w:b/>
          <w:bCs/>
          <w:sz w:val="24"/>
          <w:szCs w:val="21"/>
        </w:rPr>
        <w:t>2</w:t>
      </w:r>
      <w:r>
        <w:rPr>
          <w:rFonts w:hint="eastAsia" w:ascii="黑体" w:hAnsi="黑体" w:eastAsia="黑体" w:cs="Times New Roman"/>
          <w:b/>
          <w:bCs/>
          <w:sz w:val="24"/>
          <w:szCs w:val="21"/>
        </w:rPr>
        <w:t xml:space="preserve"> </w:t>
      </w:r>
      <w:r>
        <w:rPr>
          <w:rFonts w:ascii="黑体" w:hAnsi="黑体" w:eastAsia="黑体" w:cs="Times New Roman"/>
          <w:b/>
          <w:bCs/>
          <w:sz w:val="24"/>
          <w:szCs w:val="21"/>
        </w:rPr>
        <w:t>招标文件</w:t>
      </w:r>
      <w:bookmarkEnd w:id="156"/>
      <w:bookmarkEnd w:id="157"/>
    </w:p>
    <w:p w14:paraId="74A6C0BF">
      <w:pPr>
        <w:keepNext/>
        <w:keepLines/>
        <w:wordWrap w:val="0"/>
        <w:spacing w:line="360" w:lineRule="auto"/>
        <w:outlineLvl w:val="3"/>
        <w:rPr>
          <w:rFonts w:hint="eastAsia" w:ascii="宋体" w:hAnsi="宋体" w:eastAsia="宋体" w:cs="Times New Roman"/>
          <w:b/>
          <w:bCs/>
          <w:szCs w:val="21"/>
        </w:rPr>
      </w:pPr>
      <w:bookmarkStart w:id="158" w:name="_Toc15456"/>
      <w:bookmarkStart w:id="159" w:name="_Toc389065159"/>
      <w:r>
        <w:rPr>
          <w:rFonts w:ascii="宋体" w:hAnsi="宋体" w:eastAsia="宋体" w:cs="Times New Roman"/>
          <w:b/>
          <w:bCs/>
          <w:szCs w:val="21"/>
        </w:rPr>
        <w:t>2.1 招标文件的组成</w:t>
      </w:r>
      <w:bookmarkEnd w:id="158"/>
      <w:bookmarkEnd w:id="159"/>
    </w:p>
    <w:p w14:paraId="78CA600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2.1.1本招标文件包括：</w:t>
      </w:r>
    </w:p>
    <w:p w14:paraId="0BEAC8C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（1）招标公告；</w:t>
      </w:r>
    </w:p>
    <w:p w14:paraId="0CD37AB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（2）投标人须知；</w:t>
      </w:r>
    </w:p>
    <w:p w14:paraId="6C5ECBBA">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（3）评标办法；</w:t>
      </w:r>
    </w:p>
    <w:p w14:paraId="418DBA2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（4）合同条款及格式；</w:t>
      </w:r>
    </w:p>
    <w:p w14:paraId="2C0374BC">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招标控制价</w:t>
      </w:r>
      <w:r>
        <w:rPr>
          <w:rFonts w:ascii="宋体" w:hAnsi="宋体" w:eastAsia="宋体" w:cs="Times New Roman"/>
          <w:kern w:val="0"/>
          <w:szCs w:val="21"/>
        </w:rPr>
        <w:t>；</w:t>
      </w:r>
    </w:p>
    <w:p w14:paraId="27F803EB">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6</w:t>
      </w:r>
      <w:r>
        <w:rPr>
          <w:rFonts w:ascii="宋体" w:hAnsi="宋体" w:eastAsia="宋体" w:cs="Times New Roman"/>
          <w:kern w:val="0"/>
          <w:szCs w:val="21"/>
        </w:rPr>
        <w:t>）用户需求书；</w:t>
      </w:r>
    </w:p>
    <w:p w14:paraId="6CB538E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7</w:t>
      </w:r>
      <w:r>
        <w:rPr>
          <w:rFonts w:ascii="宋体" w:hAnsi="宋体" w:eastAsia="宋体" w:cs="Times New Roman"/>
          <w:kern w:val="0"/>
          <w:szCs w:val="21"/>
        </w:rPr>
        <w:t>）投标文件格式；</w:t>
      </w:r>
    </w:p>
    <w:p w14:paraId="5C07A6F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8</w:t>
      </w:r>
      <w:r>
        <w:rPr>
          <w:rFonts w:ascii="宋体" w:hAnsi="宋体" w:eastAsia="宋体" w:cs="Times New Roman"/>
          <w:kern w:val="0"/>
          <w:szCs w:val="21"/>
        </w:rPr>
        <w:t>）“投标人须知前附表”规定的其他材料。</w:t>
      </w:r>
      <w:r>
        <w:rPr>
          <w:rFonts w:hint="eastAsia" w:ascii="宋体" w:hAnsi="宋体" w:eastAsia="宋体" w:cs="Times New Roman"/>
          <w:kern w:val="0"/>
          <w:szCs w:val="21"/>
        </w:rPr>
        <w:t>根据本章第</w:t>
      </w:r>
      <w:r>
        <w:rPr>
          <w:rFonts w:ascii="宋体" w:hAnsi="宋体" w:eastAsia="宋体" w:cs="Times New Roman"/>
          <w:kern w:val="0"/>
          <w:szCs w:val="21"/>
        </w:rPr>
        <w:t xml:space="preserve">1.10 </w:t>
      </w:r>
      <w:r>
        <w:rPr>
          <w:rFonts w:hint="eastAsia" w:ascii="宋体" w:hAnsi="宋体" w:eastAsia="宋体" w:cs="Times New Roman"/>
          <w:kern w:val="0"/>
          <w:szCs w:val="21"/>
        </w:rPr>
        <w:t>款、第</w:t>
      </w:r>
      <w:r>
        <w:rPr>
          <w:rFonts w:ascii="宋体" w:hAnsi="宋体" w:eastAsia="宋体" w:cs="Times New Roman"/>
          <w:kern w:val="0"/>
          <w:szCs w:val="21"/>
        </w:rPr>
        <w:t xml:space="preserve">2.2 </w:t>
      </w:r>
      <w:r>
        <w:rPr>
          <w:rFonts w:hint="eastAsia" w:ascii="宋体" w:hAnsi="宋体" w:eastAsia="宋体" w:cs="Times New Roman"/>
          <w:kern w:val="0"/>
          <w:szCs w:val="21"/>
        </w:rPr>
        <w:t>款和第</w:t>
      </w:r>
      <w:r>
        <w:rPr>
          <w:rFonts w:ascii="宋体" w:hAnsi="宋体" w:eastAsia="宋体" w:cs="Times New Roman"/>
          <w:kern w:val="0"/>
          <w:szCs w:val="21"/>
        </w:rPr>
        <w:t xml:space="preserve">2.3 </w:t>
      </w:r>
      <w:r>
        <w:rPr>
          <w:rFonts w:hint="eastAsia" w:ascii="宋体" w:hAnsi="宋体" w:eastAsia="宋体" w:cs="Times New Roman"/>
          <w:kern w:val="0"/>
          <w:szCs w:val="21"/>
        </w:rPr>
        <w:t>款对招标文件所作的澄清、修改，构成招标文件的组成部分。</w:t>
      </w:r>
    </w:p>
    <w:p w14:paraId="53EF17E6">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2.1.2</w:t>
      </w:r>
      <w:r>
        <w:rPr>
          <w:rFonts w:ascii="宋体" w:hAnsi="宋体" w:eastAsia="宋体" w:cs="Times New Roman"/>
          <w:kern w:val="0"/>
          <w:szCs w:val="21"/>
        </w:rPr>
        <w:t>根据本章第2.2款和第2.3款对招标文件所作的澄清、修改，构成招标文件的组成部分。当招标文件及其澄清、修改或补充文件对</w:t>
      </w:r>
      <w:r>
        <w:rPr>
          <w:rFonts w:hint="eastAsia" w:ascii="宋体" w:hAnsi="宋体" w:eastAsia="宋体" w:cs="Times New Roman"/>
          <w:kern w:val="0"/>
          <w:szCs w:val="21"/>
        </w:rPr>
        <w:t>于</w:t>
      </w:r>
      <w:r>
        <w:rPr>
          <w:rFonts w:ascii="宋体" w:hAnsi="宋体" w:eastAsia="宋体" w:cs="Times New Roman"/>
          <w:kern w:val="0"/>
          <w:szCs w:val="21"/>
        </w:rPr>
        <w:t>同一内容表述不一致时，以最后发出的书面文件为准。</w:t>
      </w:r>
    </w:p>
    <w:p w14:paraId="072946AE">
      <w:pPr>
        <w:keepNext/>
        <w:keepLines/>
        <w:wordWrap w:val="0"/>
        <w:spacing w:line="360" w:lineRule="auto"/>
        <w:outlineLvl w:val="3"/>
        <w:rPr>
          <w:rFonts w:hint="eastAsia" w:ascii="宋体" w:hAnsi="宋体" w:eastAsia="宋体" w:cs="Times New Roman"/>
          <w:b/>
          <w:bCs/>
          <w:szCs w:val="21"/>
        </w:rPr>
      </w:pPr>
      <w:bookmarkStart w:id="160" w:name="_Toc12257"/>
      <w:bookmarkStart w:id="161" w:name="_Toc389065160"/>
      <w:r>
        <w:rPr>
          <w:rFonts w:ascii="宋体" w:hAnsi="宋体" w:eastAsia="宋体" w:cs="Times New Roman"/>
          <w:b/>
          <w:bCs/>
          <w:szCs w:val="21"/>
        </w:rPr>
        <w:t>2.2 招标文件的澄清</w:t>
      </w:r>
      <w:bookmarkEnd w:id="160"/>
      <w:bookmarkEnd w:id="161"/>
    </w:p>
    <w:p w14:paraId="4E25E0D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2.2.1投标人应仔细阅读和检查招标文件的全部内容。如发现缺页或附件不全，应及时向招标人提出，以便补齐。任何要求对招标文件进行澄清的投标人，应在投标须知前附表所规定的时间之前，以书面形式通知招标代理机构，同时以发电子邮件的形式提供电子版本文件。</w:t>
      </w:r>
      <w:r>
        <w:rPr>
          <w:rFonts w:hint="eastAsia" w:ascii="宋体" w:hAnsi="宋体" w:eastAsia="宋体" w:cs="Times New Roman"/>
          <w:kern w:val="0"/>
          <w:szCs w:val="21"/>
        </w:rPr>
        <w:t>否则</w:t>
      </w:r>
      <w:r>
        <w:rPr>
          <w:rFonts w:ascii="宋体" w:hAnsi="宋体" w:eastAsia="宋体" w:cs="Times New Roman"/>
          <w:kern w:val="0"/>
          <w:szCs w:val="21"/>
        </w:rPr>
        <w:t>，招标人有权不予答复，或答复后投标截止时间由招标人确定是否顺延</w:t>
      </w:r>
      <w:r>
        <w:rPr>
          <w:rFonts w:hint="eastAsia" w:ascii="宋体" w:hAnsi="宋体" w:eastAsia="宋体" w:cs="Times New Roman"/>
          <w:kern w:val="0"/>
          <w:szCs w:val="21"/>
        </w:rPr>
        <w:t>。</w:t>
      </w:r>
      <w:r>
        <w:rPr>
          <w:rFonts w:ascii="宋体" w:hAnsi="宋体" w:eastAsia="宋体" w:cs="Times New Roman"/>
          <w:kern w:val="0"/>
          <w:szCs w:val="21"/>
        </w:rPr>
        <w:t>招标</w:t>
      </w:r>
      <w:r>
        <w:rPr>
          <w:rFonts w:hint="eastAsia" w:ascii="宋体" w:hAnsi="宋体" w:eastAsia="宋体" w:cs="Times New Roman"/>
          <w:kern w:val="0"/>
          <w:szCs w:val="21"/>
        </w:rPr>
        <w:t>人</w:t>
      </w:r>
      <w:r>
        <w:rPr>
          <w:rFonts w:ascii="宋体" w:hAnsi="宋体" w:eastAsia="宋体" w:cs="Times New Roman"/>
          <w:kern w:val="0"/>
          <w:szCs w:val="21"/>
        </w:rPr>
        <w:t>将根据投标人的</w:t>
      </w:r>
      <w:r>
        <w:rPr>
          <w:rFonts w:hint="eastAsia" w:ascii="宋体" w:hAnsi="宋体" w:eastAsia="宋体" w:cs="Times New Roman"/>
          <w:kern w:val="0"/>
          <w:szCs w:val="21"/>
        </w:rPr>
        <w:t>书面</w:t>
      </w:r>
      <w:r>
        <w:rPr>
          <w:rFonts w:ascii="宋体" w:hAnsi="宋体" w:eastAsia="宋体" w:cs="Times New Roman"/>
          <w:kern w:val="0"/>
          <w:szCs w:val="21"/>
        </w:rPr>
        <w:t>澄清要求</w:t>
      </w:r>
      <w:r>
        <w:rPr>
          <w:rFonts w:hint="eastAsia" w:ascii="宋体" w:hAnsi="宋体" w:eastAsia="宋体" w:cs="Times New Roman"/>
          <w:kern w:val="0"/>
          <w:szCs w:val="21"/>
        </w:rPr>
        <w:t>进行澄清答复，</w:t>
      </w:r>
      <w:r>
        <w:rPr>
          <w:rFonts w:ascii="宋体" w:hAnsi="宋体" w:eastAsia="宋体" w:cs="Times New Roman"/>
          <w:kern w:val="0"/>
          <w:szCs w:val="21"/>
        </w:rPr>
        <w:t>招标</w:t>
      </w:r>
      <w:r>
        <w:rPr>
          <w:rFonts w:hint="eastAsia" w:ascii="宋体" w:hAnsi="宋体" w:eastAsia="宋体" w:cs="Times New Roman"/>
          <w:kern w:val="0"/>
          <w:szCs w:val="21"/>
        </w:rPr>
        <w:t>人</w:t>
      </w:r>
      <w:r>
        <w:rPr>
          <w:rFonts w:ascii="宋体" w:hAnsi="宋体" w:eastAsia="宋体" w:cs="Times New Roman"/>
          <w:kern w:val="0"/>
          <w:szCs w:val="21"/>
        </w:rPr>
        <w:t>只答复与招标文件内容有关的问题，并有权对任何与招标文件无关的问题不作回答</w:t>
      </w:r>
      <w:r>
        <w:rPr>
          <w:rFonts w:hint="eastAsia" w:ascii="宋体" w:hAnsi="宋体" w:eastAsia="宋体" w:cs="Times New Roman"/>
          <w:kern w:val="0"/>
          <w:szCs w:val="21"/>
        </w:rPr>
        <w:t>。</w:t>
      </w:r>
    </w:p>
    <w:p w14:paraId="4ACBD8E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2.2.2招标</w:t>
      </w:r>
      <w:r>
        <w:rPr>
          <w:rFonts w:hint="eastAsia" w:ascii="宋体" w:hAnsi="宋体" w:eastAsia="宋体" w:cs="Times New Roman"/>
          <w:kern w:val="0"/>
          <w:szCs w:val="21"/>
        </w:rPr>
        <w:t>人</w:t>
      </w:r>
      <w:r>
        <w:rPr>
          <w:rFonts w:ascii="宋体" w:hAnsi="宋体" w:eastAsia="宋体" w:cs="Times New Roman"/>
          <w:kern w:val="0"/>
          <w:szCs w:val="21"/>
        </w:rPr>
        <w:t>将澄清的答复内容（答复中包括问题但不包括问题的来源）进行整理，</w:t>
      </w:r>
      <w:r>
        <w:rPr>
          <w:rFonts w:hint="eastAsia" w:ascii="宋体" w:hAnsi="宋体" w:eastAsia="宋体" w:cs="Times New Roman"/>
          <w:kern w:val="0"/>
          <w:szCs w:val="21"/>
        </w:rPr>
        <w:t>并</w:t>
      </w:r>
      <w:r>
        <w:rPr>
          <w:rFonts w:ascii="宋体" w:hAnsi="宋体" w:eastAsia="宋体" w:cs="Times New Roman"/>
          <w:kern w:val="0"/>
          <w:szCs w:val="21"/>
        </w:rPr>
        <w:t>以补充招标文件的形式在</w:t>
      </w:r>
      <w:r>
        <w:rPr>
          <w:rFonts w:hint="eastAsia" w:ascii="宋体" w:hAnsi="宋体" w:eastAsia="宋体" w:cs="Times New Roman"/>
          <w:kern w:val="0"/>
          <w:szCs w:val="21"/>
        </w:rPr>
        <w:t>招标公告发布的</w:t>
      </w:r>
      <w:r>
        <w:rPr>
          <w:rFonts w:ascii="宋体" w:hAnsi="宋体" w:eastAsia="宋体" w:cs="Times New Roman"/>
          <w:kern w:val="0"/>
          <w:szCs w:val="21"/>
        </w:rPr>
        <w:t>网站上发布的形式通知所有</w:t>
      </w:r>
      <w:r>
        <w:rPr>
          <w:rFonts w:hint="eastAsia" w:ascii="宋体" w:hAnsi="宋体" w:eastAsia="宋体" w:cs="Times New Roman"/>
          <w:kern w:val="0"/>
          <w:szCs w:val="21"/>
        </w:rPr>
        <w:t>潜在</w:t>
      </w:r>
      <w:r>
        <w:rPr>
          <w:rFonts w:ascii="宋体" w:hAnsi="宋体" w:eastAsia="宋体" w:cs="Times New Roman"/>
          <w:kern w:val="0"/>
          <w:szCs w:val="21"/>
        </w:rPr>
        <w:t>投标人</w:t>
      </w:r>
      <w:r>
        <w:rPr>
          <w:rFonts w:hint="eastAsia" w:ascii="宋体" w:hAnsi="宋体" w:eastAsia="宋体" w:cs="Times New Roman"/>
          <w:kern w:val="0"/>
          <w:szCs w:val="21"/>
        </w:rPr>
        <w:t>，</w:t>
      </w:r>
      <w:r>
        <w:rPr>
          <w:rFonts w:ascii="宋体" w:hAnsi="宋体" w:eastAsia="宋体" w:cs="Times New Roman"/>
          <w:kern w:val="0"/>
          <w:szCs w:val="21"/>
        </w:rPr>
        <w:t>发布之日起，视为投标人已收到该补充招标文件；投标人未及时关注</w:t>
      </w:r>
      <w:r>
        <w:rPr>
          <w:rFonts w:hint="eastAsia" w:ascii="宋体" w:hAnsi="宋体" w:eastAsia="宋体" w:cs="Times New Roman"/>
          <w:kern w:val="0"/>
          <w:szCs w:val="21"/>
        </w:rPr>
        <w:t>招标公告发布的</w:t>
      </w:r>
      <w:r>
        <w:rPr>
          <w:rFonts w:ascii="宋体" w:hAnsi="宋体" w:eastAsia="宋体" w:cs="Times New Roman"/>
          <w:kern w:val="0"/>
          <w:szCs w:val="21"/>
        </w:rPr>
        <w:t>网站上发布的补充招标文件造成的损失，由投标人自行负责。该答复的内容为招标文件的组成部分</w:t>
      </w:r>
      <w:r>
        <w:rPr>
          <w:rFonts w:hint="eastAsia" w:ascii="宋体" w:hAnsi="宋体" w:eastAsia="宋体" w:cs="Times New Roman"/>
          <w:kern w:val="0"/>
          <w:szCs w:val="21"/>
        </w:rPr>
        <w:t>。</w:t>
      </w:r>
    </w:p>
    <w:p w14:paraId="6E033A89">
      <w:pPr>
        <w:keepNext/>
        <w:keepLines/>
        <w:wordWrap w:val="0"/>
        <w:spacing w:line="360" w:lineRule="auto"/>
        <w:outlineLvl w:val="3"/>
        <w:rPr>
          <w:rFonts w:hint="eastAsia" w:ascii="宋体" w:hAnsi="宋体" w:eastAsia="宋体" w:cs="Times New Roman"/>
          <w:b/>
          <w:bCs/>
          <w:szCs w:val="21"/>
        </w:rPr>
      </w:pPr>
      <w:bookmarkStart w:id="162" w:name="_Toc23252"/>
      <w:bookmarkStart w:id="163" w:name="_Toc389065161"/>
      <w:r>
        <w:rPr>
          <w:rFonts w:ascii="宋体" w:hAnsi="宋体" w:eastAsia="宋体" w:cs="Times New Roman"/>
          <w:b/>
          <w:bCs/>
          <w:szCs w:val="21"/>
        </w:rPr>
        <w:t>2.3 招标文件的修改</w:t>
      </w:r>
      <w:bookmarkEnd w:id="162"/>
      <w:bookmarkEnd w:id="163"/>
    </w:p>
    <w:p w14:paraId="3E03EECA">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2.3.1在投标截止时间前，无论出于何种原因，招标</w:t>
      </w:r>
      <w:r>
        <w:rPr>
          <w:rFonts w:hint="eastAsia" w:ascii="宋体" w:hAnsi="宋体" w:eastAsia="宋体" w:cs="Times New Roman"/>
          <w:kern w:val="0"/>
          <w:szCs w:val="21"/>
        </w:rPr>
        <w:t>人</w:t>
      </w:r>
      <w:r>
        <w:rPr>
          <w:rFonts w:ascii="宋体" w:hAnsi="宋体" w:eastAsia="宋体" w:cs="Times New Roman"/>
          <w:kern w:val="0"/>
          <w:szCs w:val="21"/>
        </w:rPr>
        <w:t>可以主动或应投标人澄清要求对招标文件进行必要的补遗或修改。</w:t>
      </w:r>
    </w:p>
    <w:p w14:paraId="19DAB655">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2.3.2招标文件的补遗或修改通知是招标文件的组成部分，将以补充招标文件的形式在</w:t>
      </w:r>
      <w:r>
        <w:rPr>
          <w:rFonts w:hint="eastAsia" w:ascii="宋体" w:hAnsi="宋体" w:eastAsia="宋体" w:cs="Times New Roman"/>
          <w:kern w:val="0"/>
          <w:szCs w:val="21"/>
        </w:rPr>
        <w:t>招标公告发布的</w:t>
      </w:r>
      <w:r>
        <w:rPr>
          <w:rFonts w:ascii="宋体" w:hAnsi="宋体" w:eastAsia="宋体" w:cs="Times New Roman"/>
          <w:kern w:val="0"/>
          <w:szCs w:val="21"/>
        </w:rPr>
        <w:t>网站上发布的形式通知所有</w:t>
      </w:r>
      <w:r>
        <w:rPr>
          <w:rFonts w:hint="eastAsia" w:ascii="宋体" w:hAnsi="宋体" w:eastAsia="宋体" w:cs="Times New Roman"/>
          <w:kern w:val="0"/>
          <w:szCs w:val="21"/>
        </w:rPr>
        <w:t>潜在</w:t>
      </w:r>
      <w:r>
        <w:rPr>
          <w:rFonts w:ascii="宋体" w:hAnsi="宋体" w:eastAsia="宋体" w:cs="Times New Roman"/>
          <w:kern w:val="0"/>
          <w:szCs w:val="21"/>
        </w:rPr>
        <w:t>投标人</w:t>
      </w:r>
      <w:r>
        <w:rPr>
          <w:rFonts w:hint="eastAsia" w:ascii="宋体" w:hAnsi="宋体" w:eastAsia="宋体" w:cs="Times New Roman"/>
          <w:kern w:val="0"/>
          <w:szCs w:val="21"/>
        </w:rPr>
        <w:t>，</w:t>
      </w:r>
      <w:r>
        <w:rPr>
          <w:rFonts w:ascii="宋体" w:hAnsi="宋体" w:eastAsia="宋体" w:cs="Times New Roman"/>
          <w:kern w:val="0"/>
          <w:szCs w:val="21"/>
        </w:rPr>
        <w:t>发布之日起，视为投标人已收到该补充招标文件</w:t>
      </w:r>
      <w:r>
        <w:rPr>
          <w:rFonts w:hint="eastAsia" w:ascii="宋体" w:hAnsi="宋体" w:eastAsia="宋体" w:cs="Times New Roman"/>
          <w:kern w:val="0"/>
          <w:szCs w:val="21"/>
        </w:rPr>
        <w:t>，并</w:t>
      </w:r>
      <w:r>
        <w:rPr>
          <w:rFonts w:ascii="宋体" w:hAnsi="宋体" w:eastAsia="宋体" w:cs="Times New Roman"/>
          <w:kern w:val="0"/>
          <w:szCs w:val="21"/>
        </w:rPr>
        <w:t>对投标人具有约束力；投标人未及时关注</w:t>
      </w:r>
      <w:r>
        <w:rPr>
          <w:rFonts w:hint="eastAsia" w:ascii="宋体" w:hAnsi="宋体" w:eastAsia="宋体" w:cs="Times New Roman"/>
          <w:kern w:val="0"/>
          <w:szCs w:val="21"/>
        </w:rPr>
        <w:t>招标公告发布的</w:t>
      </w:r>
      <w:r>
        <w:rPr>
          <w:rFonts w:ascii="宋体" w:hAnsi="宋体" w:eastAsia="宋体" w:cs="Times New Roman"/>
          <w:kern w:val="0"/>
          <w:szCs w:val="21"/>
        </w:rPr>
        <w:t>网站上发布的补充招标文件造成的损失，由投标人自行负责。</w:t>
      </w:r>
    </w:p>
    <w:p w14:paraId="5F5670C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2.3.</w:t>
      </w:r>
      <w:r>
        <w:rPr>
          <w:rFonts w:hint="eastAsia" w:ascii="宋体" w:hAnsi="宋体" w:eastAsia="宋体" w:cs="Times New Roman"/>
          <w:kern w:val="0"/>
          <w:szCs w:val="21"/>
        </w:rPr>
        <w:t>3</w:t>
      </w:r>
      <w:r>
        <w:rPr>
          <w:rFonts w:ascii="宋体" w:hAnsi="宋体" w:eastAsia="宋体" w:cs="Times New Roman"/>
          <w:kern w:val="0"/>
          <w:szCs w:val="21"/>
        </w:rPr>
        <w:t>当后发的补遗或修改通知与原招标文件或此前发出的补遗或修改通知之间存有不一致时，应以后发的补遗或修改通知为准。</w:t>
      </w:r>
    </w:p>
    <w:p w14:paraId="205EAB76">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2.3.</w:t>
      </w:r>
      <w:r>
        <w:rPr>
          <w:rFonts w:hint="eastAsia" w:ascii="宋体" w:hAnsi="宋体" w:eastAsia="宋体" w:cs="Times New Roman"/>
          <w:kern w:val="0"/>
          <w:szCs w:val="21"/>
        </w:rPr>
        <w:t>4</w:t>
      </w:r>
      <w:r>
        <w:rPr>
          <w:rFonts w:ascii="宋体" w:hAnsi="宋体" w:eastAsia="宋体" w:cs="Times New Roman"/>
          <w:kern w:val="0"/>
          <w:szCs w:val="21"/>
        </w:rPr>
        <w:t>为使投标人准备投标时有充分时间对招标文件的补遗或修改部分进行研究，招标</w:t>
      </w:r>
      <w:r>
        <w:rPr>
          <w:rFonts w:hint="eastAsia" w:ascii="宋体" w:hAnsi="宋体" w:eastAsia="宋体" w:cs="Times New Roman"/>
          <w:kern w:val="0"/>
          <w:szCs w:val="21"/>
        </w:rPr>
        <w:t>人</w:t>
      </w:r>
      <w:r>
        <w:rPr>
          <w:rFonts w:ascii="宋体" w:hAnsi="宋体" w:eastAsia="宋体" w:cs="Times New Roman"/>
          <w:kern w:val="0"/>
          <w:szCs w:val="21"/>
        </w:rPr>
        <w:t>可适当推迟投标截止时间。</w:t>
      </w:r>
      <w:r>
        <w:rPr>
          <w:rFonts w:hint="eastAsia" w:ascii="宋体" w:hAnsi="宋体" w:eastAsia="宋体" w:cs="Times New Roman"/>
          <w:kern w:val="0"/>
          <w:szCs w:val="21"/>
        </w:rPr>
        <w:t>招标澄清或修改的内容影响投标文件编制的，招标人应当在投标截止时间1</w:t>
      </w:r>
      <w:r>
        <w:rPr>
          <w:rFonts w:ascii="宋体" w:hAnsi="宋体" w:eastAsia="宋体" w:cs="Times New Roman"/>
          <w:kern w:val="0"/>
          <w:szCs w:val="21"/>
        </w:rPr>
        <w:t>5</w:t>
      </w:r>
      <w:r>
        <w:rPr>
          <w:rFonts w:hint="eastAsia" w:ascii="宋体" w:hAnsi="宋体" w:eastAsia="宋体" w:cs="Times New Roman"/>
          <w:kern w:val="0"/>
          <w:szCs w:val="21"/>
        </w:rPr>
        <w:t>日前以</w:t>
      </w:r>
      <w:r>
        <w:rPr>
          <w:rFonts w:ascii="宋体" w:hAnsi="宋体" w:eastAsia="宋体" w:cs="Times New Roman"/>
          <w:kern w:val="0"/>
          <w:szCs w:val="21"/>
        </w:rPr>
        <w:t>在</w:t>
      </w:r>
      <w:r>
        <w:rPr>
          <w:rFonts w:hint="eastAsia" w:ascii="宋体" w:hAnsi="宋体" w:eastAsia="宋体" w:cs="Times New Roman"/>
          <w:kern w:val="0"/>
          <w:szCs w:val="21"/>
        </w:rPr>
        <w:t>招标公告发布的</w:t>
      </w:r>
      <w:r>
        <w:rPr>
          <w:rFonts w:ascii="宋体" w:hAnsi="宋体" w:eastAsia="宋体" w:cs="Times New Roman"/>
          <w:kern w:val="0"/>
          <w:szCs w:val="21"/>
        </w:rPr>
        <w:t>网站上发布的形式通知所有</w:t>
      </w:r>
      <w:r>
        <w:rPr>
          <w:rFonts w:hint="eastAsia" w:ascii="宋体" w:hAnsi="宋体" w:eastAsia="宋体" w:cs="Times New Roman"/>
          <w:kern w:val="0"/>
          <w:szCs w:val="21"/>
        </w:rPr>
        <w:t>潜在</w:t>
      </w:r>
      <w:r>
        <w:rPr>
          <w:rFonts w:ascii="宋体" w:hAnsi="宋体" w:eastAsia="宋体" w:cs="Times New Roman"/>
          <w:kern w:val="0"/>
          <w:szCs w:val="21"/>
        </w:rPr>
        <w:t xml:space="preserve">投标人。 </w:t>
      </w:r>
    </w:p>
    <w:p w14:paraId="7EDF3FF6">
      <w:pPr>
        <w:keepNext/>
        <w:keepLines/>
        <w:wordWrap w:val="0"/>
        <w:spacing w:before="240" w:beforeLines="100" w:line="360" w:lineRule="auto"/>
        <w:outlineLvl w:val="1"/>
        <w:rPr>
          <w:rFonts w:hint="eastAsia" w:ascii="黑体" w:hAnsi="黑体" w:eastAsia="黑体" w:cs="Times New Roman"/>
          <w:b/>
          <w:bCs/>
          <w:sz w:val="24"/>
          <w:szCs w:val="21"/>
        </w:rPr>
      </w:pPr>
      <w:bookmarkStart w:id="164" w:name="_Toc389065162"/>
      <w:bookmarkStart w:id="165" w:name="_Toc2571"/>
      <w:r>
        <w:rPr>
          <w:rFonts w:ascii="黑体" w:hAnsi="黑体" w:eastAsia="黑体" w:cs="Times New Roman"/>
          <w:b/>
          <w:bCs/>
          <w:sz w:val="24"/>
          <w:szCs w:val="21"/>
        </w:rPr>
        <w:t>3</w:t>
      </w:r>
      <w:r>
        <w:rPr>
          <w:rFonts w:hint="eastAsia" w:ascii="黑体" w:hAnsi="黑体" w:eastAsia="黑体" w:cs="Times New Roman"/>
          <w:b/>
          <w:bCs/>
          <w:sz w:val="24"/>
          <w:szCs w:val="21"/>
        </w:rPr>
        <w:t xml:space="preserve"> </w:t>
      </w:r>
      <w:r>
        <w:rPr>
          <w:rFonts w:ascii="黑体" w:hAnsi="黑体" w:eastAsia="黑体" w:cs="Times New Roman"/>
          <w:b/>
          <w:bCs/>
          <w:sz w:val="24"/>
          <w:szCs w:val="21"/>
        </w:rPr>
        <w:t>投标文件</w:t>
      </w:r>
      <w:bookmarkEnd w:id="164"/>
      <w:bookmarkEnd w:id="165"/>
    </w:p>
    <w:p w14:paraId="5C0B03BD">
      <w:pPr>
        <w:keepNext/>
        <w:keepLines/>
        <w:wordWrap w:val="0"/>
        <w:spacing w:line="360" w:lineRule="auto"/>
        <w:outlineLvl w:val="3"/>
        <w:rPr>
          <w:rFonts w:hint="eastAsia" w:ascii="宋体" w:hAnsi="宋体" w:eastAsia="宋体" w:cs="Times New Roman"/>
          <w:b/>
          <w:bCs/>
          <w:szCs w:val="21"/>
        </w:rPr>
      </w:pPr>
      <w:bookmarkStart w:id="166" w:name="_Toc389065163"/>
      <w:bookmarkStart w:id="167" w:name="_Toc27366"/>
      <w:r>
        <w:rPr>
          <w:rFonts w:ascii="宋体" w:hAnsi="宋体" w:eastAsia="宋体" w:cs="Times New Roman"/>
          <w:b/>
          <w:bCs/>
          <w:szCs w:val="21"/>
        </w:rPr>
        <w:t>3.1 投标文件的组成</w:t>
      </w:r>
      <w:bookmarkEnd w:id="166"/>
      <w:bookmarkEnd w:id="167"/>
    </w:p>
    <w:p w14:paraId="470DA072">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3.1.1 投标文件应包括下列内容：</w:t>
      </w:r>
    </w:p>
    <w:p w14:paraId="0C484F35">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（1）资格审查</w:t>
      </w:r>
      <w:r>
        <w:rPr>
          <w:rFonts w:hint="eastAsia" w:ascii="宋体" w:hAnsi="宋体" w:eastAsia="宋体" w:cs="Times New Roman"/>
          <w:kern w:val="0"/>
          <w:szCs w:val="21"/>
        </w:rPr>
        <w:t>文件</w:t>
      </w:r>
      <w:r>
        <w:rPr>
          <w:rFonts w:ascii="宋体" w:hAnsi="宋体" w:eastAsia="宋体" w:cs="Times New Roman"/>
          <w:kern w:val="0"/>
          <w:szCs w:val="21"/>
        </w:rPr>
        <w:t>：具体</w:t>
      </w:r>
      <w:r>
        <w:rPr>
          <w:rFonts w:hint="eastAsia" w:ascii="宋体" w:hAnsi="宋体" w:eastAsia="宋体" w:cs="Times New Roman"/>
          <w:kern w:val="0"/>
          <w:szCs w:val="21"/>
        </w:rPr>
        <w:t>内容</w:t>
      </w:r>
      <w:r>
        <w:rPr>
          <w:rFonts w:ascii="宋体" w:hAnsi="宋体" w:eastAsia="宋体" w:cs="Times New Roman"/>
          <w:kern w:val="0"/>
          <w:szCs w:val="21"/>
        </w:rPr>
        <w:t>见“投标人须知前附表”；</w:t>
      </w:r>
    </w:p>
    <w:p w14:paraId="383D561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资信文件</w:t>
      </w:r>
      <w:r>
        <w:rPr>
          <w:rFonts w:ascii="宋体" w:hAnsi="宋体" w:eastAsia="宋体" w:cs="Times New Roman"/>
          <w:kern w:val="0"/>
          <w:szCs w:val="21"/>
        </w:rPr>
        <w:t>：具体</w:t>
      </w:r>
      <w:r>
        <w:rPr>
          <w:rFonts w:hint="eastAsia" w:ascii="宋体" w:hAnsi="宋体" w:eastAsia="宋体" w:cs="Times New Roman"/>
          <w:kern w:val="0"/>
          <w:szCs w:val="21"/>
        </w:rPr>
        <w:t>内容</w:t>
      </w:r>
      <w:r>
        <w:rPr>
          <w:rFonts w:ascii="宋体" w:hAnsi="宋体" w:eastAsia="宋体" w:cs="Times New Roman"/>
          <w:kern w:val="0"/>
          <w:szCs w:val="21"/>
        </w:rPr>
        <w:t>见“投标人须知前附表”；</w:t>
      </w:r>
    </w:p>
    <w:p w14:paraId="5304A9F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（3）技术</w:t>
      </w:r>
      <w:r>
        <w:rPr>
          <w:rFonts w:hint="eastAsia" w:ascii="宋体" w:hAnsi="宋体" w:eastAsia="宋体" w:cs="Times New Roman"/>
          <w:kern w:val="0"/>
          <w:szCs w:val="21"/>
        </w:rPr>
        <w:t>文件</w:t>
      </w:r>
      <w:r>
        <w:rPr>
          <w:rFonts w:ascii="宋体" w:hAnsi="宋体" w:eastAsia="宋体" w:cs="Times New Roman"/>
          <w:kern w:val="0"/>
          <w:szCs w:val="21"/>
        </w:rPr>
        <w:t>：具体</w:t>
      </w:r>
      <w:r>
        <w:rPr>
          <w:rFonts w:hint="eastAsia" w:ascii="宋体" w:hAnsi="宋体" w:eastAsia="宋体" w:cs="Times New Roman"/>
          <w:kern w:val="0"/>
          <w:szCs w:val="21"/>
        </w:rPr>
        <w:t>内容</w:t>
      </w:r>
      <w:r>
        <w:rPr>
          <w:rFonts w:ascii="宋体" w:hAnsi="宋体" w:eastAsia="宋体" w:cs="Times New Roman"/>
          <w:kern w:val="0"/>
          <w:szCs w:val="21"/>
        </w:rPr>
        <w:t>见“投标人须知前附表”；</w:t>
      </w:r>
    </w:p>
    <w:p w14:paraId="58B0BEC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报价文件</w:t>
      </w:r>
      <w:r>
        <w:rPr>
          <w:rFonts w:ascii="宋体" w:hAnsi="宋体" w:eastAsia="宋体" w:cs="Times New Roman"/>
          <w:kern w:val="0"/>
          <w:szCs w:val="21"/>
        </w:rPr>
        <w:t>：具体</w:t>
      </w:r>
      <w:r>
        <w:rPr>
          <w:rFonts w:hint="eastAsia" w:ascii="宋体" w:hAnsi="宋体" w:eastAsia="宋体" w:cs="Times New Roman"/>
          <w:kern w:val="0"/>
          <w:szCs w:val="21"/>
        </w:rPr>
        <w:t>内容</w:t>
      </w:r>
      <w:r>
        <w:rPr>
          <w:rFonts w:ascii="宋体" w:hAnsi="宋体" w:eastAsia="宋体" w:cs="Times New Roman"/>
          <w:kern w:val="0"/>
          <w:szCs w:val="21"/>
        </w:rPr>
        <w:t>见“投标人须知前附表”；</w:t>
      </w:r>
    </w:p>
    <w:p w14:paraId="3B816A9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3.1.2招标文件“第</w:t>
      </w:r>
      <w:r>
        <w:rPr>
          <w:rFonts w:hint="eastAsia" w:ascii="宋体" w:hAnsi="宋体" w:eastAsia="宋体" w:cs="Times New Roman"/>
          <w:kern w:val="0"/>
          <w:szCs w:val="21"/>
        </w:rPr>
        <w:t>六</w:t>
      </w:r>
      <w:r>
        <w:rPr>
          <w:rFonts w:ascii="宋体" w:hAnsi="宋体" w:eastAsia="宋体" w:cs="Times New Roman"/>
          <w:kern w:val="0"/>
          <w:szCs w:val="21"/>
        </w:rPr>
        <w:t>章投标文件格式”有规定格式要求的，投标人应按规定的格式填写并按要求提交相关的证明材料。</w:t>
      </w:r>
    </w:p>
    <w:p w14:paraId="4D241317">
      <w:pPr>
        <w:keepNext/>
        <w:keepLines/>
        <w:wordWrap w:val="0"/>
        <w:spacing w:line="360" w:lineRule="auto"/>
        <w:outlineLvl w:val="3"/>
        <w:rPr>
          <w:rFonts w:hint="eastAsia" w:ascii="宋体" w:hAnsi="宋体" w:eastAsia="宋体" w:cs="Times New Roman"/>
          <w:b/>
          <w:bCs/>
          <w:szCs w:val="21"/>
        </w:rPr>
      </w:pPr>
      <w:bookmarkStart w:id="168" w:name="_Toc16578"/>
      <w:bookmarkStart w:id="169" w:name="_Toc389065164"/>
      <w:r>
        <w:rPr>
          <w:rFonts w:ascii="宋体" w:hAnsi="宋体" w:eastAsia="宋体" w:cs="Times New Roman"/>
          <w:b/>
          <w:bCs/>
          <w:szCs w:val="21"/>
        </w:rPr>
        <w:t>3.2 投标报价</w:t>
      </w:r>
      <w:bookmarkEnd w:id="168"/>
      <w:bookmarkEnd w:id="169"/>
    </w:p>
    <w:p w14:paraId="4F25D220">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kern w:val="0"/>
          <w:szCs w:val="21"/>
        </w:rPr>
        <w:t>3.</w:t>
      </w:r>
      <w:r>
        <w:rPr>
          <w:rFonts w:hint="eastAsia" w:ascii="宋体" w:hAnsi="宋体" w:eastAsia="宋体" w:cs="Times New Roman"/>
          <w:kern w:val="0"/>
          <w:szCs w:val="21"/>
        </w:rPr>
        <w:t>2.1</w:t>
      </w:r>
      <w:r>
        <w:rPr>
          <w:rFonts w:hint="eastAsia" w:ascii="宋体" w:hAnsi="宋体" w:eastAsia="宋体" w:cs="Times New Roman"/>
          <w:szCs w:val="21"/>
        </w:rPr>
        <w:t>投标报价是指由投标人根据本项目招标要求进行自主报价，本项目投标报价内容和要求</w:t>
      </w:r>
      <w:r>
        <w:rPr>
          <w:rFonts w:hint="eastAsia" w:ascii="宋体" w:hAnsi="宋体" w:eastAsia="宋体" w:cs="Times New Roman"/>
          <w:kern w:val="0"/>
          <w:szCs w:val="21"/>
        </w:rPr>
        <w:t>详见</w:t>
      </w:r>
      <w:r>
        <w:rPr>
          <w:rFonts w:ascii="宋体" w:hAnsi="宋体" w:eastAsia="宋体" w:cs="Times New Roman"/>
          <w:kern w:val="0"/>
          <w:szCs w:val="21"/>
        </w:rPr>
        <w:t>投标人须知前附表</w:t>
      </w:r>
      <w:r>
        <w:rPr>
          <w:rFonts w:hint="eastAsia" w:ascii="宋体" w:hAnsi="宋体" w:eastAsia="宋体" w:cs="Times New Roman"/>
          <w:szCs w:val="21"/>
        </w:rPr>
        <w:t>。</w:t>
      </w:r>
    </w:p>
    <w:p w14:paraId="5350A661">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3.2.2</w:t>
      </w:r>
      <w:r>
        <w:rPr>
          <w:rFonts w:ascii="宋体" w:hAnsi="宋体" w:eastAsia="宋体" w:cs="Times New Roman"/>
          <w:kern w:val="0"/>
          <w:szCs w:val="21"/>
        </w:rPr>
        <w:t xml:space="preserve"> </w:t>
      </w:r>
      <w:r>
        <w:rPr>
          <w:rFonts w:hint="eastAsia" w:ascii="宋体" w:hAnsi="宋体" w:eastAsia="宋体" w:cs="Times New Roman"/>
          <w:kern w:val="0"/>
          <w:szCs w:val="21"/>
        </w:rPr>
        <w:t>投标人应按招标文件要求填写相应表格。</w:t>
      </w:r>
    </w:p>
    <w:p w14:paraId="025EA302">
      <w:pPr>
        <w:keepNext/>
        <w:keepLines/>
        <w:wordWrap w:val="0"/>
        <w:spacing w:line="360" w:lineRule="auto"/>
        <w:outlineLvl w:val="3"/>
        <w:rPr>
          <w:rFonts w:hint="eastAsia" w:ascii="宋体" w:hAnsi="宋体" w:eastAsia="宋体" w:cs="Times New Roman"/>
          <w:b/>
          <w:bCs/>
          <w:szCs w:val="21"/>
        </w:rPr>
      </w:pPr>
      <w:bookmarkStart w:id="170" w:name="_Toc389065165"/>
      <w:bookmarkStart w:id="171" w:name="_Toc18961"/>
      <w:r>
        <w:rPr>
          <w:rFonts w:ascii="宋体" w:hAnsi="宋体" w:eastAsia="宋体" w:cs="Times New Roman"/>
          <w:b/>
          <w:bCs/>
          <w:szCs w:val="21"/>
        </w:rPr>
        <w:t>3.3 投标有效期</w:t>
      </w:r>
      <w:bookmarkEnd w:id="170"/>
      <w:bookmarkEnd w:id="171"/>
    </w:p>
    <w:p w14:paraId="1E5F523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3.3.1在“投标人须知前附表”规定的投标有效期内，投标人不得要求撤销或修改其投标文件。</w:t>
      </w:r>
    </w:p>
    <w:p w14:paraId="50B62176">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3.3.2出现特殊情况需要延长投标有效期的，招标人以书面形式通知所有投标人延长投标有效期。投标人同意延长的，不得要求或被允许修改或撤销其投标文件；投标人拒绝延长的，其投标失效。</w:t>
      </w:r>
    </w:p>
    <w:p w14:paraId="3267749D">
      <w:pPr>
        <w:keepNext/>
        <w:keepLines/>
        <w:wordWrap w:val="0"/>
        <w:spacing w:line="360" w:lineRule="auto"/>
        <w:outlineLvl w:val="3"/>
        <w:rPr>
          <w:rFonts w:hint="eastAsia" w:ascii="宋体" w:hAnsi="宋体" w:eastAsia="宋体" w:cs="Times New Roman"/>
          <w:b/>
          <w:bCs/>
          <w:szCs w:val="21"/>
        </w:rPr>
      </w:pPr>
      <w:bookmarkStart w:id="172" w:name="_Toc389065166"/>
      <w:bookmarkStart w:id="173" w:name="_Toc28910"/>
      <w:r>
        <w:rPr>
          <w:rFonts w:ascii="宋体" w:hAnsi="宋体" w:eastAsia="宋体" w:cs="Times New Roman"/>
          <w:b/>
          <w:bCs/>
          <w:szCs w:val="21"/>
        </w:rPr>
        <w:t>3.4 投标保证金</w:t>
      </w:r>
      <w:bookmarkEnd w:id="172"/>
      <w:bookmarkEnd w:id="173"/>
    </w:p>
    <w:p w14:paraId="50DA29FB">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本项目无需</w:t>
      </w:r>
      <w:r>
        <w:rPr>
          <w:rFonts w:ascii="宋体" w:hAnsi="宋体" w:eastAsia="宋体" w:cs="Times New Roman"/>
          <w:kern w:val="0"/>
          <w:szCs w:val="21"/>
        </w:rPr>
        <w:t>递交投标保证金</w:t>
      </w:r>
    </w:p>
    <w:p w14:paraId="17518A08">
      <w:pPr>
        <w:keepNext/>
        <w:keepLines/>
        <w:wordWrap w:val="0"/>
        <w:spacing w:line="360" w:lineRule="auto"/>
        <w:outlineLvl w:val="3"/>
        <w:rPr>
          <w:rFonts w:hint="eastAsia" w:ascii="宋体" w:hAnsi="宋体" w:eastAsia="宋体" w:cs="Times New Roman"/>
          <w:b/>
          <w:bCs/>
          <w:szCs w:val="21"/>
        </w:rPr>
      </w:pPr>
      <w:bookmarkStart w:id="174" w:name="_Toc389065167"/>
      <w:r>
        <w:rPr>
          <w:rFonts w:ascii="宋体" w:hAnsi="宋体" w:eastAsia="宋体" w:cs="Times New Roman"/>
          <w:b/>
          <w:bCs/>
          <w:szCs w:val="21"/>
        </w:rPr>
        <w:t>3.5 备选投标方案</w:t>
      </w:r>
      <w:bookmarkEnd w:id="174"/>
    </w:p>
    <w:p w14:paraId="5C7DED5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除</w:t>
      </w:r>
      <w:r>
        <w:rPr>
          <w:rFonts w:hint="eastAsia" w:ascii="宋体" w:hAnsi="宋体" w:eastAsia="宋体" w:cs="Times New Roman"/>
          <w:kern w:val="0"/>
          <w:szCs w:val="21"/>
        </w:rPr>
        <w:t>“</w:t>
      </w:r>
      <w:r>
        <w:rPr>
          <w:rFonts w:ascii="宋体" w:hAnsi="宋体" w:eastAsia="宋体" w:cs="Times New Roman"/>
          <w:kern w:val="0"/>
          <w:szCs w:val="21"/>
        </w:rPr>
        <w:t>投标人须知前附表</w:t>
      </w:r>
      <w:r>
        <w:rPr>
          <w:rFonts w:hint="eastAsia" w:ascii="宋体" w:hAnsi="宋体" w:eastAsia="宋体" w:cs="Times New Roman"/>
          <w:kern w:val="0"/>
          <w:szCs w:val="21"/>
        </w:rPr>
        <w:t>”</w:t>
      </w:r>
      <w:r>
        <w:rPr>
          <w:rFonts w:ascii="宋体" w:hAnsi="宋体" w:eastAsia="宋体" w:cs="Times New Roman"/>
          <w:kern w:val="0"/>
          <w:szCs w:val="21"/>
        </w:rPr>
        <w:t>另有规定外，投标人不得递交备选投标方案。</w:t>
      </w:r>
    </w:p>
    <w:p w14:paraId="64961B0F">
      <w:pPr>
        <w:keepNext/>
        <w:keepLines/>
        <w:wordWrap w:val="0"/>
        <w:spacing w:line="360" w:lineRule="auto"/>
        <w:outlineLvl w:val="3"/>
        <w:rPr>
          <w:rFonts w:hint="eastAsia" w:ascii="宋体" w:hAnsi="宋体" w:eastAsia="宋体" w:cs="Times New Roman"/>
          <w:b/>
          <w:bCs/>
          <w:szCs w:val="21"/>
        </w:rPr>
      </w:pPr>
      <w:bookmarkStart w:id="175" w:name="_Toc389065168"/>
      <w:bookmarkStart w:id="176" w:name="_Toc22124"/>
      <w:r>
        <w:rPr>
          <w:rFonts w:ascii="宋体" w:hAnsi="宋体" w:eastAsia="宋体" w:cs="Times New Roman"/>
          <w:b/>
          <w:bCs/>
          <w:szCs w:val="21"/>
        </w:rPr>
        <w:t>3.6 投标文件的编制</w:t>
      </w:r>
      <w:bookmarkEnd w:id="175"/>
      <w:bookmarkEnd w:id="176"/>
    </w:p>
    <w:p w14:paraId="5B05A99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3.6.1投标文件应按第</w:t>
      </w:r>
      <w:r>
        <w:rPr>
          <w:rFonts w:hint="eastAsia" w:ascii="宋体" w:hAnsi="宋体" w:eastAsia="宋体" w:cs="Times New Roman"/>
          <w:kern w:val="0"/>
          <w:szCs w:val="21"/>
        </w:rPr>
        <w:t>六</w:t>
      </w:r>
      <w:r>
        <w:rPr>
          <w:rFonts w:ascii="宋体" w:hAnsi="宋体" w:eastAsia="宋体" w:cs="Times New Roman"/>
          <w:kern w:val="0"/>
          <w:szCs w:val="21"/>
        </w:rPr>
        <w:t>章“投标文件格式”进行编写，如有必要，可以增加附页，作为投标文件的组成部分。</w:t>
      </w:r>
    </w:p>
    <w:p w14:paraId="2D05B83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3.6.2投标文件</w:t>
      </w:r>
      <w:r>
        <w:rPr>
          <w:rFonts w:hint="eastAsia" w:ascii="宋体" w:hAnsi="宋体" w:eastAsia="宋体" w:cs="Times New Roman"/>
          <w:kern w:val="0"/>
          <w:szCs w:val="21"/>
        </w:rPr>
        <w:t>必须</w:t>
      </w:r>
      <w:r>
        <w:rPr>
          <w:rFonts w:ascii="宋体" w:hAnsi="宋体" w:eastAsia="宋体" w:cs="Times New Roman"/>
          <w:kern w:val="0"/>
          <w:szCs w:val="21"/>
        </w:rPr>
        <w:t>对招标文件有关</w:t>
      </w:r>
      <w:r>
        <w:rPr>
          <w:rFonts w:hint="eastAsia" w:ascii="宋体" w:hAnsi="宋体" w:eastAsia="宋体" w:cs="Times New Roman"/>
          <w:kern w:val="0"/>
          <w:szCs w:val="21"/>
        </w:rPr>
        <w:t>服务期</w:t>
      </w:r>
      <w:r>
        <w:rPr>
          <w:rFonts w:ascii="宋体" w:hAnsi="宋体" w:eastAsia="宋体" w:cs="Times New Roman"/>
          <w:kern w:val="0"/>
          <w:szCs w:val="21"/>
        </w:rPr>
        <w:t xml:space="preserve">、投标有效期、质量要求、用户需求书、招标范围等实质性内容作出响应。 </w:t>
      </w:r>
    </w:p>
    <w:p w14:paraId="6BB88965">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3.6.3投标文件应用不褪色的材料书写或打印，</w:t>
      </w:r>
      <w:r>
        <w:rPr>
          <w:rFonts w:hint="eastAsia" w:ascii="宋体" w:hAnsi="宋体" w:eastAsia="宋体" w:cs="Times New Roman"/>
          <w:kern w:val="0"/>
          <w:szCs w:val="21"/>
        </w:rPr>
        <w:t>投标文件副本也可使用正本的复印件。投标文件正本与副本均</w:t>
      </w:r>
      <w:r>
        <w:rPr>
          <w:rFonts w:ascii="宋体" w:hAnsi="宋体" w:eastAsia="宋体" w:cs="Times New Roman"/>
          <w:kern w:val="0"/>
          <w:szCs w:val="21"/>
        </w:rPr>
        <w:t>由投标人的法定代表人或其委托代理人在规定的相关位置签字</w:t>
      </w:r>
      <w:r>
        <w:rPr>
          <w:rFonts w:hint="eastAsia" w:ascii="宋体" w:hAnsi="宋体" w:eastAsia="宋体" w:cs="Times New Roman"/>
          <w:kern w:val="0"/>
          <w:szCs w:val="21"/>
        </w:rPr>
        <w:t>（或盖章）</w:t>
      </w:r>
      <w:r>
        <w:rPr>
          <w:rFonts w:ascii="宋体" w:hAnsi="宋体" w:eastAsia="宋体" w:cs="Times New Roman"/>
          <w:kern w:val="0"/>
          <w:szCs w:val="21"/>
        </w:rPr>
        <w:t>并加盖投标人单位公章。</w:t>
      </w:r>
      <w:r>
        <w:rPr>
          <w:rFonts w:hint="eastAsia" w:ascii="宋体" w:hAnsi="宋体" w:eastAsia="宋体" w:cs="Times New Roman"/>
          <w:kern w:val="0"/>
          <w:szCs w:val="21"/>
        </w:rPr>
        <w:t>由</w:t>
      </w:r>
      <w:r>
        <w:rPr>
          <w:rFonts w:ascii="宋体" w:hAnsi="宋体" w:eastAsia="宋体" w:cs="Times New Roman"/>
          <w:kern w:val="0"/>
          <w:szCs w:val="21"/>
        </w:rPr>
        <w:t>委托代理人签字的，投标文件应附法定代表人签署的授权委托书。投标文件应尽量避免涂改、行间插字或删除。如果出现上述情况，改动之处应加盖</w:t>
      </w:r>
      <w:r>
        <w:rPr>
          <w:rFonts w:hint="eastAsia" w:ascii="宋体" w:hAnsi="宋体" w:eastAsia="宋体" w:cs="Times New Roman"/>
          <w:kern w:val="0"/>
          <w:szCs w:val="21"/>
        </w:rPr>
        <w:t>投标人</w:t>
      </w:r>
      <w:r>
        <w:rPr>
          <w:rFonts w:ascii="宋体" w:hAnsi="宋体" w:eastAsia="宋体" w:cs="Times New Roman"/>
          <w:kern w:val="0"/>
          <w:szCs w:val="21"/>
        </w:rPr>
        <w:t>单位</w:t>
      </w:r>
      <w:r>
        <w:rPr>
          <w:rFonts w:hint="eastAsia" w:ascii="宋体" w:hAnsi="宋体" w:eastAsia="宋体" w:cs="Times New Roman"/>
          <w:kern w:val="0"/>
          <w:szCs w:val="21"/>
        </w:rPr>
        <w:t>公</w:t>
      </w:r>
      <w:r>
        <w:rPr>
          <w:rFonts w:ascii="宋体" w:hAnsi="宋体" w:eastAsia="宋体" w:cs="Times New Roman"/>
          <w:kern w:val="0"/>
          <w:szCs w:val="21"/>
        </w:rPr>
        <w:t>章或由投标人的法定代表人或其</w:t>
      </w:r>
      <w:r>
        <w:rPr>
          <w:rFonts w:hint="eastAsia" w:ascii="宋体" w:hAnsi="宋体" w:eastAsia="宋体" w:cs="Times New Roman"/>
          <w:kern w:val="0"/>
          <w:szCs w:val="21"/>
        </w:rPr>
        <w:t>委托</w:t>
      </w:r>
      <w:r>
        <w:rPr>
          <w:rFonts w:ascii="宋体" w:hAnsi="宋体" w:eastAsia="宋体" w:cs="Times New Roman"/>
          <w:kern w:val="0"/>
          <w:szCs w:val="21"/>
        </w:rPr>
        <w:t>代理人签字确认。签字或盖章的具体要求见“投标人须知前附表”。</w:t>
      </w:r>
    </w:p>
    <w:p w14:paraId="067E114B">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3.6.4投标文件正本一份，副本份数见“投标人须知前附表”。正本和副本的封面上应清楚地标记“正本”或“副本”的字样。当副本和正本不一致时，以正本为准。</w:t>
      </w:r>
    </w:p>
    <w:p w14:paraId="6B066E15">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3.6.5 投标文件</w:t>
      </w:r>
      <w:r>
        <w:rPr>
          <w:rFonts w:hint="eastAsia" w:ascii="宋体" w:hAnsi="宋体" w:eastAsia="宋体" w:cs="Times New Roman"/>
          <w:kern w:val="0"/>
          <w:szCs w:val="21"/>
        </w:rPr>
        <w:t>应</w:t>
      </w:r>
      <w:r>
        <w:rPr>
          <w:rFonts w:ascii="宋体" w:hAnsi="宋体" w:eastAsia="宋体" w:cs="Times New Roman"/>
          <w:kern w:val="0"/>
          <w:szCs w:val="21"/>
        </w:rPr>
        <w:t>编制目录，具体装订要求见“投标人须知前附表”规定。</w:t>
      </w:r>
    </w:p>
    <w:p w14:paraId="3E60F5A6">
      <w:pPr>
        <w:keepNext/>
        <w:keepLines/>
        <w:wordWrap w:val="0"/>
        <w:spacing w:before="240" w:beforeLines="100" w:line="360" w:lineRule="auto"/>
        <w:outlineLvl w:val="1"/>
        <w:rPr>
          <w:rFonts w:hint="eastAsia" w:ascii="黑体" w:hAnsi="黑体" w:eastAsia="黑体" w:cs="Times New Roman"/>
          <w:b/>
          <w:bCs/>
          <w:sz w:val="24"/>
          <w:szCs w:val="21"/>
        </w:rPr>
      </w:pPr>
      <w:bookmarkStart w:id="177" w:name="_Toc389065169"/>
      <w:bookmarkStart w:id="178" w:name="_Toc11889"/>
      <w:r>
        <w:rPr>
          <w:rFonts w:ascii="黑体" w:hAnsi="黑体" w:eastAsia="黑体" w:cs="Times New Roman"/>
          <w:b/>
          <w:bCs/>
          <w:sz w:val="24"/>
          <w:szCs w:val="21"/>
        </w:rPr>
        <w:t>4</w:t>
      </w:r>
      <w:r>
        <w:rPr>
          <w:rFonts w:hint="eastAsia" w:ascii="黑体" w:hAnsi="黑体" w:eastAsia="黑体" w:cs="Times New Roman"/>
          <w:b/>
          <w:bCs/>
          <w:sz w:val="24"/>
          <w:szCs w:val="21"/>
        </w:rPr>
        <w:t xml:space="preserve"> </w:t>
      </w:r>
      <w:r>
        <w:rPr>
          <w:rFonts w:ascii="黑体" w:hAnsi="黑体" w:eastAsia="黑体" w:cs="Times New Roman"/>
          <w:b/>
          <w:bCs/>
          <w:sz w:val="24"/>
          <w:szCs w:val="21"/>
        </w:rPr>
        <w:t>投标</w:t>
      </w:r>
      <w:bookmarkEnd w:id="177"/>
      <w:bookmarkEnd w:id="178"/>
    </w:p>
    <w:p w14:paraId="6313B825">
      <w:pPr>
        <w:keepNext/>
        <w:keepLines/>
        <w:wordWrap w:val="0"/>
        <w:spacing w:line="360" w:lineRule="auto"/>
        <w:outlineLvl w:val="3"/>
        <w:rPr>
          <w:rFonts w:hint="eastAsia" w:ascii="宋体" w:hAnsi="宋体" w:eastAsia="宋体" w:cs="Times New Roman"/>
          <w:b/>
          <w:bCs/>
          <w:szCs w:val="21"/>
        </w:rPr>
      </w:pPr>
      <w:bookmarkStart w:id="179" w:name="_Toc389065170"/>
      <w:bookmarkStart w:id="180" w:name="_Toc8690"/>
      <w:r>
        <w:rPr>
          <w:rFonts w:ascii="宋体" w:hAnsi="宋体" w:eastAsia="宋体" w:cs="Times New Roman"/>
          <w:b/>
          <w:bCs/>
          <w:szCs w:val="21"/>
        </w:rPr>
        <w:t>4.1 投标文件的密封和标</w:t>
      </w:r>
      <w:r>
        <w:rPr>
          <w:rFonts w:hint="eastAsia" w:ascii="宋体" w:hAnsi="宋体" w:eastAsia="宋体" w:cs="Times New Roman"/>
          <w:b/>
          <w:bCs/>
          <w:szCs w:val="21"/>
        </w:rPr>
        <w:t>记</w:t>
      </w:r>
      <w:bookmarkEnd w:id="179"/>
      <w:bookmarkEnd w:id="180"/>
    </w:p>
    <w:p w14:paraId="2228AD5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4.1.1投标文件应按“投标人须知前附表”的要求进行包装</w:t>
      </w:r>
      <w:r>
        <w:rPr>
          <w:rFonts w:hint="eastAsia" w:ascii="宋体" w:hAnsi="宋体" w:eastAsia="宋体" w:cs="Times New Roman"/>
          <w:kern w:val="0"/>
          <w:szCs w:val="21"/>
        </w:rPr>
        <w:t>、密封</w:t>
      </w:r>
      <w:r>
        <w:rPr>
          <w:rFonts w:ascii="宋体" w:hAnsi="宋体" w:eastAsia="宋体" w:cs="Times New Roman"/>
          <w:kern w:val="0"/>
          <w:szCs w:val="21"/>
        </w:rPr>
        <w:t>，并在封套的封口处加盖投标人单位公章。</w:t>
      </w:r>
    </w:p>
    <w:p w14:paraId="6982426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4.1.2 投标文件封套上应写明的其他内容见“投标人须知前附表”。</w:t>
      </w:r>
    </w:p>
    <w:p w14:paraId="53972D8E">
      <w:pPr>
        <w:keepNext/>
        <w:keepLines/>
        <w:wordWrap w:val="0"/>
        <w:spacing w:line="360" w:lineRule="auto"/>
        <w:outlineLvl w:val="3"/>
        <w:rPr>
          <w:rFonts w:hint="eastAsia" w:ascii="宋体" w:hAnsi="宋体" w:eastAsia="宋体" w:cs="Times New Roman"/>
          <w:b/>
          <w:bCs/>
          <w:szCs w:val="21"/>
        </w:rPr>
      </w:pPr>
      <w:bookmarkStart w:id="181" w:name="_Toc12657"/>
      <w:bookmarkStart w:id="182" w:name="_Toc389065171"/>
      <w:r>
        <w:rPr>
          <w:rFonts w:ascii="宋体" w:hAnsi="宋体" w:eastAsia="宋体" w:cs="Times New Roman"/>
          <w:b/>
          <w:bCs/>
          <w:szCs w:val="21"/>
        </w:rPr>
        <w:t>4.2 投标文件的递交</w:t>
      </w:r>
      <w:bookmarkEnd w:id="181"/>
      <w:bookmarkEnd w:id="182"/>
    </w:p>
    <w:p w14:paraId="78473E5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4.2.1 投标人应在</w:t>
      </w:r>
      <w:r>
        <w:rPr>
          <w:rFonts w:hint="eastAsia" w:ascii="宋体" w:hAnsi="宋体" w:eastAsia="宋体" w:cs="Times New Roman"/>
          <w:kern w:val="0"/>
          <w:szCs w:val="21"/>
        </w:rPr>
        <w:t>“投标人须知前附表”第5.1款</w:t>
      </w:r>
      <w:r>
        <w:rPr>
          <w:rFonts w:ascii="宋体" w:hAnsi="宋体" w:eastAsia="宋体" w:cs="Times New Roman"/>
          <w:kern w:val="0"/>
          <w:szCs w:val="21"/>
        </w:rPr>
        <w:t>规定的投标截止时间前递交投标文件。</w:t>
      </w:r>
    </w:p>
    <w:p w14:paraId="1DA1D3D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4.2.2 投标人递交投标文件的地点：见</w:t>
      </w:r>
      <w:r>
        <w:rPr>
          <w:rFonts w:hint="eastAsia" w:ascii="宋体" w:hAnsi="宋体" w:eastAsia="宋体" w:cs="Times New Roman"/>
          <w:kern w:val="0"/>
          <w:szCs w:val="21"/>
        </w:rPr>
        <w:t>“</w:t>
      </w:r>
      <w:r>
        <w:rPr>
          <w:rFonts w:ascii="宋体" w:hAnsi="宋体" w:eastAsia="宋体" w:cs="Times New Roman"/>
          <w:kern w:val="0"/>
          <w:szCs w:val="21"/>
        </w:rPr>
        <w:t>投标人须知前附表</w:t>
      </w:r>
      <w:r>
        <w:rPr>
          <w:rFonts w:hint="eastAsia" w:ascii="宋体" w:hAnsi="宋体" w:eastAsia="宋体" w:cs="Times New Roman"/>
          <w:kern w:val="0"/>
          <w:szCs w:val="21"/>
        </w:rPr>
        <w:t>”</w:t>
      </w:r>
      <w:r>
        <w:rPr>
          <w:rFonts w:ascii="宋体" w:hAnsi="宋体" w:eastAsia="宋体" w:cs="Times New Roman"/>
          <w:kern w:val="0"/>
          <w:szCs w:val="21"/>
        </w:rPr>
        <w:t>。</w:t>
      </w:r>
    </w:p>
    <w:p w14:paraId="6E005F2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4.2.3 除</w:t>
      </w:r>
      <w:r>
        <w:rPr>
          <w:rFonts w:hint="eastAsia" w:ascii="宋体" w:hAnsi="宋体" w:eastAsia="宋体" w:cs="Times New Roman"/>
          <w:kern w:val="0"/>
          <w:szCs w:val="21"/>
        </w:rPr>
        <w:t>“</w:t>
      </w:r>
      <w:r>
        <w:rPr>
          <w:rFonts w:ascii="宋体" w:hAnsi="宋体" w:eastAsia="宋体" w:cs="Times New Roman"/>
          <w:kern w:val="0"/>
          <w:szCs w:val="21"/>
        </w:rPr>
        <w:t>投标人须知前附表</w:t>
      </w:r>
      <w:r>
        <w:rPr>
          <w:rFonts w:hint="eastAsia" w:ascii="宋体" w:hAnsi="宋体" w:eastAsia="宋体" w:cs="Times New Roman"/>
          <w:kern w:val="0"/>
          <w:szCs w:val="21"/>
        </w:rPr>
        <w:t>”</w:t>
      </w:r>
      <w:r>
        <w:rPr>
          <w:rFonts w:ascii="宋体" w:hAnsi="宋体" w:eastAsia="宋体" w:cs="Times New Roman"/>
          <w:kern w:val="0"/>
          <w:szCs w:val="21"/>
        </w:rPr>
        <w:t>另有规定外，投标人所递交的投标文件不予退还。</w:t>
      </w:r>
    </w:p>
    <w:p w14:paraId="595532F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4.2.</w:t>
      </w:r>
      <w:r>
        <w:rPr>
          <w:rFonts w:hint="eastAsia" w:ascii="宋体" w:hAnsi="宋体" w:eastAsia="宋体" w:cs="Times New Roman"/>
          <w:kern w:val="0"/>
          <w:szCs w:val="21"/>
        </w:rPr>
        <w:t>4</w:t>
      </w:r>
      <w:r>
        <w:rPr>
          <w:rFonts w:ascii="宋体" w:hAnsi="宋体" w:eastAsia="宋体" w:cs="Times New Roman"/>
          <w:kern w:val="0"/>
          <w:szCs w:val="21"/>
        </w:rPr>
        <w:t xml:space="preserve"> 逾期送达的或者未送达指定地点的投标文件，招标人不予受理。</w:t>
      </w:r>
    </w:p>
    <w:p w14:paraId="462F2290">
      <w:pPr>
        <w:tabs>
          <w:tab w:val="left" w:pos="7676"/>
        </w:tabs>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4.2.5 现场递交投标文件的投标人，需携带</w:t>
      </w:r>
      <w:r>
        <w:rPr>
          <w:rFonts w:hint="eastAsia" w:ascii="宋体" w:hAnsi="宋体" w:eastAsia="宋体" w:cs="Times New Roman"/>
          <w:kern w:val="0"/>
          <w:szCs w:val="21"/>
          <w:lang w:val="en-US" w:eastAsia="zh-CN"/>
        </w:rPr>
        <w:t>投标人代表的身份证原件及</w:t>
      </w:r>
      <w:r>
        <w:rPr>
          <w:rFonts w:hint="eastAsia" w:ascii="宋体" w:hAnsi="宋体" w:eastAsia="宋体" w:cs="Times New Roman"/>
          <w:kern w:val="0"/>
          <w:szCs w:val="21"/>
        </w:rPr>
        <w:t>法定代表人证明书原件，若为其授权人来递交文件的，还需提供授权委托书原件，否则其递交的投标文件不予接收。</w:t>
      </w:r>
    </w:p>
    <w:p w14:paraId="02D01DEC">
      <w:pPr>
        <w:keepNext/>
        <w:keepLines/>
        <w:wordWrap w:val="0"/>
        <w:spacing w:line="360" w:lineRule="auto"/>
        <w:outlineLvl w:val="3"/>
        <w:rPr>
          <w:rFonts w:hint="eastAsia" w:ascii="宋体" w:hAnsi="宋体" w:eastAsia="宋体" w:cs="Times New Roman"/>
          <w:b/>
          <w:bCs/>
          <w:szCs w:val="21"/>
        </w:rPr>
      </w:pPr>
      <w:bookmarkStart w:id="183" w:name="_Toc389065172"/>
      <w:bookmarkStart w:id="184" w:name="_Toc28382"/>
      <w:r>
        <w:rPr>
          <w:rFonts w:ascii="宋体" w:hAnsi="宋体" w:eastAsia="宋体" w:cs="Times New Roman"/>
          <w:b/>
          <w:bCs/>
          <w:szCs w:val="21"/>
        </w:rPr>
        <w:t>4.3 投标文件的修改与撤回</w:t>
      </w:r>
      <w:bookmarkEnd w:id="183"/>
      <w:bookmarkEnd w:id="184"/>
    </w:p>
    <w:p w14:paraId="1369FD8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4.3.1在</w:t>
      </w:r>
      <w:r>
        <w:rPr>
          <w:rFonts w:hint="eastAsia" w:ascii="宋体" w:hAnsi="宋体" w:eastAsia="宋体" w:cs="Times New Roman"/>
          <w:kern w:val="0"/>
          <w:szCs w:val="21"/>
        </w:rPr>
        <w:t>“投标人须知前附表”第5.1款</w:t>
      </w:r>
      <w:r>
        <w:rPr>
          <w:rFonts w:ascii="宋体" w:hAnsi="宋体" w:eastAsia="宋体" w:cs="Times New Roman"/>
          <w:kern w:val="0"/>
          <w:szCs w:val="21"/>
        </w:rPr>
        <w:t>规定的投标截止时间前，投标人可以修改或撤回已递交的投标文件，但应以书面形式通知招标人。</w:t>
      </w:r>
    </w:p>
    <w:p w14:paraId="5BEBD3DB">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4.3.2投标人修改或撤回已递交投标文件的书面通知，应按照本章第3.6.3款的要求签字和盖章。招标人收到书面通知后，向投标人出具签收凭证。</w:t>
      </w:r>
    </w:p>
    <w:p w14:paraId="5016DCD6">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4.3.3修改的内容为投标文件的组成部分。修改的投标文件应按照本章第3.6款和第4</w:t>
      </w:r>
      <w:r>
        <w:rPr>
          <w:rFonts w:hint="eastAsia" w:ascii="宋体" w:hAnsi="宋体" w:eastAsia="宋体" w:cs="Times New Roman"/>
          <w:kern w:val="0"/>
          <w:szCs w:val="21"/>
        </w:rPr>
        <w:t>款</w:t>
      </w:r>
      <w:r>
        <w:rPr>
          <w:rFonts w:ascii="宋体" w:hAnsi="宋体" w:eastAsia="宋体" w:cs="Times New Roman"/>
          <w:kern w:val="0"/>
          <w:szCs w:val="21"/>
        </w:rPr>
        <w:t>规定进行编制、密封、标记和递交，并标明“修改”字样。</w:t>
      </w:r>
    </w:p>
    <w:p w14:paraId="3ED8BDEB">
      <w:pPr>
        <w:keepNext/>
        <w:keepLines/>
        <w:wordWrap w:val="0"/>
        <w:spacing w:before="240" w:beforeLines="100" w:line="360" w:lineRule="auto"/>
        <w:outlineLvl w:val="1"/>
        <w:rPr>
          <w:rFonts w:hint="eastAsia" w:ascii="黑体" w:hAnsi="黑体" w:eastAsia="黑体" w:cs="Times New Roman"/>
          <w:b/>
          <w:bCs/>
          <w:sz w:val="24"/>
          <w:szCs w:val="21"/>
        </w:rPr>
      </w:pPr>
      <w:bookmarkStart w:id="185" w:name="_Toc13577"/>
      <w:bookmarkStart w:id="186" w:name="_Toc389065173"/>
      <w:r>
        <w:rPr>
          <w:rFonts w:ascii="黑体" w:hAnsi="黑体" w:eastAsia="黑体" w:cs="Times New Roman"/>
          <w:b/>
          <w:bCs/>
          <w:sz w:val="24"/>
          <w:szCs w:val="21"/>
        </w:rPr>
        <w:t>5</w:t>
      </w:r>
      <w:r>
        <w:rPr>
          <w:rFonts w:hint="eastAsia" w:ascii="黑体" w:hAnsi="黑体" w:eastAsia="黑体" w:cs="Times New Roman"/>
          <w:b/>
          <w:bCs/>
          <w:sz w:val="24"/>
          <w:szCs w:val="21"/>
        </w:rPr>
        <w:t xml:space="preserve"> </w:t>
      </w:r>
      <w:r>
        <w:rPr>
          <w:rFonts w:ascii="黑体" w:hAnsi="黑体" w:eastAsia="黑体" w:cs="Times New Roman"/>
          <w:b/>
          <w:bCs/>
          <w:sz w:val="24"/>
          <w:szCs w:val="21"/>
        </w:rPr>
        <w:t>开标</w:t>
      </w:r>
      <w:bookmarkEnd w:id="185"/>
      <w:bookmarkEnd w:id="186"/>
    </w:p>
    <w:p w14:paraId="3EE900CA">
      <w:pPr>
        <w:keepNext/>
        <w:keepLines/>
        <w:wordWrap w:val="0"/>
        <w:spacing w:line="360" w:lineRule="auto"/>
        <w:outlineLvl w:val="3"/>
        <w:rPr>
          <w:rFonts w:hint="eastAsia" w:ascii="宋体" w:hAnsi="宋体" w:eastAsia="宋体" w:cs="Times New Roman"/>
          <w:b/>
          <w:bCs/>
          <w:szCs w:val="21"/>
        </w:rPr>
      </w:pPr>
      <w:bookmarkStart w:id="187" w:name="_Toc24745"/>
      <w:bookmarkStart w:id="188" w:name="_Toc389065174"/>
      <w:r>
        <w:rPr>
          <w:rFonts w:ascii="宋体" w:hAnsi="宋体" w:eastAsia="宋体" w:cs="Times New Roman"/>
          <w:b/>
          <w:bCs/>
          <w:szCs w:val="21"/>
        </w:rPr>
        <w:t>5.1 开标时间和地点</w:t>
      </w:r>
      <w:bookmarkEnd w:id="187"/>
      <w:bookmarkEnd w:id="188"/>
    </w:p>
    <w:p w14:paraId="3FD60865">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招标人在“投标人须知前附表”规定的投标截止时间（开标时间）、地点公开开标，并邀请所有投标人的法定代表人或委托代理人参加。</w:t>
      </w:r>
    </w:p>
    <w:p w14:paraId="6703CA6C">
      <w:pPr>
        <w:keepNext/>
        <w:keepLines/>
        <w:wordWrap w:val="0"/>
        <w:spacing w:line="360" w:lineRule="auto"/>
        <w:outlineLvl w:val="3"/>
        <w:rPr>
          <w:rFonts w:hint="eastAsia" w:ascii="宋体" w:hAnsi="宋体" w:eastAsia="宋体" w:cs="Times New Roman"/>
          <w:b/>
          <w:bCs/>
          <w:szCs w:val="21"/>
        </w:rPr>
      </w:pPr>
      <w:bookmarkStart w:id="189" w:name="_Toc14100"/>
      <w:bookmarkStart w:id="190" w:name="_Toc389065175"/>
      <w:r>
        <w:rPr>
          <w:rFonts w:ascii="宋体" w:hAnsi="宋体" w:eastAsia="宋体" w:cs="Times New Roman"/>
          <w:b/>
          <w:bCs/>
          <w:szCs w:val="21"/>
        </w:rPr>
        <w:t>5.2 开标程序</w:t>
      </w:r>
      <w:bookmarkEnd w:id="189"/>
      <w:bookmarkEnd w:id="190"/>
    </w:p>
    <w:p w14:paraId="2257E8AB">
      <w:pPr>
        <w:wordWrap w:val="0"/>
        <w:spacing w:line="360" w:lineRule="auto"/>
        <w:ind w:firstLine="420" w:firstLineChars="200"/>
        <w:rPr>
          <w:rFonts w:hint="eastAsia" w:ascii="宋体" w:hAnsi="宋体" w:eastAsia="宋体" w:cs="Times New Roman"/>
          <w:kern w:val="0"/>
          <w:szCs w:val="21"/>
        </w:rPr>
      </w:pPr>
      <w:bookmarkStart w:id="191" w:name="_Toc27870"/>
      <w:r>
        <w:rPr>
          <w:rFonts w:hint="eastAsia" w:ascii="宋体" w:hAnsi="宋体" w:eastAsia="宋体" w:cs="Times New Roman"/>
          <w:kern w:val="0"/>
          <w:szCs w:val="21"/>
        </w:rPr>
        <w:t>5.2.1投标人可自行决定是否参加现场开标活动，但未参加开标会的投标人视同已认可本次开标会全过程，并在开标记录中注明其未到场。参加现场开标会的投标人法定代表人或其授权代表（以下统称“投标人代表”）必须在投标截止前到开标地点出示本人有效身份证（限中国公民居民身份证、外籍有效护照，下同）、法定代表人</w:t>
      </w:r>
      <w:r>
        <w:rPr>
          <w:rFonts w:hint="eastAsia" w:ascii="宋体" w:hAnsi="宋体" w:eastAsia="宋体" w:cs="Times New Roman"/>
          <w:kern w:val="0"/>
          <w:szCs w:val="21"/>
          <w:lang w:val="en-US" w:eastAsia="zh-CN"/>
        </w:rPr>
        <w:t>资格</w:t>
      </w:r>
      <w:r>
        <w:rPr>
          <w:rFonts w:hint="eastAsia" w:ascii="宋体" w:hAnsi="宋体" w:eastAsia="宋体" w:cs="Times New Roman"/>
          <w:kern w:val="0"/>
          <w:szCs w:val="21"/>
        </w:rPr>
        <w:t>证明书、法人代表授权委托书（若为授权人时），并由招标人或其委托的公证机构代表验证确认。否则招标人有权拒收其投标文件。</w:t>
      </w:r>
    </w:p>
    <w:p w14:paraId="246483FE">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5.2.2</w:t>
      </w:r>
      <w:r>
        <w:rPr>
          <w:rFonts w:ascii="Times New Roman" w:hAnsi="Times New Roman" w:eastAsia="宋体" w:cs="Times New Roman"/>
          <w:kern w:val="0"/>
          <w:szCs w:val="21"/>
        </w:rPr>
        <w:t>招标代理机构对开标过程制作记录。</w:t>
      </w:r>
    </w:p>
    <w:p w14:paraId="1B520801">
      <w:pPr>
        <w:tabs>
          <w:tab w:val="left" w:pos="397"/>
        </w:tabs>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w:t>
      </w:r>
      <w:r>
        <w:rPr>
          <w:rFonts w:ascii="宋体" w:hAnsi="宋体" w:eastAsia="宋体" w:cs="Times New Roman"/>
          <w:kern w:val="0"/>
          <w:szCs w:val="21"/>
        </w:rPr>
        <w:t>.2.</w:t>
      </w:r>
      <w:r>
        <w:rPr>
          <w:rFonts w:hint="eastAsia" w:ascii="宋体" w:hAnsi="宋体" w:eastAsia="宋体" w:cs="Times New Roman"/>
          <w:kern w:val="0"/>
          <w:szCs w:val="21"/>
        </w:rPr>
        <w:t>3</w:t>
      </w:r>
      <w:r>
        <w:rPr>
          <w:rFonts w:ascii="宋体" w:hAnsi="宋体" w:eastAsia="宋体" w:cs="Times New Roman"/>
          <w:kern w:val="0"/>
          <w:szCs w:val="21"/>
        </w:rPr>
        <w:t>开标会由</w:t>
      </w:r>
      <w:r>
        <w:rPr>
          <w:rFonts w:hint="eastAsia" w:ascii="宋体" w:hAnsi="宋体" w:eastAsia="宋体" w:cs="Times New Roman"/>
          <w:kern w:val="0"/>
          <w:szCs w:val="21"/>
        </w:rPr>
        <w:t>招标人或其委托的招标代理机构</w:t>
      </w:r>
      <w:r>
        <w:rPr>
          <w:rFonts w:ascii="宋体" w:hAnsi="宋体" w:eastAsia="宋体" w:cs="Times New Roman"/>
          <w:kern w:val="0"/>
          <w:szCs w:val="21"/>
        </w:rPr>
        <w:t>主持。</w:t>
      </w:r>
    </w:p>
    <w:p w14:paraId="2CD6673A">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5.2.</w:t>
      </w:r>
      <w:r>
        <w:rPr>
          <w:rFonts w:hint="eastAsia" w:ascii="宋体" w:hAnsi="宋体" w:eastAsia="宋体" w:cs="Times New Roman"/>
          <w:kern w:val="0"/>
          <w:szCs w:val="21"/>
        </w:rPr>
        <w:t>4</w:t>
      </w:r>
      <w:r>
        <w:rPr>
          <w:rFonts w:ascii="宋体" w:hAnsi="宋体" w:eastAsia="宋体" w:cs="Times New Roman"/>
          <w:kern w:val="0"/>
          <w:szCs w:val="21"/>
        </w:rPr>
        <w:t>主持人按以下程序进行开标：</w:t>
      </w:r>
    </w:p>
    <w:p w14:paraId="69A61F5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（1）宣布开标纪律；</w:t>
      </w:r>
    </w:p>
    <w:p w14:paraId="14AB222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介绍参加开标会议的单位和人员</w:t>
      </w:r>
      <w:r>
        <w:rPr>
          <w:rFonts w:ascii="宋体" w:hAnsi="宋体" w:eastAsia="宋体" w:cs="Times New Roman"/>
          <w:kern w:val="0"/>
          <w:szCs w:val="21"/>
        </w:rPr>
        <w:t>；</w:t>
      </w:r>
    </w:p>
    <w:p w14:paraId="7AA3B5B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（3）公布在投标截止时间前递交投标文件的投标人名称，点名确认投标人是否派人到场；</w:t>
      </w:r>
    </w:p>
    <w:p w14:paraId="405829F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（4）投标人代表检查投标文件的密封情况；</w:t>
      </w:r>
    </w:p>
    <w:p w14:paraId="0461EFA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（5）投标人代表、招标人代表等有关人员对</w:t>
      </w:r>
      <w:r>
        <w:rPr>
          <w:rFonts w:hint="eastAsia" w:ascii="宋体" w:hAnsi="宋体" w:eastAsia="宋体" w:cs="Times New Roman"/>
          <w:kern w:val="0"/>
          <w:szCs w:val="21"/>
        </w:rPr>
        <w:t>以上内容相关</w:t>
      </w:r>
      <w:r>
        <w:rPr>
          <w:rFonts w:ascii="宋体" w:hAnsi="宋体" w:eastAsia="宋体" w:cs="Times New Roman"/>
          <w:kern w:val="0"/>
          <w:szCs w:val="21"/>
        </w:rPr>
        <w:t>表格进行签字确认</w:t>
      </w:r>
      <w:r>
        <w:rPr>
          <w:rFonts w:hint="eastAsia" w:ascii="宋体" w:hAnsi="宋体" w:eastAsia="宋体" w:cs="Times New Roman"/>
          <w:kern w:val="0"/>
          <w:szCs w:val="21"/>
        </w:rPr>
        <w:t>；</w:t>
      </w:r>
    </w:p>
    <w:p w14:paraId="4F367CB4">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（6）</w:t>
      </w:r>
      <w:r>
        <w:rPr>
          <w:rFonts w:ascii="宋体" w:hAnsi="宋体" w:eastAsia="宋体" w:cs="Times New Roman"/>
          <w:kern w:val="0"/>
          <w:szCs w:val="21"/>
        </w:rPr>
        <w:t>按照“投标人须知前附表”的规定</w:t>
      </w:r>
      <w:r>
        <w:rPr>
          <w:rFonts w:hint="eastAsia" w:ascii="宋体" w:hAnsi="宋体" w:eastAsia="宋体" w:cs="Times New Roman"/>
          <w:kern w:val="0"/>
          <w:szCs w:val="21"/>
        </w:rPr>
        <w:t>的</w:t>
      </w:r>
      <w:r>
        <w:rPr>
          <w:rFonts w:ascii="宋体" w:hAnsi="宋体" w:eastAsia="宋体" w:cs="Times New Roman"/>
          <w:kern w:val="0"/>
          <w:szCs w:val="21"/>
        </w:rPr>
        <w:t>开标顺序</w:t>
      </w:r>
      <w:r>
        <w:rPr>
          <w:rFonts w:hint="eastAsia" w:ascii="宋体" w:hAnsi="宋体" w:eastAsia="宋体" w:cs="Times New Roman"/>
          <w:kern w:val="0"/>
          <w:szCs w:val="21"/>
        </w:rPr>
        <w:t>开标；</w:t>
      </w:r>
    </w:p>
    <w:p w14:paraId="32D7765A">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）唱标：对投标人的投标报价、质量要求、服务期及其他内容进行唱标，并记录在案；</w:t>
      </w:r>
    </w:p>
    <w:p w14:paraId="7049EEB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（8）公布</w:t>
      </w:r>
      <w:r>
        <w:rPr>
          <w:rFonts w:hint="eastAsia" w:ascii="宋体" w:hAnsi="宋体" w:eastAsia="宋体" w:cs="Times New Roman"/>
          <w:kern w:val="0"/>
          <w:szCs w:val="21"/>
        </w:rPr>
        <w:t>招标控制价</w:t>
      </w:r>
      <w:r>
        <w:rPr>
          <w:rFonts w:ascii="宋体" w:hAnsi="宋体" w:eastAsia="宋体" w:cs="Times New Roman"/>
          <w:kern w:val="0"/>
          <w:szCs w:val="21"/>
        </w:rPr>
        <w:t>及相关内容；</w:t>
      </w:r>
    </w:p>
    <w:p w14:paraId="0BC045D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（9）投标人代表、招标人代表等有关人员</w:t>
      </w:r>
      <w:r>
        <w:rPr>
          <w:rFonts w:hint="eastAsia" w:ascii="宋体" w:hAnsi="宋体" w:eastAsia="宋体" w:cs="Times New Roman"/>
          <w:kern w:val="0"/>
          <w:szCs w:val="21"/>
        </w:rPr>
        <w:t>对开标过程相关表格进行</w:t>
      </w:r>
      <w:r>
        <w:rPr>
          <w:rFonts w:ascii="宋体" w:hAnsi="宋体" w:eastAsia="宋体" w:cs="Times New Roman"/>
          <w:kern w:val="0"/>
          <w:szCs w:val="21"/>
        </w:rPr>
        <w:t>签字确认；</w:t>
      </w:r>
    </w:p>
    <w:p w14:paraId="60941C8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（10）</w:t>
      </w:r>
      <w:r>
        <w:rPr>
          <w:rFonts w:hint="eastAsia" w:ascii="宋体" w:hAnsi="宋体" w:eastAsia="宋体" w:cs="Times New Roman"/>
          <w:kern w:val="0"/>
          <w:szCs w:val="21"/>
        </w:rPr>
        <w:t>主持人宣布相关事宜。</w:t>
      </w:r>
    </w:p>
    <w:p w14:paraId="6EBA67CB">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1</w:t>
      </w:r>
      <w:r>
        <w:rPr>
          <w:rFonts w:hint="eastAsia" w:ascii="宋体" w:hAnsi="宋体" w:eastAsia="宋体" w:cs="Times New Roman"/>
          <w:kern w:val="0"/>
          <w:szCs w:val="21"/>
        </w:rPr>
        <w:t>）</w:t>
      </w:r>
      <w:r>
        <w:rPr>
          <w:rFonts w:ascii="宋体" w:hAnsi="宋体" w:eastAsia="宋体" w:cs="Times New Roman"/>
          <w:kern w:val="0"/>
          <w:szCs w:val="21"/>
        </w:rPr>
        <w:t>开标结束。</w:t>
      </w:r>
    </w:p>
    <w:p w14:paraId="3BDE987B">
      <w:pPr>
        <w:keepNext/>
        <w:keepLines/>
        <w:wordWrap w:val="0"/>
        <w:spacing w:line="360" w:lineRule="auto"/>
        <w:outlineLvl w:val="3"/>
        <w:rPr>
          <w:rFonts w:hint="eastAsia" w:ascii="宋体" w:hAnsi="宋体" w:eastAsia="宋体" w:cs="Times New Roman"/>
          <w:b/>
          <w:bCs/>
          <w:szCs w:val="21"/>
        </w:rPr>
      </w:pPr>
      <w:r>
        <w:rPr>
          <w:rFonts w:ascii="宋体" w:hAnsi="宋体" w:eastAsia="宋体" w:cs="Times New Roman"/>
          <w:b/>
          <w:bCs/>
          <w:szCs w:val="21"/>
        </w:rPr>
        <w:t>5.3不予开标</w:t>
      </w:r>
      <w:bookmarkEnd w:id="191"/>
    </w:p>
    <w:p w14:paraId="22255992">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符合下列情况之一的投标，招标人拒绝受理或在开标时当场</w:t>
      </w:r>
      <w:r>
        <w:rPr>
          <w:rFonts w:hint="eastAsia" w:ascii="宋体" w:hAnsi="宋体" w:eastAsia="宋体" w:cs="Times New Roman"/>
          <w:kern w:val="0"/>
          <w:szCs w:val="21"/>
        </w:rPr>
        <w:t>否决其投标</w:t>
      </w:r>
      <w:r>
        <w:rPr>
          <w:rFonts w:ascii="宋体" w:hAnsi="宋体" w:eastAsia="宋体" w:cs="Times New Roman"/>
          <w:kern w:val="0"/>
          <w:szCs w:val="21"/>
        </w:rPr>
        <w:t>，不得进入评标</w:t>
      </w:r>
      <w:r>
        <w:rPr>
          <w:rFonts w:hint="eastAsia" w:ascii="宋体" w:hAnsi="宋体" w:eastAsia="宋体" w:cs="Times New Roman"/>
          <w:kern w:val="0"/>
          <w:szCs w:val="21"/>
        </w:rPr>
        <w:t>（以下（3）、（4）项，选择邮寄方式递交投标文件的投标人除外）</w:t>
      </w:r>
      <w:r>
        <w:rPr>
          <w:rFonts w:ascii="宋体" w:hAnsi="宋体" w:eastAsia="宋体" w:cs="Times New Roman"/>
          <w:kern w:val="0"/>
          <w:szCs w:val="21"/>
        </w:rPr>
        <w:t>：</w:t>
      </w:r>
    </w:p>
    <w:p w14:paraId="3A8730D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（1）投标文件逾期送达的或者未送达指定地点的；</w:t>
      </w:r>
    </w:p>
    <w:p w14:paraId="3CB773A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2</w:t>
      </w:r>
      <w:r>
        <w:rPr>
          <w:rFonts w:ascii="宋体" w:hAnsi="宋体" w:eastAsia="宋体" w:cs="Times New Roman"/>
          <w:kern w:val="0"/>
          <w:szCs w:val="21"/>
        </w:rPr>
        <w:t>）投标文件未按招标文件要求密封的；</w:t>
      </w:r>
    </w:p>
    <w:p w14:paraId="0998794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3</w:t>
      </w:r>
      <w:r>
        <w:rPr>
          <w:rFonts w:ascii="宋体" w:hAnsi="宋体" w:eastAsia="宋体" w:cs="Times New Roman"/>
          <w:kern w:val="0"/>
          <w:szCs w:val="21"/>
        </w:rPr>
        <w:t>）</w:t>
      </w:r>
      <w:r>
        <w:rPr>
          <w:rFonts w:hint="eastAsia" w:ascii="宋体" w:hAnsi="宋体" w:eastAsia="宋体" w:cs="Times New Roman"/>
          <w:kern w:val="0"/>
          <w:szCs w:val="21"/>
        </w:rPr>
        <w:t>无疫情特殊政策的情况下，</w:t>
      </w:r>
      <w:r>
        <w:rPr>
          <w:rFonts w:ascii="宋体" w:hAnsi="宋体" w:eastAsia="宋体" w:cs="Times New Roman"/>
          <w:kern w:val="0"/>
          <w:szCs w:val="21"/>
        </w:rPr>
        <w:t>投标人授权</w:t>
      </w:r>
      <w:r>
        <w:rPr>
          <w:rFonts w:hint="eastAsia" w:ascii="宋体" w:hAnsi="宋体" w:eastAsia="宋体" w:cs="Times New Roman"/>
          <w:kern w:val="0"/>
          <w:szCs w:val="21"/>
        </w:rPr>
        <w:t>的代理人</w:t>
      </w:r>
      <w:r>
        <w:rPr>
          <w:rFonts w:ascii="宋体" w:hAnsi="宋体" w:eastAsia="宋体" w:cs="Times New Roman"/>
          <w:kern w:val="0"/>
          <w:szCs w:val="21"/>
        </w:rPr>
        <w:t>未按时出席开标会</w:t>
      </w:r>
      <w:r>
        <w:rPr>
          <w:rFonts w:hint="eastAsia" w:ascii="宋体" w:hAnsi="宋体" w:eastAsia="宋体" w:cs="Times New Roman"/>
          <w:kern w:val="0"/>
          <w:szCs w:val="21"/>
        </w:rPr>
        <w:t>；</w:t>
      </w:r>
    </w:p>
    <w:p w14:paraId="673D5171">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（4）授权出席开标会、授权签署投标文件的委托代理人非投标人授权委托人。</w:t>
      </w:r>
    </w:p>
    <w:p w14:paraId="6E11F754">
      <w:pPr>
        <w:keepNext/>
        <w:keepLines/>
        <w:wordWrap w:val="0"/>
        <w:spacing w:line="360" w:lineRule="auto"/>
        <w:outlineLvl w:val="3"/>
        <w:rPr>
          <w:rFonts w:hint="eastAsia" w:ascii="宋体" w:hAnsi="宋体" w:eastAsia="宋体" w:cs="Times New Roman"/>
          <w:b/>
          <w:bCs/>
          <w:szCs w:val="21"/>
        </w:rPr>
      </w:pPr>
      <w:bookmarkStart w:id="192" w:name="_Toc4496"/>
      <w:r>
        <w:rPr>
          <w:rFonts w:ascii="宋体" w:hAnsi="宋体" w:eastAsia="宋体" w:cs="Times New Roman"/>
          <w:b/>
          <w:bCs/>
          <w:szCs w:val="21"/>
        </w:rPr>
        <w:t>5.</w:t>
      </w:r>
      <w:r>
        <w:rPr>
          <w:rFonts w:hint="eastAsia" w:ascii="宋体" w:hAnsi="宋体" w:eastAsia="宋体" w:cs="Times New Roman"/>
          <w:b/>
          <w:bCs/>
          <w:szCs w:val="21"/>
        </w:rPr>
        <w:t>4开标异议</w:t>
      </w:r>
      <w:bookmarkEnd w:id="192"/>
    </w:p>
    <w:p w14:paraId="297D7644">
      <w:pPr>
        <w:wordWrap w:val="0"/>
        <w:spacing w:line="360" w:lineRule="auto"/>
        <w:ind w:firstLine="420" w:firstLineChars="200"/>
        <w:rPr>
          <w:rFonts w:hint="eastAsia" w:ascii="宋体" w:hAnsi="宋体" w:eastAsia="宋体" w:cs="Times New Roman"/>
          <w:kern w:val="0"/>
          <w:szCs w:val="21"/>
        </w:rPr>
      </w:pPr>
      <w:bookmarkStart w:id="193" w:name="_Toc15801"/>
      <w:bookmarkStart w:id="194" w:name="_Toc389065177"/>
      <w:r>
        <w:rPr>
          <w:rFonts w:hint="eastAsia" w:ascii="宋体" w:hAnsi="宋体" w:eastAsia="宋体" w:cs="Times New Roman"/>
          <w:kern w:val="0"/>
          <w:szCs w:val="21"/>
        </w:rPr>
        <w:t>（1）投标人对开标有异议的，应当在开标现场提出，招标人应当当场作出答复，并制作记录。</w:t>
      </w:r>
    </w:p>
    <w:p w14:paraId="47135B9E">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（2）投标人不得就招标人已答复的同一事项再次异议。</w:t>
      </w:r>
    </w:p>
    <w:p w14:paraId="371630F2">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（3）投标人如在开标</w:t>
      </w:r>
      <w:r>
        <w:rPr>
          <w:rFonts w:ascii="宋体" w:hAnsi="宋体" w:eastAsia="宋体" w:cs="Times New Roman"/>
          <w:kern w:val="0"/>
          <w:szCs w:val="21"/>
        </w:rPr>
        <w:t>现场</w:t>
      </w:r>
      <w:r>
        <w:rPr>
          <w:rFonts w:hint="eastAsia" w:ascii="宋体" w:hAnsi="宋体" w:eastAsia="宋体" w:cs="Times New Roman"/>
          <w:kern w:val="0"/>
          <w:szCs w:val="21"/>
        </w:rPr>
        <w:t>没有</w:t>
      </w:r>
      <w:r>
        <w:rPr>
          <w:rFonts w:ascii="宋体" w:hAnsi="宋体" w:eastAsia="宋体" w:cs="Times New Roman"/>
          <w:kern w:val="0"/>
          <w:szCs w:val="21"/>
        </w:rPr>
        <w:t>提出异议，</w:t>
      </w:r>
      <w:r>
        <w:rPr>
          <w:rFonts w:hint="eastAsia" w:ascii="宋体" w:hAnsi="宋体" w:eastAsia="宋体" w:cs="Times New Roman"/>
          <w:kern w:val="0"/>
          <w:szCs w:val="21"/>
        </w:rPr>
        <w:t>视为主动放弃异议资格，不得在其他情况下再次提出开标异议。</w:t>
      </w:r>
    </w:p>
    <w:p w14:paraId="6334D6BF">
      <w:pPr>
        <w:keepNext/>
        <w:keepLines/>
        <w:wordWrap w:val="0"/>
        <w:spacing w:before="240" w:beforeLines="100" w:line="360" w:lineRule="auto"/>
        <w:outlineLvl w:val="1"/>
        <w:rPr>
          <w:rFonts w:hint="eastAsia" w:ascii="黑体" w:hAnsi="黑体" w:eastAsia="黑体" w:cs="Times New Roman"/>
          <w:b/>
          <w:bCs/>
          <w:sz w:val="24"/>
          <w:szCs w:val="21"/>
        </w:rPr>
      </w:pPr>
      <w:r>
        <w:rPr>
          <w:rFonts w:ascii="黑体" w:hAnsi="黑体" w:eastAsia="黑体" w:cs="Times New Roman"/>
          <w:b/>
          <w:bCs/>
          <w:sz w:val="24"/>
          <w:szCs w:val="21"/>
        </w:rPr>
        <w:t>6</w:t>
      </w:r>
      <w:r>
        <w:rPr>
          <w:rFonts w:hint="eastAsia" w:ascii="黑体" w:hAnsi="黑体" w:eastAsia="黑体" w:cs="Times New Roman"/>
          <w:b/>
          <w:bCs/>
          <w:sz w:val="24"/>
          <w:szCs w:val="21"/>
        </w:rPr>
        <w:t xml:space="preserve"> </w:t>
      </w:r>
      <w:r>
        <w:rPr>
          <w:rFonts w:ascii="黑体" w:hAnsi="黑体" w:eastAsia="黑体" w:cs="Times New Roman"/>
          <w:b/>
          <w:bCs/>
          <w:sz w:val="24"/>
          <w:szCs w:val="21"/>
        </w:rPr>
        <w:t>评标</w:t>
      </w:r>
      <w:bookmarkEnd w:id="193"/>
      <w:bookmarkEnd w:id="194"/>
    </w:p>
    <w:p w14:paraId="1BF83367">
      <w:pPr>
        <w:keepNext/>
        <w:keepLines/>
        <w:wordWrap w:val="0"/>
        <w:spacing w:line="360" w:lineRule="auto"/>
        <w:outlineLvl w:val="3"/>
        <w:rPr>
          <w:rFonts w:hint="eastAsia" w:ascii="宋体" w:hAnsi="宋体" w:eastAsia="宋体" w:cs="Times New Roman"/>
          <w:b/>
          <w:bCs/>
          <w:szCs w:val="21"/>
        </w:rPr>
      </w:pPr>
      <w:bookmarkStart w:id="195" w:name="_Toc389065178"/>
      <w:bookmarkStart w:id="196" w:name="_Toc25904"/>
      <w:r>
        <w:rPr>
          <w:rFonts w:ascii="宋体" w:hAnsi="宋体" w:eastAsia="宋体" w:cs="Times New Roman"/>
          <w:b/>
          <w:bCs/>
          <w:szCs w:val="21"/>
        </w:rPr>
        <w:t>6.1 评标委员会</w:t>
      </w:r>
      <w:bookmarkEnd w:id="195"/>
      <w:bookmarkEnd w:id="196"/>
    </w:p>
    <w:p w14:paraId="7E220CB2">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6.1.1评标由招标人依法组建的评标委员会负责。评标委员会由招标人熟悉相关业务的代表，以及有关技术、经济等方面的专家组成。评标委员会成员人数以及技术、经济等方面专家的确定方式见投标人须知前附表</w:t>
      </w:r>
      <w:r>
        <w:rPr>
          <w:rFonts w:hint="eastAsia" w:ascii="宋体" w:hAnsi="宋体" w:eastAsia="宋体" w:cs="Times New Roman"/>
          <w:kern w:val="0"/>
          <w:szCs w:val="21"/>
        </w:rPr>
        <w:t>。</w:t>
      </w:r>
    </w:p>
    <w:p w14:paraId="7C2A36CC">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6.1.2 评标委员会成员有下列情形之一的，应当回避：</w:t>
      </w:r>
    </w:p>
    <w:p w14:paraId="369F531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（1）投标人或投标人的主要负责人的近亲属；</w:t>
      </w:r>
    </w:p>
    <w:p w14:paraId="4044E5CB">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（2）项目主管部门或者行政监督部门的人员；</w:t>
      </w:r>
    </w:p>
    <w:p w14:paraId="1752ACB5">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（3）与投标人有经济利益关系，可能影响对投标公正评审的</w:t>
      </w:r>
      <w:r>
        <w:rPr>
          <w:rFonts w:hint="eastAsia" w:ascii="宋体" w:hAnsi="宋体" w:eastAsia="宋体" w:cs="Times New Roman"/>
          <w:kern w:val="0"/>
          <w:szCs w:val="21"/>
        </w:rPr>
        <w:t>；</w:t>
      </w:r>
    </w:p>
    <w:p w14:paraId="57A047A1">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）曾因在招标、评标以及其他与招标投标有关活动中从事违法行为而受过行政处罚或刑事处罚的；</w:t>
      </w:r>
    </w:p>
    <w:p w14:paraId="122BA167">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）为该工程提供勘察、设计、监理咨询的主要人员；</w:t>
      </w:r>
    </w:p>
    <w:p w14:paraId="1CBC1FC7">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）为该工程的勘察、设计人员；</w:t>
      </w:r>
    </w:p>
    <w:p w14:paraId="66642387">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）为该工程招标代理、造价咨询机构的人员；</w:t>
      </w:r>
    </w:p>
    <w:p w14:paraId="2FEB2D75">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）与投标人有其他利害关系。</w:t>
      </w:r>
    </w:p>
    <w:p w14:paraId="1B25DD37">
      <w:pPr>
        <w:keepNext/>
        <w:keepLines/>
        <w:wordWrap w:val="0"/>
        <w:spacing w:line="360" w:lineRule="auto"/>
        <w:outlineLvl w:val="3"/>
        <w:rPr>
          <w:rFonts w:hint="eastAsia" w:ascii="宋体" w:hAnsi="宋体" w:eastAsia="宋体" w:cs="Times New Roman"/>
          <w:b/>
          <w:bCs/>
          <w:szCs w:val="21"/>
        </w:rPr>
      </w:pPr>
      <w:bookmarkStart w:id="197" w:name="_Toc389065179"/>
      <w:bookmarkStart w:id="198" w:name="_Toc15075"/>
      <w:r>
        <w:rPr>
          <w:rFonts w:ascii="宋体" w:hAnsi="宋体" w:eastAsia="宋体" w:cs="Times New Roman"/>
          <w:b/>
          <w:bCs/>
          <w:szCs w:val="21"/>
        </w:rPr>
        <w:t>6.2 评标原则</w:t>
      </w:r>
      <w:bookmarkEnd w:id="197"/>
      <w:bookmarkEnd w:id="198"/>
    </w:p>
    <w:p w14:paraId="711345D3">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评标活动遵循公平、公正、科学和择优的原则。</w:t>
      </w:r>
    </w:p>
    <w:p w14:paraId="1FE51C5B">
      <w:pPr>
        <w:keepNext/>
        <w:keepLines/>
        <w:wordWrap w:val="0"/>
        <w:spacing w:line="360" w:lineRule="auto"/>
        <w:outlineLvl w:val="3"/>
        <w:rPr>
          <w:rFonts w:hint="eastAsia" w:ascii="宋体" w:hAnsi="宋体" w:eastAsia="宋体" w:cs="Times New Roman"/>
          <w:b/>
          <w:bCs/>
          <w:szCs w:val="21"/>
        </w:rPr>
      </w:pPr>
      <w:bookmarkStart w:id="199" w:name="_Toc389065180"/>
      <w:bookmarkStart w:id="200" w:name="_Toc9656"/>
      <w:r>
        <w:rPr>
          <w:rFonts w:ascii="宋体" w:hAnsi="宋体" w:eastAsia="宋体" w:cs="Times New Roman"/>
          <w:b/>
          <w:bCs/>
          <w:szCs w:val="21"/>
        </w:rPr>
        <w:t>6.3 评标</w:t>
      </w:r>
      <w:bookmarkEnd w:id="199"/>
      <w:bookmarkEnd w:id="200"/>
      <w:r>
        <w:rPr>
          <w:rFonts w:hint="eastAsia" w:ascii="宋体" w:hAnsi="宋体" w:eastAsia="宋体" w:cs="Times New Roman"/>
          <w:b/>
          <w:bCs/>
          <w:szCs w:val="21"/>
        </w:rPr>
        <w:t>办法</w:t>
      </w:r>
    </w:p>
    <w:p w14:paraId="7EA7BE46">
      <w:pPr>
        <w:wordWrap w:val="0"/>
        <w:spacing w:line="360" w:lineRule="auto"/>
        <w:ind w:firstLine="420" w:firstLineChars="200"/>
        <w:rPr>
          <w:rFonts w:hint="eastAsia" w:ascii="宋体" w:hAnsi="宋体" w:eastAsia="宋体" w:cs="Times New Roman"/>
          <w:kern w:val="0"/>
          <w:sz w:val="24"/>
          <w:szCs w:val="21"/>
        </w:rPr>
      </w:pPr>
      <w:r>
        <w:rPr>
          <w:rFonts w:hint="eastAsia" w:ascii="宋体" w:hAnsi="宋体" w:eastAsia="宋体" w:cs="Times New Roman"/>
          <w:kern w:val="0"/>
          <w:szCs w:val="21"/>
        </w:rPr>
        <w:t>详见第三章《评标办法》。</w:t>
      </w:r>
    </w:p>
    <w:p w14:paraId="539BB9C1">
      <w:pPr>
        <w:keepNext/>
        <w:keepLines/>
        <w:wordWrap w:val="0"/>
        <w:spacing w:before="240" w:beforeLines="100" w:line="360" w:lineRule="auto"/>
        <w:outlineLvl w:val="1"/>
        <w:rPr>
          <w:rFonts w:hint="eastAsia" w:ascii="黑体" w:hAnsi="黑体" w:eastAsia="黑体" w:cs="Times New Roman"/>
          <w:b/>
          <w:bCs/>
          <w:sz w:val="24"/>
          <w:szCs w:val="21"/>
        </w:rPr>
      </w:pPr>
      <w:bookmarkStart w:id="201" w:name="_Toc12990"/>
      <w:bookmarkStart w:id="202" w:name="_Toc389065184"/>
      <w:r>
        <w:rPr>
          <w:rFonts w:ascii="黑体" w:hAnsi="黑体" w:eastAsia="黑体" w:cs="Times New Roman"/>
          <w:b/>
          <w:bCs/>
          <w:sz w:val="24"/>
          <w:szCs w:val="21"/>
        </w:rPr>
        <w:t>7</w:t>
      </w:r>
      <w:r>
        <w:rPr>
          <w:rFonts w:hint="eastAsia" w:ascii="黑体" w:hAnsi="黑体" w:eastAsia="黑体" w:cs="Times New Roman"/>
          <w:b/>
          <w:bCs/>
          <w:sz w:val="24"/>
          <w:szCs w:val="21"/>
        </w:rPr>
        <w:t xml:space="preserve"> </w:t>
      </w:r>
      <w:r>
        <w:rPr>
          <w:rFonts w:ascii="黑体" w:hAnsi="黑体" w:eastAsia="黑体" w:cs="Times New Roman"/>
          <w:b/>
          <w:bCs/>
          <w:sz w:val="24"/>
          <w:szCs w:val="21"/>
        </w:rPr>
        <w:t>合同授予</w:t>
      </w:r>
      <w:bookmarkEnd w:id="201"/>
      <w:bookmarkEnd w:id="202"/>
    </w:p>
    <w:p w14:paraId="6EBF099F">
      <w:pPr>
        <w:keepNext/>
        <w:keepLines/>
        <w:wordWrap w:val="0"/>
        <w:spacing w:line="360" w:lineRule="auto"/>
        <w:outlineLvl w:val="3"/>
        <w:rPr>
          <w:rFonts w:hint="eastAsia" w:ascii="宋体" w:hAnsi="宋体" w:eastAsia="宋体" w:cs="Times New Roman"/>
          <w:b/>
          <w:bCs/>
          <w:szCs w:val="21"/>
        </w:rPr>
      </w:pPr>
      <w:bookmarkStart w:id="203" w:name="_Toc5173"/>
      <w:bookmarkStart w:id="204" w:name="_Toc389065185"/>
      <w:r>
        <w:rPr>
          <w:rFonts w:ascii="宋体" w:hAnsi="宋体" w:eastAsia="宋体" w:cs="Times New Roman"/>
          <w:b/>
          <w:bCs/>
          <w:szCs w:val="21"/>
        </w:rPr>
        <w:t>7.1 定标</w:t>
      </w:r>
      <w:bookmarkEnd w:id="203"/>
      <w:bookmarkEnd w:id="204"/>
    </w:p>
    <w:p w14:paraId="44A0A15B">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7</w:t>
      </w:r>
      <w:r>
        <w:rPr>
          <w:rFonts w:ascii="宋体" w:hAnsi="宋体" w:eastAsia="宋体" w:cs="Times New Roman"/>
          <w:kern w:val="0"/>
          <w:szCs w:val="21"/>
        </w:rPr>
        <w:t>.1.1除“投标人须知前附表”规定评标委员会直接确定中标人外，招标人依据评标委员会推荐的中标候选人确定中标人，评标委员会推荐中标候选人的人数见“投标人须知前附表”。</w:t>
      </w:r>
    </w:p>
    <w:p w14:paraId="04B47FC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7.1.2</w:t>
      </w:r>
      <w:r>
        <w:rPr>
          <w:rFonts w:hint="eastAsia" w:ascii="宋体" w:hAnsi="宋体" w:eastAsia="宋体" w:cs="Times New Roman"/>
          <w:kern w:val="0"/>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2C5AB9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7.1.3</w:t>
      </w:r>
      <w:r>
        <w:rPr>
          <w:rFonts w:hint="eastAsia" w:ascii="宋体" w:hAnsi="宋体" w:eastAsia="宋体" w:cs="Times New Roman"/>
          <w:kern w:val="0"/>
          <w:szCs w:val="21"/>
        </w:rPr>
        <w:t>投标人应确保提供的资料真实无误，如有弄虚作假的情况，一经查实，取消投标资格，已经中标的取消中标资格。</w:t>
      </w:r>
    </w:p>
    <w:p w14:paraId="6C2CC62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7.1.4</w:t>
      </w:r>
      <w:r>
        <w:rPr>
          <w:rFonts w:hint="eastAsia" w:ascii="宋体" w:hAnsi="宋体" w:eastAsia="宋体" w:cs="Times New Roman"/>
          <w:kern w:val="0"/>
          <w:szCs w:val="21"/>
        </w:rPr>
        <w:t>评标委员会评审结束后，招标人经审查发现评标过程中有明显错误，可以组织原评标委员会进行复评。</w:t>
      </w:r>
    </w:p>
    <w:p w14:paraId="14086935">
      <w:pPr>
        <w:keepNext/>
        <w:keepLines/>
        <w:wordWrap w:val="0"/>
        <w:spacing w:line="360" w:lineRule="auto"/>
        <w:outlineLvl w:val="3"/>
        <w:rPr>
          <w:rFonts w:hint="eastAsia" w:ascii="宋体" w:hAnsi="宋体" w:eastAsia="宋体" w:cs="Times New Roman"/>
          <w:b/>
          <w:bCs/>
          <w:szCs w:val="21"/>
        </w:rPr>
      </w:pPr>
      <w:bookmarkStart w:id="205" w:name="_Toc389065186"/>
      <w:bookmarkStart w:id="206" w:name="_Toc6694"/>
      <w:r>
        <w:rPr>
          <w:rFonts w:ascii="宋体" w:hAnsi="宋体" w:eastAsia="宋体" w:cs="Times New Roman"/>
          <w:b/>
          <w:bCs/>
          <w:szCs w:val="21"/>
        </w:rPr>
        <w:t>7.2 中标通知</w:t>
      </w:r>
      <w:bookmarkEnd w:id="205"/>
      <w:r>
        <w:rPr>
          <w:rFonts w:hint="eastAsia" w:ascii="宋体" w:hAnsi="宋体" w:eastAsia="宋体" w:cs="Times New Roman"/>
          <w:b/>
          <w:bCs/>
          <w:szCs w:val="21"/>
        </w:rPr>
        <w:t>及中标公告</w:t>
      </w:r>
      <w:bookmarkEnd w:id="206"/>
    </w:p>
    <w:p w14:paraId="1CDCCDBB">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7</w:t>
      </w:r>
      <w:r>
        <w:rPr>
          <w:rFonts w:ascii="宋体" w:hAnsi="宋体" w:eastAsia="宋体" w:cs="Times New Roman"/>
          <w:kern w:val="0"/>
          <w:szCs w:val="21"/>
        </w:rPr>
        <w:t>.2.1</w:t>
      </w:r>
      <w:r>
        <w:rPr>
          <w:rFonts w:hint="eastAsia" w:ascii="宋体" w:hAnsi="宋体" w:eastAsia="宋体" w:cs="Times New Roman"/>
          <w:kern w:val="0"/>
          <w:szCs w:val="21"/>
        </w:rPr>
        <w:t>招标人按规定在网站上发布中标候选人公示和中标公告，</w:t>
      </w:r>
      <w:r>
        <w:rPr>
          <w:rFonts w:ascii="宋体" w:hAnsi="宋体" w:eastAsia="宋体" w:cs="Times New Roman"/>
          <w:kern w:val="0"/>
          <w:szCs w:val="21"/>
        </w:rPr>
        <w:t>发布之日起，视为</w:t>
      </w:r>
      <w:r>
        <w:rPr>
          <w:rFonts w:hint="eastAsia" w:ascii="宋体" w:hAnsi="宋体" w:eastAsia="宋体" w:cs="Times New Roman"/>
          <w:kern w:val="0"/>
          <w:szCs w:val="21"/>
        </w:rPr>
        <w:t>所有</w:t>
      </w:r>
      <w:r>
        <w:rPr>
          <w:rFonts w:ascii="宋体" w:hAnsi="宋体" w:eastAsia="宋体" w:cs="Times New Roman"/>
          <w:kern w:val="0"/>
          <w:szCs w:val="21"/>
        </w:rPr>
        <w:t>投标人已收到该</w:t>
      </w:r>
      <w:r>
        <w:rPr>
          <w:rFonts w:hint="eastAsia" w:ascii="宋体" w:hAnsi="宋体" w:eastAsia="宋体" w:cs="Times New Roman"/>
          <w:kern w:val="0"/>
          <w:szCs w:val="21"/>
        </w:rPr>
        <w:t>中标结果。</w:t>
      </w:r>
    </w:p>
    <w:p w14:paraId="2622045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7.2.2</w:t>
      </w:r>
      <w:r>
        <w:rPr>
          <w:rFonts w:hint="eastAsia" w:ascii="宋体" w:hAnsi="宋体" w:eastAsia="宋体" w:cs="Times New Roman"/>
          <w:kern w:val="0"/>
          <w:szCs w:val="21"/>
        </w:rPr>
        <w:t>对未中标者，招标人及招标代理机构不对未中标原因做出解释，同时亦不退还投标文件。</w:t>
      </w:r>
    </w:p>
    <w:p w14:paraId="6748078C">
      <w:pPr>
        <w:keepNext/>
        <w:keepLines/>
        <w:wordWrap w:val="0"/>
        <w:spacing w:line="360" w:lineRule="auto"/>
        <w:outlineLvl w:val="3"/>
        <w:rPr>
          <w:rFonts w:hint="eastAsia" w:ascii="宋体" w:hAnsi="宋体" w:eastAsia="宋体" w:cs="Times New Roman"/>
          <w:b/>
          <w:bCs/>
          <w:szCs w:val="21"/>
        </w:rPr>
      </w:pPr>
      <w:bookmarkStart w:id="207" w:name="_Toc389065187"/>
      <w:bookmarkStart w:id="208" w:name="_Toc16198"/>
      <w:r>
        <w:rPr>
          <w:rFonts w:ascii="宋体" w:hAnsi="宋体" w:eastAsia="宋体" w:cs="Times New Roman"/>
          <w:b/>
          <w:bCs/>
          <w:szCs w:val="21"/>
        </w:rPr>
        <w:t>7.3 履约</w:t>
      </w:r>
      <w:bookmarkEnd w:id="207"/>
      <w:r>
        <w:rPr>
          <w:rFonts w:hint="eastAsia" w:ascii="宋体" w:hAnsi="宋体" w:eastAsia="宋体" w:cs="Times New Roman"/>
          <w:b/>
          <w:bCs/>
          <w:szCs w:val="21"/>
        </w:rPr>
        <w:t>保证金</w:t>
      </w:r>
      <w:bookmarkEnd w:id="208"/>
    </w:p>
    <w:p w14:paraId="20D0981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7.3.1在签订合同前，中标人应按“投标人须知前附表”规定的金额、担保形式和招标文件第四章“合同条款及格式”规定的履约担保格式向招标人提交履约</w:t>
      </w:r>
      <w:r>
        <w:rPr>
          <w:rFonts w:hint="eastAsia" w:ascii="宋体" w:hAnsi="宋体" w:eastAsia="宋体" w:cs="Times New Roman"/>
          <w:kern w:val="0"/>
          <w:szCs w:val="21"/>
        </w:rPr>
        <w:t>保证金</w:t>
      </w:r>
      <w:r>
        <w:rPr>
          <w:rFonts w:ascii="宋体" w:hAnsi="宋体" w:eastAsia="宋体" w:cs="Times New Roman"/>
          <w:kern w:val="0"/>
          <w:szCs w:val="21"/>
        </w:rPr>
        <w:t>。</w:t>
      </w:r>
    </w:p>
    <w:p w14:paraId="5B82354B">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7.3.2中标人不能按本章第7.3.1项要求提交履约</w:t>
      </w:r>
      <w:r>
        <w:rPr>
          <w:rFonts w:hint="eastAsia" w:ascii="宋体" w:hAnsi="宋体" w:eastAsia="宋体" w:cs="Times New Roman"/>
          <w:kern w:val="0"/>
          <w:szCs w:val="21"/>
        </w:rPr>
        <w:t>保证金</w:t>
      </w:r>
      <w:r>
        <w:rPr>
          <w:rFonts w:ascii="宋体" w:hAnsi="宋体" w:eastAsia="宋体" w:cs="Times New Roman"/>
          <w:kern w:val="0"/>
          <w:szCs w:val="21"/>
        </w:rPr>
        <w:t>的，视为放弃中标，给招标人造成的损失的，中标人还应当对</w:t>
      </w:r>
      <w:r>
        <w:rPr>
          <w:rFonts w:hint="eastAsia" w:ascii="宋体" w:hAnsi="宋体" w:eastAsia="宋体" w:cs="Times New Roman"/>
          <w:kern w:val="0"/>
          <w:szCs w:val="21"/>
        </w:rPr>
        <w:t>损失</w:t>
      </w:r>
      <w:r>
        <w:rPr>
          <w:rFonts w:ascii="宋体" w:hAnsi="宋体" w:eastAsia="宋体" w:cs="Times New Roman"/>
          <w:kern w:val="0"/>
          <w:szCs w:val="21"/>
        </w:rPr>
        <w:t>部分予以赔偿。</w:t>
      </w:r>
    </w:p>
    <w:p w14:paraId="38DD7572">
      <w:pPr>
        <w:keepNext/>
        <w:keepLines/>
        <w:wordWrap w:val="0"/>
        <w:spacing w:line="360" w:lineRule="auto"/>
        <w:outlineLvl w:val="3"/>
        <w:rPr>
          <w:rFonts w:hint="eastAsia" w:ascii="宋体" w:hAnsi="宋体" w:eastAsia="宋体" w:cs="Times New Roman"/>
          <w:b/>
          <w:bCs/>
          <w:szCs w:val="21"/>
        </w:rPr>
      </w:pPr>
      <w:bookmarkStart w:id="209" w:name="_Toc18752"/>
      <w:bookmarkStart w:id="210" w:name="_Toc389065188"/>
      <w:r>
        <w:rPr>
          <w:rFonts w:ascii="宋体" w:hAnsi="宋体" w:eastAsia="宋体" w:cs="Times New Roman"/>
          <w:b/>
          <w:bCs/>
          <w:szCs w:val="21"/>
        </w:rPr>
        <w:t>7.4 签订合同</w:t>
      </w:r>
      <w:bookmarkEnd w:id="209"/>
      <w:bookmarkEnd w:id="210"/>
    </w:p>
    <w:p w14:paraId="49396740">
      <w:pPr>
        <w:wordWrap w:val="0"/>
        <w:spacing w:line="360" w:lineRule="auto"/>
        <w:ind w:firstLine="420" w:firstLineChars="200"/>
        <w:rPr>
          <w:rFonts w:hint="eastAsia" w:ascii="宋体" w:hAnsi="宋体" w:eastAsia="宋体" w:cs="Times New Roman"/>
          <w:kern w:val="0"/>
          <w:szCs w:val="21"/>
        </w:rPr>
      </w:pPr>
      <w:bookmarkStart w:id="211" w:name="_Toc389065189"/>
      <w:bookmarkStart w:id="212" w:name="_Toc9393"/>
      <w:r>
        <w:rPr>
          <w:rFonts w:ascii="宋体" w:hAnsi="宋体" w:eastAsia="宋体" w:cs="Times New Roman"/>
          <w:kern w:val="0"/>
          <w:szCs w:val="21"/>
        </w:rPr>
        <w:t>招标人和中标人应当在投标有效期内以及中标通知书发出之日起30天内，根据招标文件和中标人的投标文件订立书面合同。中标人无正当理由拒签合同的，招标人取消其中标资格；给招标人造成损失的，中标人还应当予以赔偿。中标人因不可抗力或者自身原因不能履行招标采购合同的，招标人可以按照评标委员会提出的中标候选人名单排序依次确定其他中标候选人为中标人，也可以重新招标。</w:t>
      </w:r>
    </w:p>
    <w:p w14:paraId="223B04E1">
      <w:pPr>
        <w:keepNext/>
        <w:keepLines/>
        <w:wordWrap w:val="0"/>
        <w:spacing w:before="240" w:beforeLines="100" w:line="360" w:lineRule="auto"/>
        <w:outlineLvl w:val="1"/>
        <w:rPr>
          <w:rFonts w:hint="eastAsia" w:ascii="黑体" w:hAnsi="黑体" w:eastAsia="黑体" w:cs="Times New Roman"/>
          <w:b/>
          <w:bCs/>
          <w:sz w:val="24"/>
          <w:szCs w:val="21"/>
        </w:rPr>
      </w:pPr>
      <w:r>
        <w:rPr>
          <w:rFonts w:ascii="黑体" w:hAnsi="黑体" w:eastAsia="黑体" w:cs="Times New Roman"/>
          <w:b/>
          <w:bCs/>
          <w:sz w:val="24"/>
          <w:szCs w:val="21"/>
        </w:rPr>
        <w:t>8</w:t>
      </w:r>
      <w:r>
        <w:rPr>
          <w:rFonts w:hint="eastAsia" w:ascii="黑体" w:hAnsi="黑体" w:eastAsia="黑体" w:cs="Times New Roman"/>
          <w:b/>
          <w:bCs/>
          <w:sz w:val="24"/>
          <w:szCs w:val="21"/>
        </w:rPr>
        <w:t xml:space="preserve"> </w:t>
      </w:r>
      <w:r>
        <w:rPr>
          <w:rFonts w:ascii="黑体" w:hAnsi="黑体" w:eastAsia="黑体" w:cs="Times New Roman"/>
          <w:b/>
          <w:bCs/>
          <w:sz w:val="24"/>
          <w:szCs w:val="21"/>
        </w:rPr>
        <w:t>重新招标和不再招标</w:t>
      </w:r>
      <w:bookmarkEnd w:id="211"/>
      <w:bookmarkEnd w:id="212"/>
    </w:p>
    <w:p w14:paraId="5F96732D">
      <w:pPr>
        <w:keepNext/>
        <w:keepLines/>
        <w:wordWrap w:val="0"/>
        <w:spacing w:line="360" w:lineRule="auto"/>
        <w:outlineLvl w:val="3"/>
        <w:rPr>
          <w:rFonts w:hint="eastAsia" w:ascii="宋体" w:hAnsi="宋体" w:eastAsia="宋体" w:cs="Times New Roman"/>
          <w:b/>
          <w:bCs/>
          <w:szCs w:val="21"/>
        </w:rPr>
      </w:pPr>
      <w:bookmarkStart w:id="213" w:name="_Toc389065190"/>
      <w:bookmarkStart w:id="214" w:name="_Toc13807"/>
      <w:r>
        <w:rPr>
          <w:rFonts w:ascii="宋体" w:hAnsi="宋体" w:eastAsia="宋体" w:cs="Times New Roman"/>
          <w:b/>
          <w:bCs/>
          <w:szCs w:val="21"/>
        </w:rPr>
        <w:t>8.1 重新招标</w:t>
      </w:r>
      <w:bookmarkEnd w:id="213"/>
      <w:bookmarkEnd w:id="214"/>
    </w:p>
    <w:p w14:paraId="1A5F25A2">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有下列情形之一的，招标人将重新招标：</w:t>
      </w:r>
    </w:p>
    <w:p w14:paraId="5D92343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（1）投标截止时，投标人少于3个的；</w:t>
      </w:r>
    </w:p>
    <w:p w14:paraId="67208BE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（2）经评标委员会评审后否决所有投标的；</w:t>
      </w:r>
    </w:p>
    <w:p w14:paraId="57126180">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3）评标委员会否决不合格投标或者界定为无效后，因有效投标不足三个使得投标明显缺乏竞争性的（当有效投标不足三个，但仍有两个有效时，评标委员会认为剩余的投标文件仍具有竞争性的，应继续评审）；</w:t>
      </w:r>
    </w:p>
    <w:p w14:paraId="4024D63D">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4</w:t>
      </w:r>
      <w:r>
        <w:rPr>
          <w:rFonts w:ascii="宋体" w:hAnsi="宋体" w:eastAsia="宋体" w:cs="Times New Roman"/>
          <w:kern w:val="0"/>
          <w:szCs w:val="21"/>
        </w:rPr>
        <w:t>）</w:t>
      </w:r>
      <w:r>
        <w:rPr>
          <w:rFonts w:hint="eastAsia" w:ascii="宋体" w:hAnsi="宋体" w:eastAsia="宋体" w:cs="Times New Roman"/>
          <w:kern w:val="0"/>
          <w:szCs w:val="21"/>
        </w:rPr>
        <w:t>根据本须知第3</w:t>
      </w:r>
      <w:r>
        <w:rPr>
          <w:rFonts w:ascii="宋体" w:hAnsi="宋体" w:eastAsia="宋体" w:cs="Times New Roman"/>
          <w:kern w:val="0"/>
          <w:szCs w:val="21"/>
        </w:rPr>
        <w:t>.3.2</w:t>
      </w:r>
      <w:r>
        <w:rPr>
          <w:rFonts w:hint="eastAsia" w:ascii="宋体" w:hAnsi="宋体" w:eastAsia="宋体" w:cs="Times New Roman"/>
          <w:kern w:val="0"/>
          <w:szCs w:val="21"/>
        </w:rPr>
        <w:t>款规定，所有中标候选人均不同意在投标有效期内延长投标有效期的。</w:t>
      </w:r>
    </w:p>
    <w:p w14:paraId="39666F66">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（5）招标文件、</w:t>
      </w:r>
      <w:r>
        <w:rPr>
          <w:rFonts w:ascii="宋体" w:hAnsi="宋体" w:eastAsia="宋体" w:cs="Times New Roman"/>
          <w:kern w:val="0"/>
          <w:szCs w:val="21"/>
        </w:rPr>
        <w:t>有关法规和文件规定的重新招标的情形。</w:t>
      </w:r>
    </w:p>
    <w:p w14:paraId="348A479A">
      <w:pPr>
        <w:keepNext/>
        <w:keepLines/>
        <w:wordWrap w:val="0"/>
        <w:spacing w:line="360" w:lineRule="auto"/>
        <w:outlineLvl w:val="3"/>
        <w:rPr>
          <w:rFonts w:hint="eastAsia" w:ascii="宋体" w:hAnsi="宋体" w:eastAsia="宋体" w:cs="Times New Roman"/>
          <w:b/>
          <w:bCs/>
          <w:szCs w:val="21"/>
        </w:rPr>
      </w:pPr>
      <w:bookmarkStart w:id="215" w:name="_Toc10357"/>
      <w:bookmarkStart w:id="216" w:name="_Toc389065191"/>
      <w:r>
        <w:rPr>
          <w:rFonts w:ascii="宋体" w:hAnsi="宋体" w:eastAsia="宋体" w:cs="Times New Roman"/>
          <w:b/>
          <w:bCs/>
          <w:szCs w:val="21"/>
        </w:rPr>
        <w:t>8.2 不再招标</w:t>
      </w:r>
      <w:bookmarkEnd w:id="215"/>
      <w:bookmarkEnd w:id="216"/>
    </w:p>
    <w:p w14:paraId="2C488452">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项目招标经两次发布信息后，仍出现本章8.1（1）或（2）或（3）情况的，招标人可不再进行招标</w:t>
      </w:r>
      <w:r>
        <w:rPr>
          <w:rFonts w:ascii="宋体" w:hAnsi="宋体" w:eastAsia="宋体" w:cs="Times New Roman"/>
          <w:kern w:val="0"/>
          <w:szCs w:val="21"/>
        </w:rPr>
        <w:t>。</w:t>
      </w:r>
      <w:bookmarkStart w:id="217" w:name="_Toc389065192"/>
    </w:p>
    <w:p w14:paraId="0814E7E3">
      <w:pPr>
        <w:keepNext/>
        <w:keepLines/>
        <w:wordWrap w:val="0"/>
        <w:spacing w:before="240" w:beforeLines="100" w:line="360" w:lineRule="auto"/>
        <w:outlineLvl w:val="1"/>
        <w:rPr>
          <w:rFonts w:hint="eastAsia" w:ascii="黑体" w:hAnsi="黑体" w:eastAsia="黑体" w:cs="Times New Roman"/>
          <w:b/>
          <w:bCs/>
          <w:sz w:val="24"/>
          <w:szCs w:val="21"/>
        </w:rPr>
      </w:pPr>
      <w:bookmarkStart w:id="218" w:name="_Toc27472"/>
      <w:r>
        <w:rPr>
          <w:rFonts w:ascii="黑体" w:hAnsi="黑体" w:eastAsia="黑体" w:cs="Times New Roman"/>
          <w:b/>
          <w:bCs/>
          <w:sz w:val="24"/>
          <w:szCs w:val="21"/>
        </w:rPr>
        <w:t>9</w:t>
      </w:r>
      <w:r>
        <w:rPr>
          <w:rFonts w:hint="eastAsia" w:ascii="黑体" w:hAnsi="黑体" w:eastAsia="黑体" w:cs="Times New Roman"/>
          <w:b/>
          <w:bCs/>
          <w:sz w:val="24"/>
          <w:szCs w:val="21"/>
        </w:rPr>
        <w:t xml:space="preserve"> </w:t>
      </w:r>
      <w:r>
        <w:rPr>
          <w:rFonts w:ascii="黑体" w:hAnsi="黑体" w:eastAsia="黑体" w:cs="Times New Roman"/>
          <w:b/>
          <w:bCs/>
          <w:sz w:val="24"/>
          <w:szCs w:val="21"/>
        </w:rPr>
        <w:t>纪律和监督</w:t>
      </w:r>
      <w:bookmarkEnd w:id="217"/>
      <w:bookmarkEnd w:id="218"/>
    </w:p>
    <w:p w14:paraId="015ADEF7">
      <w:pPr>
        <w:keepNext/>
        <w:keepLines/>
        <w:wordWrap w:val="0"/>
        <w:spacing w:line="360" w:lineRule="auto"/>
        <w:outlineLvl w:val="3"/>
        <w:rPr>
          <w:rFonts w:hint="eastAsia" w:ascii="宋体" w:hAnsi="宋体" w:eastAsia="宋体" w:cs="Times New Roman"/>
          <w:b/>
          <w:bCs/>
          <w:szCs w:val="21"/>
        </w:rPr>
      </w:pPr>
      <w:bookmarkStart w:id="219" w:name="_Toc27629"/>
      <w:bookmarkStart w:id="220" w:name="_Toc389065193"/>
      <w:r>
        <w:rPr>
          <w:rFonts w:ascii="宋体" w:hAnsi="宋体" w:eastAsia="宋体" w:cs="Times New Roman"/>
          <w:b/>
          <w:bCs/>
          <w:szCs w:val="21"/>
        </w:rPr>
        <w:t>9.1 对招标人的纪律要求</w:t>
      </w:r>
      <w:bookmarkEnd w:id="219"/>
      <w:bookmarkEnd w:id="220"/>
    </w:p>
    <w:p w14:paraId="63CDF7F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招标人不得泄漏招标投标活动中应当保密的情况和资料，不得与投标人串通损害国家利益、社会公共利益或者他人合法权益。有下列情形之一的，属于招标人与投标人串通投标：</w:t>
      </w:r>
    </w:p>
    <w:p w14:paraId="076B0C3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（1）招标人在开标前开启投标文件并将有关信息泄露给其他投标人;</w:t>
      </w:r>
    </w:p>
    <w:p w14:paraId="79566C3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（2）招标人直接或者间接向投标人泄露标底、评标委员会成员等信息；</w:t>
      </w:r>
    </w:p>
    <w:p w14:paraId="73E57AD1">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（3）招标人明示或者暗示投标人压低或者抬高投标报价；</w:t>
      </w:r>
    </w:p>
    <w:p w14:paraId="737EB91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（4）招标人授意投标人撤换、修改投标文件；</w:t>
      </w:r>
    </w:p>
    <w:p w14:paraId="0D80601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（5）招标人明示或者暗示投标人为特定投标人中标提供方便；</w:t>
      </w:r>
    </w:p>
    <w:p w14:paraId="342D26D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（6）招标人与投标人为谋求特定投标人中标而采取的其他串通行为。</w:t>
      </w:r>
    </w:p>
    <w:p w14:paraId="23FB1D74">
      <w:pPr>
        <w:keepNext/>
        <w:keepLines/>
        <w:wordWrap w:val="0"/>
        <w:spacing w:line="360" w:lineRule="auto"/>
        <w:outlineLvl w:val="3"/>
        <w:rPr>
          <w:rFonts w:hint="eastAsia" w:ascii="宋体" w:hAnsi="宋体" w:eastAsia="宋体" w:cs="Times New Roman"/>
          <w:b/>
          <w:bCs/>
          <w:szCs w:val="21"/>
        </w:rPr>
      </w:pPr>
      <w:bookmarkStart w:id="221" w:name="_Toc1338"/>
      <w:r>
        <w:rPr>
          <w:rFonts w:ascii="宋体" w:hAnsi="宋体" w:eastAsia="宋体" w:cs="Times New Roman"/>
          <w:b/>
          <w:bCs/>
          <w:szCs w:val="21"/>
        </w:rPr>
        <w:t>9.2 对投标人的纪律要求</w:t>
      </w:r>
      <w:bookmarkEnd w:id="221"/>
    </w:p>
    <w:p w14:paraId="4A638012">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9</w:t>
      </w:r>
      <w:r>
        <w:rPr>
          <w:rFonts w:ascii="宋体" w:hAnsi="宋体" w:eastAsia="宋体" w:cs="Times New Roman"/>
          <w:kern w:val="0"/>
          <w:szCs w:val="21"/>
        </w:rPr>
        <w:t>.</w:t>
      </w:r>
      <w:r>
        <w:rPr>
          <w:rFonts w:hint="eastAsia" w:ascii="宋体" w:hAnsi="宋体" w:eastAsia="宋体" w:cs="Times New Roman"/>
          <w:kern w:val="0"/>
          <w:szCs w:val="21"/>
        </w:rPr>
        <w:t>2</w:t>
      </w:r>
      <w:r>
        <w:rPr>
          <w:rFonts w:ascii="宋体" w:hAnsi="宋体" w:eastAsia="宋体" w:cs="Times New Roman"/>
          <w:kern w:val="0"/>
          <w:szCs w:val="21"/>
        </w:rPr>
        <w:t>.</w:t>
      </w:r>
      <w:r>
        <w:rPr>
          <w:rFonts w:hint="eastAsia" w:ascii="宋体" w:hAnsi="宋体" w:eastAsia="宋体" w:cs="Times New Roman"/>
          <w:kern w:val="0"/>
          <w:szCs w:val="21"/>
        </w:rPr>
        <w:t>1</w:t>
      </w:r>
      <w:r>
        <w:rPr>
          <w:rFonts w:ascii="宋体" w:hAnsi="宋体" w:eastAsia="宋体" w:cs="Times New Roman"/>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0DD6CE3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（1）投标人之间协商投标报价等投标文件的实质性内容；</w:t>
      </w:r>
    </w:p>
    <w:p w14:paraId="62D99E8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（2）投标人之间约定中标人；</w:t>
      </w:r>
    </w:p>
    <w:p w14:paraId="3C8236BC">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（3）投标人之间约定部分投标人放弃投标或者中标；</w:t>
      </w:r>
    </w:p>
    <w:p w14:paraId="23F8FF67">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（4）属于同一集团、协会、商会等组织成员的投标人按照该组织要求协同投标；</w:t>
      </w:r>
    </w:p>
    <w:p w14:paraId="0D499CF0">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（5）投标人之间为谋取中标或者排斥特定投标人而采取的其他联合行动</w:t>
      </w:r>
      <w:r>
        <w:rPr>
          <w:rFonts w:hint="eastAsia" w:ascii="宋体" w:hAnsi="宋体" w:eastAsia="宋体" w:cs="Times New Roman"/>
          <w:kern w:val="0"/>
          <w:szCs w:val="21"/>
        </w:rPr>
        <w:t>；</w:t>
      </w:r>
    </w:p>
    <w:p w14:paraId="4C6A58E8">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（6）不同投标人的投标文件由同一单位或者个人编制；</w:t>
      </w:r>
    </w:p>
    <w:p w14:paraId="71FC34F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（7）不同投标人委托同一单位或者个人办理投标事宜；</w:t>
      </w:r>
    </w:p>
    <w:p w14:paraId="22B8354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（8）不同投标人的投标文件载明的项目管理成员为同一人；</w:t>
      </w:r>
    </w:p>
    <w:p w14:paraId="6A4605B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（9）不同投标人的投标文件异常一致或者投标报价呈规律性差异；</w:t>
      </w:r>
    </w:p>
    <w:p w14:paraId="083714F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（10）不同投标人的投标文件相互混装；</w:t>
      </w:r>
    </w:p>
    <w:p w14:paraId="30CA40EE">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（11）不同投标人的投标保证金从同一单位或者个人的账户转出</w:t>
      </w:r>
      <w:r>
        <w:rPr>
          <w:rFonts w:hint="eastAsia" w:ascii="宋体" w:hAnsi="宋体" w:eastAsia="宋体" w:cs="Times New Roman"/>
          <w:kern w:val="0"/>
          <w:szCs w:val="21"/>
        </w:rPr>
        <w:t>（如有）</w:t>
      </w:r>
      <w:r>
        <w:rPr>
          <w:rFonts w:ascii="宋体" w:hAnsi="宋体" w:eastAsia="宋体" w:cs="Times New Roman"/>
          <w:kern w:val="0"/>
          <w:szCs w:val="21"/>
        </w:rPr>
        <w:t>。</w:t>
      </w:r>
    </w:p>
    <w:p w14:paraId="28680049">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9.2.2投标人不得向招标人或评标委员会成员或其他有关人员索问评标过程的情况和材料。</w:t>
      </w:r>
    </w:p>
    <w:p w14:paraId="233A892E">
      <w:pPr>
        <w:keepNext/>
        <w:keepLines/>
        <w:wordWrap w:val="0"/>
        <w:spacing w:line="360" w:lineRule="auto"/>
        <w:outlineLvl w:val="3"/>
        <w:rPr>
          <w:rFonts w:hint="eastAsia" w:ascii="宋体" w:hAnsi="宋体" w:eastAsia="宋体" w:cs="Times New Roman"/>
          <w:b/>
          <w:bCs/>
          <w:szCs w:val="21"/>
        </w:rPr>
      </w:pPr>
      <w:bookmarkStart w:id="222" w:name="_Toc17361"/>
      <w:bookmarkStart w:id="223" w:name="_Toc389065194"/>
      <w:r>
        <w:rPr>
          <w:rFonts w:ascii="宋体" w:hAnsi="宋体" w:eastAsia="宋体" w:cs="Times New Roman"/>
          <w:b/>
          <w:bCs/>
          <w:szCs w:val="21"/>
        </w:rPr>
        <w:t>9.3 对评标委员会成员的纪律要求</w:t>
      </w:r>
      <w:bookmarkEnd w:id="222"/>
      <w:bookmarkEnd w:id="223"/>
    </w:p>
    <w:p w14:paraId="3C95677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招标文件中没有规定的标准和方法不得作为评标的依据。</w:t>
      </w:r>
    </w:p>
    <w:p w14:paraId="4E97141C">
      <w:pPr>
        <w:keepNext/>
        <w:keepLines/>
        <w:wordWrap w:val="0"/>
        <w:spacing w:line="360" w:lineRule="auto"/>
        <w:outlineLvl w:val="3"/>
        <w:rPr>
          <w:rFonts w:hint="eastAsia" w:ascii="宋体" w:hAnsi="宋体" w:eastAsia="宋体" w:cs="Times New Roman"/>
          <w:b/>
          <w:bCs/>
          <w:szCs w:val="21"/>
        </w:rPr>
      </w:pPr>
      <w:bookmarkStart w:id="224" w:name="_Toc389065195"/>
      <w:bookmarkStart w:id="225" w:name="_Toc5318"/>
      <w:r>
        <w:rPr>
          <w:rFonts w:ascii="宋体" w:hAnsi="宋体" w:eastAsia="宋体" w:cs="Times New Roman"/>
          <w:b/>
          <w:bCs/>
          <w:szCs w:val="21"/>
        </w:rPr>
        <w:t>9.4 对与评标活动有关的工作人员的纪律要求</w:t>
      </w:r>
      <w:bookmarkEnd w:id="224"/>
      <w:bookmarkEnd w:id="225"/>
    </w:p>
    <w:p w14:paraId="56E0725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26" w:name="_Toc389065196"/>
    </w:p>
    <w:p w14:paraId="1AD3A5B5">
      <w:pPr>
        <w:keepNext/>
        <w:keepLines/>
        <w:wordWrap w:val="0"/>
        <w:spacing w:line="360" w:lineRule="auto"/>
        <w:outlineLvl w:val="3"/>
        <w:rPr>
          <w:rFonts w:hint="eastAsia" w:ascii="宋体" w:hAnsi="宋体" w:eastAsia="宋体" w:cs="Times New Roman"/>
          <w:b/>
          <w:bCs/>
          <w:szCs w:val="21"/>
        </w:rPr>
      </w:pPr>
      <w:bookmarkStart w:id="227" w:name="_Toc14125"/>
      <w:r>
        <w:rPr>
          <w:rFonts w:ascii="宋体" w:hAnsi="宋体" w:eastAsia="宋体" w:cs="Times New Roman"/>
          <w:b/>
          <w:bCs/>
          <w:szCs w:val="21"/>
        </w:rPr>
        <w:t>9.5 投诉</w:t>
      </w:r>
      <w:bookmarkEnd w:id="226"/>
      <w:bookmarkEnd w:id="227"/>
      <w:bookmarkStart w:id="228" w:name="_Toc389065197"/>
    </w:p>
    <w:p w14:paraId="6300AD85">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投标人和其他利害关系人认为本次招标活动违反法律、法规和规章规定的，可以在知道或者应当知道之日起十日内向</w:t>
      </w:r>
      <w:r>
        <w:rPr>
          <w:rFonts w:hint="eastAsia" w:ascii="宋体" w:hAnsi="宋体" w:eastAsia="宋体" w:cs="Times New Roman"/>
          <w:kern w:val="0"/>
          <w:szCs w:val="21"/>
        </w:rPr>
        <w:t>招标人</w:t>
      </w:r>
      <w:r>
        <w:rPr>
          <w:rFonts w:ascii="宋体" w:hAnsi="宋体" w:eastAsia="宋体" w:cs="Times New Roman"/>
          <w:kern w:val="0"/>
          <w:szCs w:val="21"/>
        </w:rPr>
        <w:t>提出书面投诉。投诉应当有明确的请求及证明材料</w:t>
      </w:r>
      <w:r>
        <w:rPr>
          <w:rFonts w:hint="eastAsia" w:ascii="宋体" w:hAnsi="宋体" w:eastAsia="宋体" w:cs="Times New Roman"/>
          <w:kern w:val="0"/>
          <w:szCs w:val="21"/>
        </w:rPr>
        <w:t>，</w:t>
      </w:r>
      <w:r>
        <w:rPr>
          <w:rFonts w:ascii="宋体" w:hAnsi="宋体" w:eastAsia="宋体" w:cs="Times New Roman"/>
          <w:kern w:val="0"/>
          <w:szCs w:val="21"/>
        </w:rPr>
        <w:t>没有提出异议</w:t>
      </w:r>
      <w:r>
        <w:rPr>
          <w:rFonts w:hint="eastAsia" w:ascii="宋体" w:hAnsi="宋体" w:eastAsia="宋体" w:cs="Times New Roman"/>
          <w:kern w:val="0"/>
          <w:szCs w:val="21"/>
        </w:rPr>
        <w:t>或者投诉活动不符合要求</w:t>
      </w:r>
      <w:r>
        <w:rPr>
          <w:rFonts w:ascii="宋体" w:hAnsi="宋体" w:eastAsia="宋体" w:cs="Times New Roman"/>
          <w:kern w:val="0"/>
          <w:szCs w:val="21"/>
        </w:rPr>
        <w:t>的，</w:t>
      </w:r>
      <w:r>
        <w:rPr>
          <w:rFonts w:hint="eastAsia" w:ascii="宋体" w:hAnsi="宋体" w:eastAsia="宋体" w:cs="Times New Roman"/>
          <w:kern w:val="0"/>
          <w:szCs w:val="21"/>
        </w:rPr>
        <w:t>招标人</w:t>
      </w:r>
      <w:r>
        <w:rPr>
          <w:rFonts w:ascii="宋体" w:hAnsi="宋体" w:eastAsia="宋体" w:cs="Times New Roman"/>
          <w:kern w:val="0"/>
          <w:szCs w:val="21"/>
        </w:rPr>
        <w:t>不予受理。</w:t>
      </w:r>
    </w:p>
    <w:p w14:paraId="300C7006">
      <w:pPr>
        <w:keepNext/>
        <w:keepLines/>
        <w:wordWrap w:val="0"/>
        <w:spacing w:before="240" w:beforeLines="100" w:line="360" w:lineRule="auto"/>
        <w:outlineLvl w:val="1"/>
        <w:rPr>
          <w:rFonts w:hint="eastAsia" w:ascii="黑体" w:hAnsi="黑体" w:eastAsia="黑体" w:cs="Times New Roman"/>
          <w:b/>
          <w:bCs/>
          <w:sz w:val="24"/>
          <w:szCs w:val="21"/>
        </w:rPr>
      </w:pPr>
      <w:bookmarkStart w:id="229" w:name="_Toc7632"/>
      <w:r>
        <w:rPr>
          <w:rFonts w:ascii="黑体" w:hAnsi="黑体" w:eastAsia="黑体" w:cs="Times New Roman"/>
          <w:b/>
          <w:bCs/>
          <w:sz w:val="24"/>
          <w:szCs w:val="21"/>
        </w:rPr>
        <w:t>10</w:t>
      </w:r>
      <w:r>
        <w:rPr>
          <w:rFonts w:hint="eastAsia" w:ascii="黑体" w:hAnsi="黑体" w:eastAsia="黑体" w:cs="Times New Roman"/>
          <w:b/>
          <w:bCs/>
          <w:sz w:val="24"/>
          <w:szCs w:val="21"/>
        </w:rPr>
        <w:t xml:space="preserve"> </w:t>
      </w:r>
      <w:r>
        <w:rPr>
          <w:rFonts w:ascii="黑体" w:hAnsi="黑体" w:eastAsia="黑体" w:cs="Times New Roman"/>
          <w:b/>
          <w:bCs/>
          <w:sz w:val="24"/>
          <w:szCs w:val="21"/>
        </w:rPr>
        <w:t>需要补充的其他内容</w:t>
      </w:r>
      <w:bookmarkEnd w:id="228"/>
      <w:bookmarkEnd w:id="229"/>
    </w:p>
    <w:p w14:paraId="04A75A16">
      <w:pPr>
        <w:keepNext/>
        <w:keepLines/>
        <w:wordWrap w:val="0"/>
        <w:spacing w:line="360" w:lineRule="auto"/>
        <w:outlineLvl w:val="3"/>
        <w:rPr>
          <w:rFonts w:hint="eastAsia" w:ascii="宋体" w:hAnsi="宋体" w:eastAsia="宋体" w:cs="Times New Roman"/>
          <w:b/>
          <w:bCs/>
          <w:szCs w:val="21"/>
        </w:rPr>
      </w:pPr>
      <w:bookmarkStart w:id="230" w:name="_Toc5964"/>
      <w:r>
        <w:rPr>
          <w:rFonts w:ascii="宋体" w:hAnsi="宋体" w:eastAsia="宋体" w:cs="Times New Roman"/>
          <w:b/>
          <w:bCs/>
          <w:szCs w:val="21"/>
        </w:rPr>
        <w:t>10.1词语定义</w:t>
      </w:r>
      <w:bookmarkEnd w:id="230"/>
    </w:p>
    <w:p w14:paraId="5F331CAC">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见</w:t>
      </w:r>
      <w:r>
        <w:rPr>
          <w:rFonts w:hint="eastAsia" w:ascii="宋体" w:hAnsi="宋体" w:eastAsia="宋体" w:cs="Times New Roman"/>
          <w:kern w:val="0"/>
          <w:szCs w:val="21"/>
        </w:rPr>
        <w:t>“</w:t>
      </w:r>
      <w:r>
        <w:rPr>
          <w:rFonts w:ascii="宋体" w:hAnsi="宋体" w:eastAsia="宋体" w:cs="Times New Roman"/>
          <w:kern w:val="0"/>
          <w:szCs w:val="21"/>
        </w:rPr>
        <w:t>投标人须知前附表</w:t>
      </w:r>
      <w:r>
        <w:rPr>
          <w:rFonts w:hint="eastAsia" w:ascii="宋体" w:hAnsi="宋体" w:eastAsia="宋体" w:cs="Times New Roman"/>
          <w:kern w:val="0"/>
          <w:szCs w:val="21"/>
        </w:rPr>
        <w:t>”</w:t>
      </w:r>
      <w:r>
        <w:rPr>
          <w:rFonts w:ascii="宋体" w:hAnsi="宋体" w:eastAsia="宋体" w:cs="Times New Roman"/>
          <w:kern w:val="0"/>
          <w:szCs w:val="21"/>
        </w:rPr>
        <w:t>。</w:t>
      </w:r>
    </w:p>
    <w:p w14:paraId="3FFFAAAB">
      <w:pPr>
        <w:keepNext/>
        <w:keepLines/>
        <w:wordWrap w:val="0"/>
        <w:spacing w:line="360" w:lineRule="auto"/>
        <w:outlineLvl w:val="3"/>
        <w:rPr>
          <w:rFonts w:hint="eastAsia" w:ascii="宋体" w:hAnsi="宋体" w:eastAsia="宋体" w:cs="Times New Roman"/>
          <w:b/>
          <w:bCs/>
          <w:szCs w:val="21"/>
        </w:rPr>
      </w:pPr>
      <w:bookmarkStart w:id="231" w:name="_Toc7642"/>
      <w:bookmarkStart w:id="232" w:name="_Toc389065198"/>
      <w:r>
        <w:rPr>
          <w:rFonts w:ascii="宋体" w:hAnsi="宋体" w:eastAsia="宋体" w:cs="Times New Roman"/>
          <w:b/>
          <w:bCs/>
          <w:szCs w:val="21"/>
        </w:rPr>
        <w:t xml:space="preserve">10.2 </w:t>
      </w:r>
      <w:bookmarkEnd w:id="231"/>
      <w:bookmarkEnd w:id="232"/>
      <w:r>
        <w:rPr>
          <w:rFonts w:hint="eastAsia" w:ascii="宋体" w:hAnsi="宋体" w:eastAsia="宋体" w:cs="Times New Roman"/>
          <w:b/>
          <w:bCs/>
          <w:szCs w:val="21"/>
        </w:rPr>
        <w:t>招标控制价</w:t>
      </w:r>
    </w:p>
    <w:p w14:paraId="430903E9">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详</w:t>
      </w:r>
      <w:r>
        <w:rPr>
          <w:rFonts w:ascii="宋体" w:hAnsi="宋体" w:eastAsia="宋体" w:cs="Times New Roman"/>
          <w:kern w:val="0"/>
          <w:szCs w:val="21"/>
        </w:rPr>
        <w:t>见</w:t>
      </w:r>
      <w:r>
        <w:rPr>
          <w:rFonts w:hint="eastAsia" w:ascii="宋体" w:hAnsi="宋体" w:eastAsia="宋体" w:cs="Times New Roman"/>
          <w:kern w:val="0"/>
          <w:szCs w:val="21"/>
        </w:rPr>
        <w:t>“</w:t>
      </w:r>
      <w:r>
        <w:rPr>
          <w:rFonts w:ascii="宋体" w:hAnsi="宋体" w:eastAsia="宋体" w:cs="Times New Roman"/>
          <w:kern w:val="0"/>
          <w:szCs w:val="21"/>
        </w:rPr>
        <w:t>投标人须知前附表</w:t>
      </w:r>
      <w:r>
        <w:rPr>
          <w:rFonts w:hint="eastAsia" w:ascii="宋体" w:hAnsi="宋体" w:eastAsia="宋体" w:cs="Times New Roman"/>
          <w:kern w:val="0"/>
          <w:szCs w:val="21"/>
        </w:rPr>
        <w:t>”</w:t>
      </w:r>
      <w:r>
        <w:rPr>
          <w:rFonts w:ascii="宋体" w:hAnsi="宋体" w:eastAsia="宋体" w:cs="Times New Roman"/>
          <w:kern w:val="0"/>
          <w:szCs w:val="21"/>
        </w:rPr>
        <w:t>。</w:t>
      </w:r>
    </w:p>
    <w:p w14:paraId="335B0E35">
      <w:pPr>
        <w:keepNext/>
        <w:keepLines/>
        <w:wordWrap w:val="0"/>
        <w:spacing w:line="360" w:lineRule="auto"/>
        <w:outlineLvl w:val="3"/>
        <w:rPr>
          <w:rFonts w:hint="eastAsia" w:ascii="宋体" w:hAnsi="宋体" w:eastAsia="宋体" w:cs="Times New Roman"/>
          <w:b/>
          <w:bCs/>
          <w:szCs w:val="21"/>
        </w:rPr>
      </w:pPr>
      <w:bookmarkStart w:id="233" w:name="_Toc20153"/>
      <w:r>
        <w:rPr>
          <w:rFonts w:ascii="宋体" w:hAnsi="宋体" w:eastAsia="宋体" w:cs="Times New Roman"/>
          <w:b/>
          <w:bCs/>
          <w:szCs w:val="21"/>
        </w:rPr>
        <w:t>10.3 知识产权</w:t>
      </w:r>
      <w:bookmarkEnd w:id="233"/>
    </w:p>
    <w:p w14:paraId="1A7362BF">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43761E06">
      <w:pPr>
        <w:keepNext/>
        <w:keepLines/>
        <w:wordWrap w:val="0"/>
        <w:spacing w:line="360" w:lineRule="auto"/>
        <w:outlineLvl w:val="3"/>
        <w:rPr>
          <w:rFonts w:hint="eastAsia" w:ascii="宋体" w:hAnsi="宋体" w:eastAsia="宋体" w:cs="Times New Roman"/>
          <w:b/>
          <w:bCs/>
          <w:szCs w:val="21"/>
        </w:rPr>
      </w:pPr>
      <w:bookmarkStart w:id="234" w:name="_Toc11250"/>
      <w:r>
        <w:rPr>
          <w:rFonts w:ascii="宋体" w:hAnsi="宋体" w:eastAsia="宋体" w:cs="Times New Roman"/>
          <w:b/>
          <w:bCs/>
          <w:szCs w:val="21"/>
        </w:rPr>
        <w:t>10.4同义词语</w:t>
      </w:r>
      <w:bookmarkEnd w:id="234"/>
    </w:p>
    <w:p w14:paraId="6E4ACE5C">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构成招标文件组成部分的“合同条款及格式”、“用户需求书”和“工程量清单”等章节中出现的措辞“发包人或甲方”和“承包人”，在招标投标阶段应当分别按“招标人”和“投标人”进行理解。</w:t>
      </w:r>
    </w:p>
    <w:p w14:paraId="45D1CB7B">
      <w:pPr>
        <w:keepNext/>
        <w:keepLines/>
        <w:wordWrap w:val="0"/>
        <w:spacing w:line="360" w:lineRule="auto"/>
        <w:outlineLvl w:val="3"/>
        <w:rPr>
          <w:rFonts w:hint="eastAsia" w:ascii="宋体" w:hAnsi="宋体" w:eastAsia="宋体" w:cs="Times New Roman"/>
          <w:b/>
          <w:bCs/>
          <w:szCs w:val="21"/>
        </w:rPr>
      </w:pPr>
      <w:bookmarkStart w:id="235" w:name="_Toc26588"/>
      <w:r>
        <w:rPr>
          <w:rFonts w:ascii="宋体" w:hAnsi="宋体" w:eastAsia="宋体" w:cs="Times New Roman"/>
          <w:b/>
          <w:bCs/>
          <w:szCs w:val="21"/>
        </w:rPr>
        <w:t>10.5 监督</w:t>
      </w:r>
      <w:bookmarkEnd w:id="235"/>
    </w:p>
    <w:p w14:paraId="58DD10D4">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本项目的招标投标活动及其相关当事人应当接受有管辖权的主管部门依法实施的监督。</w:t>
      </w:r>
    </w:p>
    <w:p w14:paraId="121F519B">
      <w:pPr>
        <w:keepNext/>
        <w:keepLines/>
        <w:wordWrap w:val="0"/>
        <w:spacing w:line="360" w:lineRule="auto"/>
        <w:outlineLvl w:val="3"/>
        <w:rPr>
          <w:rFonts w:hint="eastAsia" w:ascii="宋体" w:hAnsi="宋体" w:eastAsia="宋体" w:cs="Times New Roman"/>
          <w:b/>
          <w:bCs/>
          <w:szCs w:val="21"/>
        </w:rPr>
      </w:pPr>
      <w:bookmarkStart w:id="236" w:name="_Toc14255"/>
      <w:r>
        <w:rPr>
          <w:rFonts w:ascii="宋体" w:hAnsi="宋体" w:eastAsia="宋体" w:cs="Times New Roman"/>
          <w:b/>
          <w:bCs/>
          <w:szCs w:val="21"/>
        </w:rPr>
        <w:t>10.6 解释权</w:t>
      </w:r>
      <w:bookmarkEnd w:id="236"/>
    </w:p>
    <w:p w14:paraId="4BA55BBC">
      <w:pPr>
        <w:wordWrap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构成本招标文件的各个组成文件应互为解释，互为说明；如有不明确或不一致，构成合同文件组成内容的，以合同文件约定内容为准；除招标文件中有特别规定外，仅适用于招标投标阶段的规定，</w:t>
      </w:r>
      <w:r>
        <w:rPr>
          <w:rFonts w:hint="eastAsia" w:ascii="Times New Roman" w:hAnsi="Times New Roman" w:eastAsia="宋体" w:cs="Times New Roman"/>
          <w:szCs w:val="24"/>
        </w:rPr>
        <w:t>依次</w:t>
      </w:r>
      <w:r>
        <w:rPr>
          <w:rFonts w:ascii="Times New Roman" w:hAnsi="Times New Roman" w:eastAsia="宋体" w:cs="Times New Roman"/>
          <w:szCs w:val="24"/>
        </w:rPr>
        <w:t>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bookmarkEnd w:id="111"/>
      <w:bookmarkEnd w:id="124"/>
      <w:bookmarkEnd w:id="125"/>
      <w:bookmarkEnd w:id="126"/>
      <w:bookmarkEnd w:id="127"/>
      <w:bookmarkEnd w:id="128"/>
      <w:bookmarkEnd w:id="129"/>
      <w:bookmarkStart w:id="237" w:name="_Toc273556515"/>
      <w:bookmarkStart w:id="238" w:name="_Toc234121072"/>
    </w:p>
    <w:p w14:paraId="15159D18">
      <w:pPr>
        <w:keepNext/>
        <w:keepLines/>
        <w:wordWrap w:val="0"/>
        <w:spacing w:before="100" w:line="312" w:lineRule="auto"/>
        <w:outlineLvl w:val="3"/>
        <w:rPr>
          <w:rFonts w:hint="eastAsia" w:ascii="宋体" w:hAnsi="宋体" w:eastAsia="宋体" w:cs="Times New Roman"/>
          <w:b/>
          <w:bCs/>
          <w:szCs w:val="21"/>
        </w:rPr>
      </w:pPr>
      <w:r>
        <w:rPr>
          <w:rFonts w:hint="eastAsia" w:ascii="宋体" w:hAnsi="宋体" w:eastAsia="宋体" w:cs="Times New Roman"/>
          <w:b/>
          <w:bCs/>
          <w:szCs w:val="21"/>
        </w:rPr>
        <w:t>10.7 本项目采购及合同执行的任何阶段，如果招标人发现投标人/中标人存在下述行为之一的，招标人有权取消其投标/中标资格，投标/中标无效。情节严重的，报同级或上级监管部门依法进行处理；同时将其列入招标人的不良信用名单：</w:t>
      </w:r>
    </w:p>
    <w:p w14:paraId="55EE8DF7">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（1）投标人在投标截止期后撤回其投标的。</w:t>
      </w:r>
    </w:p>
    <w:p w14:paraId="2F6349D8">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（2）提供虚假材料谋取中标的。</w:t>
      </w:r>
    </w:p>
    <w:p w14:paraId="59241EF4">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（3）采取不正当手段诋毁、排挤其他供应商的。</w:t>
      </w:r>
    </w:p>
    <w:p w14:paraId="7F69B912">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（4）恶意串通等不正当竞争行为的。</w:t>
      </w:r>
    </w:p>
    <w:p w14:paraId="0E4C3044">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（5）中标后无正当理由拒不与采购人签订采购合同的。</w:t>
      </w:r>
    </w:p>
    <w:p w14:paraId="2F403D90">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（6）未照招标、投标文件确定的事项签订采购合同的。</w:t>
      </w:r>
    </w:p>
    <w:p w14:paraId="4018832A">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（7）将采购合同转包的。</w:t>
      </w:r>
    </w:p>
    <w:p w14:paraId="6393E988">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（8）提供假冒伪劣产品的。</w:t>
      </w:r>
    </w:p>
    <w:p w14:paraId="4831547F">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（9）擅自变更、中止或者终止采购合同的。</w:t>
      </w:r>
    </w:p>
    <w:p w14:paraId="2C635AE2">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（10）中标人签订合同后，不能履约或无故拖延履约期的。</w:t>
      </w:r>
    </w:p>
    <w:p w14:paraId="0CB70B62">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（11）中标人未投标阶段提出异议或疑问，在成交后无法满足采购需求的。</w:t>
      </w:r>
    </w:p>
    <w:p w14:paraId="1265589B">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（12）中标人在成交后无正当理由放弃成交资格的。</w:t>
      </w:r>
    </w:p>
    <w:p w14:paraId="0A2248C7">
      <w:pPr>
        <w:wordWrap w:val="0"/>
        <w:spacing w:before="100" w:line="312" w:lineRule="auto"/>
        <w:ind w:firstLine="420" w:firstLineChars="200"/>
        <w:rPr>
          <w:rFonts w:hint="eastAsia" w:ascii="宋体" w:hAnsi="宋体" w:eastAsia="宋体" w:cs="Times New Roman"/>
          <w:szCs w:val="24"/>
        </w:rPr>
      </w:pPr>
      <w:r>
        <w:rPr>
          <w:rFonts w:hint="eastAsia" w:ascii="宋体" w:hAnsi="宋体" w:eastAsia="宋体" w:cs="Times New Roman"/>
          <w:szCs w:val="24"/>
        </w:rPr>
        <w:t>（13）招标文件、法律、法规规定的其他情形。</w:t>
      </w:r>
    </w:p>
    <w:p w14:paraId="54AB1629">
      <w:pPr>
        <w:keepNext/>
        <w:keepLines/>
        <w:wordWrap w:val="0"/>
        <w:spacing w:line="360" w:lineRule="auto"/>
        <w:ind w:firstLine="422"/>
        <w:outlineLvl w:val="3"/>
        <w:rPr>
          <w:rFonts w:hint="eastAsia" w:ascii="宋体" w:hAnsi="宋体" w:eastAsia="宋体" w:cs="Times New Roman"/>
          <w:b/>
          <w:bCs/>
          <w:szCs w:val="21"/>
        </w:rPr>
      </w:pPr>
      <w:r>
        <w:rPr>
          <w:rFonts w:hint="eastAsia" w:ascii="宋体" w:hAnsi="宋体" w:eastAsia="宋体" w:cs="Times New Roman"/>
          <w:b/>
          <w:bCs/>
          <w:szCs w:val="21"/>
        </w:rPr>
        <w:t>10.8其他</w:t>
      </w:r>
    </w:p>
    <w:p w14:paraId="4D5A9515">
      <w:pPr>
        <w:wordWrap w:val="0"/>
        <w:spacing w:line="360" w:lineRule="auto"/>
        <w:ind w:firstLine="420" w:firstLineChars="200"/>
        <w:rPr>
          <w:rFonts w:hint="eastAsia" w:ascii="宋体" w:hAnsi="宋体" w:eastAsia="宋体" w:cs="Times New Roman"/>
          <w:szCs w:val="24"/>
        </w:rPr>
      </w:pPr>
      <w:r>
        <w:rPr>
          <w:rFonts w:hint="eastAsia" w:ascii="宋体" w:hAnsi="宋体" w:eastAsia="宋体" w:cs="Times New Roman"/>
          <w:szCs w:val="24"/>
        </w:rPr>
        <w:t>10.8.1 其他条款见“投标人须知前附表”。</w:t>
      </w:r>
    </w:p>
    <w:p w14:paraId="18EBD02A">
      <w:pPr>
        <w:wordWrap w:val="0"/>
        <w:spacing w:after="120"/>
        <w:rPr>
          <w:rFonts w:ascii="宋体" w:hAnsi="宋体" w:eastAsia="Times New Roman" w:cs="Times New Roman"/>
          <w:kern w:val="0"/>
          <w:szCs w:val="21"/>
        </w:rPr>
        <w:sectPr>
          <w:footerReference r:id="rId9" w:type="default"/>
          <w:pgSz w:w="11906" w:h="16838"/>
          <w:pgMar w:top="1418" w:right="1418" w:bottom="1418" w:left="1418" w:header="851" w:footer="992" w:gutter="0"/>
          <w:pgNumType w:start="1"/>
          <w:cols w:space="720" w:num="1"/>
          <w:docGrid w:linePitch="312" w:charSpace="0"/>
        </w:sectPr>
      </w:pPr>
    </w:p>
    <w:p w14:paraId="4478BFB2">
      <w:pPr>
        <w:wordWrap w:val="0"/>
        <w:spacing w:line="312" w:lineRule="auto"/>
        <w:jc w:val="center"/>
        <w:outlineLvl w:val="0"/>
        <w:rPr>
          <w:rFonts w:ascii="Times New Roman" w:hAnsi="Times New Roman" w:eastAsia="黑体" w:cs="Times New Roman"/>
          <w:b/>
          <w:bCs/>
          <w:kern w:val="0"/>
          <w:sz w:val="32"/>
          <w:szCs w:val="32"/>
        </w:rPr>
      </w:pPr>
      <w:bookmarkStart w:id="239" w:name="_Toc17427"/>
      <w:bookmarkStart w:id="240" w:name="_Toc234121105"/>
      <w:bookmarkStart w:id="241" w:name="_Toc228096765"/>
      <w:bookmarkStart w:id="242" w:name="_Toc19332"/>
      <w:bookmarkStart w:id="243" w:name="_Toc530736580"/>
      <w:bookmarkStart w:id="244" w:name="_Toc8684"/>
      <w:bookmarkStart w:id="245" w:name="_Toc2462"/>
      <w:bookmarkStart w:id="246" w:name="_Toc23896"/>
      <w:bookmarkStart w:id="247" w:name="_Toc32464"/>
      <w:bookmarkStart w:id="248" w:name="_Toc5019"/>
      <w:r>
        <w:rPr>
          <w:rFonts w:hint="eastAsia" w:ascii="Times New Roman" w:hAnsi="Times New Roman" w:eastAsia="黑体" w:cs="Times New Roman"/>
          <w:b/>
          <w:bCs/>
          <w:kern w:val="0"/>
          <w:sz w:val="32"/>
          <w:szCs w:val="32"/>
        </w:rPr>
        <w:t>第三章</w:t>
      </w:r>
      <w:r>
        <w:rPr>
          <w:rFonts w:ascii="Times New Roman" w:hAnsi="Times New Roman" w:eastAsia="黑体" w:cs="Times New Roman"/>
          <w:b/>
          <w:bCs/>
          <w:kern w:val="0"/>
          <w:sz w:val="32"/>
          <w:szCs w:val="32"/>
        </w:rPr>
        <w:t xml:space="preserve">  </w:t>
      </w:r>
      <w:r>
        <w:rPr>
          <w:rFonts w:hint="eastAsia" w:ascii="Times New Roman" w:hAnsi="Times New Roman" w:eastAsia="黑体" w:cs="Times New Roman"/>
          <w:b/>
          <w:bCs/>
          <w:kern w:val="0"/>
          <w:sz w:val="32"/>
          <w:szCs w:val="32"/>
        </w:rPr>
        <w:t>评标办法及标准</w:t>
      </w:r>
      <w:bookmarkEnd w:id="239"/>
      <w:bookmarkEnd w:id="240"/>
      <w:bookmarkEnd w:id="241"/>
      <w:bookmarkEnd w:id="242"/>
      <w:bookmarkEnd w:id="243"/>
      <w:bookmarkEnd w:id="244"/>
      <w:bookmarkEnd w:id="245"/>
      <w:bookmarkEnd w:id="246"/>
      <w:bookmarkEnd w:id="247"/>
      <w:bookmarkEnd w:id="248"/>
    </w:p>
    <w:p w14:paraId="3808FE8F">
      <w:pPr>
        <w:keepNext/>
        <w:keepLines/>
        <w:wordWrap w:val="0"/>
        <w:spacing w:before="240" w:beforeLines="100" w:line="360" w:lineRule="auto"/>
        <w:outlineLvl w:val="1"/>
        <w:rPr>
          <w:rFonts w:hint="eastAsia" w:ascii="黑体" w:hAnsi="黑体" w:eastAsia="黑体" w:cs="Times New Roman"/>
          <w:b/>
          <w:bCs/>
          <w:sz w:val="24"/>
          <w:szCs w:val="21"/>
        </w:rPr>
      </w:pPr>
      <w:bookmarkStart w:id="249" w:name="_Toc407135171"/>
      <w:bookmarkStart w:id="250" w:name="_Toc29786925"/>
      <w:bookmarkStart w:id="251" w:name="_Toc184635093"/>
      <w:bookmarkStart w:id="252" w:name="_Toc487632668"/>
      <w:bookmarkStart w:id="253" w:name="_Toc389065241"/>
      <w:bookmarkStart w:id="254" w:name="_Toc12983"/>
      <w:bookmarkStart w:id="255" w:name="_Toc273366967"/>
      <w:bookmarkStart w:id="256" w:name="_Toc273367559"/>
      <w:bookmarkStart w:id="257" w:name="_Toc474847261"/>
      <w:bookmarkStart w:id="258" w:name="_Toc463812922"/>
      <w:bookmarkStart w:id="259" w:name="_Toc208742891"/>
      <w:r>
        <w:rPr>
          <w:rFonts w:hint="eastAsia" w:ascii="黑体" w:hAnsi="黑体" w:eastAsia="黑体" w:cs="Times New Roman"/>
          <w:b/>
          <w:bCs/>
          <w:sz w:val="24"/>
          <w:szCs w:val="21"/>
        </w:rPr>
        <w:t>1 评标方法</w:t>
      </w:r>
      <w:bookmarkEnd w:id="249"/>
      <w:bookmarkEnd w:id="250"/>
      <w:bookmarkEnd w:id="251"/>
      <w:bookmarkEnd w:id="252"/>
      <w:bookmarkEnd w:id="253"/>
    </w:p>
    <w:p w14:paraId="6BFE995B">
      <w:pPr>
        <w:wordWrap w:val="0"/>
        <w:spacing w:line="360" w:lineRule="auto"/>
        <w:ind w:firstLine="420" w:firstLineChars="200"/>
        <w:rPr>
          <w:rFonts w:hint="eastAsia" w:ascii="宋体" w:hAnsi="宋体" w:eastAsia="宋体" w:cs="Times New Roman"/>
          <w:kern w:val="0"/>
          <w:szCs w:val="21"/>
        </w:rPr>
      </w:pPr>
      <w:bookmarkStart w:id="260" w:name="_Hlk29787742"/>
      <w:r>
        <w:rPr>
          <w:rFonts w:hint="eastAsia" w:ascii="宋体" w:hAnsi="宋体" w:eastAsia="宋体" w:cs="宋体"/>
          <w:kern w:val="0"/>
          <w:szCs w:val="21"/>
        </w:rPr>
        <w:t>本次评标采用综合评估法</w:t>
      </w:r>
      <w:r>
        <w:rPr>
          <w:rFonts w:hint="eastAsia" w:ascii="宋体" w:hAnsi="宋体" w:eastAsia="宋体" w:cs="Times New Roman"/>
          <w:kern w:val="0"/>
          <w:szCs w:val="21"/>
        </w:rPr>
        <w:t>。满分1</w:t>
      </w:r>
      <w:r>
        <w:rPr>
          <w:rFonts w:ascii="宋体" w:hAnsi="宋体" w:eastAsia="宋体" w:cs="Times New Roman"/>
          <w:kern w:val="0"/>
          <w:szCs w:val="21"/>
        </w:rPr>
        <w:t>00</w:t>
      </w:r>
      <w:r>
        <w:rPr>
          <w:rFonts w:hint="eastAsia" w:ascii="宋体" w:hAnsi="宋体" w:eastAsia="宋体" w:cs="Times New Roman"/>
          <w:kern w:val="0"/>
          <w:szCs w:val="21"/>
        </w:rPr>
        <w:t>分，其中</w:t>
      </w:r>
      <w:r>
        <w:rPr>
          <w:rFonts w:hint="eastAsia" w:ascii="宋体" w:hAnsi="宋体" w:eastAsia="宋体" w:cs="Times New Roman"/>
          <w:b/>
          <w:kern w:val="0"/>
          <w:szCs w:val="21"/>
        </w:rPr>
        <w:t>资信得分30分，技术得分50分，价格得分20分。</w:t>
      </w:r>
      <w:bookmarkEnd w:id="260"/>
    </w:p>
    <w:p w14:paraId="47A1399A">
      <w:pPr>
        <w:keepNext/>
        <w:keepLines/>
        <w:wordWrap w:val="0"/>
        <w:spacing w:before="240" w:beforeLines="100" w:line="360" w:lineRule="auto"/>
        <w:outlineLvl w:val="1"/>
        <w:rPr>
          <w:rFonts w:hint="eastAsia" w:ascii="黑体" w:hAnsi="黑体" w:eastAsia="黑体" w:cs="Times New Roman"/>
          <w:b/>
          <w:bCs/>
          <w:sz w:val="24"/>
          <w:szCs w:val="21"/>
        </w:rPr>
      </w:pPr>
      <w:bookmarkStart w:id="261" w:name="_Toc29786926"/>
      <w:bookmarkStart w:id="262" w:name="_Toc487632670"/>
      <w:bookmarkStart w:id="263" w:name="_Toc389065243"/>
      <w:bookmarkStart w:id="264" w:name="_Toc407135173"/>
      <w:r>
        <w:rPr>
          <w:rFonts w:hint="eastAsia" w:ascii="黑体" w:hAnsi="黑体" w:eastAsia="黑体" w:cs="Times New Roman"/>
          <w:b/>
          <w:bCs/>
          <w:sz w:val="24"/>
          <w:szCs w:val="21"/>
        </w:rPr>
        <w:t xml:space="preserve">2 </w:t>
      </w:r>
      <w:r>
        <w:rPr>
          <w:rFonts w:ascii="黑体" w:hAnsi="黑体" w:eastAsia="黑体" w:cs="Times New Roman"/>
          <w:b/>
          <w:bCs/>
          <w:sz w:val="24"/>
          <w:szCs w:val="21"/>
        </w:rPr>
        <w:t>评标依据</w:t>
      </w:r>
      <w:bookmarkEnd w:id="261"/>
    </w:p>
    <w:p w14:paraId="10A44082">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2.1</w:t>
      </w:r>
      <w:r>
        <w:rPr>
          <w:rFonts w:ascii="宋体" w:hAnsi="宋体" w:eastAsia="宋体" w:cs="Times New Roman"/>
          <w:bCs/>
          <w:szCs w:val="21"/>
        </w:rPr>
        <w:t>本项目《招标文件》及补充文件；</w:t>
      </w:r>
    </w:p>
    <w:p w14:paraId="479E6DA7">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2.2</w:t>
      </w:r>
      <w:r>
        <w:rPr>
          <w:rFonts w:ascii="宋体" w:hAnsi="宋体" w:eastAsia="宋体" w:cs="Times New Roman"/>
          <w:bCs/>
          <w:szCs w:val="21"/>
        </w:rPr>
        <w:t>招投标法及相关法规；</w:t>
      </w:r>
    </w:p>
    <w:p w14:paraId="053BF6E6">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2.3</w:t>
      </w:r>
      <w:r>
        <w:rPr>
          <w:rFonts w:ascii="宋体" w:hAnsi="宋体" w:eastAsia="宋体" w:cs="Times New Roman"/>
          <w:bCs/>
          <w:szCs w:val="21"/>
        </w:rPr>
        <w:t>有效的《投标文件》及澄清文件</w:t>
      </w:r>
      <w:r>
        <w:rPr>
          <w:rFonts w:hint="eastAsia" w:ascii="宋体" w:hAnsi="宋体" w:eastAsia="宋体" w:cs="Times New Roman"/>
          <w:bCs/>
          <w:szCs w:val="21"/>
        </w:rPr>
        <w:t>。</w:t>
      </w:r>
      <w:bookmarkEnd w:id="262"/>
      <w:bookmarkEnd w:id="263"/>
      <w:bookmarkEnd w:id="264"/>
      <w:bookmarkStart w:id="265" w:name="_Toc389065245"/>
      <w:bookmarkStart w:id="266" w:name="_Toc184635095"/>
    </w:p>
    <w:p w14:paraId="0D8A7F79">
      <w:pPr>
        <w:keepNext/>
        <w:keepLines/>
        <w:wordWrap w:val="0"/>
        <w:spacing w:before="240" w:beforeLines="100" w:line="360" w:lineRule="auto"/>
        <w:outlineLvl w:val="1"/>
        <w:rPr>
          <w:rFonts w:hint="eastAsia" w:ascii="黑体" w:hAnsi="黑体" w:eastAsia="黑体" w:cs="Times New Roman"/>
          <w:b/>
          <w:bCs/>
          <w:sz w:val="24"/>
          <w:szCs w:val="21"/>
        </w:rPr>
      </w:pPr>
      <w:bookmarkStart w:id="267" w:name="_Toc487632672"/>
      <w:bookmarkStart w:id="268" w:name="_Toc407135175"/>
      <w:bookmarkStart w:id="269" w:name="_Toc29786927"/>
      <w:r>
        <w:rPr>
          <w:rFonts w:hint="eastAsia" w:ascii="黑体" w:hAnsi="黑体" w:eastAsia="黑体" w:cs="Times New Roman"/>
          <w:b/>
          <w:bCs/>
          <w:sz w:val="24"/>
          <w:szCs w:val="21"/>
        </w:rPr>
        <w:t>3 评标</w:t>
      </w:r>
      <w:bookmarkEnd w:id="265"/>
      <w:bookmarkEnd w:id="266"/>
      <w:bookmarkEnd w:id="267"/>
      <w:bookmarkEnd w:id="268"/>
      <w:r>
        <w:rPr>
          <w:rFonts w:hint="eastAsia" w:ascii="黑体" w:hAnsi="黑体" w:eastAsia="黑体" w:cs="Times New Roman"/>
          <w:b/>
          <w:bCs/>
          <w:sz w:val="24"/>
          <w:szCs w:val="21"/>
        </w:rPr>
        <w:t>组织</w:t>
      </w:r>
      <w:bookmarkEnd w:id="269"/>
    </w:p>
    <w:p w14:paraId="020282B5">
      <w:pPr>
        <w:wordWrap w:val="0"/>
        <w:snapToGrid w:val="0"/>
        <w:spacing w:line="360" w:lineRule="auto"/>
        <w:ind w:firstLine="420" w:firstLineChars="200"/>
        <w:rPr>
          <w:rFonts w:hint="eastAsia" w:ascii="宋体" w:hAnsi="宋体" w:eastAsia="宋体" w:cs="黑体"/>
          <w:kern w:val="0"/>
          <w:sz w:val="24"/>
          <w:szCs w:val="21"/>
        </w:rPr>
      </w:pPr>
      <w:r>
        <w:rPr>
          <w:rFonts w:ascii="宋体" w:hAnsi="宋体" w:eastAsia="宋体" w:cs="Times New Roman"/>
          <w:bCs/>
          <w:szCs w:val="21"/>
        </w:rPr>
        <w:t>3.1</w:t>
      </w:r>
      <w:r>
        <w:rPr>
          <w:rFonts w:hint="eastAsia" w:ascii="宋体" w:hAnsi="宋体" w:eastAsia="宋体" w:cs="Times New Roman"/>
          <w:bCs/>
          <w:szCs w:val="21"/>
        </w:rPr>
        <w:t>评标工作由招标人依法组建的评标委员会负责，评标委员会的组建详见第二章投标人须知第</w:t>
      </w:r>
      <w:r>
        <w:rPr>
          <w:rFonts w:ascii="宋体" w:hAnsi="宋体" w:eastAsia="宋体" w:cs="Times New Roman"/>
          <w:bCs/>
          <w:szCs w:val="21"/>
        </w:rPr>
        <w:t>6.1</w:t>
      </w:r>
      <w:r>
        <w:rPr>
          <w:rFonts w:hint="eastAsia" w:ascii="宋体" w:hAnsi="宋体" w:eastAsia="宋体" w:cs="Times New Roman"/>
          <w:bCs/>
          <w:szCs w:val="21"/>
        </w:rPr>
        <w:t>款的规定。</w:t>
      </w:r>
    </w:p>
    <w:p w14:paraId="02CE155F">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w:t>
      </w:r>
      <w:r>
        <w:rPr>
          <w:rFonts w:ascii="宋体" w:hAnsi="宋体" w:eastAsia="宋体" w:cs="Times New Roman"/>
          <w:bCs/>
          <w:szCs w:val="21"/>
        </w:rPr>
        <w:t>.2评标程序和内容</w:t>
      </w:r>
      <w:r>
        <w:rPr>
          <w:rFonts w:hint="eastAsia" w:ascii="宋体" w:hAnsi="宋体" w:eastAsia="宋体" w:cs="Times New Roman"/>
          <w:bCs/>
          <w:szCs w:val="21"/>
        </w:rPr>
        <w:t>包括：</w:t>
      </w:r>
    </w:p>
    <w:p w14:paraId="0618DA6C">
      <w:pPr>
        <w:wordWrap w:val="0"/>
        <w:snapToGrid w:val="0"/>
        <w:spacing w:line="360" w:lineRule="auto"/>
        <w:ind w:firstLine="420" w:firstLineChars="200"/>
        <w:rPr>
          <w:rFonts w:hint="eastAsia" w:ascii="宋体" w:hAnsi="宋体" w:eastAsia="宋体" w:cs="Times New Roman"/>
          <w:bCs/>
          <w:szCs w:val="21"/>
        </w:rPr>
      </w:pPr>
      <w:r>
        <w:rPr>
          <w:rFonts w:ascii="宋体" w:hAnsi="宋体" w:eastAsia="宋体" w:cs="Times New Roman"/>
          <w:bCs/>
          <w:szCs w:val="21"/>
        </w:rPr>
        <w:t>（1）</w:t>
      </w:r>
      <w:r>
        <w:rPr>
          <w:rFonts w:hint="eastAsia" w:ascii="宋体" w:hAnsi="宋体" w:eastAsia="宋体" w:cs="Times New Roman"/>
          <w:bCs/>
          <w:szCs w:val="21"/>
        </w:rPr>
        <w:t>评标委员会成员熟悉招标文件和评标办法；</w:t>
      </w:r>
    </w:p>
    <w:p w14:paraId="526B6166">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2</w:t>
      </w:r>
      <w:r>
        <w:rPr>
          <w:rFonts w:hint="eastAsia" w:ascii="宋体" w:hAnsi="宋体" w:eastAsia="宋体" w:cs="Times New Roman"/>
          <w:bCs/>
          <w:szCs w:val="21"/>
        </w:rPr>
        <w:t>）全体评标委员会成员对投标文件的资格审查文件进行资格审查；</w:t>
      </w:r>
    </w:p>
    <w:p w14:paraId="616C1E20">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3</w:t>
      </w:r>
      <w:r>
        <w:rPr>
          <w:rFonts w:hint="eastAsia" w:ascii="宋体" w:hAnsi="宋体" w:eastAsia="宋体" w:cs="Times New Roman"/>
          <w:bCs/>
          <w:szCs w:val="21"/>
        </w:rPr>
        <w:t>）按专家专业类别分为经济评审组和技术评审组；</w:t>
      </w:r>
    </w:p>
    <w:p w14:paraId="2B0B548F">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4</w:t>
      </w:r>
      <w:r>
        <w:rPr>
          <w:rFonts w:hint="eastAsia" w:ascii="宋体" w:hAnsi="宋体" w:eastAsia="宋体" w:cs="Times New Roman"/>
          <w:bCs/>
          <w:szCs w:val="21"/>
        </w:rPr>
        <w:t>）评标委员会成员对通过资格审查的投标文件进行初步评审；</w:t>
      </w:r>
    </w:p>
    <w:p w14:paraId="09E6578E">
      <w:pPr>
        <w:wordWrap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bCs/>
          <w:szCs w:val="21"/>
        </w:rPr>
        <w:t>（</w:t>
      </w:r>
      <w:r>
        <w:rPr>
          <w:rFonts w:ascii="宋体" w:hAnsi="宋体" w:eastAsia="宋体" w:cs="Times New Roman"/>
          <w:bCs/>
          <w:szCs w:val="21"/>
        </w:rPr>
        <w:t>5</w:t>
      </w:r>
      <w:r>
        <w:rPr>
          <w:rFonts w:hint="eastAsia" w:ascii="宋体" w:hAnsi="宋体" w:eastAsia="宋体" w:cs="Times New Roman"/>
          <w:bCs/>
          <w:szCs w:val="21"/>
        </w:rPr>
        <w:t>）</w:t>
      </w:r>
      <w:bookmarkStart w:id="270" w:name="OLE_LINK14"/>
      <w:r>
        <w:rPr>
          <w:rFonts w:hint="eastAsia" w:ascii="宋体" w:hAnsi="宋体" w:eastAsia="宋体" w:cs="Times New Roman"/>
          <w:szCs w:val="21"/>
        </w:rPr>
        <w:t>技术评审组对</w:t>
      </w:r>
      <w:r>
        <w:rPr>
          <w:rFonts w:hint="eastAsia" w:ascii="宋体" w:hAnsi="宋体" w:eastAsia="宋体" w:cs="Times New Roman"/>
          <w:bCs/>
          <w:szCs w:val="21"/>
        </w:rPr>
        <w:t>投标文件的资</w:t>
      </w:r>
      <w:bookmarkEnd w:id="270"/>
      <w:r>
        <w:rPr>
          <w:rFonts w:hint="eastAsia" w:ascii="宋体" w:hAnsi="宋体" w:eastAsia="宋体" w:cs="Times New Roman"/>
          <w:bCs/>
          <w:szCs w:val="21"/>
        </w:rPr>
        <w:t>信文件和技术文件进行评审并打分，</w:t>
      </w:r>
      <w:r>
        <w:rPr>
          <w:rFonts w:hint="eastAsia" w:ascii="宋体" w:hAnsi="宋体" w:eastAsia="宋体" w:cs="Times New Roman"/>
          <w:szCs w:val="21"/>
        </w:rPr>
        <w:t>经济评审组对</w:t>
      </w:r>
      <w:r>
        <w:rPr>
          <w:rFonts w:hint="eastAsia" w:ascii="宋体" w:hAnsi="宋体" w:eastAsia="宋体" w:cs="Times New Roman"/>
          <w:bCs/>
          <w:szCs w:val="21"/>
        </w:rPr>
        <w:t>投标文件的报价文件进行评审并打分；</w:t>
      </w:r>
    </w:p>
    <w:p w14:paraId="1863FFE5">
      <w:pPr>
        <w:wordWrap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bCs/>
          <w:szCs w:val="21"/>
        </w:rPr>
        <w:t>（</w:t>
      </w:r>
      <w:r>
        <w:rPr>
          <w:rFonts w:ascii="宋体" w:hAnsi="宋体" w:eastAsia="宋体" w:cs="Times New Roman"/>
          <w:bCs/>
          <w:szCs w:val="21"/>
        </w:rPr>
        <w:t>6</w:t>
      </w:r>
      <w:r>
        <w:rPr>
          <w:rFonts w:hint="eastAsia" w:ascii="宋体" w:hAnsi="宋体" w:eastAsia="宋体" w:cs="Times New Roman"/>
          <w:bCs/>
          <w:szCs w:val="21"/>
        </w:rPr>
        <w:t>）计算各投标人综合评分，并按照综合得分由高到低排序；</w:t>
      </w:r>
    </w:p>
    <w:p w14:paraId="6EBB0D90">
      <w:pPr>
        <w:wordWrap w:val="0"/>
        <w:snapToGrid w:val="0"/>
        <w:spacing w:line="360" w:lineRule="auto"/>
        <w:ind w:firstLine="420" w:firstLineChars="200"/>
        <w:rPr>
          <w:rFonts w:hint="eastAsia" w:ascii="宋体" w:hAnsi="宋体" w:eastAsia="宋体" w:cs="Times New Roman"/>
          <w:kern w:val="0"/>
          <w:sz w:val="24"/>
          <w:szCs w:val="21"/>
        </w:rPr>
      </w:pPr>
      <w:r>
        <w:rPr>
          <w:rFonts w:hint="eastAsia" w:ascii="宋体" w:hAnsi="宋体" w:eastAsia="宋体" w:cs="Times New Roman"/>
          <w:bCs/>
          <w:szCs w:val="21"/>
        </w:rPr>
        <w:t>（</w:t>
      </w:r>
      <w:r>
        <w:rPr>
          <w:rFonts w:ascii="宋体" w:hAnsi="宋体" w:eastAsia="宋体" w:cs="Times New Roman"/>
          <w:bCs/>
          <w:szCs w:val="21"/>
        </w:rPr>
        <w:t>7</w:t>
      </w:r>
      <w:r>
        <w:rPr>
          <w:rFonts w:hint="eastAsia" w:ascii="宋体" w:hAnsi="宋体" w:eastAsia="宋体" w:cs="Times New Roman"/>
          <w:bCs/>
          <w:szCs w:val="21"/>
        </w:rPr>
        <w:t>）全体评标委员会完成评标报告，推荐中标候选人。</w:t>
      </w:r>
    </w:p>
    <w:p w14:paraId="1C51EE5D">
      <w:pPr>
        <w:keepNext/>
        <w:keepLines/>
        <w:wordWrap w:val="0"/>
        <w:spacing w:before="240" w:beforeLines="100" w:line="360" w:lineRule="auto"/>
        <w:outlineLvl w:val="1"/>
        <w:rPr>
          <w:rFonts w:hint="eastAsia" w:ascii="黑体" w:hAnsi="黑体" w:eastAsia="黑体" w:cs="Times New Roman"/>
          <w:b/>
          <w:bCs/>
          <w:sz w:val="24"/>
          <w:szCs w:val="21"/>
        </w:rPr>
      </w:pPr>
      <w:bookmarkStart w:id="271" w:name="_Toc29786928"/>
      <w:bookmarkStart w:id="272" w:name="_Toc407135176"/>
      <w:bookmarkStart w:id="273" w:name="_Toc389065246"/>
      <w:bookmarkStart w:id="274" w:name="_Toc487632673"/>
      <w:r>
        <w:rPr>
          <w:rFonts w:hint="eastAsia" w:ascii="黑体" w:hAnsi="黑体" w:eastAsia="黑体" w:cs="Times New Roman"/>
          <w:b/>
          <w:bCs/>
          <w:sz w:val="24"/>
          <w:szCs w:val="21"/>
        </w:rPr>
        <w:t>4 资格审查</w:t>
      </w:r>
      <w:bookmarkEnd w:id="271"/>
    </w:p>
    <w:p w14:paraId="7BD9C1A3">
      <w:pPr>
        <w:wordWrap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4</w:t>
      </w:r>
      <w:r>
        <w:rPr>
          <w:rFonts w:ascii="宋体" w:hAnsi="宋体" w:eastAsia="宋体" w:cs="Times New Roman"/>
          <w:bCs/>
          <w:szCs w:val="21"/>
        </w:rPr>
        <w:t>.1</w:t>
      </w:r>
      <w:r>
        <w:rPr>
          <w:rFonts w:hint="eastAsia" w:ascii="宋体" w:hAnsi="宋体" w:eastAsia="宋体" w:cs="Times New Roman"/>
          <w:bCs/>
          <w:szCs w:val="21"/>
        </w:rPr>
        <w:t>全体评标委员会审查投标人是否符合法律、法规、规章以及本招标文件对投标人</w:t>
      </w:r>
      <w:r>
        <w:rPr>
          <w:rFonts w:ascii="宋体" w:hAnsi="宋体" w:eastAsia="宋体" w:cs="Times New Roman"/>
          <w:bCs/>
          <w:szCs w:val="21"/>
        </w:rPr>
        <w:t>资质、业绩和其他强制性标准，是否处于正常的经营状况等情况。</w:t>
      </w:r>
    </w:p>
    <w:p w14:paraId="2BEA0E08">
      <w:pPr>
        <w:wordWrap w:val="0"/>
        <w:snapToGrid w:val="0"/>
        <w:spacing w:line="360" w:lineRule="auto"/>
        <w:ind w:firstLine="420" w:firstLineChars="200"/>
        <w:rPr>
          <w:rFonts w:hint="eastAsia" w:ascii="宋体" w:hAnsi="宋体" w:eastAsia="宋体" w:cs="Times New Roman"/>
          <w:bCs/>
          <w:szCs w:val="21"/>
        </w:rPr>
      </w:pPr>
      <w:r>
        <w:rPr>
          <w:rFonts w:ascii="宋体" w:hAnsi="宋体" w:eastAsia="宋体" w:cs="Times New Roman"/>
          <w:bCs/>
          <w:szCs w:val="21"/>
        </w:rPr>
        <w:t>4.2</w:t>
      </w:r>
      <w:r>
        <w:rPr>
          <w:rFonts w:hint="eastAsia" w:ascii="宋体" w:hAnsi="宋体" w:eastAsia="宋体" w:cs="Times New Roman"/>
          <w:bCs/>
          <w:szCs w:val="21"/>
        </w:rPr>
        <w:t>在本阶段不符合任何一项资格评审标准的投标人，均视为资格审查不合格，不得进入下一阶段的评审。</w:t>
      </w:r>
      <w:r>
        <w:rPr>
          <w:rFonts w:ascii="宋体" w:hAnsi="宋体" w:eastAsia="宋体" w:cs="Times New Roman"/>
          <w:bCs/>
          <w:szCs w:val="21"/>
        </w:rPr>
        <w:t>评审标准详见附表一《资格审查表》。</w:t>
      </w:r>
    </w:p>
    <w:p w14:paraId="09D8B2AE">
      <w:pPr>
        <w:wordWrap w:val="0"/>
        <w:snapToGrid w:val="0"/>
        <w:spacing w:line="360" w:lineRule="auto"/>
        <w:ind w:firstLine="420" w:firstLineChars="200"/>
        <w:rPr>
          <w:rFonts w:ascii="Times New Roman" w:hAnsi="Times New Roman" w:eastAsia="宋体" w:cs="Times New Roman"/>
          <w:szCs w:val="24"/>
        </w:rPr>
      </w:pPr>
      <w:r>
        <w:rPr>
          <w:rFonts w:hint="eastAsia" w:ascii="宋体" w:hAnsi="宋体" w:eastAsia="宋体" w:cs="Times New Roman"/>
          <w:bCs/>
          <w:szCs w:val="21"/>
        </w:rPr>
        <w:t>4.3当有效投标不足三个时，评标委员会认为剩余的投标文件不具有竞争性的，不进入初步评审阶段。</w:t>
      </w:r>
    </w:p>
    <w:p w14:paraId="16A0906E">
      <w:pPr>
        <w:keepNext/>
        <w:keepLines/>
        <w:wordWrap w:val="0"/>
        <w:spacing w:before="240" w:beforeLines="100" w:line="360" w:lineRule="auto"/>
        <w:outlineLvl w:val="1"/>
        <w:rPr>
          <w:rFonts w:hint="eastAsia" w:ascii="黑体" w:hAnsi="黑体" w:eastAsia="黑体" w:cs="Times New Roman"/>
          <w:b/>
          <w:bCs/>
          <w:sz w:val="24"/>
          <w:szCs w:val="21"/>
        </w:rPr>
      </w:pPr>
      <w:bookmarkStart w:id="275" w:name="_Toc29786929"/>
      <w:r>
        <w:rPr>
          <w:rFonts w:hint="eastAsia" w:ascii="黑体" w:hAnsi="黑体" w:eastAsia="黑体" w:cs="Times New Roman"/>
          <w:b/>
          <w:bCs/>
          <w:sz w:val="24"/>
          <w:szCs w:val="21"/>
        </w:rPr>
        <w:t>5 初步评审</w:t>
      </w:r>
      <w:bookmarkEnd w:id="272"/>
      <w:bookmarkEnd w:id="273"/>
      <w:bookmarkEnd w:id="274"/>
      <w:bookmarkEnd w:id="275"/>
    </w:p>
    <w:p w14:paraId="321F8B1C">
      <w:pPr>
        <w:tabs>
          <w:tab w:val="left" w:pos="851"/>
        </w:tabs>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5.1</w:t>
      </w:r>
      <w:r>
        <w:rPr>
          <w:rFonts w:ascii="Times New Roman" w:hAnsi="Times New Roman" w:eastAsia="宋体" w:cs="Times New Roman"/>
          <w:bCs/>
          <w:szCs w:val="21"/>
        </w:rPr>
        <w:t>评标委员会将对投标文件的实质性内容进行初步评审，判定其内容是否真实、完整，是否满足招标文件要求并在实质性内容上予以响应</w:t>
      </w:r>
      <w:r>
        <w:rPr>
          <w:rFonts w:hint="eastAsia" w:ascii="Times New Roman" w:hAnsi="Times New Roman" w:eastAsia="宋体" w:cs="Times New Roman"/>
          <w:bCs/>
          <w:szCs w:val="21"/>
        </w:rPr>
        <w:t>；</w:t>
      </w:r>
    </w:p>
    <w:p w14:paraId="78188F77">
      <w:pPr>
        <w:tabs>
          <w:tab w:val="left" w:pos="851"/>
        </w:tabs>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5.2</w:t>
      </w:r>
      <w:r>
        <w:rPr>
          <w:rFonts w:ascii="Times New Roman" w:hAnsi="Times New Roman" w:eastAsia="宋体" w:cs="Times New Roman"/>
          <w:bCs/>
          <w:szCs w:val="21"/>
        </w:rPr>
        <w:t>如果投标文件实质性不响应招标文件的要求和条件的，评标委员会将判定为重大偏差并作否决投标处理，并且不允许投标人通过修正或</w:t>
      </w:r>
      <w:r>
        <w:rPr>
          <w:rFonts w:hint="eastAsia" w:ascii="Times New Roman" w:hAnsi="Times New Roman" w:eastAsia="宋体" w:cs="Times New Roman"/>
          <w:bCs/>
          <w:szCs w:val="21"/>
        </w:rPr>
        <w:t>撤销</w:t>
      </w:r>
      <w:r>
        <w:rPr>
          <w:rFonts w:ascii="Times New Roman" w:hAnsi="Times New Roman" w:eastAsia="宋体" w:cs="Times New Roman"/>
          <w:bCs/>
          <w:szCs w:val="21"/>
        </w:rPr>
        <w:t>其不符要求的差异或保留，使之成为具有响应性的投标文件</w:t>
      </w:r>
      <w:r>
        <w:rPr>
          <w:rFonts w:hint="eastAsia" w:ascii="Times New Roman" w:hAnsi="Times New Roman" w:eastAsia="宋体" w:cs="Times New Roman"/>
          <w:bCs/>
          <w:szCs w:val="21"/>
        </w:rPr>
        <w:t>；</w:t>
      </w:r>
    </w:p>
    <w:p w14:paraId="32468509">
      <w:pPr>
        <w:tabs>
          <w:tab w:val="left" w:pos="851"/>
        </w:tabs>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5.3</w:t>
      </w:r>
      <w:r>
        <w:rPr>
          <w:rFonts w:ascii="Times New Roman" w:hAnsi="Times New Roman" w:eastAsia="宋体" w:cs="Times New Roman"/>
          <w:bCs/>
          <w:szCs w:val="21"/>
        </w:rPr>
        <w:t>评标委员会根据招标文件的要求对投标人进行初步评审，未通过初步评审的投标人不得进入下一阶段的</w:t>
      </w:r>
      <w:r>
        <w:rPr>
          <w:rFonts w:hint="eastAsia" w:ascii="Times New Roman" w:hAnsi="Times New Roman" w:eastAsia="宋体" w:cs="Times New Roman"/>
          <w:bCs/>
          <w:szCs w:val="21"/>
        </w:rPr>
        <w:t>详细</w:t>
      </w:r>
      <w:r>
        <w:rPr>
          <w:rFonts w:ascii="Times New Roman" w:hAnsi="Times New Roman" w:eastAsia="宋体" w:cs="Times New Roman"/>
          <w:bCs/>
          <w:szCs w:val="21"/>
        </w:rPr>
        <w:t>评审。评审标准详见附表二《初步评审表》。</w:t>
      </w:r>
    </w:p>
    <w:p w14:paraId="6E15144F">
      <w:pPr>
        <w:tabs>
          <w:tab w:val="left" w:pos="851"/>
        </w:tabs>
        <w:wordWrap w:val="0"/>
        <w:spacing w:line="360" w:lineRule="auto"/>
        <w:ind w:firstLine="420" w:firstLineChars="200"/>
        <w:rPr>
          <w:rFonts w:ascii="Times New Roman" w:hAnsi="Times New Roman" w:eastAsia="宋体" w:cs="Times New Roman"/>
          <w:bCs/>
          <w:szCs w:val="21"/>
        </w:rPr>
      </w:pPr>
      <w:r>
        <w:rPr>
          <w:rFonts w:hint="eastAsia" w:ascii="宋体" w:hAnsi="宋体" w:eastAsia="宋体" w:cs="宋体"/>
          <w:bCs/>
          <w:kern w:val="0"/>
          <w:szCs w:val="18"/>
        </w:rPr>
        <w:t>5.4投标文件有下列情形之一的，评标委员会应按否决投标处理：</w:t>
      </w:r>
    </w:p>
    <w:p w14:paraId="1C5E08EC">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不符合附表一《资格审查表》规定的；</w:t>
      </w:r>
    </w:p>
    <w:p w14:paraId="6B138EE4">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不符合附表二《初步评审表》规定的；</w:t>
      </w:r>
    </w:p>
    <w:p w14:paraId="208FAE36">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法定代表人未按规定出具授权委托书的</w:t>
      </w:r>
      <w:r>
        <w:rPr>
          <w:rFonts w:ascii="宋体" w:hAnsi="宋体" w:eastAsia="宋体" w:cs="Times New Roman"/>
          <w:kern w:val="0"/>
          <w:szCs w:val="18"/>
        </w:rPr>
        <w:t>(</w:t>
      </w:r>
      <w:r>
        <w:rPr>
          <w:rFonts w:hint="eastAsia" w:ascii="宋体" w:hAnsi="宋体" w:eastAsia="宋体" w:cs="Times New Roman"/>
          <w:kern w:val="0"/>
          <w:szCs w:val="18"/>
        </w:rPr>
        <w:t>采用委托代理人形式的</w:t>
      </w:r>
      <w:r>
        <w:rPr>
          <w:rFonts w:ascii="宋体" w:hAnsi="宋体" w:eastAsia="宋体" w:cs="Times New Roman"/>
          <w:kern w:val="0"/>
          <w:szCs w:val="18"/>
        </w:rPr>
        <w:t>)</w:t>
      </w:r>
      <w:r>
        <w:rPr>
          <w:rFonts w:hint="eastAsia" w:ascii="宋体" w:hAnsi="宋体" w:eastAsia="宋体" w:cs="Times New Roman"/>
          <w:kern w:val="0"/>
          <w:szCs w:val="18"/>
        </w:rPr>
        <w:t>；</w:t>
      </w:r>
    </w:p>
    <w:p w14:paraId="2B860CF2">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在投标文件中有虚假文件和</w:t>
      </w:r>
      <w:r>
        <w:rPr>
          <w:rFonts w:ascii="宋体" w:hAnsi="宋体" w:eastAsia="宋体" w:cs="Times New Roman"/>
          <w:kern w:val="0"/>
          <w:szCs w:val="18"/>
        </w:rPr>
        <w:t>/</w:t>
      </w:r>
      <w:r>
        <w:rPr>
          <w:rFonts w:hint="eastAsia" w:ascii="宋体" w:hAnsi="宋体" w:eastAsia="宋体" w:cs="Times New Roman"/>
          <w:kern w:val="0"/>
          <w:szCs w:val="18"/>
        </w:rPr>
        <w:t>或资料的；</w:t>
      </w:r>
    </w:p>
    <w:p w14:paraId="33DEE0E9">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投标文件中附有招标人不能接受的条件；</w:t>
      </w:r>
    </w:p>
    <w:p w14:paraId="1A62CB8D">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投标人以经评标委员会评审认定为低于成本的报价竞标；</w:t>
      </w:r>
    </w:p>
    <w:p w14:paraId="316FCC3A">
      <w:pPr>
        <w:numPr>
          <w:ilvl w:val="0"/>
          <w:numId w:val="27"/>
        </w:numPr>
        <w:wordWrap w:val="0"/>
        <w:spacing w:line="360" w:lineRule="auto"/>
        <w:ind w:firstLine="420" w:firstLineChars="200"/>
        <w:jc w:val="left"/>
        <w:rPr>
          <w:rFonts w:hint="eastAsia" w:ascii="宋体" w:hAnsi="宋体" w:eastAsia="宋体" w:cs="Times New Roman"/>
          <w:kern w:val="0"/>
          <w:szCs w:val="18"/>
        </w:rPr>
      </w:pPr>
      <w:r>
        <w:rPr>
          <w:rFonts w:hint="eastAsia" w:ascii="宋体" w:hAnsi="宋体" w:eastAsia="宋体" w:cs="Times New Roman"/>
          <w:kern w:val="0"/>
          <w:szCs w:val="18"/>
        </w:rPr>
        <w:t>开标会结束拒绝在开标记录上签字确认，且经核实无误后，仍拒绝签字确认的；</w:t>
      </w:r>
    </w:p>
    <w:p w14:paraId="1868CE25">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投标人扰乱会场秩序，经劝阻仍然无理取闹的；</w:t>
      </w:r>
    </w:p>
    <w:p w14:paraId="0F8B3C5F">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投标人未能按照评标委员会要求，对其投标文件进行澄清、说明和补正的；</w:t>
      </w:r>
    </w:p>
    <w:p w14:paraId="799696C8">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投标人以他人的名义投标、串通投标、以行贿手段谋取中标或者以其他弄虚作假方式投标的。</w:t>
      </w:r>
    </w:p>
    <w:p w14:paraId="29233678">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为本项目前期准备提供设计或咨询服务的，但设计施工总承包的除外；</w:t>
      </w:r>
    </w:p>
    <w:p w14:paraId="0EF69439">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为本项目提供招标代理服务的；</w:t>
      </w:r>
    </w:p>
    <w:p w14:paraId="1D663793">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与本项目的招标代理机构同为一个法定代表人的；</w:t>
      </w:r>
    </w:p>
    <w:p w14:paraId="299E77AF">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与本项目的招标代理机构相互控股或参股的；</w:t>
      </w:r>
    </w:p>
    <w:p w14:paraId="787DCF6D">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与本项目的招标代理机构相互任职或工作的；</w:t>
      </w:r>
    </w:p>
    <w:p w14:paraId="2C3D4F0D">
      <w:pPr>
        <w:numPr>
          <w:ilvl w:val="0"/>
          <w:numId w:val="27"/>
        </w:numPr>
        <w:wordWrap w:val="0"/>
        <w:spacing w:line="360" w:lineRule="auto"/>
        <w:ind w:firstLine="420" w:firstLineChars="200"/>
        <w:rPr>
          <w:rFonts w:hint="eastAsia" w:ascii="宋体" w:hAnsi="宋体" w:eastAsia="宋体" w:cs="Times New Roman"/>
          <w:kern w:val="0"/>
          <w:szCs w:val="18"/>
        </w:rPr>
      </w:pPr>
      <w:r>
        <w:rPr>
          <w:rFonts w:hint="eastAsia" w:ascii="宋体" w:hAnsi="宋体" w:eastAsia="宋体" w:cs="Times New Roman"/>
          <w:kern w:val="0"/>
          <w:szCs w:val="18"/>
        </w:rPr>
        <w:t>招标文件、法律、法规规定的其他否决投标情况。</w:t>
      </w:r>
    </w:p>
    <w:p w14:paraId="6ED96FFB">
      <w:pPr>
        <w:wordWrap w:val="0"/>
        <w:spacing w:line="360" w:lineRule="auto"/>
        <w:ind w:firstLine="420" w:firstLineChars="200"/>
        <w:rPr>
          <w:rFonts w:hint="eastAsia" w:ascii="宋体" w:hAnsi="宋体" w:eastAsia="宋体" w:cs="Times New Roman"/>
          <w:kern w:val="0"/>
          <w:szCs w:val="21"/>
        </w:rPr>
      </w:pPr>
      <w:r>
        <w:rPr>
          <w:rFonts w:hint="eastAsia" w:ascii="Times New Roman" w:hAnsi="Times New Roman" w:eastAsia="宋体" w:cs="Times New Roman"/>
          <w:szCs w:val="24"/>
        </w:rPr>
        <w:t>5.5</w:t>
      </w:r>
      <w:r>
        <w:rPr>
          <w:rFonts w:hint="eastAsia" w:ascii="宋体" w:hAnsi="宋体" w:eastAsia="宋体" w:cs="Times New Roman"/>
          <w:kern w:val="0"/>
          <w:szCs w:val="21"/>
        </w:rPr>
        <w:t>当有效投标不足三个时，评标委员会认为剩余的投标文件不具有竞争性的，不进入详细评审阶段。</w:t>
      </w:r>
    </w:p>
    <w:p w14:paraId="6683BB5E">
      <w:pPr>
        <w:keepNext/>
        <w:keepLines/>
        <w:wordWrap w:val="0"/>
        <w:spacing w:before="240" w:beforeLines="100" w:line="360" w:lineRule="auto"/>
        <w:outlineLvl w:val="1"/>
        <w:rPr>
          <w:rFonts w:hint="eastAsia" w:ascii="黑体" w:hAnsi="黑体" w:eastAsia="黑体" w:cs="Times New Roman"/>
          <w:b/>
          <w:bCs/>
          <w:sz w:val="24"/>
          <w:szCs w:val="21"/>
        </w:rPr>
      </w:pPr>
      <w:bookmarkStart w:id="276" w:name="_Toc29786930"/>
      <w:bookmarkStart w:id="277" w:name="_Toc407135177"/>
      <w:bookmarkStart w:id="278" w:name="_Toc389065247"/>
      <w:bookmarkStart w:id="279" w:name="_Toc487632674"/>
      <w:r>
        <w:rPr>
          <w:rFonts w:hint="eastAsia" w:ascii="黑体" w:hAnsi="黑体" w:eastAsia="黑体" w:cs="Times New Roman"/>
          <w:b/>
          <w:bCs/>
          <w:sz w:val="24"/>
          <w:szCs w:val="21"/>
        </w:rPr>
        <w:t>6 详细评审</w:t>
      </w:r>
      <w:bookmarkEnd w:id="276"/>
    </w:p>
    <w:p w14:paraId="1E5BB4FF">
      <w:pPr>
        <w:keepNext/>
        <w:keepLines/>
        <w:wordWrap w:val="0"/>
        <w:spacing w:line="360" w:lineRule="auto"/>
        <w:outlineLvl w:val="2"/>
        <w:rPr>
          <w:rFonts w:hint="eastAsia" w:ascii="宋体" w:hAnsi="宋体" w:eastAsia="宋体" w:cs="Times New Roman"/>
          <w:b/>
          <w:bCs/>
          <w:szCs w:val="21"/>
        </w:rPr>
      </w:pPr>
      <w:r>
        <w:rPr>
          <w:rFonts w:hint="eastAsia" w:ascii="宋体" w:hAnsi="宋体" w:eastAsia="宋体" w:cs="Times New Roman"/>
          <w:b/>
          <w:bCs/>
          <w:szCs w:val="21"/>
        </w:rPr>
        <w:t>6</w:t>
      </w:r>
      <w:r>
        <w:rPr>
          <w:rFonts w:ascii="宋体" w:hAnsi="宋体" w:eastAsia="宋体" w:cs="Times New Roman"/>
          <w:b/>
          <w:bCs/>
          <w:szCs w:val="21"/>
        </w:rPr>
        <w:t>.1</w:t>
      </w:r>
      <w:r>
        <w:rPr>
          <w:rFonts w:hint="eastAsia" w:ascii="宋体" w:hAnsi="宋体" w:eastAsia="宋体" w:cs="Times New Roman"/>
          <w:b/>
          <w:bCs/>
          <w:szCs w:val="21"/>
        </w:rPr>
        <w:t>资信、技术部分评审</w:t>
      </w:r>
    </w:p>
    <w:p w14:paraId="52C340AD">
      <w:pPr>
        <w:tabs>
          <w:tab w:val="left" w:pos="851"/>
          <w:tab w:val="left" w:pos="1134"/>
        </w:tabs>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6.1.1</w:t>
      </w:r>
      <w:r>
        <w:rPr>
          <w:rFonts w:hint="eastAsia" w:ascii="宋体" w:hAnsi="宋体" w:eastAsia="宋体" w:cs="Times New Roman"/>
          <w:kern w:val="0"/>
          <w:szCs w:val="21"/>
        </w:rPr>
        <w:t>评标委员会技术评审组对通过初步评审的投标文件的资信文件和技术文件进行详细评审。</w:t>
      </w:r>
    </w:p>
    <w:p w14:paraId="6E32BBC8">
      <w:pPr>
        <w:tabs>
          <w:tab w:val="left" w:pos="851"/>
          <w:tab w:val="left" w:pos="1134"/>
        </w:tabs>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6.1.2</w:t>
      </w:r>
      <w:r>
        <w:rPr>
          <w:rFonts w:hint="eastAsia" w:ascii="宋体" w:hAnsi="宋体" w:eastAsia="宋体" w:cs="Times New Roman"/>
          <w:kern w:val="0"/>
          <w:szCs w:val="21"/>
        </w:rPr>
        <w:t>技术评审组按照附表三《资信文件评分表》规定的量化因素和分值，对各投标人资信部分评审，各项评审得分合计为投标人资信得分（得分出现小数的，保留小数点后二位，第三位小数四舍五入）。</w:t>
      </w:r>
    </w:p>
    <w:p w14:paraId="3D2C7B51">
      <w:pPr>
        <w:tabs>
          <w:tab w:val="left" w:pos="851"/>
          <w:tab w:val="left" w:pos="1134"/>
        </w:tabs>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6.1.3</w:t>
      </w:r>
      <w:r>
        <w:rPr>
          <w:rFonts w:hint="eastAsia" w:ascii="宋体" w:hAnsi="宋体" w:eastAsia="宋体" w:cs="Times New Roman"/>
          <w:kern w:val="0"/>
          <w:szCs w:val="21"/>
        </w:rPr>
        <w:t>技术评审组按照附表四《技术文件评分表》规定的量化因素和分值，对各投标人技术部分评审。各评委对投标人的各评分项评分累加后得出各评委的总得分。投标人技术得分取所有评委总得分的算术平均值（得分出现小数的，保留小数点后二位，第三位小数四舍五入）。</w:t>
      </w:r>
    </w:p>
    <w:p w14:paraId="24D6CE09">
      <w:pPr>
        <w:keepNext/>
        <w:keepLines/>
        <w:wordWrap w:val="0"/>
        <w:spacing w:line="360" w:lineRule="auto"/>
        <w:outlineLvl w:val="2"/>
        <w:rPr>
          <w:rFonts w:hint="eastAsia" w:ascii="宋体" w:hAnsi="宋体" w:eastAsia="宋体" w:cs="Times New Roman"/>
          <w:b/>
          <w:bCs/>
          <w:szCs w:val="21"/>
        </w:rPr>
      </w:pPr>
      <w:r>
        <w:rPr>
          <w:rFonts w:ascii="宋体" w:hAnsi="宋体" w:eastAsia="宋体" w:cs="Times New Roman"/>
          <w:b/>
          <w:bCs/>
          <w:szCs w:val="21"/>
        </w:rPr>
        <w:t>6.2</w:t>
      </w:r>
      <w:r>
        <w:rPr>
          <w:rFonts w:hint="eastAsia" w:ascii="宋体" w:hAnsi="宋体" w:eastAsia="宋体" w:cs="Times New Roman"/>
          <w:b/>
          <w:bCs/>
          <w:szCs w:val="21"/>
        </w:rPr>
        <w:t>报价部分评审</w:t>
      </w:r>
    </w:p>
    <w:p w14:paraId="43C96229">
      <w:pPr>
        <w:wordWrap w:val="0"/>
        <w:spacing w:line="360" w:lineRule="auto"/>
        <w:ind w:firstLine="420" w:firstLineChars="200"/>
        <w:rPr>
          <w:rFonts w:hint="eastAsia" w:ascii="宋体" w:hAnsi="宋体" w:eastAsia="宋体" w:cs="宋体"/>
          <w:kern w:val="0"/>
          <w:szCs w:val="21"/>
        </w:rPr>
      </w:pPr>
      <w:r>
        <w:rPr>
          <w:rFonts w:ascii="宋体" w:hAnsi="宋体" w:eastAsia="宋体" w:cs="宋体"/>
          <w:kern w:val="0"/>
          <w:szCs w:val="21"/>
        </w:rPr>
        <w:t>6.2.1</w:t>
      </w:r>
      <w:r>
        <w:rPr>
          <w:rFonts w:hint="eastAsia" w:ascii="宋体" w:hAnsi="宋体" w:eastAsia="宋体" w:cs="宋体"/>
          <w:kern w:val="0"/>
          <w:szCs w:val="21"/>
        </w:rPr>
        <w:t>评标委员会经济评审组对通过初步评审的投标文件的报价文件进行详细评审。</w:t>
      </w:r>
    </w:p>
    <w:p w14:paraId="5BE43734">
      <w:pPr>
        <w:wordWrap w:val="0"/>
        <w:spacing w:line="360" w:lineRule="auto"/>
        <w:ind w:firstLine="420" w:firstLineChars="200"/>
        <w:rPr>
          <w:rFonts w:hint="eastAsia" w:ascii="宋体" w:hAnsi="宋体" w:eastAsia="宋体" w:cs="宋体"/>
          <w:kern w:val="0"/>
          <w:szCs w:val="21"/>
        </w:rPr>
      </w:pPr>
      <w:r>
        <w:rPr>
          <w:rFonts w:ascii="宋体" w:hAnsi="宋体" w:eastAsia="宋体" w:cs="宋体"/>
          <w:kern w:val="0"/>
          <w:szCs w:val="21"/>
        </w:rPr>
        <w:t>6.2.2</w:t>
      </w:r>
      <w:r>
        <w:rPr>
          <w:rFonts w:hint="eastAsia" w:ascii="宋体" w:hAnsi="宋体" w:eastAsia="宋体" w:cs="宋体"/>
          <w:kern w:val="0"/>
          <w:szCs w:val="21"/>
        </w:rPr>
        <w:t>投标报价有算术错误的，评标委员会按以下原则对投标报价进行修正，修正的价格经投标人书面确认后具有约束力。投标人不接受修正价格的，其投标作否决投标处理：</w:t>
      </w:r>
    </w:p>
    <w:p w14:paraId="594B8EFA">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宋体"/>
          <w:kern w:val="0"/>
          <w:szCs w:val="21"/>
        </w:rPr>
        <w:t>（</w:t>
      </w:r>
      <w:r>
        <w:rPr>
          <w:rFonts w:ascii="宋体" w:hAnsi="宋体" w:eastAsia="宋体" w:cs="Times New Roman"/>
          <w:kern w:val="0"/>
          <w:szCs w:val="21"/>
        </w:rPr>
        <w:t>1</w:t>
      </w:r>
      <w:r>
        <w:rPr>
          <w:rFonts w:hint="eastAsia" w:ascii="宋体" w:hAnsi="宋体" w:eastAsia="宋体" w:cs="宋体"/>
          <w:kern w:val="0"/>
          <w:szCs w:val="21"/>
        </w:rPr>
        <w:t>）投标文件中的大写金额与小写金额不一致的，以大写金额为准；</w:t>
      </w:r>
    </w:p>
    <w:p w14:paraId="22DBDE2C">
      <w:pPr>
        <w:wordWrap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w:t>
      </w:r>
      <w:r>
        <w:rPr>
          <w:rFonts w:ascii="宋体" w:hAnsi="宋体" w:eastAsia="宋体" w:cs="Times New Roman"/>
          <w:kern w:val="0"/>
          <w:szCs w:val="21"/>
        </w:rPr>
        <w:t>2</w:t>
      </w:r>
      <w:r>
        <w:rPr>
          <w:rFonts w:hint="eastAsia" w:ascii="宋体" w:hAnsi="宋体" w:eastAsia="宋体" w:cs="宋体"/>
          <w:kern w:val="0"/>
          <w:szCs w:val="21"/>
        </w:rPr>
        <w:t>）总价金额与依据单价计算出的结果不一致的，以单价金额为准修正总价，但单价金额小数点有明显错误的除外；</w:t>
      </w:r>
    </w:p>
    <w:p w14:paraId="54843F53">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（3）修正后的最终投标报价超过招标控制价的投标文件作否决投标处理。如项目设有综合单价控制价的，修正后的综合单价超过综合单价控制价的投标文件作否决投标处理。</w:t>
      </w:r>
    </w:p>
    <w:p w14:paraId="13491F0C">
      <w:pPr>
        <w:widowControl/>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（4）</w:t>
      </w:r>
      <w:r>
        <w:rPr>
          <w:rFonts w:ascii="Times New Roman" w:hAnsi="Times New Roman" w:eastAsia="宋体" w:cs="Times New Roman"/>
          <w:kern w:val="0"/>
          <w:szCs w:val="21"/>
        </w:rPr>
        <w:t>评标</w:t>
      </w:r>
      <w:r>
        <w:rPr>
          <w:rFonts w:hint="eastAsia" w:ascii="Times New Roman" w:hAnsi="Times New Roman" w:eastAsia="宋体" w:cs="Times New Roman"/>
          <w:kern w:val="0"/>
          <w:szCs w:val="21"/>
        </w:rPr>
        <w:t>价格及</w:t>
      </w:r>
      <w:r>
        <w:rPr>
          <w:rFonts w:ascii="Times New Roman" w:hAnsi="Times New Roman" w:eastAsia="宋体" w:cs="Times New Roman"/>
          <w:kern w:val="0"/>
          <w:szCs w:val="21"/>
        </w:rPr>
        <w:t>中标价</w:t>
      </w:r>
      <w:r>
        <w:rPr>
          <w:rFonts w:hint="eastAsia" w:ascii="Times New Roman" w:hAnsi="Times New Roman" w:eastAsia="宋体" w:cs="Times New Roman"/>
          <w:kern w:val="0"/>
          <w:szCs w:val="21"/>
        </w:rPr>
        <w:t>均以修正后的</w:t>
      </w:r>
      <w:r>
        <w:rPr>
          <w:rFonts w:ascii="Times New Roman" w:hAnsi="Times New Roman" w:eastAsia="宋体" w:cs="Times New Roman"/>
          <w:kern w:val="0"/>
          <w:szCs w:val="21"/>
        </w:rPr>
        <w:t>投标报价为准。</w:t>
      </w:r>
      <w:r>
        <w:rPr>
          <w:rFonts w:hint="eastAsia" w:ascii="宋体" w:hAnsi="宋体" w:eastAsia="宋体" w:cs="Times New Roman"/>
          <w:kern w:val="0"/>
          <w:szCs w:val="21"/>
        </w:rPr>
        <w:t>如投标人不接受按以上规则确定的评标总价和中标价，则其投标将被否决。</w:t>
      </w:r>
    </w:p>
    <w:p w14:paraId="27AF860C">
      <w:pPr>
        <w:tabs>
          <w:tab w:val="left" w:pos="851"/>
        </w:tabs>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6.2.3</w:t>
      </w:r>
      <w:r>
        <w:rPr>
          <w:rFonts w:hint="eastAsia" w:ascii="宋体" w:hAnsi="宋体" w:eastAsia="宋体" w:cs="Times New Roman"/>
          <w:kern w:val="0"/>
          <w:szCs w:val="21"/>
        </w:rPr>
        <w:t>出现下列情况的投标文件将予以否决：</w:t>
      </w:r>
    </w:p>
    <w:p w14:paraId="7FD67D2E">
      <w:pPr>
        <w:wordWrap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投标，否决其投标。</w:t>
      </w:r>
    </w:p>
    <w:p w14:paraId="4290CC10">
      <w:pPr>
        <w:wordWrap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b/>
          <w:bCs/>
          <w:szCs w:val="21"/>
        </w:rPr>
        <w:t>投标报价清单如有漏项的投标文件，将予以否决。</w:t>
      </w:r>
    </w:p>
    <w:p w14:paraId="6CC96A5F">
      <w:pPr>
        <w:widowControl/>
        <w:wordWrap w:val="0"/>
        <w:spacing w:line="360" w:lineRule="auto"/>
        <w:ind w:firstLine="420" w:firstLineChars="200"/>
        <w:rPr>
          <w:rFonts w:hint="eastAsia" w:ascii="宋体" w:hAnsi="宋体" w:eastAsia="宋体" w:cs="Times New Roman"/>
          <w:b/>
          <w:bCs/>
          <w:kern w:val="0"/>
          <w:szCs w:val="21"/>
        </w:rPr>
      </w:pPr>
      <w:r>
        <w:rPr>
          <w:rFonts w:ascii="宋体" w:hAnsi="宋体" w:eastAsia="宋体" w:cs="Times New Roman"/>
          <w:kern w:val="0"/>
          <w:szCs w:val="21"/>
        </w:rPr>
        <w:t>6.2.4</w:t>
      </w:r>
      <w:r>
        <w:rPr>
          <w:rFonts w:hint="eastAsia" w:ascii="宋体" w:hAnsi="宋体" w:eastAsia="宋体" w:cs="Times New Roman"/>
          <w:kern w:val="0"/>
          <w:szCs w:val="21"/>
        </w:rPr>
        <w:t>经济评审组按照附表五《投标报价评分表》规定的量化因素和分值，对各投标人的投标报价评审，并计算出价格得分（得分出现小数的，保留小数点后二位，第三位小数四舍五入）。</w:t>
      </w:r>
      <w:bookmarkStart w:id="280" w:name="_Hlk31877587"/>
      <w:r>
        <w:rPr>
          <w:rFonts w:ascii="宋体" w:hAnsi="宋体" w:eastAsia="宋体" w:cs="Times New Roman"/>
          <w:b/>
          <w:bCs/>
          <w:kern w:val="0"/>
          <w:szCs w:val="21"/>
        </w:rPr>
        <w:t>以不含税的投标报价计算评标基准价和投标报价得分。</w:t>
      </w:r>
    </w:p>
    <w:bookmarkEnd w:id="280"/>
    <w:p w14:paraId="2CB8A338">
      <w:pPr>
        <w:keepNext/>
        <w:keepLines/>
        <w:wordWrap w:val="0"/>
        <w:spacing w:line="360" w:lineRule="auto"/>
        <w:outlineLvl w:val="2"/>
        <w:rPr>
          <w:rFonts w:hint="eastAsia" w:ascii="宋体" w:hAnsi="宋体" w:eastAsia="宋体" w:cs="Times New Roman"/>
          <w:b/>
          <w:bCs/>
          <w:szCs w:val="21"/>
        </w:rPr>
      </w:pPr>
      <w:r>
        <w:rPr>
          <w:rFonts w:ascii="宋体" w:hAnsi="宋体" w:eastAsia="宋体" w:cs="Times New Roman"/>
          <w:b/>
          <w:bCs/>
          <w:szCs w:val="21"/>
        </w:rPr>
        <w:t xml:space="preserve">6.3 </w:t>
      </w:r>
      <w:r>
        <w:rPr>
          <w:rFonts w:hint="eastAsia" w:ascii="宋体" w:hAnsi="宋体" w:eastAsia="宋体" w:cs="黑体"/>
          <w:b/>
          <w:bCs/>
          <w:szCs w:val="21"/>
        </w:rPr>
        <w:t>投标文件的澄清和补正</w:t>
      </w:r>
    </w:p>
    <w:p w14:paraId="4C51ADDF">
      <w:pPr>
        <w:wordWrap w:val="0"/>
        <w:spacing w:line="360" w:lineRule="auto"/>
        <w:ind w:firstLine="420" w:firstLineChars="200"/>
        <w:rPr>
          <w:rFonts w:hint="eastAsia" w:ascii="宋体" w:hAnsi="宋体" w:eastAsia="宋体" w:cs="宋体"/>
          <w:kern w:val="0"/>
          <w:szCs w:val="21"/>
        </w:rPr>
      </w:pPr>
      <w:r>
        <w:rPr>
          <w:rFonts w:ascii="宋体" w:hAnsi="宋体" w:eastAsia="宋体" w:cs="Times New Roman"/>
          <w:kern w:val="0"/>
          <w:szCs w:val="21"/>
        </w:rPr>
        <w:t>6.3.1</w:t>
      </w:r>
      <w:r>
        <w:rPr>
          <w:rFonts w:hint="eastAsia" w:ascii="宋体" w:hAnsi="宋体" w:eastAsia="宋体" w:cs="宋体"/>
          <w:kern w:val="0"/>
          <w:szCs w:val="21"/>
        </w:rPr>
        <w:t>在评标过程中，评标委员会可以书面形式要求投标人对所提交的投标文件中</w:t>
      </w:r>
      <w:r>
        <w:rPr>
          <w:rFonts w:hint="eastAsia" w:ascii="Times New Roman" w:hAnsi="Times New Roman" w:eastAsia="宋体" w:cs="Times New Roman"/>
          <w:kern w:val="0"/>
          <w:szCs w:val="21"/>
        </w:rPr>
        <w:t>的非实质性偏离内容</w:t>
      </w:r>
      <w:r>
        <w:rPr>
          <w:rFonts w:hint="eastAsia" w:ascii="宋体" w:hAnsi="宋体" w:eastAsia="宋体" w:cs="宋体"/>
          <w:kern w:val="0"/>
          <w:szCs w:val="21"/>
        </w:rPr>
        <w:t>进行书面澄清、说明或补正。澄清、说明和补正必须由评标委员会书面提出、投标人书面答复，否则无效。评标委员会不接受投标人主动提出的澄清、说明或补正。</w:t>
      </w:r>
    </w:p>
    <w:p w14:paraId="6DD2C45F">
      <w:pPr>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非实质性偏离是指投标文件实质性响应招标文件，但在部分可允许范围内存在一些不规则、不一致、不完整的内容，通过澄清、说明或者补正后这些内容不会改变投标文件的实质性。以下情况属于非实质性偏离：</w:t>
      </w:r>
    </w:p>
    <w:p w14:paraId="440B469E">
      <w:pPr>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（1）投标文件文字表述的内容含义不明确；</w:t>
      </w:r>
    </w:p>
    <w:p w14:paraId="315F6F90">
      <w:pPr>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（2）同类问题表述不一致；</w:t>
      </w:r>
    </w:p>
    <w:p w14:paraId="1A85F089">
      <w:pPr>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（3）明显文字和计算错误；</w:t>
      </w:r>
    </w:p>
    <w:p w14:paraId="55666603">
      <w:pPr>
        <w:wordWrap w:val="0"/>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（4）评标委员会认定的其他非实质性偏离情况。</w:t>
      </w:r>
    </w:p>
    <w:p w14:paraId="22B8D0B9">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6.3.2</w:t>
      </w:r>
      <w:r>
        <w:rPr>
          <w:rFonts w:hint="eastAsia" w:ascii="宋体" w:hAnsi="宋体" w:eastAsia="宋体" w:cs="宋体"/>
          <w:kern w:val="0"/>
          <w:szCs w:val="21"/>
        </w:rPr>
        <w:t>澄清、说明和补正不得改变投标文件的实质性内容（算术性错误修正的除外）。投标人的书面澄清、说明和补正属于投标文件的组成部分。</w:t>
      </w:r>
    </w:p>
    <w:p w14:paraId="03E8D306">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6.3.3</w:t>
      </w:r>
      <w:r>
        <w:rPr>
          <w:rFonts w:hint="eastAsia" w:ascii="宋体" w:hAnsi="宋体" w:eastAsia="宋体" w:cs="宋体"/>
          <w:kern w:val="0"/>
          <w:szCs w:val="21"/>
        </w:rPr>
        <w:t>评标委员会对投标人提交的澄清、说明或补正有疑问的，可以要求投标人进一步澄清、说明或补正，直至满足评标委员会的要求。</w:t>
      </w:r>
    </w:p>
    <w:p w14:paraId="718FF714">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6.3.4</w:t>
      </w:r>
      <w:r>
        <w:rPr>
          <w:rFonts w:hint="eastAsia" w:ascii="宋体" w:hAnsi="宋体" w:eastAsia="宋体" w:cs="宋体"/>
          <w:kern w:val="0"/>
          <w:szCs w:val="21"/>
        </w:rPr>
        <w:t>对投标文件进行澄清、说明和补正采用书面材料。</w:t>
      </w:r>
    </w:p>
    <w:p w14:paraId="4BF4F9D0">
      <w:pPr>
        <w:keepNext/>
        <w:keepLines/>
        <w:wordWrap w:val="0"/>
        <w:spacing w:line="360" w:lineRule="auto"/>
        <w:outlineLvl w:val="2"/>
        <w:rPr>
          <w:rFonts w:hint="eastAsia" w:ascii="宋体" w:hAnsi="宋体" w:eastAsia="宋体" w:cs="Times New Roman"/>
          <w:b/>
          <w:bCs/>
          <w:szCs w:val="21"/>
        </w:rPr>
      </w:pPr>
      <w:r>
        <w:rPr>
          <w:rFonts w:ascii="宋体" w:hAnsi="宋体" w:eastAsia="宋体" w:cs="Times New Roman"/>
          <w:b/>
          <w:bCs/>
          <w:szCs w:val="21"/>
        </w:rPr>
        <w:t>6.4</w:t>
      </w:r>
      <w:r>
        <w:rPr>
          <w:rFonts w:hint="eastAsia" w:ascii="宋体" w:hAnsi="宋体" w:eastAsia="宋体" w:cs="Times New Roman"/>
          <w:b/>
          <w:bCs/>
          <w:szCs w:val="21"/>
        </w:rPr>
        <w:t>评标结果</w:t>
      </w:r>
    </w:p>
    <w:p w14:paraId="3261C49A">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6.4.1</w:t>
      </w:r>
      <w:r>
        <w:rPr>
          <w:rFonts w:hint="eastAsia" w:ascii="宋体" w:hAnsi="宋体" w:eastAsia="宋体" w:cs="Times New Roman"/>
          <w:kern w:val="0"/>
          <w:szCs w:val="21"/>
        </w:rPr>
        <w:t>汇总得分</w:t>
      </w:r>
    </w:p>
    <w:p w14:paraId="0CFF2A72">
      <w:pPr>
        <w:wordWrap w:val="0"/>
        <w:spacing w:line="360" w:lineRule="auto"/>
        <w:ind w:firstLine="422" w:firstLineChars="200"/>
        <w:rPr>
          <w:rFonts w:hint="eastAsia" w:ascii="宋体" w:hAnsi="宋体" w:eastAsia="宋体" w:cs="Times New Roman"/>
          <w:b/>
          <w:bCs/>
          <w:kern w:val="0"/>
          <w:szCs w:val="21"/>
        </w:rPr>
      </w:pPr>
      <w:r>
        <w:rPr>
          <w:rFonts w:hint="eastAsia" w:ascii="宋体" w:hAnsi="宋体" w:eastAsia="宋体" w:cs="Times New Roman"/>
          <w:b/>
          <w:bCs/>
          <w:kern w:val="0"/>
          <w:szCs w:val="21"/>
        </w:rPr>
        <w:t>各投标人</w:t>
      </w:r>
      <w:r>
        <w:rPr>
          <w:rFonts w:hint="eastAsia" w:ascii="宋体" w:hAnsi="宋体" w:eastAsia="宋体" w:cs="Times New Roman"/>
          <w:b/>
          <w:bCs/>
          <w:szCs w:val="21"/>
        </w:rPr>
        <w:t>综合评分</w:t>
      </w:r>
      <w:r>
        <w:rPr>
          <w:rFonts w:ascii="宋体" w:hAnsi="宋体" w:eastAsia="宋体" w:cs="Times New Roman"/>
          <w:b/>
          <w:bCs/>
          <w:szCs w:val="21"/>
        </w:rPr>
        <w:t>=</w:t>
      </w:r>
      <w:r>
        <w:rPr>
          <w:rFonts w:hint="eastAsia" w:ascii="宋体" w:hAnsi="宋体" w:eastAsia="宋体" w:cs="Times New Roman"/>
          <w:b/>
          <w:bCs/>
          <w:szCs w:val="21"/>
        </w:rPr>
        <w:t>资信得分</w:t>
      </w:r>
      <w:r>
        <w:rPr>
          <w:rFonts w:ascii="宋体" w:hAnsi="宋体" w:eastAsia="宋体" w:cs="Times New Roman"/>
          <w:b/>
          <w:bCs/>
          <w:szCs w:val="21"/>
        </w:rPr>
        <w:t>+</w:t>
      </w:r>
      <w:r>
        <w:rPr>
          <w:rFonts w:hint="eastAsia" w:ascii="宋体" w:hAnsi="宋体" w:eastAsia="宋体" w:cs="Times New Roman"/>
          <w:b/>
          <w:bCs/>
          <w:szCs w:val="21"/>
        </w:rPr>
        <w:t>技术得分</w:t>
      </w:r>
      <w:r>
        <w:rPr>
          <w:rFonts w:ascii="宋体" w:hAnsi="宋体" w:eastAsia="宋体" w:cs="Times New Roman"/>
          <w:b/>
          <w:bCs/>
          <w:szCs w:val="21"/>
        </w:rPr>
        <w:t>+</w:t>
      </w:r>
      <w:r>
        <w:rPr>
          <w:rFonts w:hint="eastAsia" w:ascii="宋体" w:hAnsi="宋体" w:eastAsia="宋体" w:cs="Times New Roman"/>
          <w:b/>
          <w:bCs/>
          <w:szCs w:val="21"/>
        </w:rPr>
        <w:t>价格得分；</w:t>
      </w:r>
      <w:bookmarkEnd w:id="277"/>
      <w:bookmarkEnd w:id="278"/>
      <w:bookmarkEnd w:id="279"/>
    </w:p>
    <w:p w14:paraId="45B01F8E">
      <w:pPr>
        <w:wordWrap w:val="0"/>
        <w:spacing w:line="360" w:lineRule="auto"/>
        <w:ind w:firstLine="420" w:firstLineChars="200"/>
        <w:rPr>
          <w:rFonts w:hint="eastAsia" w:ascii="宋体" w:hAnsi="宋体" w:eastAsia="宋体" w:cs="Times New Roman"/>
          <w:kern w:val="0"/>
          <w:sz w:val="24"/>
          <w:szCs w:val="21"/>
        </w:rPr>
      </w:pPr>
      <w:r>
        <w:rPr>
          <w:rFonts w:ascii="宋体" w:hAnsi="宋体" w:eastAsia="宋体" w:cs="Times New Roman"/>
          <w:kern w:val="0"/>
          <w:szCs w:val="21"/>
        </w:rPr>
        <w:t>6.4.2</w:t>
      </w:r>
      <w:r>
        <w:rPr>
          <w:rFonts w:hint="eastAsia" w:ascii="宋体" w:hAnsi="宋体" w:eastAsia="宋体" w:cs="Times New Roman"/>
          <w:kern w:val="0"/>
          <w:szCs w:val="21"/>
        </w:rPr>
        <w:t>推荐中标候选人</w:t>
      </w:r>
    </w:p>
    <w:p w14:paraId="2054949C">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宋体"/>
          <w:kern w:val="0"/>
          <w:szCs w:val="21"/>
        </w:rPr>
        <w:t>经评审后，评标委员会按综合评分由高到低顺序</w:t>
      </w:r>
      <w:r>
        <w:rPr>
          <w:rFonts w:hint="eastAsia" w:ascii="宋体" w:hAnsi="宋体" w:eastAsia="宋体" w:cs="Times New Roman"/>
          <w:kern w:val="0"/>
          <w:szCs w:val="20"/>
        </w:rPr>
        <w:t>推荐</w:t>
      </w:r>
      <w:r>
        <w:rPr>
          <w:rFonts w:ascii="宋体" w:hAnsi="宋体" w:eastAsia="宋体" w:cs="Times New Roman"/>
          <w:kern w:val="0"/>
          <w:szCs w:val="20"/>
        </w:rPr>
        <w:t>3</w:t>
      </w:r>
      <w:r>
        <w:rPr>
          <w:rFonts w:hint="eastAsia" w:ascii="宋体" w:hAnsi="宋体" w:eastAsia="宋体" w:cs="Times New Roman"/>
          <w:kern w:val="0"/>
          <w:szCs w:val="20"/>
        </w:rPr>
        <w:t>名中标候选人（当中标候选人不足</w:t>
      </w:r>
      <w:r>
        <w:rPr>
          <w:rFonts w:ascii="宋体" w:hAnsi="宋体" w:eastAsia="宋体" w:cs="Times New Roman"/>
          <w:kern w:val="0"/>
          <w:szCs w:val="20"/>
        </w:rPr>
        <w:t>3</w:t>
      </w:r>
      <w:r>
        <w:rPr>
          <w:rFonts w:hint="eastAsia" w:ascii="宋体" w:hAnsi="宋体" w:eastAsia="宋体" w:cs="Times New Roman"/>
          <w:kern w:val="0"/>
          <w:szCs w:val="20"/>
        </w:rPr>
        <w:t>名时按实际数量推荐），并标明排序</w:t>
      </w:r>
      <w:r>
        <w:rPr>
          <w:rFonts w:hint="eastAsia" w:ascii="宋体" w:hAnsi="宋体" w:eastAsia="宋体" w:cs="宋体"/>
          <w:kern w:val="0"/>
          <w:szCs w:val="21"/>
        </w:rPr>
        <w:t>。综合评分相同时，则技术得分较高的排名靠前；如技术得分也相同，则价格得分较高的排名靠前；如价格得分也相同，</w:t>
      </w:r>
      <w:bookmarkStart w:id="281" w:name="_Hlk31877730"/>
      <w:r>
        <w:rPr>
          <w:rFonts w:hint="eastAsia" w:ascii="宋体" w:hAnsi="宋体" w:eastAsia="宋体" w:cs="宋体"/>
          <w:kern w:val="0"/>
          <w:szCs w:val="21"/>
        </w:rPr>
        <w:t>则由评标委员会采用记名投票方式确定</w:t>
      </w:r>
      <w:bookmarkEnd w:id="281"/>
      <w:r>
        <w:rPr>
          <w:rFonts w:hint="eastAsia" w:ascii="宋体" w:hAnsi="宋体" w:eastAsia="宋体" w:cs="宋体"/>
          <w:kern w:val="0"/>
          <w:szCs w:val="21"/>
        </w:rPr>
        <w:t>。</w:t>
      </w:r>
    </w:p>
    <w:p w14:paraId="271BA0DC">
      <w:pPr>
        <w:wordWrap w:val="0"/>
        <w:spacing w:line="360" w:lineRule="auto"/>
        <w:ind w:firstLine="420" w:firstLineChars="200"/>
        <w:rPr>
          <w:rFonts w:hint="eastAsia" w:ascii="宋体" w:hAnsi="宋体" w:eastAsia="宋体" w:cs="Times New Roman"/>
          <w:kern w:val="0"/>
          <w:szCs w:val="21"/>
        </w:rPr>
      </w:pPr>
      <w:r>
        <w:rPr>
          <w:rFonts w:ascii="宋体" w:hAnsi="宋体" w:eastAsia="宋体" w:cs="Times New Roman"/>
          <w:kern w:val="0"/>
          <w:szCs w:val="21"/>
        </w:rPr>
        <w:t xml:space="preserve">6.4.3 </w:t>
      </w:r>
      <w:r>
        <w:rPr>
          <w:rFonts w:hint="eastAsia" w:ascii="宋体" w:hAnsi="宋体" w:eastAsia="宋体" w:cs="宋体"/>
          <w:kern w:val="0"/>
          <w:szCs w:val="21"/>
        </w:rPr>
        <w:t>评标委员会完成评标后，应当向招标人提交书面评标报告。</w:t>
      </w:r>
      <w:r>
        <w:rPr>
          <w:rFonts w:ascii="宋体" w:hAnsi="宋体" w:eastAsia="宋体" w:cs="宋体"/>
          <w:bCs/>
          <w:kern w:val="0"/>
          <w:szCs w:val="21"/>
        </w:rPr>
        <w:t>评标报告由评标委员会成员起草，按少数服从多数的原则通过。评标委员会全体成员应在评标报告上签字确认，评标专家如有保留意见可以在评标报告中阐明</w:t>
      </w:r>
      <w:r>
        <w:rPr>
          <w:rFonts w:hint="eastAsia" w:ascii="宋体" w:hAnsi="宋体" w:eastAsia="宋体" w:cs="宋体"/>
          <w:bCs/>
          <w:kern w:val="0"/>
          <w:szCs w:val="21"/>
        </w:rPr>
        <w:t>。</w:t>
      </w:r>
      <w:r>
        <w:rPr>
          <w:rFonts w:hint="eastAsia" w:ascii="宋体" w:hAnsi="宋体" w:eastAsia="宋体" w:cs="Times New Roman"/>
          <w:szCs w:val="24"/>
        </w:rPr>
        <w:t>评标委员会成员拒绝在评审报告中签字又不书面说明其不同意见和理由的，视为同意评审结果。</w:t>
      </w:r>
    </w:p>
    <w:p w14:paraId="48C305FF">
      <w:pPr>
        <w:wordWrap w:val="0"/>
        <w:spacing w:line="360" w:lineRule="auto"/>
        <w:ind w:firstLine="420" w:firstLineChars="200"/>
        <w:rPr>
          <w:rFonts w:hint="eastAsia" w:ascii="宋体" w:hAnsi="宋体" w:eastAsia="宋体" w:cs="宋体"/>
          <w:kern w:val="0"/>
          <w:szCs w:val="21"/>
        </w:rPr>
      </w:pPr>
      <w:r>
        <w:rPr>
          <w:rFonts w:ascii="宋体" w:hAnsi="宋体" w:eastAsia="宋体" w:cs="Times New Roman"/>
          <w:kern w:val="0"/>
          <w:szCs w:val="21"/>
        </w:rPr>
        <w:t>6.4.4</w:t>
      </w:r>
      <w:r>
        <w:rPr>
          <w:rFonts w:hint="eastAsia" w:ascii="宋体" w:hAnsi="宋体" w:eastAsia="宋体" w:cs="宋体"/>
          <w:kern w:val="0"/>
          <w:szCs w:val="21"/>
        </w:rPr>
        <w:t>评标委员会应将评标过程中使用的文件、表格以及其他材料即时归还招标人。</w:t>
      </w:r>
    </w:p>
    <w:p w14:paraId="36A94602">
      <w:pPr>
        <w:wordWrap w:val="0"/>
        <w:spacing w:line="360" w:lineRule="auto"/>
        <w:ind w:firstLine="422" w:firstLineChars="200"/>
        <w:rPr>
          <w:rFonts w:hint="eastAsia" w:ascii="宋体" w:hAnsi="宋体" w:eastAsia="宋体" w:cs="宋体"/>
          <w:b/>
          <w:bCs/>
          <w:kern w:val="0"/>
          <w:szCs w:val="21"/>
        </w:rPr>
      </w:pPr>
      <w:r>
        <w:rPr>
          <w:rFonts w:ascii="宋体" w:hAnsi="宋体" w:eastAsia="宋体" w:cs="宋体"/>
          <w:b/>
          <w:bCs/>
          <w:kern w:val="0"/>
          <w:szCs w:val="21"/>
        </w:rPr>
        <w:t>本评标办法由</w:t>
      </w:r>
      <w:r>
        <w:rPr>
          <w:rFonts w:hint="eastAsia" w:ascii="宋体" w:hAnsi="宋体" w:eastAsia="宋体" w:cs="宋体"/>
          <w:b/>
          <w:bCs/>
          <w:kern w:val="0"/>
          <w:szCs w:val="21"/>
        </w:rPr>
        <w:t>南宁轨道交通集团有限责任公司</w:t>
      </w:r>
      <w:r>
        <w:rPr>
          <w:rFonts w:ascii="宋体" w:hAnsi="宋体" w:eastAsia="宋体" w:cs="宋体"/>
          <w:b/>
          <w:bCs/>
          <w:kern w:val="0"/>
          <w:szCs w:val="21"/>
        </w:rPr>
        <w:t>负责解释</w:t>
      </w:r>
      <w:r>
        <w:rPr>
          <w:rFonts w:hint="eastAsia" w:ascii="宋体" w:hAnsi="宋体" w:eastAsia="宋体" w:cs="宋体"/>
          <w:b/>
          <w:bCs/>
          <w:kern w:val="0"/>
          <w:szCs w:val="21"/>
        </w:rPr>
        <w:t>。</w:t>
      </w:r>
    </w:p>
    <w:bookmarkEnd w:id="254"/>
    <w:bookmarkEnd w:id="255"/>
    <w:bookmarkEnd w:id="256"/>
    <w:bookmarkEnd w:id="257"/>
    <w:bookmarkEnd w:id="258"/>
    <w:p w14:paraId="73D40E3B">
      <w:pPr>
        <w:keepNext w:val="0"/>
        <w:keepLines w:val="0"/>
        <w:pageBreakBefore w:val="0"/>
        <w:wordWrap/>
        <w:spacing w:line="240" w:lineRule="auto"/>
        <w:ind w:left="0" w:firstLine="0" w:firstLineChars="0"/>
        <w:outlineLvl w:val="9"/>
        <w:rPr>
          <w:rFonts w:hint="eastAsia" w:ascii="Arial" w:hAnsi="Arial" w:eastAsia="宋体" w:cs="Times New Roman"/>
          <w:b/>
          <w:bCs/>
          <w:kern w:val="0"/>
          <w:sz w:val="24"/>
          <w:szCs w:val="28"/>
        </w:rPr>
      </w:pPr>
      <w:r>
        <w:rPr>
          <w:rFonts w:hint="eastAsia" w:ascii="Arial" w:hAnsi="Arial" w:eastAsia="宋体" w:cs="Times New Roman"/>
          <w:b/>
          <w:bCs/>
          <w:kern w:val="0"/>
          <w:sz w:val="24"/>
          <w:szCs w:val="28"/>
        </w:rPr>
        <w:br w:type="page"/>
      </w:r>
    </w:p>
    <w:p w14:paraId="7BD875C5">
      <w:pPr>
        <w:keepNext/>
        <w:keepLines/>
        <w:pageBreakBefore w:val="0"/>
        <w:wordWrap w:val="0"/>
        <w:spacing w:line="360" w:lineRule="auto"/>
        <w:ind w:left="482" w:hanging="482" w:hangingChars="200"/>
        <w:outlineLvl w:val="2"/>
        <w:rPr>
          <w:rFonts w:hint="eastAsia" w:ascii="宋体" w:hAnsi="宋体" w:eastAsia="宋体" w:cs="Times New Roman"/>
          <w:szCs w:val="24"/>
        </w:rPr>
      </w:pPr>
      <w:r>
        <w:rPr>
          <w:rFonts w:hint="eastAsia" w:ascii="Arial" w:hAnsi="Arial" w:eastAsia="宋体" w:cs="Times New Roman"/>
          <w:b/>
          <w:bCs/>
          <w:kern w:val="0"/>
          <w:sz w:val="24"/>
          <w:szCs w:val="28"/>
        </w:rPr>
        <w:t>附表一：</w:t>
      </w:r>
      <w:r>
        <w:rPr>
          <w:rFonts w:ascii="Arial" w:hAnsi="Arial" w:eastAsia="宋体" w:cs="Times New Roman"/>
          <w:b/>
          <w:bCs/>
          <w:kern w:val="0"/>
          <w:sz w:val="24"/>
          <w:szCs w:val="28"/>
        </w:rPr>
        <w:t>资格审查</w:t>
      </w:r>
      <w:r>
        <w:rPr>
          <w:rFonts w:hint="eastAsia" w:ascii="Arial" w:hAnsi="Arial" w:eastAsia="宋体" w:cs="Times New Roman"/>
          <w:b/>
          <w:bCs/>
          <w:kern w:val="0"/>
          <w:sz w:val="24"/>
          <w:szCs w:val="28"/>
        </w:rPr>
        <w:t>表</w:t>
      </w:r>
    </w:p>
    <w:tbl>
      <w:tblPr>
        <w:tblStyle w:val="90"/>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8"/>
        <w:gridCol w:w="1439"/>
        <w:gridCol w:w="3550"/>
        <w:gridCol w:w="3261"/>
        <w:gridCol w:w="1089"/>
      </w:tblGrid>
      <w:tr w14:paraId="301C2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498" w:type="dxa"/>
            <w:vAlign w:val="center"/>
          </w:tcPr>
          <w:p w14:paraId="131614F9">
            <w:pPr>
              <w:wordWrap w:val="0"/>
              <w:spacing w:line="360" w:lineRule="exact"/>
              <w:rPr>
                <w:rFonts w:hint="eastAsia" w:ascii="宋体" w:hAnsi="宋体" w:eastAsia="宋体" w:cs="Times New Roman"/>
                <w:b/>
                <w:szCs w:val="21"/>
              </w:rPr>
            </w:pPr>
            <w:r>
              <w:rPr>
                <w:rFonts w:ascii="宋体" w:hAnsi="宋体" w:eastAsia="宋体" w:cs="Times New Roman"/>
                <w:b/>
                <w:szCs w:val="21"/>
              </w:rPr>
              <w:t>序号</w:t>
            </w:r>
          </w:p>
        </w:tc>
        <w:tc>
          <w:tcPr>
            <w:tcW w:w="1439" w:type="dxa"/>
            <w:vAlign w:val="center"/>
          </w:tcPr>
          <w:p w14:paraId="787BF3E5">
            <w:pPr>
              <w:wordWrap w:val="0"/>
              <w:spacing w:line="360" w:lineRule="exact"/>
              <w:jc w:val="center"/>
              <w:rPr>
                <w:rFonts w:hint="eastAsia" w:ascii="宋体" w:hAnsi="宋体" w:eastAsia="宋体" w:cs="Times New Roman"/>
                <w:b/>
                <w:szCs w:val="21"/>
              </w:rPr>
            </w:pPr>
            <w:r>
              <w:rPr>
                <w:rFonts w:ascii="宋体" w:hAnsi="宋体" w:eastAsia="宋体" w:cs="Times New Roman"/>
                <w:b/>
                <w:szCs w:val="21"/>
              </w:rPr>
              <w:t>内容</w:t>
            </w:r>
          </w:p>
        </w:tc>
        <w:tc>
          <w:tcPr>
            <w:tcW w:w="3550" w:type="dxa"/>
            <w:vAlign w:val="center"/>
          </w:tcPr>
          <w:p w14:paraId="6E96119E">
            <w:pPr>
              <w:wordWrap w:val="0"/>
              <w:spacing w:line="360" w:lineRule="exact"/>
              <w:jc w:val="center"/>
              <w:rPr>
                <w:rFonts w:hint="eastAsia" w:ascii="宋体" w:hAnsi="宋体" w:eastAsia="宋体" w:cs="Times New Roman"/>
                <w:b/>
                <w:szCs w:val="21"/>
              </w:rPr>
            </w:pPr>
            <w:r>
              <w:rPr>
                <w:rFonts w:ascii="宋体" w:hAnsi="宋体" w:eastAsia="宋体" w:cs="Times New Roman"/>
                <w:b/>
                <w:szCs w:val="21"/>
              </w:rPr>
              <w:t>合格条件标准</w:t>
            </w:r>
          </w:p>
        </w:tc>
        <w:tc>
          <w:tcPr>
            <w:tcW w:w="3261" w:type="dxa"/>
            <w:vAlign w:val="center"/>
          </w:tcPr>
          <w:p w14:paraId="7D74C770">
            <w:pPr>
              <w:wordWrap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评审依据</w:t>
            </w:r>
          </w:p>
        </w:tc>
        <w:tc>
          <w:tcPr>
            <w:tcW w:w="1089" w:type="dxa"/>
            <w:vAlign w:val="center"/>
          </w:tcPr>
          <w:p w14:paraId="1504D4F2">
            <w:pPr>
              <w:wordWrap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评审结果（合格/不合格）</w:t>
            </w:r>
          </w:p>
        </w:tc>
      </w:tr>
      <w:tr w14:paraId="77932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498" w:type="dxa"/>
            <w:vAlign w:val="center"/>
          </w:tcPr>
          <w:p w14:paraId="411793C7">
            <w:pPr>
              <w:wordWrap w:val="0"/>
              <w:spacing w:line="360" w:lineRule="exact"/>
              <w:jc w:val="center"/>
              <w:rPr>
                <w:rFonts w:hint="eastAsia" w:ascii="宋体" w:hAnsi="宋体" w:eastAsia="宋体" w:cs="Times New Roman"/>
                <w:szCs w:val="21"/>
              </w:rPr>
            </w:pPr>
            <w:r>
              <w:rPr>
                <w:rFonts w:ascii="宋体" w:hAnsi="宋体" w:eastAsia="宋体" w:cs="Times New Roman"/>
                <w:szCs w:val="21"/>
              </w:rPr>
              <w:t>1</w:t>
            </w:r>
          </w:p>
        </w:tc>
        <w:tc>
          <w:tcPr>
            <w:tcW w:w="1439" w:type="dxa"/>
            <w:vAlign w:val="center"/>
          </w:tcPr>
          <w:p w14:paraId="31868BB4">
            <w:pPr>
              <w:wordWrap w:val="0"/>
              <w:spacing w:line="360" w:lineRule="exact"/>
              <w:rPr>
                <w:rFonts w:hint="eastAsia" w:ascii="宋体" w:hAnsi="宋体" w:eastAsia="宋体" w:cs="Times New Roman"/>
                <w:szCs w:val="21"/>
              </w:rPr>
            </w:pPr>
            <w:bookmarkStart w:id="282" w:name="OLE_LINK133"/>
            <w:bookmarkStart w:id="283" w:name="OLE_LINK132"/>
            <w:r>
              <w:rPr>
                <w:rFonts w:ascii="宋体" w:hAnsi="宋体" w:eastAsia="宋体" w:cs="Times New Roman"/>
                <w:szCs w:val="21"/>
              </w:rPr>
              <w:t>法定代表人身份证明或授权委托人身份证</w:t>
            </w:r>
            <w:bookmarkEnd w:id="282"/>
            <w:bookmarkEnd w:id="283"/>
          </w:p>
        </w:tc>
        <w:tc>
          <w:tcPr>
            <w:tcW w:w="3550" w:type="dxa"/>
            <w:vAlign w:val="center"/>
          </w:tcPr>
          <w:p w14:paraId="6FA67E64">
            <w:pPr>
              <w:wordWrap w:val="0"/>
              <w:spacing w:line="360" w:lineRule="exact"/>
              <w:rPr>
                <w:rFonts w:hint="eastAsia" w:ascii="宋体" w:hAnsi="宋体" w:eastAsia="宋体" w:cs="Times New Roman"/>
                <w:szCs w:val="21"/>
              </w:rPr>
            </w:pPr>
            <w:bookmarkStart w:id="284" w:name="OLE_LINK134"/>
            <w:r>
              <w:rPr>
                <w:rFonts w:ascii="宋体" w:hAnsi="宋体" w:eastAsia="宋体" w:cs="Times New Roman"/>
                <w:szCs w:val="21"/>
              </w:rPr>
              <w:t>有效的法定代表人</w:t>
            </w:r>
            <w:r>
              <w:rPr>
                <w:rFonts w:hint="eastAsia" w:ascii="宋体" w:hAnsi="宋体" w:eastAsia="宋体" w:cs="Times New Roman"/>
                <w:szCs w:val="21"/>
              </w:rPr>
              <w:t>身份</w:t>
            </w:r>
            <w:r>
              <w:rPr>
                <w:rFonts w:ascii="宋体" w:hAnsi="宋体" w:eastAsia="宋体" w:cs="Times New Roman"/>
                <w:szCs w:val="21"/>
              </w:rPr>
              <w:t>证明（附身份证</w:t>
            </w:r>
            <w:r>
              <w:rPr>
                <w:rFonts w:hint="eastAsia" w:ascii="宋体" w:hAnsi="宋体" w:eastAsia="宋体" w:cs="Times New Roman"/>
                <w:szCs w:val="21"/>
              </w:rPr>
              <w:t>复印件</w:t>
            </w:r>
            <w:r>
              <w:rPr>
                <w:rFonts w:ascii="宋体" w:hAnsi="宋体" w:eastAsia="宋体" w:cs="Times New Roman"/>
                <w:szCs w:val="21"/>
              </w:rPr>
              <w:t>）或法人授权委托书（附身份证</w:t>
            </w:r>
            <w:r>
              <w:rPr>
                <w:rFonts w:hint="eastAsia" w:ascii="宋体" w:hAnsi="宋体" w:eastAsia="宋体" w:cs="Times New Roman"/>
                <w:szCs w:val="21"/>
              </w:rPr>
              <w:t>复印件</w:t>
            </w:r>
            <w:r>
              <w:rPr>
                <w:rFonts w:ascii="宋体" w:hAnsi="宋体" w:eastAsia="宋体" w:cs="Times New Roman"/>
                <w:szCs w:val="21"/>
              </w:rPr>
              <w:t>，授权代理时提供）。</w:t>
            </w:r>
            <w:bookmarkEnd w:id="284"/>
          </w:p>
        </w:tc>
        <w:tc>
          <w:tcPr>
            <w:tcW w:w="3261" w:type="dxa"/>
            <w:vAlign w:val="center"/>
          </w:tcPr>
          <w:p w14:paraId="2EFC6C7E">
            <w:pPr>
              <w:wordWrap w:val="0"/>
              <w:spacing w:line="360" w:lineRule="exact"/>
              <w:rPr>
                <w:rFonts w:hint="eastAsia" w:ascii="宋体" w:hAnsi="宋体" w:eastAsia="宋体" w:cs="Times New Roman"/>
                <w:szCs w:val="21"/>
              </w:rPr>
            </w:pPr>
            <w:bookmarkStart w:id="285" w:name="OLE_LINK135"/>
            <w:bookmarkStart w:id="286" w:name="OLE_LINK136"/>
            <w:r>
              <w:rPr>
                <w:rFonts w:hint="eastAsia" w:ascii="宋体" w:hAnsi="宋体" w:eastAsia="宋体" w:cs="Times New Roman"/>
                <w:szCs w:val="21"/>
              </w:rPr>
              <w:t>法定代表人身份证明原件及身份证、委托代理人身份证等材料的复印件（委托代理人签署投标文件时提供）。</w:t>
            </w:r>
            <w:bookmarkEnd w:id="285"/>
            <w:bookmarkEnd w:id="286"/>
          </w:p>
        </w:tc>
        <w:tc>
          <w:tcPr>
            <w:tcW w:w="1089" w:type="dxa"/>
            <w:vAlign w:val="center"/>
          </w:tcPr>
          <w:p w14:paraId="2A297E7C">
            <w:pPr>
              <w:wordWrap w:val="0"/>
              <w:spacing w:line="360" w:lineRule="exact"/>
              <w:ind w:firstLine="420" w:firstLineChars="200"/>
              <w:rPr>
                <w:rFonts w:hint="eastAsia" w:ascii="宋体" w:hAnsi="宋体" w:eastAsia="宋体" w:cs="Times New Roman"/>
                <w:szCs w:val="21"/>
              </w:rPr>
            </w:pPr>
          </w:p>
        </w:tc>
      </w:tr>
      <w:tr w14:paraId="0A0E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498" w:type="dxa"/>
            <w:vAlign w:val="center"/>
          </w:tcPr>
          <w:p w14:paraId="7543D756">
            <w:pPr>
              <w:wordWrap w:val="0"/>
              <w:spacing w:line="360" w:lineRule="exact"/>
              <w:jc w:val="center"/>
              <w:rPr>
                <w:rFonts w:hint="eastAsia" w:ascii="宋体" w:hAnsi="宋体" w:eastAsia="宋体" w:cs="Times New Roman"/>
                <w:szCs w:val="21"/>
              </w:rPr>
            </w:pPr>
            <w:r>
              <w:rPr>
                <w:rFonts w:ascii="宋体" w:hAnsi="宋体" w:eastAsia="宋体" w:cs="Times New Roman"/>
                <w:szCs w:val="21"/>
              </w:rPr>
              <w:t>2</w:t>
            </w:r>
          </w:p>
        </w:tc>
        <w:tc>
          <w:tcPr>
            <w:tcW w:w="1439" w:type="dxa"/>
            <w:vAlign w:val="center"/>
          </w:tcPr>
          <w:p w14:paraId="779FAAC3">
            <w:pPr>
              <w:wordWrap w:val="0"/>
              <w:spacing w:line="360" w:lineRule="exact"/>
              <w:rPr>
                <w:rFonts w:hint="eastAsia" w:ascii="宋体" w:hAnsi="宋体" w:eastAsia="宋体" w:cs="Times New Roman"/>
                <w:szCs w:val="21"/>
              </w:rPr>
            </w:pPr>
            <w:bookmarkStart w:id="287" w:name="OLE_LINK138"/>
            <w:bookmarkStart w:id="288" w:name="OLE_LINK137"/>
            <w:r>
              <w:rPr>
                <w:rFonts w:hint="eastAsia" w:ascii="宋体" w:hAnsi="宋体" w:eastAsia="宋体" w:cs="Times New Roman"/>
                <w:szCs w:val="24"/>
              </w:rPr>
              <w:t>投标人资格</w:t>
            </w:r>
            <w:bookmarkEnd w:id="287"/>
            <w:bookmarkEnd w:id="288"/>
          </w:p>
        </w:tc>
        <w:tc>
          <w:tcPr>
            <w:tcW w:w="3550" w:type="dxa"/>
            <w:vAlign w:val="center"/>
          </w:tcPr>
          <w:p w14:paraId="69337A2D">
            <w:pPr>
              <w:wordWrap w:val="0"/>
              <w:spacing w:line="360" w:lineRule="exact"/>
              <w:rPr>
                <w:rFonts w:hint="eastAsia" w:ascii="宋体" w:hAnsi="宋体" w:eastAsia="宋体" w:cs="Times New Roman"/>
                <w:szCs w:val="21"/>
              </w:rPr>
            </w:pPr>
            <w:bookmarkStart w:id="289" w:name="OLE_LINK139"/>
            <w:r>
              <w:rPr>
                <w:rFonts w:hint="eastAsia" w:ascii="宋体" w:hAnsi="宋体" w:eastAsia="宋体" w:cs="Times New Roman"/>
                <w:szCs w:val="21"/>
              </w:rPr>
              <w:t>投标人为中华人民共和国境内依法设立的法人或其他组织（若以分公司名义参与投标的须出具总公司授权参与的证明）。</w:t>
            </w:r>
            <w:bookmarkEnd w:id="289"/>
          </w:p>
        </w:tc>
        <w:tc>
          <w:tcPr>
            <w:tcW w:w="3261" w:type="dxa"/>
            <w:vAlign w:val="center"/>
          </w:tcPr>
          <w:p w14:paraId="48548FBD">
            <w:pPr>
              <w:wordWrap w:val="0"/>
              <w:spacing w:line="360" w:lineRule="exact"/>
              <w:rPr>
                <w:rFonts w:hint="eastAsia" w:ascii="宋体" w:hAnsi="宋体" w:eastAsia="宋体" w:cs="Times New Roman"/>
                <w:szCs w:val="21"/>
              </w:rPr>
            </w:pPr>
            <w:bookmarkStart w:id="290" w:name="OLE_LINK141"/>
            <w:bookmarkStart w:id="291" w:name="OLE_LINK140"/>
            <w:r>
              <w:rPr>
                <w:rFonts w:hint="eastAsia" w:ascii="Times New Roman" w:hAnsi="Times New Roman" w:eastAsia="宋体" w:cs="Times New Roman"/>
                <w:szCs w:val="24"/>
              </w:rPr>
              <w:t>投标人有效的</w:t>
            </w:r>
            <w:r>
              <w:rPr>
                <w:rFonts w:hint="eastAsia" w:ascii="宋体" w:hAnsi="宋体" w:eastAsia="宋体" w:cs="Times New Roman"/>
                <w:szCs w:val="24"/>
              </w:rPr>
              <w:t>营业执照副本或事业单位法人证书等证明文件复印件。</w:t>
            </w:r>
            <w:bookmarkEnd w:id="290"/>
            <w:bookmarkEnd w:id="291"/>
          </w:p>
        </w:tc>
        <w:tc>
          <w:tcPr>
            <w:tcW w:w="1089" w:type="dxa"/>
            <w:vAlign w:val="center"/>
          </w:tcPr>
          <w:p w14:paraId="35524A31">
            <w:pPr>
              <w:wordWrap w:val="0"/>
              <w:spacing w:line="360" w:lineRule="exact"/>
              <w:ind w:firstLine="420" w:firstLineChars="200"/>
              <w:rPr>
                <w:rFonts w:hint="eastAsia" w:ascii="宋体" w:hAnsi="宋体" w:eastAsia="宋体" w:cs="Times New Roman"/>
                <w:szCs w:val="21"/>
              </w:rPr>
            </w:pPr>
          </w:p>
        </w:tc>
      </w:tr>
      <w:tr w14:paraId="10631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498" w:type="dxa"/>
            <w:vAlign w:val="center"/>
          </w:tcPr>
          <w:p w14:paraId="47DE9346">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3</w:t>
            </w:r>
          </w:p>
        </w:tc>
        <w:tc>
          <w:tcPr>
            <w:tcW w:w="1439" w:type="dxa"/>
            <w:vAlign w:val="center"/>
          </w:tcPr>
          <w:p w14:paraId="1801D126">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企业业绩</w:t>
            </w:r>
          </w:p>
        </w:tc>
        <w:tc>
          <w:tcPr>
            <w:tcW w:w="3550" w:type="dxa"/>
            <w:vAlign w:val="center"/>
          </w:tcPr>
          <w:p w14:paraId="7B0B628E">
            <w:pPr>
              <w:wordWrap w:val="0"/>
              <w:spacing w:line="360" w:lineRule="auto"/>
              <w:ind w:firstLine="0" w:firstLineChars="0"/>
              <w:textAlignment w:val="baseline"/>
              <w:rPr>
                <w:rFonts w:hint="eastAsia" w:ascii="宋体" w:hAnsi="宋体" w:eastAsia="宋体" w:cs="Times New Roman"/>
                <w:szCs w:val="21"/>
              </w:rPr>
            </w:pPr>
            <w:bookmarkStart w:id="292" w:name="OLE_LINK142"/>
            <w:bookmarkStart w:id="293" w:name="OLE_LINK143"/>
            <w:r>
              <w:rPr>
                <w:rFonts w:hint="eastAsia" w:ascii="宋体" w:hAnsi="宋体" w:eastAsia="宋体" w:cs="Times New Roman"/>
                <w:szCs w:val="21"/>
              </w:rPr>
              <w:t>自2021年1月1日至投标截止时间止（业绩时间以合同签订时间为准），投标人须具有</w:t>
            </w:r>
            <w:r>
              <w:rPr>
                <w:rFonts w:hint="eastAsia" w:ascii="宋体" w:hAnsi="宋体" w:eastAsia="宋体" w:cs="Times New Roman"/>
                <w:szCs w:val="21"/>
                <w:lang w:eastAsia="zh-CN"/>
              </w:rPr>
              <w:t>公共交通行业</w:t>
            </w:r>
            <w:r>
              <w:rPr>
                <w:rFonts w:hint="eastAsia" w:ascii="宋体" w:hAnsi="宋体" w:eastAsia="宋体" w:cs="Times New Roman"/>
                <w:szCs w:val="21"/>
              </w:rPr>
              <w:t>信息化系统或</w:t>
            </w:r>
            <w:r>
              <w:rPr>
                <w:rFonts w:hint="eastAsia" w:ascii="宋体" w:hAnsi="宋体" w:eastAsia="宋体" w:cs="Times New Roman"/>
                <w:szCs w:val="21"/>
                <w:lang w:eastAsia="zh-CN"/>
              </w:rPr>
              <w:t>公共交通行</w:t>
            </w:r>
            <w:r>
              <w:rPr>
                <w:rFonts w:hint="eastAsia" w:ascii="宋体" w:hAnsi="宋体" w:eastAsia="宋体" w:cs="Times New Roman"/>
                <w:szCs w:val="21"/>
                <w:highlight w:val="none"/>
                <w:lang w:eastAsia="zh-CN"/>
              </w:rPr>
              <w:t>业</w:t>
            </w:r>
            <w:r>
              <w:rPr>
                <w:rFonts w:hint="eastAsia" w:ascii="宋体" w:hAnsi="宋体" w:eastAsia="宋体" w:cs="Times New Roman"/>
                <w:szCs w:val="21"/>
                <w:highlight w:val="none"/>
              </w:rPr>
              <w:t>智慧化系统的系统集成或升级改造业绩。联合体业绩、分包业绩均不予认可。</w:t>
            </w:r>
            <w:bookmarkEnd w:id="292"/>
            <w:bookmarkEnd w:id="293"/>
          </w:p>
        </w:tc>
        <w:tc>
          <w:tcPr>
            <w:tcW w:w="3261" w:type="dxa"/>
            <w:vAlign w:val="center"/>
          </w:tcPr>
          <w:p w14:paraId="5EA3C8F3">
            <w:pPr>
              <w:wordWrap w:val="0"/>
              <w:spacing w:line="360" w:lineRule="exact"/>
              <w:rPr>
                <w:rFonts w:hint="eastAsia" w:ascii="宋体" w:hAnsi="宋体" w:eastAsia="宋体" w:cs="Times New Roman"/>
                <w:szCs w:val="21"/>
              </w:rPr>
            </w:pPr>
            <w:r>
              <w:rPr>
                <w:rFonts w:hint="eastAsia" w:ascii="宋体" w:hAnsi="宋体" w:eastAsia="宋体" w:cs="Times New Roman"/>
                <w:szCs w:val="21"/>
              </w:rPr>
              <w:t>须提供合同关键页或中标通知书等复印件证明材料，证明材料须体现出合同双方、合同签订时间、合同服务等内容，否则评审时不予承认该业绩</w:t>
            </w:r>
            <w:r>
              <w:rPr>
                <w:rFonts w:hint="eastAsia"/>
              </w:rPr>
              <w:t>。</w:t>
            </w:r>
          </w:p>
        </w:tc>
        <w:tc>
          <w:tcPr>
            <w:tcW w:w="1089" w:type="dxa"/>
            <w:vAlign w:val="center"/>
          </w:tcPr>
          <w:p w14:paraId="1BD0CDD9">
            <w:pPr>
              <w:wordWrap w:val="0"/>
              <w:spacing w:line="360" w:lineRule="exact"/>
              <w:ind w:firstLine="420" w:firstLineChars="200"/>
              <w:rPr>
                <w:rFonts w:hint="eastAsia" w:ascii="宋体" w:hAnsi="宋体" w:eastAsia="宋体" w:cs="Times New Roman"/>
                <w:szCs w:val="21"/>
              </w:rPr>
            </w:pPr>
          </w:p>
        </w:tc>
      </w:tr>
      <w:tr w14:paraId="24813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498" w:type="dxa"/>
            <w:vAlign w:val="center"/>
          </w:tcPr>
          <w:p w14:paraId="7A6585F1">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4</w:t>
            </w:r>
          </w:p>
        </w:tc>
        <w:tc>
          <w:tcPr>
            <w:tcW w:w="1439" w:type="dxa"/>
            <w:vAlign w:val="center"/>
          </w:tcPr>
          <w:p w14:paraId="677009CC">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承诺书</w:t>
            </w:r>
          </w:p>
        </w:tc>
        <w:tc>
          <w:tcPr>
            <w:tcW w:w="3550" w:type="dxa"/>
            <w:vAlign w:val="center"/>
          </w:tcPr>
          <w:p w14:paraId="195D9063">
            <w:pPr>
              <w:wordWrap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投标人没有处于被责令停业，或投标资格被行政主管部门取消，或财产被接管、冻结、破产状态，在投标截止前3年内没有骗取中标、严重违约或重大安全质量事故。</w:t>
            </w:r>
            <w:r>
              <w:rPr>
                <w:rFonts w:ascii="宋体" w:hAnsi="宋体" w:eastAsia="宋体" w:cs="Times New Roman"/>
                <w:b/>
                <w:spacing w:val="1"/>
                <w:kern w:val="0"/>
                <w:position w:val="-2"/>
                <w:szCs w:val="21"/>
              </w:rPr>
              <w:t>与其他投标人之间不存在单位负责人为同一人或者控股、管理关系的情况。</w:t>
            </w:r>
            <w:r>
              <w:rPr>
                <w:rFonts w:hint="eastAsia" w:ascii="宋体" w:hAnsi="宋体" w:eastAsia="宋体" w:cs="宋体"/>
                <w:b/>
                <w:bCs/>
                <w:szCs w:val="21"/>
              </w:rPr>
              <w:t>投标人未列入招标人不良信用名单。</w:t>
            </w:r>
          </w:p>
        </w:tc>
        <w:tc>
          <w:tcPr>
            <w:tcW w:w="3261" w:type="dxa"/>
            <w:vAlign w:val="center"/>
          </w:tcPr>
          <w:p w14:paraId="38A6E9E6">
            <w:pPr>
              <w:wordWrap w:val="0"/>
              <w:spacing w:line="360" w:lineRule="exact"/>
              <w:rPr>
                <w:rFonts w:ascii="Times New Roman" w:hAnsi="Times New Roman" w:eastAsia="宋体" w:cs="Times New Roman"/>
                <w:kern w:val="0"/>
                <w:szCs w:val="21"/>
              </w:rPr>
            </w:pPr>
            <w:r>
              <w:rPr>
                <w:rFonts w:hint="eastAsia" w:ascii="Times New Roman" w:hAnsi="Times New Roman" w:eastAsia="宋体" w:cs="Times New Roman"/>
                <w:kern w:val="0"/>
                <w:szCs w:val="21"/>
              </w:rPr>
              <w:t>按投标文件第六章规定的格式提供承诺书。</w:t>
            </w:r>
          </w:p>
        </w:tc>
        <w:tc>
          <w:tcPr>
            <w:tcW w:w="1089" w:type="dxa"/>
            <w:vAlign w:val="center"/>
          </w:tcPr>
          <w:p w14:paraId="297E9939">
            <w:pPr>
              <w:wordWrap w:val="0"/>
              <w:spacing w:line="360" w:lineRule="exact"/>
              <w:ind w:firstLine="420" w:firstLineChars="200"/>
              <w:rPr>
                <w:rFonts w:hint="eastAsia" w:ascii="宋体" w:hAnsi="宋体" w:eastAsia="宋体" w:cs="Times New Roman"/>
                <w:szCs w:val="21"/>
              </w:rPr>
            </w:pPr>
          </w:p>
        </w:tc>
      </w:tr>
      <w:tr w14:paraId="0DED1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498" w:type="dxa"/>
            <w:vAlign w:val="center"/>
          </w:tcPr>
          <w:p w14:paraId="6E982335">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5</w:t>
            </w:r>
          </w:p>
        </w:tc>
        <w:tc>
          <w:tcPr>
            <w:tcW w:w="1439" w:type="dxa"/>
            <w:vAlign w:val="center"/>
          </w:tcPr>
          <w:p w14:paraId="1368D47B">
            <w:pPr>
              <w:wordWrap w:val="0"/>
              <w:spacing w:line="360" w:lineRule="exact"/>
              <w:rPr>
                <w:rFonts w:hint="eastAsia" w:ascii="宋体" w:hAnsi="宋体" w:eastAsia="宋体" w:cs="Times New Roman"/>
                <w:szCs w:val="21"/>
              </w:rPr>
            </w:pPr>
            <w:bookmarkStart w:id="294" w:name="OLE_LINK145"/>
            <w:bookmarkStart w:id="295" w:name="OLE_LINK146"/>
            <w:r>
              <w:rPr>
                <w:rFonts w:hint="eastAsia" w:ascii="宋体" w:hAnsi="宋体" w:eastAsia="宋体" w:cs="Times New Roman"/>
                <w:szCs w:val="21"/>
              </w:rPr>
              <w:t>联合体投标</w:t>
            </w:r>
            <w:bookmarkEnd w:id="294"/>
            <w:bookmarkEnd w:id="295"/>
          </w:p>
        </w:tc>
        <w:tc>
          <w:tcPr>
            <w:tcW w:w="3550" w:type="dxa"/>
            <w:vAlign w:val="center"/>
          </w:tcPr>
          <w:p w14:paraId="1157CB45">
            <w:pPr>
              <w:wordWrap w:val="0"/>
              <w:spacing w:line="360" w:lineRule="exact"/>
              <w:rPr>
                <w:rFonts w:hint="eastAsia" w:ascii="宋体" w:hAnsi="宋体" w:eastAsia="宋体" w:cs="Times New Roman"/>
                <w:szCs w:val="24"/>
              </w:rPr>
            </w:pPr>
            <w:bookmarkStart w:id="296" w:name="OLE_LINK147"/>
            <w:r>
              <w:rPr>
                <w:rFonts w:hint="eastAsia" w:ascii="宋体" w:hAnsi="宋体" w:eastAsia="宋体" w:cs="Times New Roman"/>
                <w:szCs w:val="24"/>
              </w:rPr>
              <w:t>本项目不接受联合体投标。</w:t>
            </w:r>
            <w:bookmarkEnd w:id="296"/>
          </w:p>
        </w:tc>
        <w:tc>
          <w:tcPr>
            <w:tcW w:w="3261" w:type="dxa"/>
            <w:vAlign w:val="center"/>
          </w:tcPr>
          <w:p w14:paraId="72F26E42">
            <w:pPr>
              <w:wordWrap w:val="0"/>
              <w:spacing w:line="360" w:lineRule="exact"/>
              <w:rPr>
                <w:rFonts w:hint="eastAsia" w:ascii="宋体" w:hAnsi="宋体" w:eastAsia="宋体" w:cs="Times New Roman"/>
                <w:szCs w:val="24"/>
              </w:rPr>
            </w:pPr>
            <w:bookmarkStart w:id="297" w:name="OLE_LINK149"/>
            <w:bookmarkStart w:id="298" w:name="OLE_LINK148"/>
            <w:r>
              <w:rPr>
                <w:rFonts w:hint="eastAsia" w:ascii="MS Gothic" w:hAnsi="MS Gothic" w:eastAsia="宋体" w:cs="MS Gothic"/>
                <w:szCs w:val="24"/>
              </w:rPr>
              <w:t>投标人为非</w:t>
            </w:r>
            <w:r>
              <w:rPr>
                <w:rFonts w:hint="eastAsia" w:ascii="宋体" w:hAnsi="宋体" w:eastAsia="宋体" w:cs="Times New Roman"/>
                <w:szCs w:val="24"/>
              </w:rPr>
              <w:t>联合体。</w:t>
            </w:r>
            <w:bookmarkEnd w:id="297"/>
            <w:bookmarkEnd w:id="298"/>
          </w:p>
        </w:tc>
        <w:tc>
          <w:tcPr>
            <w:tcW w:w="1089" w:type="dxa"/>
            <w:vAlign w:val="center"/>
          </w:tcPr>
          <w:p w14:paraId="7A3641F6">
            <w:pPr>
              <w:wordWrap w:val="0"/>
              <w:spacing w:line="360" w:lineRule="exact"/>
              <w:ind w:firstLine="420" w:firstLineChars="200"/>
              <w:rPr>
                <w:rFonts w:hint="eastAsia" w:ascii="宋体" w:hAnsi="宋体" w:eastAsia="宋体" w:cs="Times New Roman"/>
                <w:szCs w:val="21"/>
              </w:rPr>
            </w:pPr>
          </w:p>
        </w:tc>
      </w:tr>
    </w:tbl>
    <w:p w14:paraId="7AEDCABA">
      <w:pPr>
        <w:wordWrap w:val="0"/>
        <w:ind w:firstLine="422" w:firstLineChars="200"/>
        <w:rPr>
          <w:rFonts w:hint="eastAsia" w:ascii="宋体" w:hAnsi="宋体" w:eastAsia="宋体" w:cs="Times New Roman"/>
          <w:b/>
          <w:szCs w:val="21"/>
        </w:rPr>
      </w:pPr>
      <w:r>
        <w:rPr>
          <w:rFonts w:ascii="宋体" w:hAnsi="宋体" w:eastAsia="宋体" w:cs="Times New Roman"/>
          <w:b/>
          <w:szCs w:val="21"/>
        </w:rPr>
        <w:t>注：</w:t>
      </w:r>
    </w:p>
    <w:p w14:paraId="50E51A4A">
      <w:pPr>
        <w:wordWrap w:val="0"/>
        <w:ind w:firstLine="422" w:firstLineChars="200"/>
        <w:rPr>
          <w:rFonts w:hint="eastAsia"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投标文件中的所有证明资料的复印件均应加盖投标人公章，原件备查；</w:t>
      </w:r>
    </w:p>
    <w:p w14:paraId="18C32EFD">
      <w:pPr>
        <w:wordWrap w:val="0"/>
        <w:ind w:firstLine="422" w:firstLineChars="200"/>
        <w:rPr>
          <w:rFonts w:hint="eastAsia" w:ascii="宋体" w:hAnsi="宋体" w:eastAsia="宋体" w:cs="Times New Roman"/>
          <w:b/>
          <w:szCs w:val="21"/>
        </w:rPr>
      </w:pPr>
      <w:r>
        <w:rPr>
          <w:rFonts w:hint="eastAsia" w:ascii="宋体" w:hAnsi="宋体" w:eastAsia="宋体" w:cs="Times New Roman"/>
          <w:b/>
          <w:szCs w:val="21"/>
        </w:rPr>
        <w:t>2</w:t>
      </w:r>
      <w:r>
        <w:rPr>
          <w:rFonts w:ascii="宋体" w:hAnsi="宋体" w:eastAsia="宋体" w:cs="Times New Roman"/>
          <w:b/>
          <w:szCs w:val="21"/>
        </w:rPr>
        <w:t>.评审结果填写</w:t>
      </w:r>
      <w:r>
        <w:rPr>
          <w:rFonts w:hint="eastAsia" w:ascii="宋体" w:hAnsi="宋体" w:eastAsia="宋体" w:cs="Times New Roman"/>
          <w:b/>
          <w:szCs w:val="21"/>
        </w:rPr>
        <w:t>：</w:t>
      </w:r>
      <w:r>
        <w:rPr>
          <w:rFonts w:ascii="宋体" w:hAnsi="宋体" w:eastAsia="宋体" w:cs="Times New Roman"/>
          <w:b/>
          <w:szCs w:val="21"/>
        </w:rPr>
        <w:t>合格打√，不合格打×，凡评审结果有一项不合格者，结论为不通过。</w:t>
      </w:r>
    </w:p>
    <w:p w14:paraId="58A767BE">
      <w:pPr>
        <w:wordWrap w:val="0"/>
        <w:ind w:firstLine="422" w:firstLineChars="200"/>
        <w:outlineLvl w:val="9"/>
        <w:rPr>
          <w:rFonts w:hint="eastAsia" w:ascii="宋体" w:hAnsi="宋体" w:eastAsia="宋体" w:cs="Times New Roman"/>
          <w:b/>
          <w:szCs w:val="21"/>
        </w:rPr>
      </w:pPr>
      <w:r>
        <w:rPr>
          <w:rFonts w:ascii="宋体" w:hAnsi="宋体" w:eastAsia="宋体" w:cs="Times New Roman"/>
          <w:b/>
          <w:szCs w:val="21"/>
        </w:rPr>
        <w:t>3.未通过</w:t>
      </w:r>
      <w:r>
        <w:rPr>
          <w:rFonts w:hint="eastAsia" w:ascii="宋体" w:hAnsi="宋体" w:eastAsia="宋体" w:cs="Times New Roman"/>
          <w:b/>
          <w:szCs w:val="21"/>
        </w:rPr>
        <w:t>资格审查</w:t>
      </w:r>
      <w:r>
        <w:rPr>
          <w:rFonts w:ascii="宋体" w:hAnsi="宋体" w:eastAsia="宋体" w:cs="Times New Roman"/>
          <w:b/>
          <w:szCs w:val="21"/>
        </w:rPr>
        <w:t>不得进入下一步评审。</w:t>
      </w:r>
    </w:p>
    <w:p w14:paraId="29A67C50">
      <w:pPr>
        <w:keepNext w:val="0"/>
        <w:keepLines w:val="0"/>
        <w:pageBreakBefore w:val="0"/>
        <w:wordWrap/>
        <w:spacing w:line="240" w:lineRule="auto"/>
        <w:ind w:left="0" w:firstLine="0" w:firstLineChars="0"/>
        <w:outlineLvl w:val="9"/>
        <w:rPr>
          <w:rFonts w:hint="eastAsia" w:ascii="Arial" w:hAnsi="Arial" w:eastAsia="宋体" w:cs="Times New Roman"/>
          <w:b/>
          <w:bCs/>
          <w:kern w:val="0"/>
          <w:sz w:val="24"/>
          <w:szCs w:val="28"/>
        </w:rPr>
      </w:pPr>
      <w:bookmarkStart w:id="299" w:name="_Toc31405"/>
      <w:r>
        <w:rPr>
          <w:rFonts w:hint="eastAsia" w:ascii="Arial" w:hAnsi="Arial" w:eastAsia="宋体" w:cs="Times New Roman"/>
          <w:b/>
          <w:bCs/>
          <w:kern w:val="0"/>
          <w:sz w:val="24"/>
          <w:szCs w:val="28"/>
        </w:rPr>
        <w:br w:type="page"/>
      </w:r>
    </w:p>
    <w:p w14:paraId="792BC63A">
      <w:pPr>
        <w:keepNext/>
        <w:keepLines/>
        <w:pageBreakBefore w:val="0"/>
        <w:wordWrap w:val="0"/>
        <w:spacing w:line="360" w:lineRule="auto"/>
        <w:ind w:left="482" w:hanging="482" w:hangingChars="200"/>
        <w:outlineLvl w:val="2"/>
        <w:rPr>
          <w:rFonts w:ascii="Arial" w:hAnsi="Arial" w:eastAsia="宋体" w:cs="Times New Roman"/>
          <w:b/>
          <w:bCs/>
          <w:kern w:val="0"/>
          <w:sz w:val="24"/>
          <w:szCs w:val="28"/>
        </w:rPr>
      </w:pPr>
      <w:r>
        <w:rPr>
          <w:rFonts w:hint="eastAsia" w:ascii="Arial" w:hAnsi="Arial" w:eastAsia="宋体" w:cs="Times New Roman"/>
          <w:b/>
          <w:bCs/>
          <w:kern w:val="0"/>
          <w:sz w:val="24"/>
          <w:szCs w:val="28"/>
        </w:rPr>
        <w:t>附表二:  初步评审表</w:t>
      </w:r>
      <w:bookmarkEnd w:id="299"/>
    </w:p>
    <w:p w14:paraId="25909BA6">
      <w:pPr>
        <w:wordWrap w:val="0"/>
        <w:spacing w:line="360" w:lineRule="auto"/>
        <w:jc w:val="center"/>
        <w:rPr>
          <w:rFonts w:hint="eastAsia" w:ascii="宋体" w:hAnsi="宋体" w:eastAsia="宋体" w:cs="Times New Roman"/>
          <w:b/>
          <w:kern w:val="0"/>
          <w:szCs w:val="21"/>
        </w:rPr>
      </w:pPr>
      <w:bookmarkStart w:id="300" w:name="OLE_LINK150"/>
      <w:r>
        <w:rPr>
          <w:rFonts w:ascii="宋体" w:hAnsi="宋体" w:eastAsia="宋体" w:cs="Times New Roman"/>
          <w:b/>
          <w:kern w:val="0"/>
          <w:szCs w:val="21"/>
        </w:rPr>
        <w:t>初步评审表</w:t>
      </w:r>
      <w:r>
        <w:rPr>
          <w:rFonts w:hint="eastAsia" w:ascii="宋体" w:hAnsi="宋体" w:eastAsia="宋体" w:cs="Times New Roman"/>
          <w:b/>
          <w:kern w:val="0"/>
          <w:szCs w:val="21"/>
        </w:rPr>
        <w:t>一</w:t>
      </w:r>
      <w:bookmarkEnd w:id="300"/>
    </w:p>
    <w:tbl>
      <w:tblPr>
        <w:tblStyle w:val="90"/>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7"/>
        <w:gridCol w:w="1133"/>
      </w:tblGrid>
      <w:tr w14:paraId="68082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68F97B42">
            <w:pPr>
              <w:wordWrap w:val="0"/>
              <w:spacing w:line="0" w:lineRule="atLeast"/>
              <w:jc w:val="center"/>
              <w:rPr>
                <w:rFonts w:hint="eastAsia" w:ascii="宋体" w:hAnsi="宋体" w:eastAsia="宋体" w:cs="Times New Roman"/>
                <w:b/>
                <w:kern w:val="0"/>
                <w:szCs w:val="21"/>
              </w:rPr>
            </w:pPr>
            <w:r>
              <w:rPr>
                <w:rFonts w:ascii="宋体" w:hAnsi="宋体" w:eastAsia="宋体" w:cs="Times New Roman"/>
                <w:b/>
                <w:kern w:val="0"/>
                <w:szCs w:val="21"/>
              </w:rPr>
              <w:t>序号</w:t>
            </w:r>
          </w:p>
        </w:tc>
        <w:tc>
          <w:tcPr>
            <w:tcW w:w="7087" w:type="dxa"/>
            <w:vAlign w:val="center"/>
          </w:tcPr>
          <w:p w14:paraId="522F1EA1">
            <w:pPr>
              <w:wordWrap w:val="0"/>
              <w:spacing w:line="0" w:lineRule="atLeast"/>
              <w:jc w:val="center"/>
              <w:rPr>
                <w:rFonts w:hint="eastAsia" w:ascii="宋体" w:hAnsi="宋体" w:eastAsia="宋体" w:cs="Times New Roman"/>
                <w:b/>
                <w:kern w:val="0"/>
                <w:szCs w:val="21"/>
              </w:rPr>
            </w:pPr>
            <w:r>
              <w:rPr>
                <w:rFonts w:ascii="宋体" w:hAnsi="宋体" w:eastAsia="宋体" w:cs="Times New Roman"/>
                <w:b/>
                <w:kern w:val="0"/>
                <w:szCs w:val="21"/>
              </w:rPr>
              <w:t>评审项目</w:t>
            </w:r>
          </w:p>
        </w:tc>
        <w:tc>
          <w:tcPr>
            <w:tcW w:w="1133" w:type="dxa"/>
            <w:vAlign w:val="center"/>
          </w:tcPr>
          <w:p w14:paraId="24C636C9">
            <w:pPr>
              <w:wordWrap w:val="0"/>
              <w:spacing w:line="0" w:lineRule="atLeast"/>
              <w:jc w:val="center"/>
              <w:rPr>
                <w:rFonts w:hint="eastAsia" w:ascii="宋体" w:hAnsi="宋体" w:eastAsia="宋体" w:cs="Times New Roman"/>
                <w:b/>
                <w:kern w:val="0"/>
                <w:szCs w:val="21"/>
              </w:rPr>
            </w:pPr>
            <w:r>
              <w:rPr>
                <w:rFonts w:hint="eastAsia" w:ascii="宋体" w:hAnsi="宋体" w:eastAsia="宋体" w:cs="Times New Roman"/>
                <w:b/>
                <w:kern w:val="0"/>
                <w:szCs w:val="21"/>
              </w:rPr>
              <w:t>评审结果</w:t>
            </w:r>
          </w:p>
        </w:tc>
      </w:tr>
      <w:tr w14:paraId="612A0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371EFD8F">
            <w:pPr>
              <w:wordWrap w:val="0"/>
              <w:spacing w:line="0" w:lineRule="atLeast"/>
              <w:jc w:val="center"/>
              <w:rPr>
                <w:rFonts w:hint="eastAsia" w:ascii="宋体" w:hAnsi="宋体" w:eastAsia="宋体" w:cs="Times New Roman"/>
                <w:kern w:val="0"/>
                <w:szCs w:val="21"/>
              </w:rPr>
            </w:pPr>
            <w:r>
              <w:rPr>
                <w:rFonts w:ascii="宋体" w:hAnsi="宋体" w:eastAsia="宋体" w:cs="Times New Roman"/>
                <w:kern w:val="0"/>
                <w:szCs w:val="21"/>
              </w:rPr>
              <w:t>1</w:t>
            </w:r>
          </w:p>
        </w:tc>
        <w:tc>
          <w:tcPr>
            <w:tcW w:w="7087" w:type="dxa"/>
            <w:vAlign w:val="center"/>
          </w:tcPr>
          <w:p w14:paraId="65150BED">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投标文件按规定签署</w:t>
            </w:r>
            <w:r>
              <w:rPr>
                <w:rFonts w:hint="eastAsia" w:ascii="宋体" w:hAnsi="宋体" w:eastAsia="宋体" w:cs="宋体"/>
                <w:kern w:val="0"/>
                <w:szCs w:val="21"/>
              </w:rPr>
              <w:t>和盖章。</w:t>
            </w:r>
          </w:p>
        </w:tc>
        <w:tc>
          <w:tcPr>
            <w:tcW w:w="1133" w:type="dxa"/>
            <w:vAlign w:val="center"/>
          </w:tcPr>
          <w:p w14:paraId="0C90B20A">
            <w:pPr>
              <w:wordWrap w:val="0"/>
              <w:spacing w:line="0" w:lineRule="atLeast"/>
              <w:jc w:val="center"/>
              <w:rPr>
                <w:rFonts w:hint="eastAsia" w:ascii="宋体" w:hAnsi="宋体" w:eastAsia="宋体" w:cs="Times New Roman"/>
                <w:b/>
                <w:kern w:val="0"/>
                <w:szCs w:val="21"/>
              </w:rPr>
            </w:pPr>
          </w:p>
        </w:tc>
      </w:tr>
      <w:tr w14:paraId="381AE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3FFD594E">
            <w:pPr>
              <w:wordWrap w:val="0"/>
              <w:spacing w:line="0" w:lineRule="atLeast"/>
              <w:jc w:val="center"/>
              <w:rPr>
                <w:rFonts w:hint="eastAsia" w:ascii="宋体" w:hAnsi="宋体" w:eastAsia="宋体" w:cs="Times New Roman"/>
                <w:kern w:val="0"/>
                <w:szCs w:val="21"/>
              </w:rPr>
            </w:pPr>
            <w:r>
              <w:rPr>
                <w:rFonts w:ascii="宋体" w:hAnsi="宋体" w:eastAsia="宋体" w:cs="Times New Roman"/>
                <w:kern w:val="0"/>
                <w:szCs w:val="21"/>
              </w:rPr>
              <w:t>2</w:t>
            </w:r>
          </w:p>
        </w:tc>
        <w:tc>
          <w:tcPr>
            <w:tcW w:w="7087" w:type="dxa"/>
            <w:vAlign w:val="center"/>
          </w:tcPr>
          <w:p w14:paraId="6325C618">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投标文件按规定的格式填写，内容齐全</w:t>
            </w:r>
            <w:r>
              <w:rPr>
                <w:rFonts w:hint="eastAsia" w:ascii="宋体" w:hAnsi="宋体" w:eastAsia="宋体" w:cs="宋体"/>
                <w:kern w:val="0"/>
                <w:szCs w:val="21"/>
              </w:rPr>
              <w:t>（</w:t>
            </w:r>
            <w:r>
              <w:rPr>
                <w:rFonts w:hint="eastAsia" w:ascii="Times New Roman" w:hAnsi="Times New Roman" w:eastAsia="宋体" w:cs="Times New Roman"/>
                <w:kern w:val="0"/>
                <w:szCs w:val="21"/>
              </w:rPr>
              <w:t>应按照招标文件规定第六章节格式填写</w:t>
            </w:r>
            <w:r>
              <w:rPr>
                <w:rFonts w:hint="eastAsia" w:ascii="宋体" w:hAnsi="宋体" w:eastAsia="宋体" w:cs="宋体"/>
                <w:kern w:val="0"/>
                <w:szCs w:val="21"/>
              </w:rPr>
              <w:t>）</w:t>
            </w:r>
            <w:r>
              <w:rPr>
                <w:rFonts w:hint="eastAsia" w:ascii="Times New Roman" w:hAnsi="Times New Roman" w:eastAsia="宋体" w:cs="Times New Roman"/>
                <w:kern w:val="0"/>
                <w:szCs w:val="21"/>
              </w:rPr>
              <w:t>；</w:t>
            </w:r>
          </w:p>
          <w:p w14:paraId="0B000616">
            <w:pPr>
              <w:wordWrap w:val="0"/>
              <w:rPr>
                <w:rFonts w:ascii="Times New Roman" w:hAnsi="Times New Roman" w:eastAsia="Times New Roman" w:cs="Times New Roman"/>
                <w:kern w:val="0"/>
                <w:szCs w:val="21"/>
              </w:rPr>
            </w:pPr>
            <w:r>
              <w:rPr>
                <w:rFonts w:hint="eastAsia" w:ascii="宋体" w:hAnsi="宋体" w:eastAsia="宋体" w:cs="宋体"/>
                <w:kern w:val="0"/>
                <w:szCs w:val="21"/>
              </w:rPr>
              <w:t>投标函中没有关键字迹模糊、无法辨认或含义不明确的。</w:t>
            </w:r>
          </w:p>
        </w:tc>
        <w:tc>
          <w:tcPr>
            <w:tcW w:w="1133" w:type="dxa"/>
            <w:vAlign w:val="center"/>
          </w:tcPr>
          <w:p w14:paraId="6F67E098">
            <w:pPr>
              <w:wordWrap w:val="0"/>
              <w:spacing w:line="0" w:lineRule="atLeast"/>
              <w:jc w:val="center"/>
              <w:rPr>
                <w:rFonts w:hint="eastAsia" w:ascii="宋体" w:hAnsi="宋体" w:eastAsia="宋体" w:cs="Times New Roman"/>
                <w:b/>
                <w:kern w:val="0"/>
                <w:szCs w:val="21"/>
              </w:rPr>
            </w:pPr>
          </w:p>
        </w:tc>
      </w:tr>
      <w:tr w14:paraId="5CB09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0AEA01D1">
            <w:pPr>
              <w:wordWrap w:val="0"/>
              <w:spacing w:line="0" w:lineRule="atLeast"/>
              <w:jc w:val="center"/>
              <w:rPr>
                <w:rFonts w:hint="eastAsia" w:ascii="宋体" w:hAnsi="宋体" w:eastAsia="宋体" w:cs="Times New Roman"/>
                <w:kern w:val="0"/>
                <w:szCs w:val="21"/>
              </w:rPr>
            </w:pPr>
            <w:r>
              <w:rPr>
                <w:rFonts w:ascii="宋体" w:hAnsi="宋体" w:eastAsia="宋体" w:cs="Times New Roman"/>
                <w:kern w:val="0"/>
                <w:szCs w:val="21"/>
              </w:rPr>
              <w:t>3</w:t>
            </w:r>
          </w:p>
        </w:tc>
        <w:tc>
          <w:tcPr>
            <w:tcW w:w="7087" w:type="dxa"/>
            <w:vAlign w:val="center"/>
          </w:tcPr>
          <w:p w14:paraId="3A2D6595">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投标有效期</w:t>
            </w:r>
            <w:r>
              <w:rPr>
                <w:rFonts w:hint="eastAsia" w:ascii="宋体" w:hAnsi="宋体" w:eastAsia="宋体" w:cs="宋体"/>
                <w:kern w:val="0"/>
                <w:szCs w:val="21"/>
              </w:rPr>
              <w:t>满足招标文件要求。</w:t>
            </w:r>
          </w:p>
        </w:tc>
        <w:tc>
          <w:tcPr>
            <w:tcW w:w="1133" w:type="dxa"/>
            <w:vAlign w:val="center"/>
          </w:tcPr>
          <w:p w14:paraId="1B70B333">
            <w:pPr>
              <w:wordWrap w:val="0"/>
              <w:spacing w:line="0" w:lineRule="atLeast"/>
              <w:jc w:val="center"/>
              <w:rPr>
                <w:rFonts w:hint="eastAsia" w:ascii="宋体" w:hAnsi="宋体" w:eastAsia="宋体" w:cs="Times New Roman"/>
                <w:b/>
                <w:kern w:val="0"/>
                <w:szCs w:val="21"/>
              </w:rPr>
            </w:pPr>
          </w:p>
        </w:tc>
      </w:tr>
      <w:tr w14:paraId="6CBFF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6485F54A">
            <w:pPr>
              <w:wordWrap w:val="0"/>
              <w:spacing w:line="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4</w:t>
            </w:r>
          </w:p>
        </w:tc>
        <w:tc>
          <w:tcPr>
            <w:tcW w:w="7087" w:type="dxa"/>
            <w:vAlign w:val="center"/>
          </w:tcPr>
          <w:p w14:paraId="3E1FAB31">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投标报价</w:t>
            </w:r>
            <w:r>
              <w:rPr>
                <w:rFonts w:hint="eastAsia" w:ascii="宋体" w:hAnsi="宋体" w:eastAsia="宋体" w:cs="宋体"/>
                <w:kern w:val="0"/>
                <w:szCs w:val="21"/>
              </w:rPr>
              <w:t>未超过招标控制价</w:t>
            </w:r>
            <w:r>
              <w:rPr>
                <w:rFonts w:hint="eastAsia" w:ascii="Times New Roman" w:hAnsi="Times New Roman" w:eastAsia="宋体" w:cs="Times New Roman"/>
                <w:kern w:val="0"/>
                <w:szCs w:val="21"/>
              </w:rPr>
              <w:t>，综合单价未超过</w:t>
            </w:r>
            <w:r>
              <w:rPr>
                <w:rFonts w:hint="eastAsia" w:ascii="宋体" w:hAnsi="宋体" w:eastAsia="宋体" w:cs="宋体"/>
                <w:kern w:val="0"/>
                <w:szCs w:val="21"/>
              </w:rPr>
              <w:t>招标</w:t>
            </w:r>
            <w:r>
              <w:rPr>
                <w:rFonts w:hint="eastAsia" w:ascii="Times New Roman" w:hAnsi="Times New Roman" w:eastAsia="宋体" w:cs="Times New Roman"/>
                <w:kern w:val="0"/>
                <w:szCs w:val="21"/>
              </w:rPr>
              <w:t>控制综合单</w:t>
            </w:r>
            <w:r>
              <w:rPr>
                <w:rFonts w:hint="eastAsia" w:ascii="宋体" w:hAnsi="宋体" w:eastAsia="宋体" w:cs="宋体"/>
                <w:kern w:val="0"/>
                <w:szCs w:val="21"/>
              </w:rPr>
              <w:t>价的</w:t>
            </w:r>
            <w:r>
              <w:rPr>
                <w:rFonts w:hint="eastAsia" w:ascii="Times New Roman" w:hAnsi="Times New Roman" w:eastAsia="宋体" w:cs="Times New Roman"/>
                <w:kern w:val="0"/>
                <w:szCs w:val="21"/>
              </w:rPr>
              <w:t>（如有）</w:t>
            </w:r>
            <w:r>
              <w:rPr>
                <w:rFonts w:hint="eastAsia" w:ascii="宋体" w:hAnsi="宋体" w:eastAsia="宋体" w:cs="宋体"/>
                <w:kern w:val="0"/>
                <w:szCs w:val="21"/>
              </w:rPr>
              <w:t>。</w:t>
            </w:r>
          </w:p>
        </w:tc>
        <w:tc>
          <w:tcPr>
            <w:tcW w:w="1133" w:type="dxa"/>
            <w:vAlign w:val="center"/>
          </w:tcPr>
          <w:p w14:paraId="2DD86032">
            <w:pPr>
              <w:wordWrap w:val="0"/>
              <w:spacing w:line="0" w:lineRule="atLeast"/>
              <w:jc w:val="center"/>
              <w:rPr>
                <w:rFonts w:hint="eastAsia" w:ascii="宋体" w:hAnsi="宋体" w:eastAsia="宋体" w:cs="Times New Roman"/>
                <w:kern w:val="0"/>
                <w:szCs w:val="21"/>
              </w:rPr>
            </w:pPr>
          </w:p>
        </w:tc>
      </w:tr>
      <w:tr w14:paraId="02343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6EBE198E">
            <w:pPr>
              <w:wordWrap w:val="0"/>
              <w:spacing w:line="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5</w:t>
            </w:r>
          </w:p>
        </w:tc>
        <w:tc>
          <w:tcPr>
            <w:tcW w:w="7087" w:type="dxa"/>
            <w:vAlign w:val="center"/>
          </w:tcPr>
          <w:p w14:paraId="467E6B2A">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投标人没有递交两份或多份内容不同的投标文件，或在一份投标文件中，有两个或多个报价但书面声明哪一个有效（按招标文件规定提供可选择性方案报价的除外）。</w:t>
            </w:r>
          </w:p>
        </w:tc>
        <w:tc>
          <w:tcPr>
            <w:tcW w:w="1133" w:type="dxa"/>
            <w:vAlign w:val="center"/>
          </w:tcPr>
          <w:p w14:paraId="5D752668">
            <w:pPr>
              <w:wordWrap w:val="0"/>
              <w:spacing w:line="0" w:lineRule="atLeast"/>
              <w:jc w:val="center"/>
              <w:rPr>
                <w:rFonts w:hint="eastAsia" w:ascii="宋体" w:hAnsi="宋体" w:eastAsia="宋体" w:cs="Times New Roman"/>
                <w:b/>
                <w:kern w:val="0"/>
                <w:szCs w:val="21"/>
              </w:rPr>
            </w:pPr>
          </w:p>
        </w:tc>
      </w:tr>
      <w:tr w14:paraId="71336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vAlign w:val="center"/>
          </w:tcPr>
          <w:p w14:paraId="4D4F54D6">
            <w:pPr>
              <w:wordWrap w:val="0"/>
              <w:spacing w:line="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6</w:t>
            </w:r>
          </w:p>
        </w:tc>
        <w:tc>
          <w:tcPr>
            <w:tcW w:w="7087" w:type="dxa"/>
            <w:vAlign w:val="center"/>
          </w:tcPr>
          <w:p w14:paraId="284859DA">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投标报价固定</w:t>
            </w:r>
            <w:r>
              <w:rPr>
                <w:rFonts w:hint="eastAsia" w:ascii="宋体" w:hAnsi="宋体" w:eastAsia="宋体" w:cs="宋体"/>
                <w:kern w:val="0"/>
                <w:szCs w:val="21"/>
              </w:rPr>
              <w:t>，或同一方案无选择性报价。</w:t>
            </w:r>
          </w:p>
        </w:tc>
        <w:tc>
          <w:tcPr>
            <w:tcW w:w="1133" w:type="dxa"/>
            <w:vAlign w:val="center"/>
          </w:tcPr>
          <w:p w14:paraId="4FA603C1">
            <w:pPr>
              <w:wordWrap w:val="0"/>
              <w:spacing w:line="0" w:lineRule="atLeast"/>
              <w:jc w:val="center"/>
              <w:rPr>
                <w:rFonts w:hint="eastAsia" w:ascii="宋体" w:hAnsi="宋体" w:eastAsia="宋体" w:cs="Times New Roman"/>
                <w:kern w:val="0"/>
                <w:szCs w:val="21"/>
              </w:rPr>
            </w:pPr>
          </w:p>
        </w:tc>
      </w:tr>
      <w:tr w14:paraId="6F7BA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vAlign w:val="center"/>
          </w:tcPr>
          <w:p w14:paraId="0EB9FE0C">
            <w:pPr>
              <w:wordWrap w:val="0"/>
              <w:spacing w:line="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7</w:t>
            </w:r>
          </w:p>
        </w:tc>
        <w:tc>
          <w:tcPr>
            <w:tcW w:w="7087" w:type="dxa"/>
            <w:vAlign w:val="center"/>
          </w:tcPr>
          <w:p w14:paraId="55FB8E43">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服务</w:t>
            </w:r>
            <w:r>
              <w:rPr>
                <w:rFonts w:hint="eastAsia" w:ascii="宋体" w:hAnsi="宋体" w:eastAsia="宋体" w:cs="宋体"/>
                <w:kern w:val="0"/>
                <w:szCs w:val="21"/>
              </w:rPr>
              <w:t>期满足招标文件要求。</w:t>
            </w:r>
          </w:p>
        </w:tc>
        <w:tc>
          <w:tcPr>
            <w:tcW w:w="1133" w:type="dxa"/>
            <w:vAlign w:val="center"/>
          </w:tcPr>
          <w:p w14:paraId="0F9A0500">
            <w:pPr>
              <w:wordWrap w:val="0"/>
              <w:spacing w:line="0" w:lineRule="atLeast"/>
              <w:jc w:val="center"/>
              <w:rPr>
                <w:rFonts w:hint="eastAsia" w:ascii="宋体" w:hAnsi="宋体" w:eastAsia="宋体" w:cs="Times New Roman"/>
                <w:kern w:val="0"/>
                <w:szCs w:val="21"/>
              </w:rPr>
            </w:pPr>
          </w:p>
        </w:tc>
      </w:tr>
      <w:tr w14:paraId="4D2B6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vAlign w:val="center"/>
          </w:tcPr>
          <w:p w14:paraId="6A1B70F2">
            <w:pPr>
              <w:wordWrap w:val="0"/>
              <w:spacing w:line="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8</w:t>
            </w:r>
          </w:p>
        </w:tc>
        <w:tc>
          <w:tcPr>
            <w:tcW w:w="7087" w:type="dxa"/>
            <w:vAlign w:val="center"/>
          </w:tcPr>
          <w:p w14:paraId="307BC958">
            <w:pPr>
              <w:wordWrap w:val="0"/>
              <w:rPr>
                <w:rFonts w:ascii="Times New Roman" w:hAnsi="Times New Roman" w:eastAsia="宋体" w:cs="Times New Roman"/>
                <w:kern w:val="0"/>
                <w:szCs w:val="21"/>
              </w:rPr>
            </w:pPr>
            <w:r>
              <w:rPr>
                <w:rFonts w:hint="eastAsia" w:ascii="Times New Roman" w:hAnsi="Times New Roman" w:eastAsia="宋体" w:cs="Times New Roman"/>
                <w:kern w:val="0"/>
                <w:szCs w:val="21"/>
              </w:rPr>
              <w:t>无</w:t>
            </w:r>
            <w:r>
              <w:rPr>
                <w:rFonts w:hint="eastAsia" w:ascii="宋体" w:hAnsi="宋体" w:eastAsia="宋体" w:cs="宋体"/>
                <w:kern w:val="0"/>
                <w:szCs w:val="21"/>
              </w:rPr>
              <w:t>招标文件、法律、法规规定的其他否决投标情况。</w:t>
            </w:r>
          </w:p>
        </w:tc>
        <w:tc>
          <w:tcPr>
            <w:tcW w:w="1133" w:type="dxa"/>
            <w:vAlign w:val="center"/>
          </w:tcPr>
          <w:p w14:paraId="40F1AFA4">
            <w:pPr>
              <w:wordWrap w:val="0"/>
              <w:spacing w:line="0" w:lineRule="atLeast"/>
              <w:jc w:val="center"/>
              <w:rPr>
                <w:rFonts w:hint="eastAsia" w:ascii="宋体" w:hAnsi="宋体" w:eastAsia="宋体" w:cs="Times New Roman"/>
                <w:kern w:val="0"/>
                <w:szCs w:val="21"/>
              </w:rPr>
            </w:pPr>
          </w:p>
        </w:tc>
      </w:tr>
      <w:tr w14:paraId="0D343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9" w:type="dxa"/>
            <w:gridSpan w:val="2"/>
            <w:vAlign w:val="center"/>
          </w:tcPr>
          <w:p w14:paraId="202A1AD6">
            <w:pPr>
              <w:wordWrap w:val="0"/>
              <w:jc w:val="center"/>
              <w:rPr>
                <w:rFonts w:ascii="Times New Roman" w:hAnsi="Times New Roman" w:eastAsia="Times New Roman" w:cs="Times New Roman"/>
                <w:kern w:val="0"/>
                <w:szCs w:val="18"/>
              </w:rPr>
            </w:pPr>
            <w:r>
              <w:rPr>
                <w:rFonts w:hint="eastAsia" w:ascii="宋体" w:hAnsi="宋体" w:eastAsia="宋体" w:cs="宋体"/>
                <w:kern w:val="0"/>
                <w:szCs w:val="18"/>
              </w:rPr>
              <w:t>评审结论</w:t>
            </w:r>
          </w:p>
        </w:tc>
        <w:tc>
          <w:tcPr>
            <w:tcW w:w="1133" w:type="dxa"/>
            <w:vAlign w:val="center"/>
          </w:tcPr>
          <w:p w14:paraId="32FE5721">
            <w:pPr>
              <w:wordWrap w:val="0"/>
              <w:spacing w:line="0" w:lineRule="atLeast"/>
              <w:jc w:val="center"/>
              <w:rPr>
                <w:rFonts w:hint="eastAsia" w:ascii="宋体" w:hAnsi="宋体" w:eastAsia="宋体" w:cs="Times New Roman"/>
                <w:kern w:val="0"/>
                <w:szCs w:val="21"/>
              </w:rPr>
            </w:pPr>
          </w:p>
        </w:tc>
      </w:tr>
    </w:tbl>
    <w:p w14:paraId="51C1D334">
      <w:pPr>
        <w:wordWrap w:val="0"/>
        <w:spacing w:line="276" w:lineRule="auto"/>
        <w:rPr>
          <w:rFonts w:hint="eastAsia" w:ascii="宋体" w:hAnsi="宋体" w:eastAsia="宋体" w:cs="Times New Roman"/>
          <w:szCs w:val="24"/>
        </w:rPr>
      </w:pPr>
      <w:r>
        <w:rPr>
          <w:rFonts w:hint="eastAsia" w:ascii="宋体" w:hAnsi="宋体" w:eastAsia="宋体" w:cs="Times New Roman"/>
          <w:kern w:val="0"/>
          <w:szCs w:val="21"/>
        </w:rPr>
        <w:t>注：</w:t>
      </w:r>
      <w:r>
        <w:rPr>
          <w:rFonts w:hint="eastAsia" w:ascii="宋体" w:hAnsi="宋体" w:eastAsia="宋体" w:cs="Times New Roman"/>
          <w:szCs w:val="24"/>
        </w:rPr>
        <w:t>1.</w:t>
      </w:r>
      <w:r>
        <w:rPr>
          <w:rFonts w:ascii="宋体" w:hAnsi="宋体" w:eastAsia="宋体" w:cs="Times New Roman"/>
          <w:szCs w:val="24"/>
        </w:rPr>
        <w:t>评审结果填写合格打√，不合格打×，凡评审结果有一项不合格者，结论为不通过。本表内容由经济评审组评审使用。</w:t>
      </w:r>
    </w:p>
    <w:p w14:paraId="445FC4F1">
      <w:pPr>
        <w:wordWrap w:val="0"/>
        <w:spacing w:line="276" w:lineRule="auto"/>
        <w:ind w:firstLine="409" w:firstLineChars="195"/>
        <w:rPr>
          <w:rFonts w:hint="eastAsia" w:ascii="宋体" w:hAnsi="宋体" w:eastAsia="宋体" w:cs="Times New Roman"/>
          <w:szCs w:val="24"/>
        </w:rPr>
      </w:pPr>
      <w:r>
        <w:rPr>
          <w:rFonts w:ascii="宋体" w:hAnsi="宋体" w:eastAsia="宋体" w:cs="Times New Roman"/>
          <w:szCs w:val="24"/>
        </w:rPr>
        <w:t>2.</w:t>
      </w:r>
      <w:r>
        <w:rPr>
          <w:rFonts w:hint="eastAsia" w:ascii="宋体" w:hAnsi="宋体" w:eastAsia="宋体" w:cs="Times New Roman"/>
          <w:szCs w:val="24"/>
        </w:rPr>
        <w:t>“缺、漏项”是指投标人未按照招标人提供的清单项进行报价，投标人的报价清单中缺少某项清单或报价。</w:t>
      </w:r>
    </w:p>
    <w:p w14:paraId="3E05F26E">
      <w:pPr>
        <w:wordWrap w:val="0"/>
        <w:spacing w:line="360" w:lineRule="auto"/>
        <w:jc w:val="center"/>
        <w:rPr>
          <w:rFonts w:hint="eastAsia" w:ascii="宋体" w:hAnsi="宋体" w:eastAsia="宋体" w:cs="Times New Roman"/>
          <w:b/>
          <w:kern w:val="0"/>
          <w:szCs w:val="21"/>
        </w:rPr>
      </w:pPr>
      <w:bookmarkStart w:id="301" w:name="OLE_LINK151"/>
      <w:r>
        <w:rPr>
          <w:rFonts w:ascii="宋体" w:hAnsi="宋体" w:eastAsia="宋体" w:cs="Times New Roman"/>
          <w:b/>
          <w:kern w:val="0"/>
          <w:szCs w:val="21"/>
        </w:rPr>
        <w:t>初步评审表二</w:t>
      </w:r>
    </w:p>
    <w:bookmarkEnd w:id="301"/>
    <w:tbl>
      <w:tblPr>
        <w:tblStyle w:val="9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020"/>
        <w:gridCol w:w="1452"/>
      </w:tblGrid>
      <w:tr w14:paraId="65DA3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814" w:type="dxa"/>
            <w:tcBorders>
              <w:top w:val="single" w:color="auto" w:sz="12" w:space="0"/>
            </w:tcBorders>
            <w:vAlign w:val="center"/>
          </w:tcPr>
          <w:p w14:paraId="18E2EFC8">
            <w:pPr>
              <w:wordWrap w:val="0"/>
              <w:ind w:left="709" w:right="-57" w:rightChars="-27" w:hanging="709"/>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7020" w:type="dxa"/>
            <w:tcBorders>
              <w:top w:val="single" w:color="auto" w:sz="12" w:space="0"/>
            </w:tcBorders>
            <w:vAlign w:val="center"/>
          </w:tcPr>
          <w:p w14:paraId="7CE08C34">
            <w:pPr>
              <w:wordWrap w:val="0"/>
              <w:ind w:left="709" w:right="-57" w:rightChars="-27" w:hanging="709"/>
              <w:jc w:val="center"/>
              <w:rPr>
                <w:rFonts w:ascii="Times New Roman" w:hAnsi="Times New Roman" w:eastAsia="宋体" w:cs="Times New Roman"/>
                <w:b/>
                <w:szCs w:val="21"/>
              </w:rPr>
            </w:pPr>
            <w:r>
              <w:rPr>
                <w:rFonts w:ascii="Times New Roman" w:hAnsi="Times New Roman" w:eastAsia="宋体" w:cs="Times New Roman"/>
                <w:b/>
                <w:szCs w:val="21"/>
              </w:rPr>
              <w:t>评审项目</w:t>
            </w:r>
          </w:p>
        </w:tc>
        <w:tc>
          <w:tcPr>
            <w:tcW w:w="1452" w:type="dxa"/>
            <w:tcBorders>
              <w:top w:val="single" w:color="auto" w:sz="12" w:space="0"/>
            </w:tcBorders>
            <w:vAlign w:val="center"/>
          </w:tcPr>
          <w:p w14:paraId="7E4A5EDA">
            <w:pPr>
              <w:wordWrap w:val="0"/>
              <w:ind w:left="709" w:right="-57" w:rightChars="-27" w:hanging="709"/>
              <w:jc w:val="center"/>
              <w:rPr>
                <w:rFonts w:ascii="Times New Roman" w:hAnsi="Times New Roman" w:eastAsia="宋体" w:cs="Times New Roman"/>
                <w:b/>
                <w:szCs w:val="21"/>
              </w:rPr>
            </w:pPr>
            <w:r>
              <w:rPr>
                <w:rFonts w:ascii="Times New Roman" w:hAnsi="Times New Roman" w:eastAsia="宋体" w:cs="Times New Roman"/>
                <w:b/>
                <w:szCs w:val="21"/>
              </w:rPr>
              <w:t>评审结果</w:t>
            </w:r>
          </w:p>
        </w:tc>
      </w:tr>
      <w:tr w14:paraId="6BB18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7EEA7418">
            <w:pPr>
              <w:wordWrap w:val="0"/>
              <w:ind w:left="709" w:right="-57" w:rightChars="-27" w:hanging="709"/>
              <w:jc w:val="center"/>
              <w:rPr>
                <w:rFonts w:hint="eastAsia" w:ascii="宋体" w:hAnsi="宋体" w:eastAsia="宋体" w:cs="Times New Roman"/>
                <w:szCs w:val="21"/>
              </w:rPr>
            </w:pPr>
            <w:r>
              <w:rPr>
                <w:rFonts w:ascii="宋体" w:hAnsi="宋体" w:eastAsia="宋体" w:cs="Times New Roman"/>
                <w:szCs w:val="21"/>
              </w:rPr>
              <w:t>1</w:t>
            </w:r>
          </w:p>
        </w:tc>
        <w:tc>
          <w:tcPr>
            <w:tcW w:w="7020" w:type="dxa"/>
            <w:vAlign w:val="center"/>
          </w:tcPr>
          <w:p w14:paraId="2FAB6350">
            <w:pPr>
              <w:wordWrap w:val="0"/>
              <w:ind w:left="709" w:right="-57" w:rightChars="-27" w:hanging="709"/>
              <w:rPr>
                <w:rFonts w:hint="eastAsia" w:ascii="宋体" w:hAnsi="宋体" w:eastAsia="宋体" w:cs="Times New Roman"/>
                <w:szCs w:val="21"/>
              </w:rPr>
            </w:pPr>
            <w:r>
              <w:rPr>
                <w:rFonts w:ascii="宋体" w:hAnsi="宋体" w:eastAsia="宋体" w:cs="Times New Roman"/>
                <w:szCs w:val="21"/>
              </w:rPr>
              <w:t>投标文件</w:t>
            </w:r>
            <w:r>
              <w:rPr>
                <w:rFonts w:ascii="宋体" w:hAnsi="宋体" w:eastAsia="宋体" w:cs="Times New Roman"/>
                <w:snapToGrid w:val="0"/>
                <w:kern w:val="0"/>
                <w:szCs w:val="21"/>
              </w:rPr>
              <w:t>按规定签署</w:t>
            </w:r>
            <w:r>
              <w:rPr>
                <w:rFonts w:hint="eastAsia" w:ascii="宋体" w:hAnsi="宋体" w:eastAsia="宋体" w:cs="Times New Roman"/>
                <w:snapToGrid w:val="0"/>
                <w:kern w:val="0"/>
                <w:szCs w:val="21"/>
              </w:rPr>
              <w:t>和</w:t>
            </w:r>
            <w:r>
              <w:rPr>
                <w:rFonts w:ascii="宋体" w:hAnsi="宋体" w:eastAsia="宋体" w:cs="Times New Roman"/>
                <w:snapToGrid w:val="0"/>
                <w:kern w:val="0"/>
                <w:szCs w:val="21"/>
              </w:rPr>
              <w:t>盖章</w:t>
            </w:r>
            <w:r>
              <w:rPr>
                <w:rFonts w:hint="eastAsia" w:ascii="宋体" w:hAnsi="宋体" w:eastAsia="宋体" w:cs="Times New Roman"/>
                <w:snapToGrid w:val="0"/>
                <w:kern w:val="0"/>
                <w:szCs w:val="21"/>
              </w:rPr>
              <w:t>。</w:t>
            </w:r>
          </w:p>
        </w:tc>
        <w:tc>
          <w:tcPr>
            <w:tcW w:w="1452" w:type="dxa"/>
            <w:vAlign w:val="center"/>
          </w:tcPr>
          <w:p w14:paraId="7E07A375">
            <w:pPr>
              <w:wordWrap w:val="0"/>
              <w:ind w:left="709" w:right="-57" w:rightChars="-27" w:hanging="709"/>
              <w:rPr>
                <w:rFonts w:ascii="Times New Roman" w:hAnsi="Times New Roman" w:eastAsia="宋体" w:cs="Times New Roman"/>
                <w:szCs w:val="21"/>
              </w:rPr>
            </w:pPr>
          </w:p>
        </w:tc>
      </w:tr>
      <w:tr w14:paraId="4874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04323E31">
            <w:pPr>
              <w:wordWrap w:val="0"/>
              <w:ind w:left="709" w:right="-57" w:rightChars="-27" w:hanging="709"/>
              <w:jc w:val="center"/>
              <w:rPr>
                <w:rFonts w:hint="eastAsia" w:ascii="宋体" w:hAnsi="宋体" w:eastAsia="宋体" w:cs="Times New Roman"/>
                <w:szCs w:val="21"/>
              </w:rPr>
            </w:pPr>
            <w:r>
              <w:rPr>
                <w:rFonts w:ascii="宋体" w:hAnsi="宋体" w:eastAsia="宋体" w:cs="Times New Roman"/>
                <w:szCs w:val="21"/>
              </w:rPr>
              <w:t>2</w:t>
            </w:r>
          </w:p>
        </w:tc>
        <w:tc>
          <w:tcPr>
            <w:tcW w:w="7020" w:type="dxa"/>
            <w:vAlign w:val="center"/>
          </w:tcPr>
          <w:p w14:paraId="73DC766C">
            <w:pPr>
              <w:wordWrap w:val="0"/>
              <w:ind w:right="-57" w:rightChars="-27"/>
              <w:rPr>
                <w:rFonts w:hint="eastAsia" w:ascii="宋体" w:hAnsi="宋体" w:eastAsia="宋体" w:cs="Times New Roman"/>
                <w:szCs w:val="21"/>
              </w:rPr>
            </w:pPr>
            <w:r>
              <w:rPr>
                <w:rFonts w:hint="eastAsia" w:ascii="宋体" w:hAnsi="宋体" w:eastAsia="宋体" w:cs="Times New Roman"/>
                <w:szCs w:val="21"/>
              </w:rPr>
              <w:t>投标文件的实质性内容按照规定的格式填写、内容齐全（应按照招标文件规定第六章节格式填写）。</w:t>
            </w:r>
          </w:p>
        </w:tc>
        <w:tc>
          <w:tcPr>
            <w:tcW w:w="1452" w:type="dxa"/>
            <w:vAlign w:val="center"/>
          </w:tcPr>
          <w:p w14:paraId="621AAEAF">
            <w:pPr>
              <w:wordWrap w:val="0"/>
              <w:ind w:left="709" w:right="-57" w:rightChars="-27" w:hanging="709"/>
              <w:rPr>
                <w:rFonts w:ascii="Times New Roman" w:hAnsi="Times New Roman" w:eastAsia="宋体" w:cs="Times New Roman"/>
                <w:szCs w:val="21"/>
              </w:rPr>
            </w:pPr>
          </w:p>
        </w:tc>
      </w:tr>
      <w:tr w14:paraId="6CFB2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19A7CFB9">
            <w:pPr>
              <w:wordWrap w:val="0"/>
              <w:ind w:left="709" w:right="-57" w:rightChars="-27" w:hanging="709"/>
              <w:jc w:val="center"/>
              <w:rPr>
                <w:rFonts w:hint="eastAsia" w:ascii="宋体" w:hAnsi="宋体" w:eastAsia="宋体" w:cs="Times New Roman"/>
                <w:szCs w:val="21"/>
              </w:rPr>
            </w:pPr>
            <w:r>
              <w:rPr>
                <w:rFonts w:ascii="宋体" w:hAnsi="宋体" w:eastAsia="宋体" w:cs="Times New Roman"/>
                <w:szCs w:val="21"/>
              </w:rPr>
              <w:t>3</w:t>
            </w:r>
          </w:p>
        </w:tc>
        <w:tc>
          <w:tcPr>
            <w:tcW w:w="7020" w:type="dxa"/>
            <w:vAlign w:val="center"/>
          </w:tcPr>
          <w:p w14:paraId="08A225F2">
            <w:pPr>
              <w:wordWrap w:val="0"/>
              <w:ind w:right="-57" w:rightChars="-27"/>
              <w:rPr>
                <w:rFonts w:hint="eastAsia" w:ascii="宋体" w:hAnsi="宋体" w:eastAsia="宋体" w:cs="Times New Roman"/>
                <w:szCs w:val="21"/>
              </w:rPr>
            </w:pPr>
            <w:r>
              <w:rPr>
                <w:rFonts w:ascii="宋体" w:hAnsi="宋体" w:eastAsia="宋体" w:cs="Times New Roman"/>
                <w:szCs w:val="24"/>
              </w:rPr>
              <w:t>投标人在资格审查</w:t>
            </w:r>
            <w:r>
              <w:rPr>
                <w:rFonts w:hint="eastAsia" w:ascii="宋体" w:hAnsi="宋体" w:eastAsia="宋体" w:cs="Times New Roman"/>
                <w:szCs w:val="24"/>
              </w:rPr>
              <w:t>文件</w:t>
            </w:r>
            <w:r>
              <w:rPr>
                <w:rFonts w:ascii="宋体" w:hAnsi="宋体" w:eastAsia="宋体" w:cs="Times New Roman"/>
                <w:szCs w:val="21"/>
              </w:rPr>
              <w:t>、资信</w:t>
            </w:r>
            <w:r>
              <w:rPr>
                <w:rFonts w:hint="eastAsia" w:ascii="宋体" w:hAnsi="宋体" w:eastAsia="宋体" w:cs="Times New Roman"/>
                <w:szCs w:val="21"/>
              </w:rPr>
              <w:t>文件</w:t>
            </w:r>
            <w:r>
              <w:rPr>
                <w:rFonts w:ascii="宋体" w:hAnsi="宋体" w:eastAsia="宋体" w:cs="Times New Roman"/>
                <w:szCs w:val="24"/>
              </w:rPr>
              <w:t>或技术</w:t>
            </w:r>
            <w:r>
              <w:rPr>
                <w:rFonts w:hint="eastAsia" w:ascii="宋体" w:hAnsi="宋体" w:eastAsia="宋体" w:cs="Times New Roman"/>
                <w:szCs w:val="24"/>
              </w:rPr>
              <w:t>文件</w:t>
            </w:r>
            <w:r>
              <w:rPr>
                <w:rFonts w:ascii="宋体" w:hAnsi="宋体" w:eastAsia="宋体" w:cs="Times New Roman"/>
                <w:szCs w:val="24"/>
              </w:rPr>
              <w:t>中</w:t>
            </w:r>
            <w:r>
              <w:rPr>
                <w:rFonts w:hint="eastAsia" w:ascii="宋体" w:hAnsi="宋体" w:eastAsia="宋体" w:cs="Times New Roman"/>
                <w:szCs w:val="24"/>
              </w:rPr>
              <w:t>未</w:t>
            </w:r>
            <w:r>
              <w:rPr>
                <w:rFonts w:ascii="宋体" w:hAnsi="宋体" w:eastAsia="宋体" w:cs="Times New Roman"/>
                <w:szCs w:val="24"/>
              </w:rPr>
              <w:t>透露有关报价的信息</w:t>
            </w:r>
            <w:r>
              <w:rPr>
                <w:rFonts w:hint="eastAsia" w:ascii="宋体" w:hAnsi="宋体" w:eastAsia="宋体" w:cs="Times New Roman"/>
                <w:szCs w:val="24"/>
              </w:rPr>
              <w:t>。</w:t>
            </w:r>
          </w:p>
        </w:tc>
        <w:tc>
          <w:tcPr>
            <w:tcW w:w="1452" w:type="dxa"/>
            <w:vAlign w:val="center"/>
          </w:tcPr>
          <w:p w14:paraId="308601D6">
            <w:pPr>
              <w:wordWrap w:val="0"/>
              <w:ind w:left="709" w:right="-57" w:rightChars="-27" w:hanging="709"/>
              <w:rPr>
                <w:rFonts w:ascii="Times New Roman" w:hAnsi="Times New Roman" w:eastAsia="宋体" w:cs="Times New Roman"/>
                <w:szCs w:val="21"/>
              </w:rPr>
            </w:pPr>
          </w:p>
        </w:tc>
      </w:tr>
      <w:tr w14:paraId="52A43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309F2D4A">
            <w:pPr>
              <w:wordWrap w:val="0"/>
              <w:ind w:left="709" w:right="-57" w:rightChars="-27" w:hanging="709"/>
              <w:jc w:val="center"/>
              <w:rPr>
                <w:rFonts w:hint="eastAsia" w:ascii="宋体" w:hAnsi="宋体" w:eastAsia="宋体" w:cs="Times New Roman"/>
                <w:szCs w:val="21"/>
              </w:rPr>
            </w:pPr>
            <w:r>
              <w:rPr>
                <w:rFonts w:ascii="宋体" w:hAnsi="宋体" w:eastAsia="宋体" w:cs="Times New Roman"/>
                <w:szCs w:val="21"/>
              </w:rPr>
              <w:t>4</w:t>
            </w:r>
          </w:p>
        </w:tc>
        <w:tc>
          <w:tcPr>
            <w:tcW w:w="7020" w:type="dxa"/>
            <w:vAlign w:val="center"/>
          </w:tcPr>
          <w:p w14:paraId="10085CDD">
            <w:pPr>
              <w:wordWrap w:val="0"/>
              <w:ind w:left="709" w:right="-57" w:rightChars="-27" w:hanging="709"/>
              <w:rPr>
                <w:rFonts w:hint="eastAsia" w:ascii="宋体" w:hAnsi="宋体" w:eastAsia="宋体" w:cs="Times New Roman"/>
                <w:szCs w:val="21"/>
              </w:rPr>
            </w:pPr>
            <w:r>
              <w:rPr>
                <w:rFonts w:hint="eastAsia" w:ascii="宋体" w:hAnsi="宋体" w:eastAsia="宋体" w:cs="Times New Roman"/>
                <w:szCs w:val="24"/>
              </w:rPr>
              <w:t>商务条款响应表无负偏离的</w:t>
            </w:r>
            <w:r>
              <w:rPr>
                <w:rFonts w:hint="eastAsia" w:ascii="宋体" w:hAnsi="宋体" w:eastAsia="宋体" w:cs="Times New Roman"/>
                <w:szCs w:val="21"/>
              </w:rPr>
              <w:t>。</w:t>
            </w:r>
          </w:p>
        </w:tc>
        <w:tc>
          <w:tcPr>
            <w:tcW w:w="1452" w:type="dxa"/>
            <w:vAlign w:val="center"/>
          </w:tcPr>
          <w:p w14:paraId="420B5B6E">
            <w:pPr>
              <w:wordWrap w:val="0"/>
              <w:ind w:left="709" w:right="-57" w:rightChars="-27" w:hanging="709"/>
              <w:rPr>
                <w:rFonts w:ascii="Times New Roman" w:hAnsi="Times New Roman" w:eastAsia="宋体" w:cs="Times New Roman"/>
                <w:szCs w:val="21"/>
              </w:rPr>
            </w:pPr>
          </w:p>
        </w:tc>
      </w:tr>
      <w:tr w14:paraId="4DD87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3411C948">
            <w:pPr>
              <w:wordWrap w:val="0"/>
              <w:ind w:left="709" w:right="-57" w:rightChars="-27" w:hanging="709"/>
              <w:jc w:val="center"/>
              <w:rPr>
                <w:rFonts w:hint="eastAsia" w:ascii="宋体" w:hAnsi="宋体" w:eastAsia="宋体" w:cs="Times New Roman"/>
                <w:szCs w:val="21"/>
              </w:rPr>
            </w:pPr>
            <w:r>
              <w:rPr>
                <w:rFonts w:hint="eastAsia" w:ascii="宋体" w:hAnsi="宋体" w:eastAsia="宋体" w:cs="Times New Roman"/>
                <w:szCs w:val="21"/>
              </w:rPr>
              <w:t>5</w:t>
            </w:r>
          </w:p>
        </w:tc>
        <w:tc>
          <w:tcPr>
            <w:tcW w:w="7020" w:type="dxa"/>
            <w:vAlign w:val="center"/>
          </w:tcPr>
          <w:p w14:paraId="4BBE91E2">
            <w:pPr>
              <w:wordWrap w:val="0"/>
              <w:rPr>
                <w:rFonts w:hint="eastAsia" w:ascii="宋体" w:hAnsi="宋体" w:eastAsia="宋体" w:cs="Times New Roman"/>
                <w:szCs w:val="24"/>
                <w:lang w:eastAsia="zh-CN"/>
              </w:rPr>
            </w:pPr>
            <w:r>
              <w:rPr>
                <w:rFonts w:hint="eastAsia" w:ascii="宋体" w:hAnsi="宋体" w:eastAsia="宋体" w:cs="Times New Roman"/>
                <w:szCs w:val="21"/>
              </w:rPr>
              <w:t>满足或正偏离《用户需求书》中带有“★”的实质性条款。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如有</w:t>
            </w:r>
            <w:r>
              <w:rPr>
                <w:rFonts w:hint="eastAsia" w:ascii="宋体" w:hAnsi="宋体" w:eastAsia="宋体" w:cs="Times New Roman"/>
                <w:szCs w:val="21"/>
                <w:lang w:eastAsia="zh-CN"/>
              </w:rPr>
              <w:t>）</w:t>
            </w:r>
          </w:p>
        </w:tc>
        <w:tc>
          <w:tcPr>
            <w:tcW w:w="1452" w:type="dxa"/>
            <w:vAlign w:val="center"/>
          </w:tcPr>
          <w:p w14:paraId="40CE1CE8">
            <w:pPr>
              <w:wordWrap w:val="0"/>
              <w:ind w:left="709" w:right="-57" w:rightChars="-27" w:hanging="709"/>
              <w:rPr>
                <w:rFonts w:ascii="Times New Roman" w:hAnsi="Times New Roman" w:eastAsia="宋体" w:cs="Times New Roman"/>
                <w:szCs w:val="21"/>
              </w:rPr>
            </w:pPr>
          </w:p>
        </w:tc>
      </w:tr>
      <w:tr w14:paraId="1052C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6EFE00D7">
            <w:pPr>
              <w:wordWrap w:val="0"/>
              <w:ind w:left="709" w:right="-57" w:rightChars="-27" w:hanging="709"/>
              <w:jc w:val="center"/>
              <w:rPr>
                <w:rFonts w:hint="eastAsia" w:ascii="宋体" w:hAnsi="宋体" w:eastAsia="宋体" w:cs="Times New Roman"/>
                <w:szCs w:val="21"/>
                <w:highlight w:val="yellow"/>
              </w:rPr>
            </w:pPr>
            <w:r>
              <w:rPr>
                <w:rFonts w:hint="eastAsia" w:ascii="宋体" w:hAnsi="宋体" w:eastAsia="宋体" w:cs="Times New Roman"/>
                <w:szCs w:val="21"/>
                <w:highlight w:val="none"/>
              </w:rPr>
              <w:t>6</w:t>
            </w:r>
          </w:p>
        </w:tc>
        <w:tc>
          <w:tcPr>
            <w:tcW w:w="7020" w:type="dxa"/>
            <w:vAlign w:val="center"/>
          </w:tcPr>
          <w:p w14:paraId="21733CCE">
            <w:pPr>
              <w:wordWrap w:val="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技术</w:t>
            </w:r>
            <w:r>
              <w:rPr>
                <w:rFonts w:hint="eastAsia" w:ascii="宋体" w:hAnsi="宋体" w:eastAsia="宋体" w:cs="Times New Roman"/>
                <w:szCs w:val="21"/>
                <w:highlight w:val="none"/>
                <w:lang w:val="en-US" w:eastAsia="zh-CN"/>
              </w:rPr>
              <w:t>条款</w:t>
            </w:r>
            <w:r>
              <w:rPr>
                <w:rFonts w:hint="eastAsia" w:ascii="宋体" w:hAnsi="宋体" w:eastAsia="宋体" w:cs="Times New Roman"/>
                <w:szCs w:val="21"/>
                <w:highlight w:val="none"/>
              </w:rPr>
              <w:t>响应表无负偏离的</w:t>
            </w:r>
            <w:r>
              <w:rPr>
                <w:rStyle w:val="106"/>
                <w:rFonts w:hint="eastAsia" w:ascii="Times New Roman" w:hAnsi="Times New Roman" w:eastAsia="宋体"/>
                <w:highlight w:val="none"/>
                <w:lang w:eastAsia="zh-CN"/>
              </w:rPr>
              <w:t>。</w:t>
            </w:r>
          </w:p>
        </w:tc>
        <w:tc>
          <w:tcPr>
            <w:tcW w:w="1452" w:type="dxa"/>
            <w:vAlign w:val="center"/>
          </w:tcPr>
          <w:p w14:paraId="5CF078AF">
            <w:pPr>
              <w:wordWrap w:val="0"/>
              <w:ind w:left="709" w:right="-57" w:rightChars="-27" w:hanging="709"/>
              <w:rPr>
                <w:rFonts w:ascii="Times New Roman" w:hAnsi="Times New Roman" w:eastAsia="宋体" w:cs="Times New Roman"/>
                <w:szCs w:val="21"/>
              </w:rPr>
            </w:pPr>
          </w:p>
        </w:tc>
      </w:tr>
      <w:tr w14:paraId="1DB61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14" w:type="dxa"/>
            <w:vAlign w:val="center"/>
          </w:tcPr>
          <w:p w14:paraId="05F145B2">
            <w:pPr>
              <w:wordWrap w:val="0"/>
              <w:ind w:left="709" w:right="-57" w:rightChars="-27" w:hanging="709"/>
              <w:jc w:val="center"/>
              <w:rPr>
                <w:rFonts w:hint="eastAsia" w:ascii="宋体" w:hAnsi="宋体" w:eastAsia="宋体" w:cs="Times New Roman"/>
                <w:szCs w:val="21"/>
              </w:rPr>
            </w:pPr>
            <w:r>
              <w:rPr>
                <w:rFonts w:hint="eastAsia" w:ascii="宋体" w:hAnsi="宋体" w:eastAsia="宋体" w:cs="Times New Roman"/>
                <w:szCs w:val="21"/>
              </w:rPr>
              <w:t>7</w:t>
            </w:r>
          </w:p>
        </w:tc>
        <w:tc>
          <w:tcPr>
            <w:tcW w:w="7020" w:type="dxa"/>
            <w:vAlign w:val="center"/>
          </w:tcPr>
          <w:p w14:paraId="77A192C0">
            <w:pPr>
              <w:wordWrap w:val="0"/>
              <w:ind w:left="709" w:right="-57" w:rightChars="-27" w:hanging="709"/>
              <w:rPr>
                <w:rFonts w:hint="eastAsia" w:ascii="宋体" w:hAnsi="宋体" w:eastAsia="宋体" w:cs="Times New Roman"/>
                <w:szCs w:val="21"/>
              </w:rPr>
            </w:pPr>
            <w:r>
              <w:rPr>
                <w:rFonts w:hint="eastAsia" w:ascii="宋体" w:hAnsi="宋体" w:eastAsia="宋体" w:cs="Times New Roman"/>
                <w:snapToGrid w:val="0"/>
                <w:kern w:val="0"/>
                <w:szCs w:val="21"/>
              </w:rPr>
              <w:t>无</w:t>
            </w:r>
            <w:r>
              <w:rPr>
                <w:rFonts w:ascii="宋体" w:hAnsi="宋体" w:eastAsia="宋体" w:cs="Times New Roman"/>
                <w:snapToGrid w:val="0"/>
                <w:kern w:val="0"/>
                <w:szCs w:val="21"/>
              </w:rPr>
              <w:t>招标文件、法律、法规规定的其他否决投标</w:t>
            </w:r>
            <w:r>
              <w:rPr>
                <w:rFonts w:hint="eastAsia" w:ascii="宋体" w:hAnsi="宋体" w:eastAsia="宋体" w:cs="Times New Roman"/>
                <w:snapToGrid w:val="0"/>
                <w:kern w:val="0"/>
                <w:szCs w:val="21"/>
              </w:rPr>
              <w:t>情况。</w:t>
            </w:r>
          </w:p>
        </w:tc>
        <w:tc>
          <w:tcPr>
            <w:tcW w:w="1452" w:type="dxa"/>
            <w:vAlign w:val="center"/>
          </w:tcPr>
          <w:p w14:paraId="20DE5D07">
            <w:pPr>
              <w:wordWrap w:val="0"/>
              <w:ind w:left="709" w:right="-57" w:rightChars="-27" w:hanging="709"/>
              <w:rPr>
                <w:rFonts w:ascii="Times New Roman" w:hAnsi="Times New Roman" w:eastAsia="宋体" w:cs="Times New Roman"/>
                <w:szCs w:val="21"/>
              </w:rPr>
            </w:pPr>
          </w:p>
        </w:tc>
      </w:tr>
      <w:tr w14:paraId="12DE6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34" w:type="dxa"/>
            <w:gridSpan w:val="2"/>
            <w:tcBorders>
              <w:bottom w:val="single" w:color="auto" w:sz="12" w:space="0"/>
            </w:tcBorders>
            <w:vAlign w:val="center"/>
          </w:tcPr>
          <w:p w14:paraId="059A1F0A">
            <w:pPr>
              <w:wordWrap w:val="0"/>
              <w:ind w:left="709" w:right="-57" w:rightChars="-27" w:hanging="709"/>
              <w:jc w:val="center"/>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评审结论</w:t>
            </w:r>
          </w:p>
        </w:tc>
        <w:tc>
          <w:tcPr>
            <w:tcW w:w="1452" w:type="dxa"/>
            <w:tcBorders>
              <w:bottom w:val="single" w:color="auto" w:sz="12" w:space="0"/>
            </w:tcBorders>
            <w:vAlign w:val="center"/>
          </w:tcPr>
          <w:p w14:paraId="7AD4D5EC">
            <w:pPr>
              <w:wordWrap w:val="0"/>
              <w:ind w:left="709" w:right="-57" w:rightChars="-27" w:hanging="709"/>
              <w:rPr>
                <w:rFonts w:ascii="Times New Roman" w:hAnsi="Times New Roman" w:eastAsia="宋体" w:cs="Times New Roman"/>
                <w:szCs w:val="21"/>
              </w:rPr>
            </w:pPr>
          </w:p>
        </w:tc>
      </w:tr>
    </w:tbl>
    <w:p w14:paraId="1F64444A">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kern w:val="0"/>
          <w:szCs w:val="21"/>
        </w:rPr>
        <w:t>注：</w:t>
      </w:r>
      <w:r>
        <w:rPr>
          <w:rFonts w:hint="eastAsia" w:ascii="宋体" w:hAnsi="宋体" w:eastAsia="宋体" w:cs="Times New Roman"/>
          <w:szCs w:val="24"/>
        </w:rPr>
        <w:t>评审结果填写合格打√，不合格打</w:t>
      </w:r>
      <w:r>
        <w:rPr>
          <w:rFonts w:ascii="宋体" w:hAnsi="宋体" w:eastAsia="宋体" w:cs="Times New Roman"/>
          <w:szCs w:val="24"/>
        </w:rPr>
        <w:t>×</w:t>
      </w:r>
      <w:r>
        <w:rPr>
          <w:rFonts w:hint="eastAsia" w:ascii="宋体" w:hAnsi="宋体" w:eastAsia="宋体" w:cs="Times New Roman"/>
          <w:szCs w:val="24"/>
        </w:rPr>
        <w:t>，凡评审结果有一项不合格者，结论为不通过。本表内</w:t>
      </w:r>
      <w:r>
        <w:rPr>
          <w:rFonts w:hint="eastAsia" w:ascii="Times New Roman" w:hAnsi="Times New Roman" w:eastAsia="宋体" w:cs="Times New Roman"/>
          <w:szCs w:val="24"/>
        </w:rPr>
        <w:t>容由技术评审组评审使用。</w:t>
      </w:r>
    </w:p>
    <w:p w14:paraId="0E25DB16">
      <w:pPr>
        <w:keepNext/>
        <w:keepLines/>
        <w:pageBreakBefore/>
        <w:wordWrap w:val="0"/>
        <w:spacing w:line="360" w:lineRule="auto"/>
        <w:ind w:left="482" w:hanging="482" w:hangingChars="200"/>
        <w:outlineLvl w:val="2"/>
        <w:rPr>
          <w:rFonts w:ascii="Arial" w:hAnsi="Arial" w:eastAsia="宋体" w:cs="Times New Roman"/>
          <w:b/>
          <w:bCs/>
          <w:kern w:val="0"/>
          <w:sz w:val="24"/>
          <w:szCs w:val="28"/>
        </w:rPr>
      </w:pPr>
      <w:r>
        <w:rPr>
          <w:rFonts w:ascii="Arial" w:hAnsi="Arial" w:eastAsia="宋体" w:cs="Times New Roman"/>
          <w:b/>
          <w:bCs/>
          <w:kern w:val="0"/>
          <w:sz w:val="24"/>
          <w:szCs w:val="28"/>
        </w:rPr>
        <w:t>附表</w:t>
      </w:r>
      <w:r>
        <w:rPr>
          <w:rFonts w:hint="eastAsia" w:ascii="Arial" w:hAnsi="Arial" w:eastAsia="宋体" w:cs="Times New Roman"/>
          <w:b/>
          <w:bCs/>
          <w:kern w:val="0"/>
          <w:sz w:val="24"/>
          <w:szCs w:val="28"/>
        </w:rPr>
        <w:t>三：</w:t>
      </w:r>
      <w:r>
        <w:rPr>
          <w:rFonts w:ascii="Arial" w:hAnsi="Arial" w:eastAsia="宋体" w:cs="Times New Roman"/>
          <w:b/>
          <w:bCs/>
          <w:kern w:val="0"/>
          <w:sz w:val="24"/>
          <w:szCs w:val="28"/>
        </w:rPr>
        <w:t>资信文件评分表</w:t>
      </w:r>
    </w:p>
    <w:tbl>
      <w:tblPr>
        <w:tblStyle w:val="90"/>
        <w:tblW w:w="93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42"/>
        <w:gridCol w:w="700"/>
        <w:gridCol w:w="6688"/>
        <w:gridCol w:w="526"/>
      </w:tblGrid>
      <w:tr w14:paraId="03830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279D6403">
            <w:pPr>
              <w:wordWrap w:val="0"/>
              <w:spacing w:line="36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942" w:type="dxa"/>
            <w:vAlign w:val="center"/>
          </w:tcPr>
          <w:p w14:paraId="2C10A49D">
            <w:pPr>
              <w:wordWrap w:val="0"/>
              <w:spacing w:line="36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评审项目</w:t>
            </w:r>
          </w:p>
        </w:tc>
        <w:tc>
          <w:tcPr>
            <w:tcW w:w="700" w:type="dxa"/>
            <w:vAlign w:val="center"/>
          </w:tcPr>
          <w:p w14:paraId="5F7334F6">
            <w:pPr>
              <w:wordWrap w:val="0"/>
              <w:spacing w:line="36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标准分</w:t>
            </w:r>
          </w:p>
        </w:tc>
        <w:tc>
          <w:tcPr>
            <w:tcW w:w="6688" w:type="dxa"/>
            <w:vAlign w:val="center"/>
          </w:tcPr>
          <w:p w14:paraId="6B19E282">
            <w:pPr>
              <w:wordWrap w:val="0"/>
              <w:spacing w:line="36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评分标准</w:t>
            </w:r>
          </w:p>
        </w:tc>
        <w:tc>
          <w:tcPr>
            <w:tcW w:w="526" w:type="dxa"/>
            <w:vAlign w:val="center"/>
          </w:tcPr>
          <w:p w14:paraId="56FCAB20">
            <w:pPr>
              <w:wordWrap w:val="0"/>
              <w:spacing w:line="36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得分</w:t>
            </w:r>
          </w:p>
        </w:tc>
      </w:tr>
      <w:tr w14:paraId="025B2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0D99B384">
            <w:pPr>
              <w:wordWrap w:val="0"/>
              <w:spacing w:line="360" w:lineRule="exact"/>
              <w:jc w:val="center"/>
              <w:rPr>
                <w:rFonts w:hint="eastAsia" w:ascii="宋体" w:hAnsi="宋体" w:eastAsia="宋体" w:cs="宋体"/>
                <w:kern w:val="0"/>
                <w:szCs w:val="21"/>
                <w:highlight w:val="none"/>
              </w:rPr>
            </w:pPr>
            <w:bookmarkStart w:id="302" w:name="_Hlk201875289"/>
            <w:r>
              <w:rPr>
                <w:rFonts w:hint="eastAsia" w:ascii="宋体" w:hAnsi="宋体" w:eastAsia="宋体" w:cs="宋体"/>
                <w:kern w:val="0"/>
                <w:szCs w:val="21"/>
                <w:highlight w:val="none"/>
              </w:rPr>
              <w:t>1</w:t>
            </w:r>
          </w:p>
        </w:tc>
        <w:tc>
          <w:tcPr>
            <w:tcW w:w="942" w:type="dxa"/>
            <w:vAlign w:val="center"/>
          </w:tcPr>
          <w:p w14:paraId="31B1FC2B">
            <w:pPr>
              <w:pStyle w:val="87"/>
              <w:keepNext/>
              <w:keepLines/>
              <w:ind w:left="0" w:leftChars="0" w:firstLine="0" w:firstLineChars="0"/>
              <w:jc w:val="center"/>
              <w:rPr>
                <w:rFonts w:hint="eastAsia" w:ascii="宋体" w:hAnsi="宋体" w:eastAsia="宋体" w:cs="宋体"/>
                <w:szCs w:val="21"/>
                <w:highlight w:val="none"/>
              </w:rPr>
            </w:pPr>
            <w:r>
              <w:rPr>
                <w:rFonts w:hint="eastAsia" w:ascii="宋体" w:hAnsi="宋体" w:cs="宋体"/>
                <w:sz w:val="21"/>
                <w:highlight w:val="none"/>
              </w:rPr>
              <w:t>企业实力</w:t>
            </w:r>
          </w:p>
        </w:tc>
        <w:tc>
          <w:tcPr>
            <w:tcW w:w="700" w:type="dxa"/>
            <w:vAlign w:val="center"/>
          </w:tcPr>
          <w:p w14:paraId="20695DE0">
            <w:pPr>
              <w:pStyle w:val="87"/>
              <w:keepNext/>
              <w:keepLines/>
              <w:ind w:left="0" w:leftChars="0" w:firstLine="0" w:firstLineChars="0"/>
              <w:jc w:val="center"/>
              <w:rPr>
                <w:rFonts w:hint="eastAsia" w:ascii="宋体" w:hAnsi="宋体" w:eastAsia="宋体" w:cs="宋体"/>
                <w:szCs w:val="21"/>
                <w:highlight w:val="none"/>
              </w:rPr>
            </w:pPr>
            <w:r>
              <w:rPr>
                <w:rFonts w:hint="eastAsia" w:ascii="宋体" w:hAnsi="宋体" w:eastAsia="宋体" w:cs="宋体"/>
                <w:sz w:val="21"/>
                <w:highlight w:val="none"/>
              </w:rPr>
              <w:t>3</w:t>
            </w:r>
          </w:p>
        </w:tc>
        <w:tc>
          <w:tcPr>
            <w:tcW w:w="6688" w:type="dxa"/>
            <w:vAlign w:val="center"/>
          </w:tcPr>
          <w:p w14:paraId="24045F86">
            <w:pPr>
              <w:wordWrap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投标人具有有效ISO9001质量管理体系认证证书的，得</w:t>
            </w:r>
            <w:r>
              <w:rPr>
                <w:rFonts w:hint="eastAsia" w:ascii="宋体" w:hAnsi="宋体"/>
                <w:szCs w:val="21"/>
                <w:highlight w:val="none"/>
              </w:rPr>
              <w:t>3</w:t>
            </w:r>
            <w:r>
              <w:rPr>
                <w:rFonts w:hint="eastAsia" w:ascii="宋体" w:hAnsi="宋体" w:eastAsia="宋体" w:cs="Times New Roman"/>
                <w:szCs w:val="21"/>
                <w:highlight w:val="none"/>
              </w:rPr>
              <w:t>分，不提供不得分。</w:t>
            </w:r>
          </w:p>
          <w:p w14:paraId="07CB385C">
            <w:pPr>
              <w:wordWrap w:val="0"/>
              <w:spacing w:line="360" w:lineRule="auto"/>
              <w:jc w:val="left"/>
              <w:rPr>
                <w:rFonts w:hint="eastAsia" w:ascii="宋体" w:hAnsi="宋体"/>
                <w:szCs w:val="21"/>
                <w:highlight w:val="none"/>
              </w:rPr>
            </w:pPr>
            <w:r>
              <w:rPr>
                <w:rFonts w:hint="eastAsia" w:ascii="宋体" w:hAnsi="宋体" w:eastAsia="宋体" w:cs="Times New Roman"/>
                <w:szCs w:val="21"/>
                <w:highlight w:val="none"/>
              </w:rPr>
              <w:t>注：投标人须提供有效的相关证书复印件及查询页面截图并加盖投标人公章，不提供不得分。</w:t>
            </w:r>
          </w:p>
        </w:tc>
        <w:tc>
          <w:tcPr>
            <w:tcW w:w="526" w:type="dxa"/>
            <w:vAlign w:val="center"/>
          </w:tcPr>
          <w:p w14:paraId="258296E3">
            <w:pPr>
              <w:wordWrap w:val="0"/>
              <w:spacing w:line="360" w:lineRule="exact"/>
              <w:rPr>
                <w:rFonts w:hint="eastAsia" w:ascii="宋体" w:hAnsi="宋体" w:eastAsia="宋体" w:cs="宋体"/>
                <w:kern w:val="0"/>
                <w:szCs w:val="21"/>
                <w:highlight w:val="none"/>
              </w:rPr>
            </w:pPr>
          </w:p>
        </w:tc>
      </w:tr>
      <w:tr w14:paraId="45454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24668639">
            <w:pPr>
              <w:wordWrap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942" w:type="dxa"/>
            <w:vAlign w:val="center"/>
          </w:tcPr>
          <w:p w14:paraId="758A3DD1">
            <w:pPr>
              <w:pStyle w:val="87"/>
              <w:keepNext/>
              <w:keepLines/>
              <w:ind w:left="0" w:leftChars="0" w:firstLine="0" w:firstLineChars="0"/>
              <w:jc w:val="center"/>
              <w:rPr>
                <w:rFonts w:hint="eastAsia" w:ascii="宋体" w:hAnsi="宋体" w:eastAsia="宋体"/>
                <w:szCs w:val="21"/>
                <w:highlight w:val="none"/>
              </w:rPr>
            </w:pPr>
            <w:r>
              <w:rPr>
                <w:rFonts w:hint="eastAsia" w:ascii="宋体" w:hAnsi="宋体" w:cs="宋体"/>
                <w:sz w:val="21"/>
                <w:highlight w:val="none"/>
              </w:rPr>
              <w:t>企业业绩</w:t>
            </w:r>
          </w:p>
        </w:tc>
        <w:tc>
          <w:tcPr>
            <w:tcW w:w="700" w:type="dxa"/>
            <w:vAlign w:val="center"/>
          </w:tcPr>
          <w:p w14:paraId="6DC47EDB">
            <w:pPr>
              <w:pStyle w:val="87"/>
              <w:keepNext/>
              <w:keepLines/>
              <w:ind w:left="0" w:leftChars="0" w:firstLine="0" w:firstLineChars="0"/>
              <w:jc w:val="center"/>
              <w:rPr>
                <w:rFonts w:hint="eastAsia" w:ascii="宋体" w:hAnsi="宋体" w:eastAsia="宋体" w:cs="宋体"/>
                <w:szCs w:val="21"/>
                <w:highlight w:val="none"/>
              </w:rPr>
            </w:pPr>
            <w:r>
              <w:rPr>
                <w:rFonts w:hint="eastAsia" w:ascii="宋体" w:hAnsi="宋体" w:eastAsia="宋体" w:cs="宋体"/>
                <w:bCs/>
                <w:sz w:val="21"/>
                <w:highlight w:val="none"/>
              </w:rPr>
              <w:t>15</w:t>
            </w:r>
          </w:p>
        </w:tc>
        <w:tc>
          <w:tcPr>
            <w:tcW w:w="6688" w:type="dxa"/>
            <w:vAlign w:val="center"/>
          </w:tcPr>
          <w:p w14:paraId="3F02C80E">
            <w:pPr>
              <w:wordWrap w:val="0"/>
              <w:spacing w:line="360" w:lineRule="auto"/>
              <w:ind w:firstLine="0" w:firstLineChars="0"/>
              <w:jc w:val="left"/>
              <w:textAlignment w:val="baseline"/>
              <w:rPr>
                <w:rFonts w:hint="eastAsia" w:ascii="宋体" w:hAnsi="宋体" w:eastAsia="宋体" w:cs="Times New Roman"/>
                <w:szCs w:val="21"/>
                <w:highlight w:val="none"/>
              </w:rPr>
            </w:pPr>
            <w:r>
              <w:rPr>
                <w:rFonts w:hint="eastAsia" w:ascii="宋体" w:hAnsi="宋体" w:eastAsia="宋体" w:cs="Times New Roman"/>
                <w:szCs w:val="21"/>
                <w:highlight w:val="none"/>
              </w:rPr>
              <w:t>自2021年1月1日至投标截止时间止（业绩时间以合同签订时间为准），投标人须具有</w:t>
            </w:r>
            <w:r>
              <w:rPr>
                <w:rFonts w:hint="eastAsia" w:ascii="宋体" w:hAnsi="宋体" w:eastAsia="宋体" w:cs="Times New Roman"/>
                <w:szCs w:val="21"/>
                <w:highlight w:val="none"/>
                <w:lang w:eastAsia="zh-CN"/>
              </w:rPr>
              <w:t>公共交通行业</w:t>
            </w:r>
            <w:r>
              <w:rPr>
                <w:rFonts w:hint="eastAsia" w:ascii="宋体" w:hAnsi="宋体" w:eastAsia="宋体" w:cs="Times New Roman"/>
                <w:szCs w:val="21"/>
                <w:highlight w:val="none"/>
              </w:rPr>
              <w:t>信息化系统或</w:t>
            </w:r>
            <w:r>
              <w:rPr>
                <w:rFonts w:hint="eastAsia" w:ascii="宋体" w:hAnsi="宋体" w:eastAsia="宋体" w:cs="Times New Roman"/>
                <w:szCs w:val="21"/>
                <w:highlight w:val="none"/>
                <w:lang w:eastAsia="zh-CN"/>
              </w:rPr>
              <w:t>公共交通行业</w:t>
            </w:r>
            <w:r>
              <w:rPr>
                <w:rFonts w:hint="eastAsia" w:ascii="宋体" w:hAnsi="宋体" w:eastAsia="宋体" w:cs="Times New Roman"/>
                <w:szCs w:val="21"/>
                <w:highlight w:val="none"/>
              </w:rPr>
              <w:t>智慧化系统的系统集成或升级改造业绩的，</w:t>
            </w:r>
          </w:p>
          <w:p w14:paraId="2DB55DD2">
            <w:pPr>
              <w:wordWrap w:val="0"/>
              <w:spacing w:line="360" w:lineRule="auto"/>
              <w:ind w:firstLine="0" w:firstLineChars="0"/>
              <w:jc w:val="left"/>
              <w:textAlignment w:val="baseline"/>
              <w:rPr>
                <w:rFonts w:hint="eastAsia" w:ascii="宋体" w:hAnsi="宋体" w:eastAsia="宋体" w:cs="Times New Roman"/>
                <w:szCs w:val="21"/>
                <w:highlight w:val="none"/>
              </w:rPr>
            </w:pPr>
            <w:r>
              <w:rPr>
                <w:rFonts w:hint="eastAsia" w:ascii="宋体" w:hAnsi="宋体" w:eastAsia="宋体" w:cs="Times New Roman"/>
                <w:szCs w:val="21"/>
                <w:highlight w:val="none"/>
              </w:rPr>
              <w:t>1）单项合同金额在700万元以下的，每个业绩得2分，最多6分；</w:t>
            </w:r>
          </w:p>
          <w:p w14:paraId="5B3F538B">
            <w:pPr>
              <w:wordWrap w:val="0"/>
              <w:spacing w:line="360" w:lineRule="auto"/>
              <w:ind w:firstLine="0" w:firstLineChars="0"/>
              <w:jc w:val="left"/>
              <w:textAlignment w:val="baseline"/>
              <w:rPr>
                <w:rFonts w:hint="eastAsia" w:ascii="宋体" w:hAnsi="宋体" w:eastAsia="宋体" w:cs="Times New Roman"/>
                <w:szCs w:val="21"/>
                <w:highlight w:val="none"/>
              </w:rPr>
            </w:pPr>
            <w:r>
              <w:rPr>
                <w:rFonts w:hint="eastAsia" w:ascii="宋体" w:hAnsi="宋体" w:eastAsia="宋体" w:cs="Times New Roman"/>
                <w:szCs w:val="21"/>
                <w:highlight w:val="none"/>
              </w:rPr>
              <w:t>2）单项合同金额在700万元</w:t>
            </w:r>
            <w:r>
              <w:rPr>
                <w:rFonts w:hint="eastAsia" w:ascii="宋体" w:hAnsi="宋体" w:eastAsia="宋体" w:cs="Times New Roman"/>
                <w:szCs w:val="21"/>
                <w:highlight w:val="none"/>
                <w:lang w:val="en-US" w:eastAsia="zh-CN"/>
              </w:rPr>
              <w:t>及</w:t>
            </w:r>
            <w:r>
              <w:rPr>
                <w:rFonts w:hint="eastAsia" w:ascii="宋体" w:hAnsi="宋体" w:eastAsia="宋体" w:cs="Times New Roman"/>
                <w:szCs w:val="21"/>
                <w:highlight w:val="none"/>
              </w:rPr>
              <w:t>以上的，每个业绩得5分，最多15分；</w:t>
            </w:r>
          </w:p>
          <w:p w14:paraId="58149BC5">
            <w:pPr>
              <w:wordWrap w:val="0"/>
              <w:spacing w:line="360" w:lineRule="auto"/>
              <w:ind w:firstLine="0" w:firstLineChars="0"/>
              <w:jc w:val="left"/>
              <w:textAlignment w:val="baseline"/>
              <w:rPr>
                <w:rFonts w:hint="eastAsia" w:ascii="宋体" w:hAnsi="宋体" w:eastAsia="宋体" w:cs="Times New Roman"/>
                <w:szCs w:val="21"/>
                <w:highlight w:val="none"/>
              </w:rPr>
            </w:pPr>
            <w:r>
              <w:rPr>
                <w:rFonts w:hint="eastAsia" w:ascii="宋体" w:hAnsi="宋体" w:eastAsia="宋体" w:cs="Times New Roman"/>
                <w:szCs w:val="21"/>
                <w:highlight w:val="none"/>
              </w:rPr>
              <w:t>本项满分15分</w:t>
            </w:r>
            <w:r>
              <w:rPr>
                <w:rFonts w:hint="eastAsia" w:ascii="宋体" w:hAnsi="宋体" w:eastAsia="宋体" w:cs="Times New Roman"/>
                <w:szCs w:val="21"/>
                <w:highlight w:val="none"/>
                <w:lang w:eastAsia="zh-CN"/>
              </w:rPr>
              <w:t>。</w:t>
            </w:r>
          </w:p>
          <w:p w14:paraId="77D58DD9">
            <w:pPr>
              <w:wordWrap w:val="0"/>
              <w:spacing w:line="360" w:lineRule="auto"/>
              <w:ind w:firstLine="0" w:firstLineChars="0"/>
              <w:textAlignment w:val="baseline"/>
              <w:rPr>
                <w:rFonts w:hint="eastAsia" w:ascii="宋体" w:hAnsi="宋体" w:eastAsia="宋体" w:cs="Times New Roman"/>
                <w:szCs w:val="21"/>
                <w:highlight w:val="none"/>
              </w:rPr>
            </w:pPr>
            <w:r>
              <w:rPr>
                <w:rFonts w:hint="eastAsia" w:ascii="宋体" w:hAnsi="宋体" w:eastAsia="宋体" w:cs="Times New Roman"/>
                <w:szCs w:val="21"/>
                <w:highlight w:val="none"/>
              </w:rPr>
              <w:t>投标人须提供业绩证明文件：须提供合同关键页或中标通知书等复印件证明材料，证明材料须体现出合同双方、</w:t>
            </w:r>
            <w:r>
              <w:rPr>
                <w:rFonts w:hint="eastAsia" w:ascii="宋体" w:hAnsi="宋体" w:eastAsia="宋体" w:cs="Times New Roman"/>
                <w:szCs w:val="21"/>
                <w:highlight w:val="none"/>
                <w:lang w:val="en-US" w:eastAsia="zh-CN"/>
              </w:rPr>
              <w:t>合同金额、</w:t>
            </w:r>
            <w:r>
              <w:rPr>
                <w:rFonts w:hint="eastAsia" w:ascii="宋体" w:hAnsi="宋体" w:eastAsia="宋体" w:cs="Times New Roman"/>
                <w:szCs w:val="21"/>
                <w:highlight w:val="none"/>
              </w:rPr>
              <w:t>合同签订时间、合同服务等内容，否则评审时不予承认该业绩。联合体业绩、分包业绩均不予认可。</w:t>
            </w:r>
          </w:p>
        </w:tc>
        <w:tc>
          <w:tcPr>
            <w:tcW w:w="526" w:type="dxa"/>
            <w:vAlign w:val="center"/>
          </w:tcPr>
          <w:p w14:paraId="517D3F50">
            <w:pPr>
              <w:wordWrap w:val="0"/>
              <w:spacing w:line="360" w:lineRule="exact"/>
              <w:rPr>
                <w:rFonts w:hint="eastAsia" w:ascii="宋体" w:hAnsi="宋体" w:eastAsia="宋体" w:cs="宋体"/>
                <w:kern w:val="0"/>
                <w:szCs w:val="21"/>
                <w:highlight w:val="none"/>
              </w:rPr>
            </w:pPr>
          </w:p>
        </w:tc>
      </w:tr>
      <w:tr w14:paraId="38FD7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1687D456">
            <w:pPr>
              <w:wordWrap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942" w:type="dxa"/>
            <w:vAlign w:val="center"/>
          </w:tcPr>
          <w:p w14:paraId="244F35D5">
            <w:pPr>
              <w:pStyle w:val="87"/>
              <w:keepNext/>
              <w:keepLines/>
              <w:ind w:left="0" w:leftChars="0" w:firstLine="0" w:firstLineChars="0"/>
              <w:jc w:val="center"/>
              <w:rPr>
                <w:rFonts w:ascii="宋体" w:hAnsi="宋体" w:cs="宋体"/>
                <w:sz w:val="21"/>
                <w:highlight w:val="none"/>
              </w:rPr>
            </w:pPr>
            <w:r>
              <w:rPr>
                <w:rFonts w:hint="eastAsia" w:ascii="宋体" w:hAnsi="宋体" w:cs="宋体"/>
                <w:sz w:val="21"/>
                <w:highlight w:val="none"/>
              </w:rPr>
              <w:t>项目负责人</w:t>
            </w:r>
            <w:r>
              <w:rPr>
                <w:rFonts w:hint="eastAsia" w:ascii="宋体" w:hAnsi="宋体" w:eastAsia="宋体" w:cs="宋体"/>
                <w:sz w:val="21"/>
                <w:highlight w:val="none"/>
              </w:rPr>
              <w:t>业绩</w:t>
            </w:r>
          </w:p>
        </w:tc>
        <w:tc>
          <w:tcPr>
            <w:tcW w:w="700" w:type="dxa"/>
            <w:vAlign w:val="center"/>
          </w:tcPr>
          <w:p w14:paraId="508066A3">
            <w:pPr>
              <w:pStyle w:val="87"/>
              <w:keepNext/>
              <w:keepLines/>
              <w:ind w:left="0" w:leftChars="0" w:firstLine="0" w:firstLineChars="0"/>
              <w:jc w:val="center"/>
              <w:rPr>
                <w:rFonts w:hint="eastAsia" w:ascii="宋体" w:hAnsi="宋体" w:eastAsia="宋体" w:cs="宋体"/>
                <w:bCs/>
                <w:sz w:val="21"/>
                <w:highlight w:val="none"/>
              </w:rPr>
            </w:pPr>
            <w:r>
              <w:rPr>
                <w:rFonts w:hint="eastAsia" w:ascii="宋体" w:hAnsi="宋体" w:eastAsia="宋体" w:cs="宋体"/>
                <w:bCs/>
                <w:sz w:val="21"/>
                <w:highlight w:val="none"/>
              </w:rPr>
              <w:t>8</w:t>
            </w:r>
          </w:p>
        </w:tc>
        <w:tc>
          <w:tcPr>
            <w:tcW w:w="6688" w:type="dxa"/>
            <w:vAlign w:val="center"/>
          </w:tcPr>
          <w:p w14:paraId="18021454">
            <w:pPr>
              <w:wordWrap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自2021年1月1日至投标截止时间止担任过单项合同金额在700万元及以上</w:t>
            </w:r>
            <w:r>
              <w:rPr>
                <w:rFonts w:hint="eastAsia" w:ascii="宋体" w:hAnsi="宋体" w:eastAsia="宋体" w:cs="Times New Roman"/>
                <w:szCs w:val="21"/>
                <w:highlight w:val="none"/>
                <w:lang w:eastAsia="zh-CN"/>
              </w:rPr>
              <w:t>公共交通行业</w:t>
            </w:r>
            <w:r>
              <w:rPr>
                <w:rFonts w:hint="eastAsia" w:ascii="宋体" w:hAnsi="宋体" w:eastAsia="宋体" w:cs="Times New Roman"/>
                <w:szCs w:val="21"/>
                <w:highlight w:val="none"/>
              </w:rPr>
              <w:t>信息化系统或</w:t>
            </w:r>
            <w:r>
              <w:rPr>
                <w:rFonts w:hint="eastAsia" w:ascii="宋体" w:hAnsi="宋体" w:eastAsia="宋体" w:cs="Times New Roman"/>
                <w:szCs w:val="21"/>
                <w:highlight w:val="none"/>
                <w:lang w:eastAsia="zh-CN"/>
              </w:rPr>
              <w:t>公共交通行业</w:t>
            </w:r>
            <w:r>
              <w:rPr>
                <w:rFonts w:hint="eastAsia" w:ascii="宋体" w:hAnsi="宋体" w:eastAsia="宋体" w:cs="Times New Roman"/>
                <w:szCs w:val="21"/>
                <w:highlight w:val="none"/>
              </w:rPr>
              <w:t>智慧化系统的系统集成或升级改造的项目负责人（项目经理）或技术负责人（项目总工），每个业绩</w:t>
            </w:r>
            <w:r>
              <w:rPr>
                <w:rFonts w:hint="eastAsia" w:ascii="宋体" w:hAnsi="宋体" w:cs="Times New Roman"/>
                <w:szCs w:val="21"/>
                <w:highlight w:val="none"/>
              </w:rPr>
              <w:t>得4分，满分8分</w:t>
            </w:r>
            <w:r>
              <w:rPr>
                <w:rFonts w:hint="eastAsia" w:ascii="宋体" w:hAnsi="宋体" w:eastAsia="宋体" w:cs="Times New Roman"/>
                <w:szCs w:val="21"/>
                <w:highlight w:val="none"/>
              </w:rPr>
              <w:t>。</w:t>
            </w:r>
          </w:p>
          <w:p w14:paraId="74C97394">
            <w:pPr>
              <w:wordWrap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注：①</w:t>
            </w:r>
            <w:r>
              <w:rPr>
                <w:rFonts w:hint="eastAsia" w:eastAsia="宋体"/>
                <w:highlight w:val="none"/>
              </w:rPr>
              <w:t>提供</w:t>
            </w:r>
            <w:r>
              <w:rPr>
                <w:rFonts w:hint="eastAsia" w:ascii="宋体" w:hAnsi="宋体" w:cs="宋体"/>
                <w:highlight w:val="none"/>
              </w:rPr>
              <w:t>项目负责人</w:t>
            </w:r>
            <w:r>
              <w:rPr>
                <w:rFonts w:hint="eastAsia"/>
                <w:szCs w:val="21"/>
                <w:highlight w:val="none"/>
              </w:rPr>
              <w:t>近1年内任意连续6个月的社保缴纳证明</w:t>
            </w:r>
            <w:r>
              <w:rPr>
                <w:rFonts w:hint="eastAsia" w:ascii="宋体" w:hAnsi="宋体" w:eastAsia="宋体" w:cs="Times New Roman"/>
                <w:szCs w:val="21"/>
                <w:highlight w:val="none"/>
              </w:rPr>
              <w:t>材料并加盖公章；</w:t>
            </w:r>
          </w:p>
          <w:p w14:paraId="552BB0F3">
            <w:pPr>
              <w:spacing w:line="360" w:lineRule="auto"/>
              <w:rPr>
                <w:rFonts w:hint="eastAsia" w:ascii="宋体" w:hAnsi="宋体" w:eastAsia="宋体" w:cs="Times New Roman"/>
                <w:szCs w:val="21"/>
                <w:highlight w:val="none"/>
              </w:rPr>
            </w:pPr>
            <w:r>
              <w:rPr>
                <w:rFonts w:hint="eastAsia" w:ascii="宋体" w:hAnsi="宋体" w:eastAsia="宋体" w:cs="Times New Roman"/>
                <w:szCs w:val="21"/>
                <w:highlight w:val="none"/>
              </w:rPr>
              <w:t>②提供</w:t>
            </w:r>
            <w:r>
              <w:rPr>
                <w:rFonts w:hint="eastAsia" w:eastAsia="宋体"/>
                <w:highlight w:val="none"/>
              </w:rPr>
              <w:t>合同证明材料或用户证明复印件且能清晰反映项目特征和拟派项目经理在该项目中担任的职务，用户证明须具有证明单位盖章，否则评审时不予承认该业绩，承接时间以合同或用户证明复印件上所载明的时间为准。</w:t>
            </w:r>
          </w:p>
        </w:tc>
        <w:tc>
          <w:tcPr>
            <w:tcW w:w="526" w:type="dxa"/>
            <w:vAlign w:val="center"/>
          </w:tcPr>
          <w:p w14:paraId="7621E51E">
            <w:pPr>
              <w:wordWrap w:val="0"/>
              <w:spacing w:line="360" w:lineRule="exact"/>
              <w:rPr>
                <w:rFonts w:hint="eastAsia" w:ascii="宋体" w:hAnsi="宋体" w:eastAsia="宋体" w:cs="宋体"/>
                <w:kern w:val="0"/>
                <w:szCs w:val="21"/>
                <w:highlight w:val="none"/>
              </w:rPr>
            </w:pPr>
          </w:p>
        </w:tc>
      </w:tr>
      <w:tr w14:paraId="09570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1C0190C2">
            <w:pPr>
              <w:wordWrap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942" w:type="dxa"/>
            <w:vAlign w:val="center"/>
          </w:tcPr>
          <w:p w14:paraId="031B240B">
            <w:pPr>
              <w:pStyle w:val="87"/>
              <w:keepNext/>
              <w:keepLines/>
              <w:ind w:left="0" w:leftChars="0" w:firstLine="0" w:firstLineChars="0"/>
              <w:jc w:val="center"/>
              <w:rPr>
                <w:rFonts w:ascii="宋体" w:hAnsi="宋体" w:cs="宋体"/>
                <w:sz w:val="21"/>
                <w:highlight w:val="none"/>
              </w:rPr>
            </w:pPr>
            <w:r>
              <w:rPr>
                <w:rFonts w:hint="eastAsia" w:ascii="宋体" w:hAnsi="宋体" w:eastAsia="宋体" w:cs="宋体"/>
                <w:sz w:val="21"/>
                <w:highlight w:val="none"/>
              </w:rPr>
              <w:t>财务状况</w:t>
            </w:r>
          </w:p>
        </w:tc>
        <w:tc>
          <w:tcPr>
            <w:tcW w:w="700" w:type="dxa"/>
            <w:vAlign w:val="center"/>
          </w:tcPr>
          <w:p w14:paraId="43426B00">
            <w:pPr>
              <w:pStyle w:val="87"/>
              <w:keepNext/>
              <w:keepLines/>
              <w:ind w:left="0" w:leftChars="0" w:firstLine="0" w:firstLineChars="0"/>
              <w:jc w:val="center"/>
              <w:rPr>
                <w:rFonts w:hint="eastAsia" w:ascii="宋体" w:hAnsi="宋体" w:eastAsia="宋体" w:cs="宋体"/>
                <w:bCs/>
                <w:sz w:val="21"/>
                <w:highlight w:val="none"/>
              </w:rPr>
            </w:pPr>
            <w:r>
              <w:rPr>
                <w:rFonts w:hint="eastAsia" w:ascii="宋体" w:hAnsi="宋体" w:eastAsia="宋体" w:cs="宋体"/>
                <w:bCs/>
                <w:sz w:val="21"/>
                <w:highlight w:val="none"/>
              </w:rPr>
              <w:t>4</w:t>
            </w:r>
          </w:p>
        </w:tc>
        <w:tc>
          <w:tcPr>
            <w:tcW w:w="6688" w:type="dxa"/>
            <w:vAlign w:val="center"/>
          </w:tcPr>
          <w:p w14:paraId="660FB0E6">
            <w:pPr>
              <w:wordWrap w:val="0"/>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rPr>
              <w:t>投标人提供由注册会计师事务所出具的无保留意见的投标人 2024 年度审计报告</w:t>
            </w:r>
            <w:r>
              <w:rPr>
                <w:rFonts w:hint="eastAsia" w:ascii="宋体" w:hAnsi="宋体" w:eastAsia="宋体" w:cs="Times New Roman"/>
                <w:szCs w:val="21"/>
                <w:highlight w:val="none"/>
                <w:lang w:val="en-US" w:eastAsia="zh-CN"/>
              </w:rPr>
              <w:t>的</w:t>
            </w:r>
            <w:r>
              <w:rPr>
                <w:rFonts w:hint="eastAsia" w:ascii="宋体" w:hAnsi="宋体" w:eastAsia="宋体" w:cs="Times New Roman"/>
                <w:szCs w:val="21"/>
                <w:highlight w:val="none"/>
              </w:rPr>
              <w:t>（应包含资产负债表、损益表、现金流量表等主要财务报表及附注），得4分，不提供不得分。</w:t>
            </w:r>
          </w:p>
        </w:tc>
        <w:tc>
          <w:tcPr>
            <w:tcW w:w="526" w:type="dxa"/>
            <w:vAlign w:val="center"/>
          </w:tcPr>
          <w:p w14:paraId="0302467E">
            <w:pPr>
              <w:wordWrap w:val="0"/>
              <w:spacing w:line="360" w:lineRule="exact"/>
              <w:rPr>
                <w:rFonts w:hint="eastAsia" w:ascii="宋体" w:hAnsi="宋体" w:eastAsia="宋体" w:cs="宋体"/>
                <w:kern w:val="0"/>
                <w:szCs w:val="21"/>
                <w:highlight w:val="none"/>
              </w:rPr>
            </w:pPr>
          </w:p>
        </w:tc>
      </w:tr>
      <w:bookmarkEnd w:id="302"/>
      <w:tr w14:paraId="3C82B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476" w:type="dxa"/>
            <w:gridSpan w:val="2"/>
            <w:vAlign w:val="center"/>
          </w:tcPr>
          <w:p w14:paraId="43E91B57">
            <w:pPr>
              <w:wordWrap w:val="0"/>
              <w:autoSpaceDE w:val="0"/>
              <w:autoSpaceDN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资信文件得分</w:t>
            </w:r>
          </w:p>
        </w:tc>
        <w:tc>
          <w:tcPr>
            <w:tcW w:w="700" w:type="dxa"/>
            <w:vAlign w:val="center"/>
          </w:tcPr>
          <w:p w14:paraId="4C20F4FA">
            <w:pPr>
              <w:wordWrap w:val="0"/>
              <w:autoSpaceDE w:val="0"/>
              <w:autoSpaceDN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6688" w:type="dxa"/>
            <w:vAlign w:val="center"/>
          </w:tcPr>
          <w:p w14:paraId="352E2169">
            <w:pPr>
              <w:wordWrap w:val="0"/>
              <w:spacing w:line="360" w:lineRule="exact"/>
              <w:rPr>
                <w:rFonts w:hint="eastAsia" w:ascii="宋体" w:hAnsi="宋体" w:eastAsia="宋体" w:cs="宋体"/>
                <w:kern w:val="0"/>
                <w:szCs w:val="21"/>
                <w:highlight w:val="none"/>
              </w:rPr>
            </w:pPr>
          </w:p>
        </w:tc>
        <w:tc>
          <w:tcPr>
            <w:tcW w:w="526" w:type="dxa"/>
            <w:vAlign w:val="center"/>
          </w:tcPr>
          <w:p w14:paraId="32697A63">
            <w:pPr>
              <w:wordWrap w:val="0"/>
              <w:spacing w:line="360" w:lineRule="exact"/>
              <w:rPr>
                <w:rFonts w:hint="eastAsia" w:ascii="宋体" w:hAnsi="宋体" w:eastAsia="宋体" w:cs="宋体"/>
                <w:kern w:val="0"/>
                <w:szCs w:val="21"/>
                <w:highlight w:val="none"/>
              </w:rPr>
            </w:pPr>
          </w:p>
        </w:tc>
      </w:tr>
    </w:tbl>
    <w:p w14:paraId="1FFC515C">
      <w:pPr>
        <w:tabs>
          <w:tab w:val="left" w:pos="5085"/>
        </w:tabs>
        <w:wordWrap w:val="0"/>
        <w:rPr>
          <w:rFonts w:hint="eastAsia" w:ascii="宋体" w:hAnsi="宋体" w:eastAsia="宋体" w:cs="Times New Roman"/>
          <w:szCs w:val="21"/>
        </w:rPr>
      </w:pPr>
      <w:r>
        <w:rPr>
          <w:rFonts w:ascii="宋体" w:hAnsi="宋体" w:eastAsia="宋体" w:cs="Times New Roman"/>
          <w:szCs w:val="21"/>
        </w:rPr>
        <w:tab/>
      </w:r>
    </w:p>
    <w:p w14:paraId="2543D7C7">
      <w:pPr>
        <w:wordWrap w:val="0"/>
        <w:rPr>
          <w:rFonts w:hint="eastAsia" w:ascii="宋体" w:hAnsi="宋体" w:eastAsia="宋体" w:cs="Times New Roman"/>
          <w:szCs w:val="21"/>
        </w:rPr>
        <w:sectPr>
          <w:pgSz w:w="11906" w:h="16838"/>
          <w:pgMar w:top="1418" w:right="1418" w:bottom="1418" w:left="1418" w:header="851" w:footer="992" w:gutter="0"/>
          <w:cols w:space="720" w:num="1"/>
          <w:docGrid w:linePitch="312" w:charSpace="0"/>
        </w:sectPr>
      </w:pPr>
    </w:p>
    <w:p w14:paraId="630AC612">
      <w:pPr>
        <w:keepNext/>
        <w:keepLines/>
        <w:pageBreakBefore/>
        <w:wordWrap w:val="0"/>
        <w:spacing w:line="360" w:lineRule="auto"/>
        <w:ind w:left="482" w:hanging="482" w:hangingChars="200"/>
        <w:outlineLvl w:val="2"/>
        <w:rPr>
          <w:rFonts w:ascii="Arial" w:hAnsi="Arial" w:eastAsia="宋体" w:cs="Times New Roman"/>
          <w:b/>
          <w:bCs/>
          <w:kern w:val="0"/>
          <w:sz w:val="24"/>
          <w:szCs w:val="28"/>
        </w:rPr>
      </w:pPr>
      <w:r>
        <w:rPr>
          <w:rFonts w:hint="eastAsia" w:ascii="Arial" w:hAnsi="Arial" w:eastAsia="宋体" w:cs="Times New Roman"/>
          <w:b/>
          <w:bCs/>
          <w:kern w:val="0"/>
          <w:sz w:val="24"/>
          <w:szCs w:val="28"/>
        </w:rPr>
        <w:t>附表四：技术文件评分表</w:t>
      </w:r>
    </w:p>
    <w:tbl>
      <w:tblPr>
        <w:tblStyle w:val="90"/>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449"/>
        <w:gridCol w:w="1231"/>
        <w:gridCol w:w="5060"/>
        <w:gridCol w:w="697"/>
      </w:tblGrid>
      <w:tr w14:paraId="20CF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449" w:type="dxa"/>
            <w:vAlign w:val="center"/>
          </w:tcPr>
          <w:p w14:paraId="084F0ED5">
            <w:pPr>
              <w:wordWrap w:val="0"/>
              <w:spacing w:line="380" w:lineRule="exact"/>
              <w:jc w:val="center"/>
              <w:rPr>
                <w:rFonts w:hint="eastAsia" w:ascii="宋体" w:hAnsi="宋体" w:eastAsia="宋体" w:cs="宋体"/>
                <w:kern w:val="0"/>
                <w:szCs w:val="21"/>
              </w:rPr>
            </w:pPr>
            <w:r>
              <w:rPr>
                <w:rFonts w:ascii="宋体" w:hAnsi="宋体" w:eastAsia="宋体" w:cs="Times New Roman"/>
                <w:b/>
                <w:kern w:val="0"/>
                <w:szCs w:val="21"/>
              </w:rPr>
              <w:t>序号</w:t>
            </w:r>
          </w:p>
        </w:tc>
        <w:tc>
          <w:tcPr>
            <w:tcW w:w="1449" w:type="dxa"/>
            <w:vAlign w:val="center"/>
          </w:tcPr>
          <w:p w14:paraId="0C5F3460">
            <w:pPr>
              <w:wordWrap w:val="0"/>
              <w:spacing w:line="380" w:lineRule="exact"/>
              <w:jc w:val="center"/>
              <w:rPr>
                <w:rFonts w:hint="eastAsia" w:ascii="宋体" w:hAnsi="宋体" w:eastAsia="宋体" w:cs="宋体"/>
                <w:kern w:val="0"/>
                <w:szCs w:val="21"/>
              </w:rPr>
            </w:pPr>
            <w:r>
              <w:rPr>
                <w:rFonts w:hint="eastAsia" w:ascii="宋体" w:hAnsi="宋体" w:eastAsia="宋体" w:cs="Times New Roman"/>
                <w:b/>
                <w:kern w:val="0"/>
                <w:szCs w:val="21"/>
              </w:rPr>
              <w:t>评审</w:t>
            </w:r>
            <w:r>
              <w:rPr>
                <w:rFonts w:ascii="宋体" w:hAnsi="宋体" w:eastAsia="宋体" w:cs="Times New Roman"/>
                <w:b/>
                <w:kern w:val="0"/>
                <w:szCs w:val="21"/>
              </w:rPr>
              <w:t>项目</w:t>
            </w:r>
          </w:p>
        </w:tc>
        <w:tc>
          <w:tcPr>
            <w:tcW w:w="1231" w:type="dxa"/>
            <w:vAlign w:val="center"/>
          </w:tcPr>
          <w:p w14:paraId="1A61A0B5">
            <w:pPr>
              <w:wordWrap w:val="0"/>
              <w:spacing w:line="380" w:lineRule="exact"/>
              <w:jc w:val="center"/>
              <w:rPr>
                <w:rFonts w:hint="eastAsia" w:ascii="宋体" w:hAnsi="宋体" w:eastAsia="宋体" w:cs="Times New Roman"/>
                <w:szCs w:val="21"/>
              </w:rPr>
            </w:pPr>
            <w:r>
              <w:rPr>
                <w:rFonts w:ascii="宋体" w:hAnsi="宋体" w:eastAsia="宋体" w:cs="Times New Roman"/>
                <w:b/>
                <w:kern w:val="0"/>
                <w:szCs w:val="21"/>
              </w:rPr>
              <w:t>标准分</w:t>
            </w:r>
          </w:p>
        </w:tc>
        <w:tc>
          <w:tcPr>
            <w:tcW w:w="5060" w:type="dxa"/>
            <w:vAlign w:val="center"/>
          </w:tcPr>
          <w:p w14:paraId="2FAF4FC2">
            <w:pPr>
              <w:wordWrap w:val="0"/>
              <w:spacing w:line="380" w:lineRule="exact"/>
              <w:jc w:val="center"/>
              <w:rPr>
                <w:rFonts w:hint="eastAsia" w:ascii="宋体" w:hAnsi="宋体" w:eastAsia="宋体" w:cs="宋体"/>
                <w:kern w:val="0"/>
                <w:szCs w:val="21"/>
              </w:rPr>
            </w:pPr>
            <w:r>
              <w:rPr>
                <w:rFonts w:ascii="宋体" w:hAnsi="宋体" w:eastAsia="宋体" w:cs="Times New Roman"/>
                <w:b/>
                <w:kern w:val="0"/>
                <w:szCs w:val="21"/>
              </w:rPr>
              <w:t>评分标准</w:t>
            </w:r>
          </w:p>
        </w:tc>
        <w:tc>
          <w:tcPr>
            <w:tcW w:w="697" w:type="dxa"/>
            <w:vAlign w:val="center"/>
          </w:tcPr>
          <w:p w14:paraId="26C43B7E">
            <w:pPr>
              <w:wordWrap w:val="0"/>
              <w:spacing w:line="380" w:lineRule="exact"/>
              <w:jc w:val="center"/>
              <w:rPr>
                <w:rFonts w:hint="eastAsia" w:ascii="宋体" w:hAnsi="宋体" w:eastAsia="宋体" w:cs="Times New Roman"/>
                <w:kern w:val="0"/>
                <w:szCs w:val="21"/>
              </w:rPr>
            </w:pPr>
            <w:r>
              <w:rPr>
                <w:rFonts w:ascii="宋体" w:hAnsi="宋体" w:eastAsia="宋体" w:cs="Times New Roman"/>
                <w:b/>
                <w:kern w:val="0"/>
                <w:szCs w:val="21"/>
              </w:rPr>
              <w:t>得分</w:t>
            </w:r>
          </w:p>
        </w:tc>
      </w:tr>
      <w:tr w14:paraId="30E6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9" w:type="dxa"/>
            <w:vMerge w:val="restart"/>
            <w:vAlign w:val="center"/>
          </w:tcPr>
          <w:p w14:paraId="031B47B1">
            <w:pPr>
              <w:widowControl/>
              <w:wordWrap w:val="0"/>
              <w:spacing w:line="3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449" w:type="dxa"/>
            <w:vMerge w:val="restart"/>
            <w:vAlign w:val="center"/>
          </w:tcPr>
          <w:p w14:paraId="46311B7D">
            <w:pPr>
              <w:pStyle w:val="87"/>
              <w:keepNext/>
              <w:keepLines/>
              <w:ind w:left="0" w:leftChars="0" w:firstLine="0" w:firstLineChars="0"/>
              <w:jc w:val="center"/>
              <w:rPr>
                <w:rFonts w:hint="default" w:ascii="宋体" w:hAnsi="宋体" w:eastAsia="宋体" w:cs="宋体"/>
                <w:bCs/>
                <w:sz w:val="21"/>
                <w:lang w:val="en-US" w:eastAsia="zh-CN"/>
              </w:rPr>
            </w:pPr>
            <w:r>
              <w:rPr>
                <w:rFonts w:hint="eastAsia" w:ascii="宋体" w:hAnsi="宋体" w:eastAsia="宋体" w:cs="宋体"/>
                <w:bCs/>
                <w:sz w:val="21"/>
                <w:lang w:val="en-US" w:eastAsia="zh-CN"/>
              </w:rPr>
              <w:t>公共交通大数据资源中台一期</w:t>
            </w:r>
          </w:p>
          <w:p w14:paraId="56C5500B">
            <w:pPr>
              <w:pStyle w:val="87"/>
              <w:keepNext/>
              <w:keepLines/>
              <w:ind w:left="0" w:leftChars="0" w:firstLine="0" w:firstLineChars="0"/>
              <w:jc w:val="center"/>
              <w:rPr>
                <w:rFonts w:hint="eastAsia" w:ascii="宋体" w:hAnsi="宋体" w:eastAsia="宋体" w:cs="宋体"/>
                <w:bCs/>
                <w:sz w:val="21"/>
                <w:lang w:val="en-US" w:eastAsia="zh-CN"/>
              </w:rPr>
            </w:pPr>
            <w:r>
              <w:rPr>
                <w:rFonts w:hint="eastAsia" w:ascii="宋体" w:hAnsi="宋体" w:eastAsia="宋体" w:cs="宋体"/>
                <w:bCs/>
                <w:sz w:val="21"/>
                <w:lang w:eastAsia="zh-CN"/>
              </w:rPr>
              <w:t>（</w:t>
            </w:r>
            <w:r>
              <w:rPr>
                <w:rFonts w:hint="eastAsia" w:ascii="宋体" w:hAnsi="宋体" w:eastAsia="宋体" w:cs="宋体"/>
                <w:bCs/>
                <w:sz w:val="21"/>
                <w:lang w:val="en-US" w:eastAsia="zh-CN"/>
              </w:rPr>
              <w:t>满分15分</w:t>
            </w:r>
            <w:r>
              <w:rPr>
                <w:rFonts w:hint="eastAsia" w:ascii="宋体" w:hAnsi="宋体" w:eastAsia="宋体" w:cs="宋体"/>
                <w:bCs/>
                <w:sz w:val="21"/>
                <w:lang w:eastAsia="zh-CN"/>
              </w:rPr>
              <w:t>）</w:t>
            </w:r>
          </w:p>
        </w:tc>
        <w:tc>
          <w:tcPr>
            <w:tcW w:w="1231" w:type="dxa"/>
            <w:vAlign w:val="center"/>
          </w:tcPr>
          <w:p w14:paraId="5DB0FF52">
            <w:pPr>
              <w:pStyle w:val="87"/>
              <w:keepNext/>
              <w:keepLines/>
              <w:ind w:left="0" w:leftChars="0"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10</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15</w:t>
            </w:r>
          </w:p>
        </w:tc>
        <w:tc>
          <w:tcPr>
            <w:tcW w:w="5060" w:type="dxa"/>
          </w:tcPr>
          <w:p w14:paraId="4C883C10">
            <w:pPr>
              <w:jc w:val="left"/>
              <w:rPr>
                <w:rFonts w:hint="eastAsia" w:ascii="Arial" w:hAnsi="Arial" w:eastAsia="宋体" w:cs="Arial"/>
                <w:color w:val="auto"/>
                <w:kern w:val="0"/>
                <w:szCs w:val="21"/>
                <w:highlight w:val="none"/>
              </w:rPr>
            </w:pPr>
            <w:r>
              <w:rPr>
                <w:rFonts w:hint="eastAsia" w:ascii="Arial" w:hAnsi="Arial" w:cs="Arial"/>
                <w:kern w:val="0"/>
                <w:szCs w:val="21"/>
              </w:rPr>
              <w:t>全部满足招标技术文件的需求规格，提出详实、可操作的实施方案、培训方案、售后方案；提出完善的</w:t>
            </w:r>
            <w:r>
              <w:rPr>
                <w:rFonts w:hint="eastAsia" w:ascii="Arial" w:hAnsi="Arial" w:cs="Arial"/>
                <w:kern w:val="0"/>
                <w:szCs w:val="21"/>
                <w:lang w:eastAsia="zh-CN"/>
              </w:rPr>
              <w:t>公共交通</w:t>
            </w:r>
            <w:r>
              <w:rPr>
                <w:rFonts w:hint="eastAsia" w:ascii="Arial" w:hAnsi="Arial" w:cs="Arial"/>
                <w:kern w:val="0"/>
                <w:szCs w:val="21"/>
              </w:rPr>
              <w:t>大数据资源中台</w:t>
            </w:r>
            <w:r>
              <w:rPr>
                <w:rFonts w:hint="eastAsia" w:ascii="Arial" w:hAnsi="Arial" w:cs="Arial"/>
                <w:kern w:val="0"/>
                <w:szCs w:val="21"/>
                <w:lang w:val="en-US" w:eastAsia="zh-CN"/>
              </w:rPr>
              <w:t>一期</w:t>
            </w:r>
            <w:r>
              <w:rPr>
                <w:rFonts w:hint="eastAsia" w:ascii="Arial" w:hAnsi="Arial" w:cs="Arial"/>
                <w:kern w:val="0"/>
                <w:szCs w:val="21"/>
              </w:rPr>
              <w:t>总体架构，架构方案符合南宁市公共出行实际情况，详细说明数据中台与既有系统的边界关系；城市多源数据内容详实，包含人口岗位、基础设施、出行特征数据且数据内容满足需求书要求，数据接入方案完善详实；提出的数据扩样校核方法详实完善、技术可行，数据精度满足需求书要求；提供完善的数据中台解决方案，对</w:t>
            </w:r>
            <w:r>
              <w:t>人口岗位数量及分布分析</w:t>
            </w:r>
            <w:r>
              <w:rPr>
                <w:rFonts w:hint="eastAsia"/>
              </w:rPr>
              <w:t>、人口特征分析与展现、公共设施分析与展现、交通接驳分析与展现、出行量分析与展现、出行OD分析与展现功能设计及可视化方案有详细论述，方案技术合理、可行性强。</w:t>
            </w:r>
          </w:p>
        </w:tc>
        <w:tc>
          <w:tcPr>
            <w:tcW w:w="697" w:type="dxa"/>
            <w:vAlign w:val="center"/>
          </w:tcPr>
          <w:p w14:paraId="45BA035B">
            <w:pPr>
              <w:wordWrap w:val="0"/>
              <w:spacing w:line="380" w:lineRule="exact"/>
              <w:jc w:val="center"/>
              <w:rPr>
                <w:rFonts w:hint="eastAsia" w:ascii="宋体" w:hAnsi="宋体" w:eastAsia="宋体" w:cs="Times New Roman"/>
                <w:b/>
                <w:kern w:val="0"/>
                <w:szCs w:val="21"/>
              </w:rPr>
            </w:pPr>
          </w:p>
        </w:tc>
      </w:tr>
      <w:tr w14:paraId="6F92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9" w:type="dxa"/>
            <w:vMerge w:val="continue"/>
            <w:vAlign w:val="center"/>
          </w:tcPr>
          <w:p w14:paraId="4DC95034">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2B99AB46">
            <w:pPr>
              <w:pStyle w:val="87"/>
              <w:keepNext/>
              <w:keepLines/>
              <w:ind w:left="0" w:leftChars="0" w:firstLine="0" w:firstLineChars="0"/>
              <w:jc w:val="center"/>
              <w:rPr>
                <w:rFonts w:hint="eastAsia" w:ascii="宋体" w:hAnsi="宋体" w:eastAsia="宋体" w:cs="宋体"/>
                <w:bCs/>
                <w:sz w:val="21"/>
                <w:lang w:eastAsia="zh-CN"/>
              </w:rPr>
            </w:pPr>
          </w:p>
        </w:tc>
        <w:tc>
          <w:tcPr>
            <w:tcW w:w="1231" w:type="dxa"/>
            <w:vAlign w:val="center"/>
          </w:tcPr>
          <w:p w14:paraId="64D9A5E6">
            <w:pPr>
              <w:pStyle w:val="87"/>
              <w:keepNext/>
              <w:keepLines/>
              <w:ind w:left="0" w:leftChars="0" w:firstLine="0" w:firstLineChars="0"/>
              <w:jc w:val="center"/>
              <w:rPr>
                <w:rFonts w:hint="default" w:ascii="宋体" w:hAnsi="宋体" w:eastAsia="宋体" w:cs="宋体"/>
                <w:sz w:val="21"/>
                <w:lang w:val="en-US" w:eastAsia="zh-CN"/>
              </w:rPr>
            </w:pPr>
            <w:r>
              <w:rPr>
                <w:rFonts w:hint="eastAsia" w:ascii="宋体" w:hAnsi="宋体" w:eastAsia="宋体" w:cs="宋体"/>
                <w:sz w:val="21"/>
                <w:lang w:val="en-US" w:eastAsia="zh-CN"/>
              </w:rPr>
              <w:t>5</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10</w:t>
            </w:r>
          </w:p>
        </w:tc>
        <w:tc>
          <w:tcPr>
            <w:tcW w:w="5060" w:type="dxa"/>
            <w:vAlign w:val="top"/>
          </w:tcPr>
          <w:p w14:paraId="66B1F93A">
            <w:pPr>
              <w:jc w:val="left"/>
              <w:rPr>
                <w:rFonts w:hint="eastAsia" w:ascii="Arial" w:hAnsi="Arial" w:eastAsia="宋体" w:cs="Arial"/>
                <w:color w:val="auto"/>
                <w:kern w:val="0"/>
                <w:szCs w:val="21"/>
                <w:highlight w:val="none"/>
              </w:rPr>
            </w:pPr>
            <w:r>
              <w:rPr>
                <w:rFonts w:hint="eastAsia" w:ascii="Arial" w:hAnsi="Arial" w:cs="Arial"/>
                <w:kern w:val="0"/>
                <w:szCs w:val="21"/>
              </w:rPr>
              <w:t>基本满足招标技术文件的需求规格，提出较详细的实施方案、培训方案、售后方案；提供较完善的</w:t>
            </w:r>
            <w:r>
              <w:rPr>
                <w:rFonts w:hint="eastAsia" w:ascii="Arial" w:hAnsi="Arial" w:cs="Arial"/>
                <w:kern w:val="0"/>
                <w:szCs w:val="21"/>
                <w:lang w:eastAsia="zh-CN"/>
              </w:rPr>
              <w:t>公共交通</w:t>
            </w:r>
            <w:r>
              <w:rPr>
                <w:rFonts w:hint="eastAsia" w:ascii="Arial" w:hAnsi="Arial" w:cs="Arial"/>
                <w:kern w:val="0"/>
                <w:szCs w:val="21"/>
              </w:rPr>
              <w:t>大数据资源中台</w:t>
            </w:r>
            <w:r>
              <w:rPr>
                <w:rFonts w:hint="eastAsia" w:ascii="Arial" w:hAnsi="Arial" w:cs="Arial"/>
                <w:kern w:val="0"/>
                <w:szCs w:val="21"/>
                <w:lang w:val="en-US" w:eastAsia="zh-CN"/>
              </w:rPr>
              <w:t>一期</w:t>
            </w:r>
            <w:r>
              <w:rPr>
                <w:rFonts w:hint="eastAsia" w:ascii="Arial" w:hAnsi="Arial" w:cs="Arial"/>
                <w:kern w:val="0"/>
                <w:szCs w:val="21"/>
              </w:rPr>
              <w:t>总体架构，基本说明数据中台与既有系统的边界关系；城市多源数据内容基本满足需求书要求；提供较为合理的数据扩样校核方法；对人口岗位数量及分布分析、人口特征分析与展现、公共设施分析与展现、交通接驳分析与展现、出行量分析与展现、出行</w:t>
            </w:r>
            <w:r>
              <w:rPr>
                <w:rFonts w:hint="eastAsia" w:asciiTheme="minorHAnsi" w:hAnsiTheme="minorHAnsi" w:cstheme="minorBidi"/>
                <w:kern w:val="2"/>
                <w:szCs w:val="22"/>
              </w:rPr>
              <w:t>OD</w:t>
            </w:r>
            <w:r>
              <w:rPr>
                <w:rFonts w:hint="eastAsia" w:ascii="Arial" w:hAnsi="Arial" w:cs="Arial"/>
                <w:kern w:val="0"/>
                <w:szCs w:val="21"/>
              </w:rPr>
              <w:t>分析与展现功能模块有比较详细的论述，方案基本可行。</w:t>
            </w:r>
          </w:p>
        </w:tc>
        <w:tc>
          <w:tcPr>
            <w:tcW w:w="697" w:type="dxa"/>
            <w:vAlign w:val="center"/>
          </w:tcPr>
          <w:p w14:paraId="6462070B">
            <w:pPr>
              <w:wordWrap w:val="0"/>
              <w:spacing w:line="380" w:lineRule="exact"/>
              <w:jc w:val="center"/>
              <w:rPr>
                <w:rFonts w:hint="eastAsia" w:ascii="宋体" w:hAnsi="宋体" w:eastAsia="宋体" w:cs="Times New Roman"/>
                <w:b/>
                <w:kern w:val="0"/>
                <w:szCs w:val="21"/>
              </w:rPr>
            </w:pPr>
          </w:p>
        </w:tc>
      </w:tr>
      <w:tr w14:paraId="6E9F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9" w:type="dxa"/>
            <w:vMerge w:val="continue"/>
            <w:vAlign w:val="center"/>
          </w:tcPr>
          <w:p w14:paraId="1C563B7C">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2041ED57">
            <w:pPr>
              <w:pStyle w:val="87"/>
              <w:keepNext/>
              <w:keepLines/>
              <w:ind w:left="0" w:leftChars="0" w:firstLine="0" w:firstLineChars="0"/>
              <w:jc w:val="center"/>
              <w:rPr>
                <w:rFonts w:hint="eastAsia" w:ascii="宋体" w:hAnsi="宋体" w:eastAsia="宋体" w:cs="宋体"/>
                <w:bCs/>
                <w:sz w:val="21"/>
                <w:lang w:eastAsia="zh-CN"/>
              </w:rPr>
            </w:pPr>
          </w:p>
        </w:tc>
        <w:tc>
          <w:tcPr>
            <w:tcW w:w="1231" w:type="dxa"/>
            <w:vAlign w:val="center"/>
          </w:tcPr>
          <w:p w14:paraId="7F2E230A">
            <w:pPr>
              <w:pStyle w:val="87"/>
              <w:keepNext/>
              <w:keepLines/>
              <w:ind w:left="0" w:leftChars="0"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0</w:t>
            </w:r>
            <w:r>
              <w:rPr>
                <w:rFonts w:hint="eastAsia" w:ascii="宋体" w:hAnsi="宋体" w:eastAsia="宋体" w:cs="宋体"/>
                <w:sz w:val="21"/>
              </w:rPr>
              <w:t>≤m≤</w:t>
            </w:r>
            <w:r>
              <w:rPr>
                <w:rFonts w:hint="eastAsia" w:ascii="宋体" w:hAnsi="宋体" w:eastAsia="宋体" w:cs="宋体"/>
                <w:sz w:val="21"/>
                <w:lang w:val="en-US" w:eastAsia="zh-CN"/>
              </w:rPr>
              <w:t>5</w:t>
            </w:r>
          </w:p>
        </w:tc>
        <w:tc>
          <w:tcPr>
            <w:tcW w:w="5060" w:type="dxa"/>
            <w:vAlign w:val="center"/>
          </w:tcPr>
          <w:p w14:paraId="0733A4BA">
            <w:pPr>
              <w:jc w:val="left"/>
              <w:rPr>
                <w:rFonts w:hint="eastAsia" w:ascii="Arial" w:hAnsi="Arial" w:eastAsia="宋体" w:cs="Arial"/>
                <w:color w:val="auto"/>
                <w:kern w:val="0"/>
                <w:szCs w:val="21"/>
                <w:highlight w:val="none"/>
              </w:rPr>
            </w:pPr>
            <w:r>
              <w:rPr>
                <w:rFonts w:hint="eastAsia" w:ascii="Times New Roman" w:hAnsi="Times New Roman" w:cs="Times New Roman"/>
                <w:szCs w:val="21"/>
              </w:rPr>
              <w:t>提供了系统功能解决方案，内容不完整，或描述不清晰，或针对性不强，未能符合项目实际需求。</w:t>
            </w:r>
          </w:p>
        </w:tc>
        <w:tc>
          <w:tcPr>
            <w:tcW w:w="697" w:type="dxa"/>
            <w:vAlign w:val="center"/>
          </w:tcPr>
          <w:p w14:paraId="2EB595A7">
            <w:pPr>
              <w:wordWrap w:val="0"/>
              <w:spacing w:line="380" w:lineRule="exact"/>
              <w:jc w:val="center"/>
              <w:rPr>
                <w:rFonts w:hint="eastAsia" w:ascii="宋体" w:hAnsi="宋体" w:eastAsia="宋体" w:cs="Times New Roman"/>
                <w:b/>
                <w:kern w:val="0"/>
                <w:szCs w:val="21"/>
              </w:rPr>
            </w:pPr>
          </w:p>
        </w:tc>
      </w:tr>
      <w:tr w14:paraId="2074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9" w:type="dxa"/>
            <w:vMerge w:val="restart"/>
            <w:vAlign w:val="center"/>
          </w:tcPr>
          <w:p w14:paraId="61892A1B">
            <w:pPr>
              <w:widowControl/>
              <w:wordWrap w:val="0"/>
              <w:spacing w:line="3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449" w:type="dxa"/>
            <w:vMerge w:val="restart"/>
            <w:vAlign w:val="center"/>
          </w:tcPr>
          <w:p w14:paraId="2210E022">
            <w:pPr>
              <w:pStyle w:val="87"/>
              <w:keepNext/>
              <w:keepLines/>
              <w:ind w:left="0" w:leftChars="0" w:firstLine="0" w:firstLineChars="0"/>
              <w:jc w:val="center"/>
              <w:rPr>
                <w:rFonts w:hint="eastAsia" w:ascii="宋体" w:hAnsi="宋体" w:eastAsia="宋体" w:cs="宋体"/>
                <w:bCs/>
                <w:sz w:val="21"/>
                <w:lang w:val="en-US" w:eastAsia="zh-CN"/>
              </w:rPr>
            </w:pPr>
            <w:r>
              <w:rPr>
                <w:rFonts w:hint="eastAsia" w:ascii="宋体" w:hAnsi="宋体" w:eastAsia="宋体" w:cs="宋体"/>
                <w:bCs/>
                <w:sz w:val="21"/>
                <w:lang w:val="en-US" w:eastAsia="zh-CN"/>
              </w:rPr>
              <w:t>城轨</w:t>
            </w:r>
            <w:r>
              <w:rPr>
                <w:rFonts w:hint="eastAsia" w:ascii="宋体" w:hAnsi="宋体" w:eastAsia="宋体" w:cs="宋体"/>
                <w:bCs/>
                <w:sz w:val="21"/>
              </w:rPr>
              <w:t>与公交协同调</w:t>
            </w:r>
            <w:r>
              <w:rPr>
                <w:rFonts w:hint="eastAsia" w:ascii="宋体" w:hAnsi="宋体" w:eastAsia="宋体" w:cs="宋体"/>
                <w:bCs/>
                <w:sz w:val="21"/>
                <w:highlight w:val="none"/>
              </w:rPr>
              <w:t>度指挥系统</w:t>
            </w:r>
            <w:r>
              <w:rPr>
                <w:rFonts w:hint="eastAsia" w:ascii="宋体" w:hAnsi="宋体" w:eastAsia="宋体" w:cs="宋体"/>
                <w:bCs/>
                <w:sz w:val="21"/>
                <w:highlight w:val="none"/>
                <w:lang w:val="en-US" w:eastAsia="zh-CN"/>
              </w:rPr>
              <w:t>一期</w:t>
            </w:r>
          </w:p>
          <w:p w14:paraId="5CCEA904">
            <w:pPr>
              <w:pStyle w:val="87"/>
              <w:keepNext/>
              <w:keepLines/>
              <w:ind w:left="0" w:leftChars="0" w:firstLine="0" w:firstLineChars="0"/>
              <w:jc w:val="center"/>
              <w:rPr>
                <w:rFonts w:hint="eastAsia" w:ascii="宋体" w:hAnsi="宋体" w:eastAsia="宋体" w:cs="宋体"/>
                <w:bCs/>
                <w:sz w:val="21"/>
                <w:lang w:eastAsia="zh-CN"/>
              </w:rPr>
            </w:pPr>
            <w:r>
              <w:rPr>
                <w:rFonts w:hint="eastAsia" w:ascii="宋体" w:hAnsi="宋体" w:eastAsia="宋体" w:cs="宋体"/>
                <w:bCs/>
                <w:sz w:val="21"/>
                <w:lang w:eastAsia="zh-CN"/>
              </w:rPr>
              <w:t>（</w:t>
            </w:r>
            <w:r>
              <w:rPr>
                <w:rFonts w:hint="eastAsia" w:ascii="宋体" w:hAnsi="宋体" w:eastAsia="宋体" w:cs="宋体"/>
                <w:bCs/>
                <w:sz w:val="21"/>
                <w:lang w:val="en-US" w:eastAsia="zh-CN"/>
              </w:rPr>
              <w:t>满分15分</w:t>
            </w:r>
            <w:r>
              <w:rPr>
                <w:rFonts w:hint="eastAsia" w:ascii="宋体" w:hAnsi="宋体" w:eastAsia="宋体" w:cs="宋体"/>
                <w:bCs/>
                <w:sz w:val="21"/>
                <w:lang w:eastAsia="zh-CN"/>
              </w:rPr>
              <w:t>）</w:t>
            </w:r>
          </w:p>
        </w:tc>
        <w:tc>
          <w:tcPr>
            <w:tcW w:w="1231" w:type="dxa"/>
            <w:vAlign w:val="center"/>
          </w:tcPr>
          <w:p w14:paraId="7D1A4D41">
            <w:pPr>
              <w:pStyle w:val="87"/>
              <w:keepNext/>
              <w:keepLines/>
              <w:ind w:left="0" w:leftChars="0" w:firstLine="0" w:firstLineChars="0"/>
              <w:jc w:val="center"/>
              <w:rPr>
                <w:rFonts w:hint="default" w:ascii="宋体" w:hAnsi="宋体" w:eastAsia="宋体" w:cs="宋体"/>
                <w:szCs w:val="21"/>
                <w:lang w:val="en-US" w:eastAsia="zh-CN"/>
              </w:rPr>
            </w:pPr>
            <w:r>
              <w:rPr>
                <w:rFonts w:hint="eastAsia" w:ascii="宋体" w:hAnsi="宋体" w:eastAsia="宋体" w:cs="宋体"/>
                <w:sz w:val="21"/>
                <w:lang w:val="en-US" w:eastAsia="zh-CN"/>
              </w:rPr>
              <w:t>10</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15</w:t>
            </w:r>
          </w:p>
        </w:tc>
        <w:tc>
          <w:tcPr>
            <w:tcW w:w="5060" w:type="dxa"/>
          </w:tcPr>
          <w:p w14:paraId="6F5513D3">
            <w:pPr>
              <w:jc w:val="left"/>
              <w:rPr>
                <w:rFonts w:hint="eastAsia" w:ascii="宋体" w:hAnsi="宋体" w:eastAsia="宋体" w:cs="宋体"/>
                <w:kern w:val="0"/>
                <w:szCs w:val="21"/>
                <w:lang w:val="en-US" w:eastAsia="zh-CN"/>
              </w:rPr>
            </w:pPr>
            <w:r>
              <w:rPr>
                <w:rFonts w:hint="eastAsia" w:ascii="Arial" w:hAnsi="Arial" w:eastAsia="宋体" w:cs="Arial"/>
                <w:color w:val="auto"/>
                <w:kern w:val="0"/>
                <w:szCs w:val="21"/>
                <w:highlight w:val="none"/>
              </w:rPr>
              <w:t>全部满足招标技术文件的需求规格，提出详实、可操作的实施方案</w:t>
            </w: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lang w:val="en-US" w:eastAsia="zh-CN"/>
              </w:rPr>
              <w:t>培训方案、售后方案</w:t>
            </w:r>
            <w:r>
              <w:rPr>
                <w:rFonts w:hint="eastAsia" w:ascii="Arial" w:hAnsi="Arial" w:eastAsia="宋体" w:cs="Arial"/>
                <w:color w:val="auto"/>
                <w:kern w:val="0"/>
                <w:szCs w:val="21"/>
                <w:highlight w:val="none"/>
                <w:lang w:eastAsia="zh-CN"/>
              </w:rPr>
              <w:t>；</w:t>
            </w:r>
            <w:r>
              <w:rPr>
                <w:rFonts w:hint="eastAsia" w:ascii="Arial" w:hAnsi="Arial" w:eastAsia="宋体" w:cs="Arial"/>
                <w:color w:val="auto"/>
                <w:kern w:val="0"/>
                <w:szCs w:val="21"/>
                <w:highlight w:val="none"/>
                <w:lang w:val="en-US" w:eastAsia="zh-CN"/>
              </w:rPr>
              <w:t>对南宁轨道、公交指挥系统的当前建设情况有充分的了解，</w:t>
            </w:r>
            <w:r>
              <w:rPr>
                <w:rFonts w:hint="eastAsia" w:ascii="Arial" w:hAnsi="Arial" w:eastAsia="宋体" w:cs="Arial"/>
                <w:color w:val="auto"/>
                <w:kern w:val="0"/>
                <w:szCs w:val="21"/>
                <w:highlight w:val="none"/>
              </w:rPr>
              <w:t>提供</w:t>
            </w:r>
            <w:r>
              <w:rPr>
                <w:rFonts w:hint="eastAsia" w:ascii="Arial" w:hAnsi="Arial" w:eastAsia="宋体" w:cs="Arial"/>
                <w:color w:val="auto"/>
                <w:kern w:val="0"/>
                <w:szCs w:val="21"/>
                <w:highlight w:val="none"/>
                <w:lang w:val="en-US" w:eastAsia="zh-CN"/>
              </w:rPr>
              <w:t>完善的</w:t>
            </w:r>
            <w:r>
              <w:rPr>
                <w:rFonts w:hint="eastAsia" w:ascii="Arial" w:hAnsi="Arial" w:eastAsia="宋体" w:cs="Arial"/>
                <w:color w:val="auto"/>
                <w:kern w:val="0"/>
                <w:szCs w:val="21"/>
                <w:highlight w:val="none"/>
              </w:rPr>
              <w:t>南宁</w:t>
            </w:r>
            <w:r>
              <w:rPr>
                <w:rFonts w:hint="eastAsia" w:ascii="Arial" w:hAnsi="Arial" w:eastAsia="宋体" w:cs="Arial"/>
                <w:color w:val="auto"/>
                <w:kern w:val="0"/>
                <w:szCs w:val="21"/>
                <w:highlight w:val="none"/>
                <w:lang w:val="en-US" w:eastAsia="zh-CN"/>
              </w:rPr>
              <w:t>城轨与公交协同调度指挥系统一期</w:t>
            </w:r>
            <w:r>
              <w:rPr>
                <w:rFonts w:hint="eastAsia" w:ascii="Arial" w:hAnsi="Arial" w:eastAsia="宋体" w:cs="Arial"/>
                <w:color w:val="auto"/>
                <w:kern w:val="0"/>
                <w:szCs w:val="21"/>
                <w:highlight w:val="none"/>
              </w:rPr>
              <w:t>架构</w:t>
            </w:r>
            <w:r>
              <w:rPr>
                <w:rFonts w:hint="eastAsia" w:ascii="Arial" w:hAnsi="Arial" w:eastAsia="宋体" w:cs="Arial"/>
                <w:color w:val="auto"/>
                <w:kern w:val="0"/>
                <w:szCs w:val="21"/>
                <w:highlight w:val="none"/>
                <w:lang w:eastAsia="zh-CN"/>
              </w:rPr>
              <w:t>，</w:t>
            </w:r>
            <w:r>
              <w:rPr>
                <w:rFonts w:hint="eastAsia" w:ascii="Arial" w:hAnsi="Arial" w:eastAsia="宋体" w:cs="Arial"/>
                <w:color w:val="auto"/>
                <w:kern w:val="0"/>
                <w:szCs w:val="21"/>
                <w:highlight w:val="none"/>
                <w:lang w:val="en-US" w:eastAsia="zh-CN"/>
              </w:rPr>
              <w:t>系统架构符合轨道、公交实际情况，能清晰详细的说明</w:t>
            </w:r>
            <w:r>
              <w:rPr>
                <w:rFonts w:hint="eastAsia" w:eastAsia="宋体"/>
                <w:lang w:val="en-US" w:eastAsia="zh-CN"/>
              </w:rPr>
              <w:t>本系统与</w:t>
            </w:r>
            <w:r>
              <w:rPr>
                <w:rFonts w:hint="eastAsia"/>
              </w:rPr>
              <w:t>南宁轨道交通线网（应急）指挥中心（NOCC）系统</w:t>
            </w:r>
            <w:r>
              <w:rPr>
                <w:rFonts w:hint="eastAsia"/>
                <w:lang w:eastAsia="zh-CN"/>
              </w:rPr>
              <w:t>、</w:t>
            </w:r>
            <w:r>
              <w:rPr>
                <w:rFonts w:hint="eastAsia"/>
                <w:lang w:val="en-US" w:eastAsia="zh-CN"/>
              </w:rPr>
              <w:t>公交</w:t>
            </w:r>
            <w:r>
              <w:rPr>
                <w:rFonts w:hint="eastAsia"/>
                <w:lang w:eastAsia="zh-CN"/>
              </w:rPr>
              <w:t>智能调度系统</w:t>
            </w:r>
            <w:r>
              <w:rPr>
                <w:rFonts w:hint="eastAsia"/>
                <w:lang w:val="en-US" w:eastAsia="zh-CN"/>
              </w:rPr>
              <w:t>间的关系；提供完善的</w:t>
            </w:r>
            <w:r>
              <w:rPr>
                <w:rFonts w:hint="eastAsia" w:ascii="Arial" w:hAnsi="Arial" w:eastAsia="宋体" w:cs="Arial"/>
                <w:color w:val="auto"/>
                <w:kern w:val="0"/>
                <w:szCs w:val="21"/>
                <w:highlight w:val="none"/>
              </w:rPr>
              <w:t>南宁</w:t>
            </w:r>
            <w:r>
              <w:rPr>
                <w:rFonts w:hint="eastAsia" w:ascii="Arial" w:hAnsi="Arial" w:eastAsia="宋体" w:cs="Arial"/>
                <w:color w:val="auto"/>
                <w:kern w:val="0"/>
                <w:szCs w:val="21"/>
                <w:highlight w:val="none"/>
                <w:lang w:val="en-US" w:eastAsia="zh-CN"/>
              </w:rPr>
              <w:t>城轨与公交协同调度指挥系统一期解决方案，对实施运行监测、协同调度管理、信息管理、协同调度优化功能有详细论述；</w:t>
            </w:r>
            <w:r>
              <w:rPr>
                <w:rFonts w:hint="eastAsia" w:ascii="宋体" w:hAnsi="宋体" w:eastAsia="宋体" w:cs="Arial"/>
                <w:color w:val="auto"/>
                <w:kern w:val="0"/>
                <w:szCs w:val="21"/>
                <w:highlight w:val="none"/>
              </w:rPr>
              <w:t>提供完善的接口接入方案</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包括接口功能、接口接入方式、接口数据、接口测试；</w:t>
            </w:r>
            <w:r>
              <w:rPr>
                <w:rFonts w:hint="eastAsia" w:ascii="Arial" w:hAnsi="Arial" w:eastAsia="宋体" w:cs="Arial"/>
                <w:color w:val="auto"/>
                <w:kern w:val="0"/>
                <w:szCs w:val="21"/>
                <w:highlight w:val="none"/>
                <w:lang w:val="en-US" w:eastAsia="zh-CN"/>
              </w:rPr>
              <w:t>提供详细且合理的云平台资源需求清单，对存储服务器接入</w:t>
            </w:r>
            <w:r>
              <w:rPr>
                <w:rFonts w:hint="eastAsia" w:ascii="宋体" w:hAnsi="宋体" w:cs="宋体"/>
                <w:szCs w:val="24"/>
              </w:rPr>
              <w:t>既有云平台</w:t>
            </w:r>
            <w:r>
              <w:rPr>
                <w:rFonts w:hint="eastAsia" w:ascii="宋体" w:hAnsi="宋体" w:cs="宋体"/>
                <w:szCs w:val="24"/>
                <w:lang w:val="en-US" w:eastAsia="zh-CN"/>
              </w:rPr>
              <w:t>方案有详细论述；整体</w:t>
            </w:r>
            <w:r>
              <w:rPr>
                <w:rFonts w:hint="eastAsia"/>
              </w:rPr>
              <w:t>方案技术合理、可行性强</w:t>
            </w:r>
            <w:r>
              <w:rPr>
                <w:rFonts w:hint="eastAsia"/>
                <w:lang w:eastAsia="zh-CN"/>
              </w:rPr>
              <w:t>。</w:t>
            </w:r>
          </w:p>
        </w:tc>
        <w:tc>
          <w:tcPr>
            <w:tcW w:w="697" w:type="dxa"/>
            <w:vAlign w:val="center"/>
          </w:tcPr>
          <w:p w14:paraId="7CA0EE5E">
            <w:pPr>
              <w:wordWrap w:val="0"/>
              <w:spacing w:line="380" w:lineRule="exact"/>
              <w:jc w:val="center"/>
              <w:rPr>
                <w:rFonts w:hint="eastAsia" w:ascii="宋体" w:hAnsi="宋体" w:eastAsia="宋体" w:cs="Times New Roman"/>
                <w:b/>
                <w:kern w:val="0"/>
                <w:szCs w:val="21"/>
              </w:rPr>
            </w:pPr>
          </w:p>
        </w:tc>
      </w:tr>
      <w:tr w14:paraId="3B8F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9" w:type="dxa"/>
            <w:vMerge w:val="continue"/>
            <w:vAlign w:val="center"/>
          </w:tcPr>
          <w:p w14:paraId="64E105B5">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66DD7BE7">
            <w:pPr>
              <w:pStyle w:val="87"/>
              <w:keepNext/>
              <w:keepLines/>
              <w:ind w:left="0" w:leftChars="0" w:firstLine="0" w:firstLineChars="0"/>
              <w:jc w:val="center"/>
              <w:rPr>
                <w:rFonts w:hint="eastAsia" w:ascii="宋体" w:hAnsi="宋体" w:eastAsia="宋体" w:cs="宋体"/>
                <w:szCs w:val="21"/>
              </w:rPr>
            </w:pPr>
          </w:p>
        </w:tc>
        <w:tc>
          <w:tcPr>
            <w:tcW w:w="1231" w:type="dxa"/>
            <w:vAlign w:val="center"/>
          </w:tcPr>
          <w:p w14:paraId="77EA11ED">
            <w:pPr>
              <w:pStyle w:val="87"/>
              <w:keepNext/>
              <w:keepLines/>
              <w:ind w:left="0" w:leftChars="0" w:firstLine="0" w:firstLineChars="0"/>
              <w:jc w:val="center"/>
              <w:rPr>
                <w:rFonts w:hint="default" w:ascii="宋体" w:hAnsi="宋体" w:eastAsia="宋体" w:cs="宋体"/>
                <w:szCs w:val="21"/>
                <w:lang w:val="en-US" w:eastAsia="zh-CN"/>
              </w:rPr>
            </w:pPr>
            <w:r>
              <w:rPr>
                <w:rFonts w:hint="eastAsia" w:ascii="宋体" w:hAnsi="宋体" w:eastAsia="宋体" w:cs="宋体"/>
                <w:sz w:val="21"/>
                <w:lang w:val="en-US" w:eastAsia="zh-CN"/>
              </w:rPr>
              <w:t>5</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10</w:t>
            </w:r>
          </w:p>
        </w:tc>
        <w:tc>
          <w:tcPr>
            <w:tcW w:w="5060" w:type="dxa"/>
            <w:vAlign w:val="center"/>
          </w:tcPr>
          <w:p w14:paraId="6C988A13">
            <w:pPr>
              <w:jc w:val="left"/>
              <w:rPr>
                <w:rFonts w:hint="eastAsia" w:ascii="宋体" w:hAnsi="宋体" w:eastAsia="宋体" w:cs="宋体"/>
                <w:kern w:val="0"/>
                <w:szCs w:val="21"/>
                <w:lang w:val="en-US" w:eastAsia="zh-CN"/>
              </w:rPr>
            </w:pPr>
            <w:r>
              <w:rPr>
                <w:rFonts w:hint="eastAsia" w:ascii="宋体" w:hAnsi="宋体" w:eastAsia="宋体" w:cs="Times New Roman"/>
                <w:color w:val="auto"/>
                <w:szCs w:val="21"/>
                <w:highlight w:val="none"/>
              </w:rPr>
              <w:t>基本满足招标技术文件的需求规格</w:t>
            </w:r>
            <w:r>
              <w:rPr>
                <w:rFonts w:hint="eastAsia" w:ascii="宋体" w:hAnsi="宋体" w:cs="Times New Roman"/>
                <w:color w:val="auto"/>
                <w:szCs w:val="21"/>
                <w:highlight w:val="none"/>
                <w:lang w:eastAsia="zh-CN"/>
              </w:rPr>
              <w:t>，</w:t>
            </w:r>
            <w:r>
              <w:rPr>
                <w:rFonts w:hint="eastAsia" w:ascii="Arial" w:hAnsi="Arial" w:eastAsia="宋体" w:cs="Arial"/>
                <w:color w:val="auto"/>
                <w:kern w:val="0"/>
                <w:szCs w:val="21"/>
                <w:highlight w:val="none"/>
              </w:rPr>
              <w:t>提出</w:t>
            </w:r>
            <w:r>
              <w:rPr>
                <w:rFonts w:hint="eastAsia" w:ascii="Arial" w:hAnsi="Arial" w:eastAsia="宋体" w:cs="Arial"/>
                <w:color w:val="auto"/>
                <w:kern w:val="0"/>
                <w:szCs w:val="21"/>
                <w:highlight w:val="none"/>
                <w:lang w:val="en-US" w:eastAsia="zh-CN"/>
              </w:rPr>
              <w:t>较详细的实施方案、</w:t>
            </w:r>
            <w:r>
              <w:rPr>
                <w:rFonts w:hint="eastAsia" w:ascii="Arial" w:hAnsi="Arial" w:cs="Arial"/>
                <w:color w:val="auto"/>
                <w:kern w:val="0"/>
                <w:szCs w:val="21"/>
                <w:highlight w:val="none"/>
                <w:lang w:val="en-US" w:eastAsia="zh-CN"/>
              </w:rPr>
              <w:t>培训方案、售后方案</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对</w:t>
            </w:r>
            <w:r>
              <w:rPr>
                <w:rFonts w:hint="eastAsia" w:ascii="Arial" w:hAnsi="Arial" w:eastAsia="宋体" w:cs="Arial"/>
                <w:color w:val="auto"/>
                <w:kern w:val="0"/>
                <w:szCs w:val="21"/>
                <w:highlight w:val="none"/>
                <w:lang w:val="en-US" w:eastAsia="zh-CN"/>
              </w:rPr>
              <w:t>南宁轨道、公交指挥系统的当前建设情况有基本的了解，</w:t>
            </w:r>
            <w:r>
              <w:rPr>
                <w:rFonts w:hint="eastAsia" w:ascii="宋体" w:hAnsi="宋体" w:eastAsia="宋体" w:cs="Times New Roman"/>
                <w:color w:val="auto"/>
                <w:szCs w:val="21"/>
                <w:highlight w:val="none"/>
              </w:rPr>
              <w:t>对</w:t>
            </w:r>
            <w:r>
              <w:rPr>
                <w:rFonts w:hint="eastAsia" w:ascii="Arial" w:hAnsi="Arial" w:eastAsia="宋体" w:cs="Arial"/>
                <w:color w:val="auto"/>
                <w:kern w:val="0"/>
                <w:szCs w:val="21"/>
                <w:highlight w:val="none"/>
              </w:rPr>
              <w:t>南宁</w:t>
            </w:r>
            <w:r>
              <w:rPr>
                <w:rFonts w:hint="eastAsia" w:ascii="Arial" w:hAnsi="Arial" w:eastAsia="宋体" w:cs="Arial"/>
                <w:color w:val="auto"/>
                <w:kern w:val="0"/>
                <w:szCs w:val="21"/>
                <w:highlight w:val="none"/>
                <w:lang w:val="en-US" w:eastAsia="zh-CN"/>
              </w:rPr>
              <w:t>城轨与公交协同调度指挥系统一期</w:t>
            </w:r>
            <w:r>
              <w:rPr>
                <w:rFonts w:hint="eastAsia" w:ascii="Arial" w:hAnsi="Arial" w:eastAsia="宋体" w:cs="Arial"/>
                <w:color w:val="auto"/>
                <w:kern w:val="0"/>
                <w:szCs w:val="21"/>
                <w:highlight w:val="none"/>
              </w:rPr>
              <w:t>架构</w:t>
            </w:r>
            <w:r>
              <w:rPr>
                <w:rFonts w:hint="eastAsia" w:ascii="宋体" w:hAnsi="宋体" w:eastAsia="宋体" w:cs="Times New Roman"/>
                <w:color w:val="auto"/>
                <w:szCs w:val="21"/>
                <w:highlight w:val="none"/>
              </w:rPr>
              <w:t>有较详细描述，系统平台及框架搭建基本符合项目实际情况；提供较为合理的</w:t>
            </w:r>
            <w:r>
              <w:rPr>
                <w:rFonts w:hint="eastAsia" w:ascii="Arial" w:hAnsi="Arial" w:eastAsia="宋体" w:cs="Arial"/>
                <w:color w:val="auto"/>
                <w:kern w:val="0"/>
                <w:szCs w:val="21"/>
                <w:highlight w:val="none"/>
              </w:rPr>
              <w:t>南宁</w:t>
            </w:r>
            <w:r>
              <w:rPr>
                <w:rFonts w:hint="eastAsia" w:ascii="Arial" w:hAnsi="Arial" w:eastAsia="宋体" w:cs="Arial"/>
                <w:color w:val="auto"/>
                <w:kern w:val="0"/>
                <w:szCs w:val="21"/>
                <w:highlight w:val="none"/>
                <w:lang w:val="en-US" w:eastAsia="zh-CN"/>
              </w:rPr>
              <w:t>城轨与公交协同调度指挥</w:t>
            </w:r>
            <w:r>
              <w:rPr>
                <w:rFonts w:hint="eastAsia" w:ascii="Arial" w:hAnsi="Arial" w:eastAsia="宋体" w:cs="Arial"/>
                <w:color w:val="auto"/>
                <w:kern w:val="0"/>
                <w:szCs w:val="21"/>
                <w:highlight w:val="none"/>
              </w:rPr>
              <w:t>系统</w:t>
            </w:r>
            <w:r>
              <w:rPr>
                <w:rFonts w:hint="eastAsia" w:ascii="Arial" w:hAnsi="Arial" w:eastAsia="宋体" w:cs="Arial"/>
                <w:color w:val="auto"/>
                <w:kern w:val="0"/>
                <w:szCs w:val="21"/>
                <w:highlight w:val="none"/>
                <w:lang w:val="en-US" w:eastAsia="zh-CN"/>
              </w:rPr>
              <w:t>一期解决方案，对实施运行监测、协同调度管理、信息管理、协同调度优化功能有较详细论述；提供较为合理的</w:t>
            </w:r>
            <w:r>
              <w:rPr>
                <w:rFonts w:hint="eastAsia" w:ascii="宋体" w:hAnsi="宋体" w:eastAsia="宋体" w:cs="Arial"/>
                <w:color w:val="auto"/>
                <w:kern w:val="0"/>
                <w:szCs w:val="21"/>
                <w:highlight w:val="none"/>
              </w:rPr>
              <w:t>接口接入方案</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提供较为详细</w:t>
            </w:r>
            <w:r>
              <w:rPr>
                <w:rFonts w:hint="eastAsia" w:ascii="Arial" w:hAnsi="Arial" w:eastAsia="宋体" w:cs="Arial"/>
                <w:color w:val="auto"/>
                <w:kern w:val="0"/>
                <w:szCs w:val="21"/>
                <w:highlight w:val="none"/>
                <w:lang w:val="en-US" w:eastAsia="zh-CN"/>
              </w:rPr>
              <w:t>且合理的云平台资源需求清单</w:t>
            </w:r>
            <w:r>
              <w:rPr>
                <w:rFonts w:hint="eastAsia" w:ascii="Arial" w:hAnsi="Arial" w:cs="Arial"/>
                <w:color w:val="auto"/>
                <w:kern w:val="0"/>
                <w:szCs w:val="21"/>
                <w:highlight w:val="none"/>
                <w:lang w:val="en-US" w:eastAsia="zh-CN"/>
              </w:rPr>
              <w:t>；整体方案</w:t>
            </w:r>
            <w:r>
              <w:rPr>
                <w:rFonts w:hint="eastAsia" w:ascii="Arial" w:hAnsi="Arial" w:cs="Arial"/>
                <w:kern w:val="0"/>
                <w:szCs w:val="21"/>
              </w:rPr>
              <w:t>基本可行</w:t>
            </w:r>
            <w:r>
              <w:rPr>
                <w:rFonts w:hint="eastAsia" w:ascii="Arial" w:hAnsi="Arial" w:cs="Arial"/>
                <w:kern w:val="0"/>
                <w:szCs w:val="21"/>
                <w:lang w:eastAsia="zh-CN"/>
              </w:rPr>
              <w:t>。</w:t>
            </w:r>
          </w:p>
        </w:tc>
        <w:tc>
          <w:tcPr>
            <w:tcW w:w="697" w:type="dxa"/>
            <w:vAlign w:val="center"/>
          </w:tcPr>
          <w:p w14:paraId="5AB6F63A">
            <w:pPr>
              <w:wordWrap w:val="0"/>
              <w:spacing w:line="380" w:lineRule="exact"/>
              <w:jc w:val="center"/>
              <w:rPr>
                <w:rFonts w:hint="eastAsia" w:ascii="宋体" w:hAnsi="宋体" w:eastAsia="宋体" w:cs="Times New Roman"/>
                <w:b/>
                <w:kern w:val="0"/>
                <w:szCs w:val="21"/>
              </w:rPr>
            </w:pPr>
          </w:p>
        </w:tc>
      </w:tr>
      <w:tr w14:paraId="2F95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9" w:type="dxa"/>
            <w:vMerge w:val="continue"/>
            <w:vAlign w:val="center"/>
          </w:tcPr>
          <w:p w14:paraId="7117A1E1">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241EFEBE">
            <w:pPr>
              <w:pStyle w:val="87"/>
              <w:keepNext/>
              <w:keepLines/>
              <w:ind w:left="0" w:leftChars="0" w:firstLine="0" w:firstLineChars="0"/>
              <w:jc w:val="center"/>
              <w:rPr>
                <w:rFonts w:hint="eastAsia" w:ascii="宋体" w:hAnsi="宋体" w:eastAsia="宋体" w:cs="宋体"/>
                <w:b/>
                <w:szCs w:val="21"/>
              </w:rPr>
            </w:pPr>
          </w:p>
        </w:tc>
        <w:tc>
          <w:tcPr>
            <w:tcW w:w="1231" w:type="dxa"/>
            <w:vAlign w:val="center"/>
          </w:tcPr>
          <w:p w14:paraId="738E604D">
            <w:pPr>
              <w:pStyle w:val="87"/>
              <w:keepNext/>
              <w:keepLines/>
              <w:ind w:left="0" w:leftChars="0" w:firstLine="0" w:firstLineChars="0"/>
              <w:jc w:val="center"/>
              <w:rPr>
                <w:rFonts w:hint="eastAsia" w:ascii="宋体" w:hAnsi="宋体" w:eastAsia="宋体" w:cs="宋体"/>
                <w:lang w:val="en-US" w:eastAsia="zh-CN"/>
              </w:rPr>
            </w:pPr>
            <w:r>
              <w:rPr>
                <w:rFonts w:hint="eastAsia" w:ascii="宋体" w:hAnsi="宋体" w:eastAsia="宋体" w:cs="宋体"/>
                <w:sz w:val="21"/>
                <w:lang w:val="en-US" w:eastAsia="zh-CN"/>
              </w:rPr>
              <w:t>0</w:t>
            </w:r>
            <w:r>
              <w:rPr>
                <w:rFonts w:hint="eastAsia" w:ascii="宋体" w:hAnsi="宋体" w:eastAsia="宋体" w:cs="宋体"/>
                <w:sz w:val="21"/>
              </w:rPr>
              <w:t>≤m≤</w:t>
            </w:r>
            <w:r>
              <w:rPr>
                <w:rFonts w:hint="eastAsia" w:ascii="宋体" w:hAnsi="宋体" w:eastAsia="宋体" w:cs="宋体"/>
                <w:sz w:val="21"/>
                <w:lang w:val="en-US" w:eastAsia="zh-CN"/>
              </w:rPr>
              <w:t>5</w:t>
            </w:r>
          </w:p>
        </w:tc>
        <w:tc>
          <w:tcPr>
            <w:tcW w:w="5060" w:type="dxa"/>
            <w:vAlign w:val="center"/>
          </w:tcPr>
          <w:p w14:paraId="0E9A65E6">
            <w:pPr>
              <w:jc w:val="left"/>
              <w:rPr>
                <w:rFonts w:hint="eastAsia" w:ascii="宋体" w:hAnsi="宋体" w:cs="宋体"/>
                <w:kern w:val="0"/>
                <w:szCs w:val="21"/>
              </w:rPr>
            </w:pPr>
            <w:r>
              <w:rPr>
                <w:rFonts w:hint="eastAsia" w:ascii="Times New Roman" w:hAnsi="Times New Roman" w:eastAsia="宋体" w:cs="Times New Roman"/>
                <w:color w:val="auto"/>
                <w:szCs w:val="21"/>
                <w:highlight w:val="none"/>
              </w:rPr>
              <w:t>提供了系统功能解决方案，内容不完整，或描述不清晰，或针对性不强，未能符合项目实际需求。</w:t>
            </w:r>
          </w:p>
        </w:tc>
        <w:tc>
          <w:tcPr>
            <w:tcW w:w="697" w:type="dxa"/>
            <w:vAlign w:val="center"/>
          </w:tcPr>
          <w:p w14:paraId="48F15813">
            <w:pPr>
              <w:wordWrap w:val="0"/>
              <w:spacing w:line="380" w:lineRule="exact"/>
              <w:jc w:val="center"/>
              <w:rPr>
                <w:rFonts w:hint="eastAsia" w:ascii="宋体" w:hAnsi="宋体" w:eastAsia="宋体" w:cs="Times New Roman"/>
                <w:b/>
                <w:kern w:val="0"/>
                <w:szCs w:val="21"/>
              </w:rPr>
            </w:pPr>
          </w:p>
        </w:tc>
      </w:tr>
      <w:tr w14:paraId="665A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49" w:type="dxa"/>
            <w:vMerge w:val="restart"/>
            <w:vAlign w:val="center"/>
          </w:tcPr>
          <w:p w14:paraId="0BD7D079">
            <w:pPr>
              <w:widowControl/>
              <w:wordWrap w:val="0"/>
              <w:spacing w:line="3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449" w:type="dxa"/>
            <w:vMerge w:val="restart"/>
            <w:vAlign w:val="center"/>
          </w:tcPr>
          <w:p w14:paraId="1889759B">
            <w:pPr>
              <w:pStyle w:val="87"/>
              <w:keepNext/>
              <w:keepLines/>
              <w:ind w:left="0" w:leftChars="0" w:firstLine="0" w:firstLineChars="0"/>
              <w:jc w:val="center"/>
              <w:rPr>
                <w:rFonts w:hint="eastAsia" w:ascii="宋体" w:hAnsi="宋体" w:eastAsia="宋体" w:cs="宋体"/>
                <w:bCs/>
                <w:sz w:val="21"/>
                <w:lang w:val="en-US" w:eastAsia="zh-CN"/>
              </w:rPr>
            </w:pPr>
            <w:r>
              <w:rPr>
                <w:rFonts w:hint="eastAsia" w:ascii="宋体" w:hAnsi="宋体" w:eastAsia="宋体" w:cs="宋体"/>
                <w:bCs/>
                <w:sz w:val="21"/>
                <w:lang w:val="en-US" w:eastAsia="zh-CN"/>
              </w:rPr>
              <w:t>公交</w:t>
            </w:r>
            <w:r>
              <w:rPr>
                <w:rFonts w:hint="eastAsia" w:ascii="宋体" w:hAnsi="宋体" w:eastAsia="宋体" w:cs="宋体"/>
                <w:bCs/>
                <w:sz w:val="21"/>
                <w:lang w:eastAsia="zh-CN"/>
              </w:rPr>
              <w:t>智能调度系统</w:t>
            </w:r>
            <w:r>
              <w:rPr>
                <w:rFonts w:hint="eastAsia" w:ascii="宋体" w:hAnsi="宋体" w:eastAsia="宋体" w:cs="宋体"/>
                <w:bCs/>
                <w:sz w:val="21"/>
                <w:lang w:val="en-US" w:eastAsia="zh-CN"/>
              </w:rPr>
              <w:t>升级</w:t>
            </w:r>
          </w:p>
          <w:p w14:paraId="0A41A0C7">
            <w:pPr>
              <w:keepNext/>
              <w:keepLines/>
              <w:jc w:val="center"/>
              <w:rPr>
                <w:rFonts w:hint="eastAsia" w:ascii="宋体" w:hAnsi="宋体" w:cs="宋体"/>
                <w:kern w:val="0"/>
                <w:szCs w:val="21"/>
              </w:rPr>
            </w:pPr>
            <w:r>
              <w:rPr>
                <w:rFonts w:hint="eastAsia" w:ascii="宋体" w:hAnsi="宋体" w:eastAsia="宋体" w:cs="宋体"/>
                <w:bCs/>
                <w:sz w:val="21"/>
                <w:lang w:eastAsia="zh-CN"/>
              </w:rPr>
              <w:t>（</w:t>
            </w:r>
            <w:r>
              <w:rPr>
                <w:rFonts w:hint="eastAsia" w:ascii="宋体" w:hAnsi="宋体" w:eastAsia="宋体" w:cs="宋体"/>
                <w:bCs/>
                <w:sz w:val="21"/>
                <w:lang w:val="en-US" w:eastAsia="zh-CN"/>
              </w:rPr>
              <w:t>满分10分</w:t>
            </w:r>
            <w:r>
              <w:rPr>
                <w:rFonts w:hint="eastAsia" w:ascii="宋体" w:hAnsi="宋体" w:eastAsia="宋体" w:cs="宋体"/>
                <w:bCs/>
                <w:sz w:val="21"/>
                <w:lang w:eastAsia="zh-CN"/>
              </w:rPr>
              <w:t>）</w:t>
            </w:r>
          </w:p>
        </w:tc>
        <w:tc>
          <w:tcPr>
            <w:tcW w:w="1231" w:type="dxa"/>
            <w:vAlign w:val="center"/>
          </w:tcPr>
          <w:p w14:paraId="4A0A4F19">
            <w:pPr>
              <w:pStyle w:val="87"/>
              <w:keepNext/>
              <w:keepLines/>
              <w:ind w:left="0" w:leftChars="0" w:firstLine="0" w:firstLineChars="0"/>
              <w:jc w:val="center"/>
              <w:rPr>
                <w:rFonts w:hint="eastAsia" w:ascii="宋体" w:hAnsi="宋体" w:eastAsia="宋体" w:cs="宋体"/>
                <w:b/>
                <w:szCs w:val="21"/>
              </w:rPr>
            </w:pPr>
            <w:r>
              <w:rPr>
                <w:rFonts w:hint="eastAsia" w:ascii="宋体" w:hAnsi="宋体" w:eastAsia="宋体" w:cs="宋体"/>
                <w:sz w:val="21"/>
                <w:lang w:val="en-US" w:eastAsia="zh-CN"/>
              </w:rPr>
              <w:t>7</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10</w:t>
            </w:r>
          </w:p>
        </w:tc>
        <w:tc>
          <w:tcPr>
            <w:tcW w:w="5060" w:type="dxa"/>
            <w:vAlign w:val="center"/>
          </w:tcPr>
          <w:p w14:paraId="53D61C39">
            <w:pPr>
              <w:jc w:val="left"/>
              <w:rPr>
                <w:rFonts w:hint="default" w:ascii="Arial" w:hAnsi="Arial" w:eastAsia="宋体" w:cs="Arial"/>
                <w:color w:val="auto"/>
                <w:kern w:val="0"/>
                <w:szCs w:val="21"/>
                <w:highlight w:val="none"/>
                <w:lang w:val="en-US" w:eastAsia="zh-CN"/>
              </w:rPr>
            </w:pPr>
            <w:r>
              <w:rPr>
                <w:rFonts w:hint="eastAsia" w:ascii="宋体" w:hAnsi="宋体" w:eastAsia="宋体" w:cs="Times New Roman"/>
                <w:color w:val="auto"/>
                <w:szCs w:val="21"/>
                <w:highlight w:val="none"/>
                <w:lang w:val="en-US" w:eastAsia="zh-CN"/>
              </w:rPr>
              <w:t>全部</w:t>
            </w:r>
            <w:r>
              <w:rPr>
                <w:rFonts w:hint="eastAsia" w:ascii="宋体" w:hAnsi="宋体" w:eastAsia="宋体" w:cs="Times New Roman"/>
                <w:color w:val="auto"/>
                <w:szCs w:val="21"/>
                <w:highlight w:val="none"/>
              </w:rPr>
              <w:t>满足招标技术文件的需求规格，提出详实、可操作的实施方案</w:t>
            </w: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lang w:val="en-US" w:eastAsia="zh-CN"/>
              </w:rPr>
              <w:t>培训方案、售后方案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提供完善的公交</w:t>
            </w:r>
            <w:r>
              <w:rPr>
                <w:rFonts w:hint="eastAsia" w:ascii="宋体" w:hAnsi="宋体" w:eastAsia="宋体" w:cs="Times New Roman"/>
                <w:color w:val="auto"/>
                <w:szCs w:val="21"/>
                <w:highlight w:val="none"/>
                <w:lang w:eastAsia="zh-CN"/>
              </w:rPr>
              <w:t>智能调度系统</w:t>
            </w:r>
            <w:r>
              <w:rPr>
                <w:rFonts w:hint="eastAsia" w:ascii="宋体" w:hAnsi="宋体" w:eastAsia="宋体" w:cs="Times New Roman"/>
                <w:color w:val="auto"/>
                <w:szCs w:val="21"/>
                <w:highlight w:val="none"/>
                <w:lang w:val="en-US" w:eastAsia="zh-CN"/>
              </w:rPr>
              <w:t>升级解决方案，对</w:t>
            </w:r>
            <w:r>
              <w:rPr>
                <w:rFonts w:hint="eastAsia" w:ascii="宋体" w:hAnsi="宋体" w:eastAsia="宋体" w:cs="Times New Roman"/>
                <w:color w:val="auto"/>
                <w:szCs w:val="21"/>
                <w:highlight w:val="none"/>
              </w:rPr>
              <w:t>客流仿真统计预测</w:t>
            </w:r>
            <w:r>
              <w:rPr>
                <w:rFonts w:hint="eastAsia" w:ascii="宋体" w:hAnsi="宋体" w:eastAsia="宋体" w:cs="Times New Roman"/>
                <w:color w:val="auto"/>
                <w:szCs w:val="21"/>
                <w:highlight w:val="none"/>
                <w:lang w:val="en-US" w:eastAsia="zh-CN"/>
              </w:rPr>
              <w:t>模块</w:t>
            </w:r>
            <w:r>
              <w:rPr>
                <w:rFonts w:hint="eastAsia" w:ascii="宋体" w:hAnsi="宋体" w:eastAsia="宋体" w:cs="Times New Roman"/>
                <w:color w:val="auto"/>
                <w:szCs w:val="21"/>
                <w:highlight w:val="none"/>
              </w:rPr>
              <w:t>统计实时客流、时间客流、时空客流，并支持通过历史数据进行客流排班</w:t>
            </w:r>
            <w:r>
              <w:rPr>
                <w:rFonts w:hint="eastAsia" w:ascii="宋体" w:hAnsi="宋体" w:eastAsia="宋体" w:cs="Times New Roman"/>
                <w:color w:val="auto"/>
                <w:szCs w:val="21"/>
                <w:highlight w:val="none"/>
                <w:lang w:val="en-US" w:eastAsia="zh-CN"/>
              </w:rPr>
              <w:t>功能有详细论述，对</w:t>
            </w:r>
            <w:r>
              <w:rPr>
                <w:rFonts w:hint="eastAsia" w:ascii="宋体" w:hAnsi="宋体" w:eastAsia="宋体" w:cs="Times New Roman"/>
                <w:color w:val="auto"/>
                <w:szCs w:val="21"/>
                <w:highlight w:val="none"/>
              </w:rPr>
              <w:t>线网实时运行监测与分析模块展示实时路况、预测到站时间</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动态调度优化</w:t>
            </w:r>
            <w:r>
              <w:rPr>
                <w:rFonts w:hint="eastAsia" w:ascii="宋体" w:hAnsi="宋体" w:eastAsia="宋体" w:cs="Times New Roman"/>
                <w:color w:val="auto"/>
                <w:szCs w:val="21"/>
                <w:highlight w:val="none"/>
                <w:lang w:val="en-US" w:eastAsia="zh-CN"/>
              </w:rPr>
              <w:t>功能有详细论述，对</w:t>
            </w:r>
            <w:r>
              <w:rPr>
                <w:rFonts w:hint="eastAsia" w:ascii="宋体" w:hAnsi="宋体" w:eastAsia="宋体" w:cs="Times New Roman"/>
                <w:color w:val="auto"/>
                <w:szCs w:val="21"/>
                <w:highlight w:val="none"/>
              </w:rPr>
              <w:t>公交地铁协同调度融合模块支持接入地铁数据</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融合原有公交调度系统</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展示双网运行大屏、地铁应急接驳预案、应急接驳调度功能</w:t>
            </w:r>
            <w:r>
              <w:rPr>
                <w:rFonts w:hint="eastAsia" w:ascii="宋体" w:hAnsi="宋体" w:eastAsia="宋体" w:cs="Times New Roman"/>
                <w:color w:val="auto"/>
                <w:szCs w:val="21"/>
                <w:highlight w:val="none"/>
                <w:lang w:val="en-US" w:eastAsia="zh-CN"/>
              </w:rPr>
              <w:t>有详细论述，对</w:t>
            </w:r>
            <w:r>
              <w:rPr>
                <w:rFonts w:hint="eastAsia" w:ascii="宋体" w:hAnsi="宋体" w:eastAsia="宋体" w:cs="Times New Roman"/>
                <w:color w:val="auto"/>
                <w:szCs w:val="21"/>
                <w:highlight w:val="none"/>
              </w:rPr>
              <w:t>车辆运行监控与分析模块采集车辆CAN总线数据</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实现整车数据监测、故障告警、驾驶安全、能耗管理以及数据可视化及分析功能</w:t>
            </w:r>
            <w:r>
              <w:rPr>
                <w:rFonts w:hint="eastAsia" w:ascii="宋体" w:hAnsi="宋体" w:eastAsia="宋体" w:cs="Times New Roman"/>
                <w:color w:val="auto"/>
                <w:szCs w:val="21"/>
                <w:highlight w:val="none"/>
                <w:lang w:val="en-US" w:eastAsia="zh-CN"/>
              </w:rPr>
              <w:t>方案有详细论述</w:t>
            </w:r>
            <w:r>
              <w:rPr>
                <w:rFonts w:hint="eastAsia"/>
              </w:rPr>
              <w:t>，方案技术合理、可行性强。</w:t>
            </w:r>
          </w:p>
        </w:tc>
        <w:tc>
          <w:tcPr>
            <w:tcW w:w="697" w:type="dxa"/>
          </w:tcPr>
          <w:p w14:paraId="130ED328">
            <w:pPr>
              <w:wordWrap w:val="0"/>
              <w:snapToGrid w:val="0"/>
              <w:spacing w:line="440" w:lineRule="exact"/>
              <w:rPr>
                <w:rFonts w:hint="eastAsia" w:ascii="宋体" w:hAnsi="宋体" w:eastAsia="宋体" w:cs="Times New Roman"/>
                <w:kern w:val="0"/>
                <w:szCs w:val="21"/>
              </w:rPr>
            </w:pPr>
          </w:p>
        </w:tc>
      </w:tr>
      <w:tr w14:paraId="00CC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49" w:type="dxa"/>
            <w:vMerge w:val="continue"/>
            <w:vAlign w:val="center"/>
          </w:tcPr>
          <w:p w14:paraId="73ACEAC3">
            <w:pPr>
              <w:wordWrap w:val="0"/>
              <w:spacing w:line="360" w:lineRule="exact"/>
              <w:jc w:val="center"/>
              <w:rPr>
                <w:rFonts w:hint="eastAsia" w:ascii="宋体" w:hAnsi="宋体" w:eastAsia="宋体" w:cs="宋体"/>
                <w:kern w:val="0"/>
                <w:szCs w:val="21"/>
              </w:rPr>
            </w:pPr>
          </w:p>
        </w:tc>
        <w:tc>
          <w:tcPr>
            <w:tcW w:w="1449" w:type="dxa"/>
            <w:vMerge w:val="continue"/>
            <w:vAlign w:val="center"/>
          </w:tcPr>
          <w:p w14:paraId="0C66B5C0">
            <w:pPr>
              <w:pStyle w:val="87"/>
              <w:keepNext/>
              <w:keepLines/>
              <w:ind w:left="0" w:leftChars="0" w:firstLine="0" w:firstLineChars="0"/>
              <w:jc w:val="center"/>
              <w:rPr>
                <w:rFonts w:hint="eastAsia" w:ascii="宋体" w:hAnsi="宋体" w:eastAsia="宋体" w:cs="宋体"/>
              </w:rPr>
            </w:pPr>
          </w:p>
        </w:tc>
        <w:tc>
          <w:tcPr>
            <w:tcW w:w="1231" w:type="dxa"/>
            <w:vAlign w:val="center"/>
          </w:tcPr>
          <w:p w14:paraId="38C8BF6B">
            <w:pPr>
              <w:pStyle w:val="87"/>
              <w:keepNext/>
              <w:keepLines/>
              <w:ind w:left="0" w:leftChars="0" w:firstLine="0" w:firstLineChars="0"/>
              <w:jc w:val="center"/>
              <w:rPr>
                <w:rFonts w:hint="eastAsia" w:ascii="宋体" w:hAnsi="宋体" w:eastAsia="宋体" w:cs="宋体"/>
                <w:szCs w:val="21"/>
              </w:rPr>
            </w:pPr>
            <w:r>
              <w:rPr>
                <w:rFonts w:hint="eastAsia" w:ascii="宋体" w:hAnsi="宋体" w:eastAsia="宋体" w:cs="宋体"/>
                <w:sz w:val="21"/>
                <w:lang w:val="en-US" w:eastAsia="zh-CN"/>
              </w:rPr>
              <w:t>3</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7</w:t>
            </w:r>
          </w:p>
        </w:tc>
        <w:tc>
          <w:tcPr>
            <w:tcW w:w="5060" w:type="dxa"/>
            <w:vAlign w:val="center"/>
          </w:tcPr>
          <w:p w14:paraId="2CEC8E6B">
            <w:pPr>
              <w:rPr>
                <w:rFonts w:hint="eastAsia" w:ascii="宋体" w:hAnsi="宋体" w:eastAsia="宋体" w:cs="宋体"/>
                <w:szCs w:val="24"/>
                <w:lang w:eastAsia="zh-CN"/>
              </w:rPr>
            </w:pPr>
            <w:r>
              <w:rPr>
                <w:rFonts w:hint="eastAsia" w:ascii="宋体" w:hAnsi="宋体" w:eastAsia="宋体" w:cs="Times New Roman"/>
                <w:color w:val="auto"/>
                <w:szCs w:val="21"/>
                <w:highlight w:val="none"/>
              </w:rPr>
              <w:t>基本满足招标技术文件的需求规格</w:t>
            </w:r>
            <w:r>
              <w:rPr>
                <w:rFonts w:hint="eastAsia" w:ascii="宋体" w:hAnsi="宋体" w:cs="Times New Roman"/>
                <w:color w:val="auto"/>
                <w:szCs w:val="21"/>
                <w:highlight w:val="none"/>
                <w:lang w:eastAsia="zh-CN"/>
              </w:rPr>
              <w:t>，</w:t>
            </w:r>
            <w:r>
              <w:rPr>
                <w:rFonts w:hint="eastAsia" w:ascii="Arial" w:hAnsi="Arial" w:eastAsia="宋体" w:cs="Arial"/>
                <w:color w:val="auto"/>
                <w:kern w:val="0"/>
                <w:szCs w:val="21"/>
                <w:highlight w:val="none"/>
              </w:rPr>
              <w:t>提出</w:t>
            </w:r>
            <w:r>
              <w:rPr>
                <w:rFonts w:hint="eastAsia" w:ascii="Arial" w:hAnsi="Arial" w:eastAsia="宋体" w:cs="Arial"/>
                <w:color w:val="auto"/>
                <w:kern w:val="0"/>
                <w:szCs w:val="21"/>
                <w:highlight w:val="none"/>
                <w:lang w:val="en-US" w:eastAsia="zh-CN"/>
              </w:rPr>
              <w:t>较详细的实施方案、</w:t>
            </w:r>
            <w:r>
              <w:rPr>
                <w:rFonts w:hint="eastAsia" w:ascii="Arial" w:hAnsi="Arial" w:cs="Arial"/>
                <w:color w:val="auto"/>
                <w:kern w:val="0"/>
                <w:szCs w:val="21"/>
                <w:highlight w:val="none"/>
                <w:lang w:val="en-US" w:eastAsia="zh-CN"/>
              </w:rPr>
              <w:t>培训方案、售后方案</w:t>
            </w:r>
            <w:r>
              <w:rPr>
                <w:rFonts w:hint="eastAsia" w:ascii="宋体" w:hAnsi="宋体" w:eastAsia="宋体" w:cs="Times New Roman"/>
                <w:color w:val="auto"/>
                <w:szCs w:val="21"/>
                <w:highlight w:val="none"/>
              </w:rPr>
              <w:t>；提供较为合理的</w:t>
            </w:r>
            <w:r>
              <w:rPr>
                <w:rFonts w:hint="eastAsia" w:ascii="宋体" w:hAnsi="宋体" w:eastAsia="宋体" w:cs="Times New Roman"/>
                <w:color w:val="auto"/>
                <w:szCs w:val="21"/>
                <w:highlight w:val="none"/>
                <w:lang w:val="en-US" w:eastAsia="zh-CN"/>
              </w:rPr>
              <w:t>公交</w:t>
            </w:r>
            <w:r>
              <w:rPr>
                <w:rFonts w:hint="eastAsia" w:ascii="宋体" w:hAnsi="宋体" w:eastAsia="宋体" w:cs="Times New Roman"/>
                <w:color w:val="auto"/>
                <w:szCs w:val="21"/>
                <w:highlight w:val="none"/>
                <w:lang w:eastAsia="zh-CN"/>
              </w:rPr>
              <w:t>智能调度系统</w:t>
            </w:r>
            <w:r>
              <w:rPr>
                <w:rFonts w:hint="eastAsia" w:ascii="宋体" w:hAnsi="宋体" w:eastAsia="宋体" w:cs="Times New Roman"/>
                <w:color w:val="auto"/>
                <w:szCs w:val="21"/>
                <w:highlight w:val="none"/>
                <w:lang w:val="en-US" w:eastAsia="zh-CN"/>
              </w:rPr>
              <w:t>升级解决方案</w:t>
            </w:r>
            <w:r>
              <w:rPr>
                <w:rFonts w:hint="eastAsia" w:ascii="Arial" w:hAnsi="Arial" w:eastAsia="宋体" w:cs="Arial"/>
                <w:color w:val="auto"/>
                <w:kern w:val="0"/>
                <w:szCs w:val="21"/>
                <w:highlight w:val="none"/>
                <w:lang w:val="en-US" w:eastAsia="zh-CN"/>
              </w:rPr>
              <w:t>，对</w:t>
            </w:r>
            <w:r>
              <w:rPr>
                <w:rFonts w:hint="eastAsia" w:ascii="宋体" w:hAnsi="宋体" w:eastAsia="宋体" w:cs="Times New Roman"/>
                <w:color w:val="auto"/>
                <w:szCs w:val="21"/>
                <w:highlight w:val="none"/>
              </w:rPr>
              <w:t>客流仿真统计预测</w:t>
            </w:r>
            <w:r>
              <w:rPr>
                <w:rFonts w:hint="eastAsia" w:ascii="宋体" w:hAnsi="宋体" w:eastAsia="宋体" w:cs="Times New Roman"/>
                <w:color w:val="auto"/>
                <w:szCs w:val="21"/>
                <w:highlight w:val="none"/>
                <w:lang w:val="en-US" w:eastAsia="zh-CN"/>
              </w:rPr>
              <w:t>模块、</w:t>
            </w:r>
            <w:r>
              <w:rPr>
                <w:rFonts w:hint="eastAsia" w:ascii="宋体" w:hAnsi="宋体" w:eastAsia="宋体" w:cs="Times New Roman"/>
                <w:color w:val="auto"/>
                <w:szCs w:val="21"/>
                <w:highlight w:val="none"/>
              </w:rPr>
              <w:t>线网实时运行监测与分析模块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公交地铁协同调度融合模块</w:t>
            </w:r>
            <w:r>
              <w:rPr>
                <w:rFonts w:hint="eastAsia" w:ascii="宋体" w:hAnsi="宋体" w:eastAsia="宋体" w:cs="Times New Roman"/>
                <w:color w:val="auto"/>
                <w:szCs w:val="21"/>
                <w:highlight w:val="none"/>
                <w:lang w:eastAsia="zh-CN"/>
              </w:rPr>
              <w:t>、</w:t>
            </w:r>
            <w:r>
              <w:rPr>
                <w:rFonts w:hint="eastAsia"/>
              </w:rPr>
              <w:t>车辆运行监控与分析模块</w:t>
            </w:r>
            <w:r>
              <w:rPr>
                <w:rFonts w:hint="eastAsia"/>
                <w:lang w:eastAsia="zh-CN"/>
              </w:rPr>
              <w:t>、</w:t>
            </w:r>
            <w:r>
              <w:rPr>
                <w:rFonts w:hint="eastAsia"/>
              </w:rPr>
              <w:t>CAN数据采集终端</w:t>
            </w:r>
            <w:r>
              <w:rPr>
                <w:rFonts w:hint="eastAsia"/>
                <w:lang w:val="en-US" w:eastAsia="zh-CN"/>
              </w:rPr>
              <w:t>功能方案</w:t>
            </w:r>
            <w:r>
              <w:rPr>
                <w:rFonts w:hint="eastAsia" w:ascii="Arial" w:hAnsi="Arial" w:eastAsia="宋体" w:cs="Arial"/>
                <w:color w:val="auto"/>
                <w:kern w:val="0"/>
                <w:szCs w:val="21"/>
                <w:highlight w:val="none"/>
                <w:lang w:val="en-US" w:eastAsia="zh-CN"/>
              </w:rPr>
              <w:t>有较详细论述</w:t>
            </w:r>
            <w:r>
              <w:rPr>
                <w:rFonts w:hint="eastAsia" w:ascii="Arial" w:hAnsi="Arial" w:cs="Arial"/>
                <w:kern w:val="0"/>
                <w:szCs w:val="21"/>
              </w:rPr>
              <w:t>，方案基本可行</w:t>
            </w:r>
            <w:r>
              <w:rPr>
                <w:rFonts w:hint="eastAsia" w:ascii="Arial" w:hAnsi="Arial" w:cs="Arial"/>
                <w:kern w:val="0"/>
                <w:szCs w:val="21"/>
                <w:lang w:eastAsia="zh-CN"/>
              </w:rPr>
              <w:t>。</w:t>
            </w:r>
          </w:p>
        </w:tc>
        <w:tc>
          <w:tcPr>
            <w:tcW w:w="697" w:type="dxa"/>
          </w:tcPr>
          <w:p w14:paraId="1F875922">
            <w:pPr>
              <w:wordWrap w:val="0"/>
              <w:snapToGrid w:val="0"/>
              <w:spacing w:line="440" w:lineRule="exact"/>
              <w:rPr>
                <w:rFonts w:hint="eastAsia" w:ascii="宋体" w:hAnsi="宋体" w:eastAsia="宋体" w:cs="Times New Roman"/>
                <w:kern w:val="0"/>
                <w:szCs w:val="21"/>
              </w:rPr>
            </w:pPr>
          </w:p>
        </w:tc>
      </w:tr>
      <w:tr w14:paraId="3846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9" w:type="dxa"/>
            <w:vMerge w:val="continue"/>
            <w:vAlign w:val="center"/>
          </w:tcPr>
          <w:p w14:paraId="6D111B45">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76DDEC6A">
            <w:pPr>
              <w:keepNext/>
              <w:keepLines/>
              <w:jc w:val="center"/>
              <w:rPr>
                <w:rFonts w:hint="eastAsia" w:ascii="宋体" w:hAnsi="宋体" w:cs="宋体"/>
                <w:kern w:val="0"/>
                <w:szCs w:val="21"/>
              </w:rPr>
            </w:pPr>
          </w:p>
        </w:tc>
        <w:tc>
          <w:tcPr>
            <w:tcW w:w="1231" w:type="dxa"/>
            <w:vAlign w:val="center"/>
          </w:tcPr>
          <w:p w14:paraId="1FDFDEF6">
            <w:pPr>
              <w:pStyle w:val="87"/>
              <w:keepNext/>
              <w:keepLines/>
              <w:ind w:left="0" w:leftChars="0" w:firstLine="0" w:firstLineChars="0"/>
              <w:jc w:val="center"/>
              <w:rPr>
                <w:rFonts w:hint="eastAsia" w:ascii="宋体" w:hAnsi="宋体" w:eastAsia="宋体" w:cs="宋体"/>
                <w:szCs w:val="21"/>
              </w:rPr>
            </w:pPr>
            <w:r>
              <w:rPr>
                <w:rFonts w:hint="eastAsia" w:ascii="宋体" w:hAnsi="宋体" w:eastAsia="宋体" w:cs="宋体"/>
                <w:sz w:val="21"/>
                <w:lang w:val="en-US" w:eastAsia="zh-CN"/>
              </w:rPr>
              <w:t>0</w:t>
            </w:r>
            <w:r>
              <w:rPr>
                <w:rFonts w:hint="eastAsia" w:ascii="宋体" w:hAnsi="宋体" w:eastAsia="宋体" w:cs="宋体"/>
                <w:sz w:val="21"/>
              </w:rPr>
              <w:t>≤m≤</w:t>
            </w:r>
            <w:r>
              <w:rPr>
                <w:rFonts w:hint="eastAsia" w:ascii="宋体" w:hAnsi="宋体" w:eastAsia="宋体" w:cs="宋体"/>
                <w:sz w:val="21"/>
                <w:lang w:val="en-US" w:eastAsia="zh-CN"/>
              </w:rPr>
              <w:t>3</w:t>
            </w:r>
          </w:p>
        </w:tc>
        <w:tc>
          <w:tcPr>
            <w:tcW w:w="5060" w:type="dxa"/>
            <w:vAlign w:val="center"/>
          </w:tcPr>
          <w:p w14:paraId="0EF8C9B6">
            <w:pPr>
              <w:jc w:val="left"/>
              <w:rPr>
                <w:rFonts w:hint="eastAsia" w:ascii="宋体" w:hAnsi="宋体" w:cs="宋体"/>
                <w:szCs w:val="24"/>
              </w:rPr>
            </w:pPr>
            <w:r>
              <w:rPr>
                <w:rFonts w:hint="eastAsia" w:ascii="Times New Roman" w:hAnsi="Times New Roman" w:eastAsia="宋体" w:cs="Times New Roman"/>
                <w:color w:val="auto"/>
                <w:szCs w:val="21"/>
                <w:highlight w:val="none"/>
              </w:rPr>
              <w:t>提供了系统功能解决方案，内容不完整，或描述不清晰，或针对性不强，未能符合项目实际需求。</w:t>
            </w:r>
          </w:p>
        </w:tc>
        <w:tc>
          <w:tcPr>
            <w:tcW w:w="697" w:type="dxa"/>
          </w:tcPr>
          <w:p w14:paraId="1D57D9A1">
            <w:pPr>
              <w:wordWrap w:val="0"/>
              <w:snapToGrid w:val="0"/>
              <w:spacing w:line="440" w:lineRule="exact"/>
              <w:rPr>
                <w:rFonts w:hint="eastAsia" w:ascii="宋体" w:hAnsi="宋体" w:eastAsia="宋体" w:cs="Times New Roman"/>
                <w:kern w:val="0"/>
                <w:szCs w:val="21"/>
              </w:rPr>
            </w:pPr>
          </w:p>
        </w:tc>
      </w:tr>
      <w:tr w14:paraId="651F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9" w:type="dxa"/>
            <w:vMerge w:val="restart"/>
            <w:vAlign w:val="center"/>
          </w:tcPr>
          <w:p w14:paraId="2BD36D06">
            <w:pPr>
              <w:widowControl/>
              <w:wordWrap w:val="0"/>
              <w:spacing w:line="3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449" w:type="dxa"/>
            <w:vMerge w:val="restart"/>
            <w:vAlign w:val="center"/>
          </w:tcPr>
          <w:p w14:paraId="0DD4140D">
            <w:pPr>
              <w:keepNext/>
              <w:keepLines/>
              <w:jc w:val="center"/>
              <w:rPr>
                <w:rFonts w:hint="eastAsia" w:ascii="宋体" w:hAnsi="宋体" w:eastAsia="宋体" w:cs="宋体"/>
                <w:bCs/>
                <w:sz w:val="21"/>
                <w:lang w:eastAsia="zh-CN"/>
              </w:rPr>
            </w:pPr>
            <w:r>
              <w:rPr>
                <w:rFonts w:hint="eastAsia" w:ascii="宋体" w:hAnsi="宋体" w:eastAsia="宋体" w:cs="宋体"/>
                <w:bCs/>
                <w:sz w:val="21"/>
                <w:lang w:eastAsia="zh-CN"/>
              </w:rPr>
              <w:t>共享（电）单车智慧监管系统一期</w:t>
            </w:r>
          </w:p>
          <w:p w14:paraId="1020CD01">
            <w:pPr>
              <w:keepNext/>
              <w:keepLines/>
              <w:jc w:val="center"/>
              <w:rPr>
                <w:rFonts w:hint="eastAsia" w:ascii="宋体" w:hAnsi="宋体" w:cs="宋体"/>
                <w:kern w:val="0"/>
                <w:szCs w:val="21"/>
              </w:rPr>
            </w:pPr>
            <w:r>
              <w:rPr>
                <w:rFonts w:hint="eastAsia" w:ascii="宋体" w:hAnsi="宋体" w:eastAsia="宋体" w:cs="宋体"/>
                <w:bCs/>
                <w:sz w:val="21"/>
                <w:lang w:eastAsia="zh-CN"/>
              </w:rPr>
              <w:t>（</w:t>
            </w:r>
            <w:r>
              <w:rPr>
                <w:rFonts w:hint="eastAsia" w:ascii="宋体" w:hAnsi="宋体" w:eastAsia="宋体" w:cs="宋体"/>
                <w:bCs/>
                <w:sz w:val="21"/>
                <w:lang w:val="en-US" w:eastAsia="zh-CN"/>
              </w:rPr>
              <w:t>满分</w:t>
            </w:r>
            <w:r>
              <w:rPr>
                <w:rFonts w:hint="eastAsia" w:ascii="宋体" w:hAnsi="宋体" w:cs="宋体"/>
                <w:bCs/>
                <w:sz w:val="21"/>
                <w:lang w:val="en-US" w:eastAsia="zh-CN"/>
              </w:rPr>
              <w:t>10</w:t>
            </w:r>
            <w:r>
              <w:rPr>
                <w:rFonts w:hint="eastAsia" w:ascii="宋体" w:hAnsi="宋体" w:eastAsia="宋体" w:cs="宋体"/>
                <w:bCs/>
                <w:sz w:val="21"/>
                <w:lang w:val="en-US" w:eastAsia="zh-CN"/>
              </w:rPr>
              <w:t>分</w:t>
            </w:r>
            <w:r>
              <w:rPr>
                <w:rFonts w:hint="eastAsia" w:ascii="宋体" w:hAnsi="宋体" w:eastAsia="宋体" w:cs="宋体"/>
                <w:bCs/>
                <w:sz w:val="21"/>
                <w:lang w:eastAsia="zh-CN"/>
              </w:rPr>
              <w:t>）</w:t>
            </w:r>
          </w:p>
        </w:tc>
        <w:tc>
          <w:tcPr>
            <w:tcW w:w="1231" w:type="dxa"/>
            <w:vAlign w:val="center"/>
          </w:tcPr>
          <w:p w14:paraId="08A1A007">
            <w:pPr>
              <w:pStyle w:val="87"/>
              <w:keepNext/>
              <w:keepLines/>
              <w:ind w:left="0" w:leftChars="0" w:firstLine="0" w:firstLineChars="0"/>
              <w:jc w:val="center"/>
              <w:rPr>
                <w:rFonts w:hint="default" w:ascii="宋体" w:hAnsi="宋体" w:eastAsia="宋体" w:cs="宋体"/>
                <w:sz w:val="21"/>
                <w:lang w:val="en-US" w:eastAsia="zh-CN"/>
              </w:rPr>
            </w:pPr>
            <w:r>
              <w:rPr>
                <w:rFonts w:hint="eastAsia" w:ascii="宋体" w:hAnsi="宋体" w:eastAsia="宋体" w:cs="宋体"/>
                <w:sz w:val="21"/>
                <w:lang w:val="en-US" w:eastAsia="zh-CN"/>
              </w:rPr>
              <w:t>7</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10</w:t>
            </w:r>
          </w:p>
        </w:tc>
        <w:tc>
          <w:tcPr>
            <w:tcW w:w="5060" w:type="dxa"/>
            <w:vAlign w:val="center"/>
          </w:tcPr>
          <w:p w14:paraId="584B4121">
            <w:pPr>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全部</w:t>
            </w:r>
            <w:r>
              <w:rPr>
                <w:rFonts w:hint="eastAsia" w:ascii="宋体" w:hAnsi="宋体" w:eastAsia="宋体" w:cs="Times New Roman"/>
                <w:color w:val="auto"/>
                <w:szCs w:val="21"/>
                <w:highlight w:val="none"/>
              </w:rPr>
              <w:t>满足招标技术文件的需求规格，提出详实、可操作的实施方案</w:t>
            </w: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lang w:val="en-US" w:eastAsia="zh-CN"/>
              </w:rPr>
              <w:t>培训方案、售后方案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提供完善的</w:t>
            </w:r>
            <w:r>
              <w:rPr>
                <w:rFonts w:hint="eastAsia"/>
              </w:rPr>
              <w:t>共享（电）单车智慧监管系统一期</w:t>
            </w:r>
            <w:r>
              <w:rPr>
                <w:rFonts w:hint="eastAsia" w:ascii="宋体" w:hAnsi="宋体" w:eastAsia="宋体" w:cs="Times New Roman"/>
                <w:color w:val="auto"/>
                <w:szCs w:val="21"/>
                <w:highlight w:val="none"/>
                <w:lang w:val="en-US" w:eastAsia="zh-CN"/>
              </w:rPr>
              <w:t>解决方案，</w:t>
            </w:r>
            <w:r>
              <w:rPr>
                <w:rFonts w:hint="eastAsia" w:ascii="宋体" w:hAnsi="宋体" w:cs="Times New Roman"/>
                <w:color w:val="auto"/>
                <w:szCs w:val="21"/>
                <w:highlight w:val="none"/>
                <w:lang w:val="en-US" w:eastAsia="zh-CN"/>
              </w:rPr>
              <w:t>对电单车采集、电单车信息接入、</w:t>
            </w:r>
            <w:r>
              <w:rPr>
                <w:rFonts w:hint="eastAsia"/>
              </w:rPr>
              <w:t>线下秩序秩序人员和调运车辆管理</w:t>
            </w:r>
            <w:r>
              <w:rPr>
                <w:rFonts w:hint="eastAsia"/>
                <w:lang w:eastAsia="zh-CN"/>
              </w:rPr>
              <w:t>、</w:t>
            </w:r>
            <w:r>
              <w:rPr>
                <w:rFonts w:hint="eastAsia"/>
              </w:rPr>
              <w:t>考核评价</w:t>
            </w:r>
            <w:r>
              <w:rPr>
                <w:rFonts w:hint="eastAsia"/>
                <w:lang w:eastAsia="zh-CN"/>
              </w:rPr>
              <w:t>、</w:t>
            </w:r>
            <w:r>
              <w:rPr>
                <w:rFonts w:hint="eastAsia"/>
                <w:lang w:val="en-US" w:eastAsia="zh-CN"/>
              </w:rPr>
              <w:t>AI算法</w:t>
            </w:r>
            <w:r>
              <w:rPr>
                <w:rFonts w:hint="eastAsia" w:ascii="宋体" w:hAnsi="宋体" w:eastAsia="宋体" w:cs="Times New Roman"/>
                <w:color w:val="auto"/>
                <w:szCs w:val="21"/>
                <w:highlight w:val="none"/>
                <w:lang w:val="en-US" w:eastAsia="zh-CN"/>
              </w:rPr>
              <w:t>功能有详细论述，</w:t>
            </w:r>
            <w:r>
              <w:rPr>
                <w:rFonts w:hint="eastAsia"/>
              </w:rPr>
              <w:t>方案技术合理、可行性强。</w:t>
            </w:r>
          </w:p>
        </w:tc>
        <w:tc>
          <w:tcPr>
            <w:tcW w:w="697" w:type="dxa"/>
          </w:tcPr>
          <w:p w14:paraId="0A4009E7">
            <w:pPr>
              <w:wordWrap w:val="0"/>
              <w:snapToGrid w:val="0"/>
              <w:spacing w:line="440" w:lineRule="exact"/>
              <w:rPr>
                <w:rFonts w:hint="eastAsia" w:ascii="宋体" w:hAnsi="宋体" w:eastAsia="宋体" w:cs="Times New Roman"/>
                <w:kern w:val="0"/>
                <w:szCs w:val="21"/>
              </w:rPr>
            </w:pPr>
          </w:p>
        </w:tc>
      </w:tr>
      <w:tr w14:paraId="2A63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9" w:type="dxa"/>
            <w:vMerge w:val="continue"/>
            <w:vAlign w:val="center"/>
          </w:tcPr>
          <w:p w14:paraId="161C75BD">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6A0AF116">
            <w:pPr>
              <w:keepNext/>
              <w:keepLines/>
              <w:jc w:val="center"/>
              <w:rPr>
                <w:rFonts w:hint="eastAsia" w:ascii="宋体" w:hAnsi="宋体" w:cs="宋体"/>
                <w:kern w:val="0"/>
                <w:szCs w:val="21"/>
              </w:rPr>
            </w:pPr>
          </w:p>
        </w:tc>
        <w:tc>
          <w:tcPr>
            <w:tcW w:w="1231" w:type="dxa"/>
            <w:vAlign w:val="center"/>
          </w:tcPr>
          <w:p w14:paraId="555459C8">
            <w:pPr>
              <w:pStyle w:val="87"/>
              <w:keepNext/>
              <w:keepLines/>
              <w:ind w:left="0" w:leftChars="0"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3</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7</w:t>
            </w:r>
          </w:p>
        </w:tc>
        <w:tc>
          <w:tcPr>
            <w:tcW w:w="5060" w:type="dxa"/>
            <w:vAlign w:val="center"/>
          </w:tcPr>
          <w:p w14:paraId="2ACCF0CF">
            <w:pPr>
              <w:jc w:val="left"/>
              <w:rPr>
                <w:rFonts w:hint="eastAsia"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基本满足招标技术文件的需求规格</w:t>
            </w:r>
            <w:r>
              <w:rPr>
                <w:rFonts w:hint="eastAsia" w:ascii="宋体" w:hAnsi="宋体" w:cs="Times New Roman"/>
                <w:color w:val="auto"/>
                <w:szCs w:val="21"/>
                <w:highlight w:val="none"/>
                <w:lang w:eastAsia="zh-CN"/>
              </w:rPr>
              <w:t>，</w:t>
            </w:r>
            <w:r>
              <w:rPr>
                <w:rFonts w:hint="eastAsia" w:ascii="Arial" w:hAnsi="Arial" w:eastAsia="宋体" w:cs="Arial"/>
                <w:color w:val="auto"/>
                <w:kern w:val="0"/>
                <w:szCs w:val="21"/>
                <w:highlight w:val="none"/>
              </w:rPr>
              <w:t>提出</w:t>
            </w:r>
            <w:r>
              <w:rPr>
                <w:rFonts w:hint="eastAsia" w:ascii="Arial" w:hAnsi="Arial" w:eastAsia="宋体" w:cs="Arial"/>
                <w:color w:val="auto"/>
                <w:kern w:val="0"/>
                <w:szCs w:val="21"/>
                <w:highlight w:val="none"/>
                <w:lang w:val="en-US" w:eastAsia="zh-CN"/>
              </w:rPr>
              <w:t>较详细的实施方案、</w:t>
            </w:r>
            <w:r>
              <w:rPr>
                <w:rFonts w:hint="eastAsia" w:ascii="Arial" w:hAnsi="Arial" w:cs="Arial"/>
                <w:color w:val="auto"/>
                <w:kern w:val="0"/>
                <w:szCs w:val="21"/>
                <w:highlight w:val="none"/>
                <w:lang w:val="en-US" w:eastAsia="zh-CN"/>
              </w:rPr>
              <w:t>培训方案、售后方案</w:t>
            </w:r>
            <w:r>
              <w:rPr>
                <w:rFonts w:hint="eastAsia" w:ascii="宋体" w:hAnsi="宋体" w:eastAsia="宋体" w:cs="Times New Roman"/>
                <w:color w:val="auto"/>
                <w:szCs w:val="21"/>
                <w:highlight w:val="none"/>
              </w:rPr>
              <w:t>；提供较为合理的</w:t>
            </w:r>
            <w:r>
              <w:rPr>
                <w:rFonts w:hint="eastAsia"/>
              </w:rPr>
              <w:t>共享（电）单车智慧监管系统一期</w:t>
            </w:r>
            <w:r>
              <w:rPr>
                <w:rFonts w:hint="eastAsia" w:ascii="宋体" w:hAnsi="宋体" w:eastAsia="宋体" w:cs="Times New Roman"/>
                <w:color w:val="auto"/>
                <w:szCs w:val="21"/>
                <w:highlight w:val="none"/>
                <w:lang w:val="en-US" w:eastAsia="zh-CN"/>
              </w:rPr>
              <w:t>解决方案，</w:t>
            </w:r>
            <w:r>
              <w:rPr>
                <w:rFonts w:hint="eastAsia" w:ascii="宋体" w:hAnsi="宋体" w:cs="Times New Roman"/>
                <w:color w:val="auto"/>
                <w:szCs w:val="21"/>
                <w:highlight w:val="none"/>
                <w:lang w:val="en-US" w:eastAsia="zh-CN"/>
              </w:rPr>
              <w:t>对电单车采集、电单车信息接入、</w:t>
            </w:r>
            <w:r>
              <w:rPr>
                <w:rFonts w:hint="eastAsia"/>
              </w:rPr>
              <w:t>线下秩序秩序人员和调运车辆管理</w:t>
            </w:r>
            <w:r>
              <w:rPr>
                <w:rFonts w:hint="eastAsia"/>
                <w:lang w:eastAsia="zh-CN"/>
              </w:rPr>
              <w:t>、</w:t>
            </w:r>
            <w:r>
              <w:rPr>
                <w:rFonts w:hint="eastAsia"/>
              </w:rPr>
              <w:t>考核评价</w:t>
            </w:r>
            <w:r>
              <w:rPr>
                <w:rFonts w:hint="eastAsia"/>
                <w:lang w:eastAsia="zh-CN"/>
              </w:rPr>
              <w:t>、</w:t>
            </w:r>
            <w:r>
              <w:rPr>
                <w:rFonts w:hint="eastAsia"/>
                <w:lang w:val="en-US" w:eastAsia="zh-CN"/>
              </w:rPr>
              <w:t>AI算法</w:t>
            </w:r>
            <w:r>
              <w:rPr>
                <w:rFonts w:hint="eastAsia" w:ascii="宋体" w:hAnsi="宋体" w:eastAsia="宋体" w:cs="Times New Roman"/>
                <w:color w:val="auto"/>
                <w:szCs w:val="21"/>
                <w:highlight w:val="none"/>
                <w:lang w:val="en-US" w:eastAsia="zh-CN"/>
              </w:rPr>
              <w:t>功能有</w:t>
            </w:r>
            <w:r>
              <w:rPr>
                <w:rFonts w:hint="eastAsia" w:ascii="宋体" w:hAnsi="宋体" w:cs="Times New Roman"/>
                <w:color w:val="auto"/>
                <w:szCs w:val="21"/>
                <w:highlight w:val="none"/>
                <w:lang w:val="en-US" w:eastAsia="zh-CN"/>
              </w:rPr>
              <w:t>较</w:t>
            </w:r>
            <w:r>
              <w:rPr>
                <w:rFonts w:hint="eastAsia" w:ascii="宋体" w:hAnsi="宋体" w:eastAsia="宋体" w:cs="Times New Roman"/>
                <w:color w:val="auto"/>
                <w:szCs w:val="21"/>
                <w:highlight w:val="none"/>
                <w:lang w:val="en-US" w:eastAsia="zh-CN"/>
              </w:rPr>
              <w:t>详细论述</w:t>
            </w:r>
            <w:r>
              <w:rPr>
                <w:rFonts w:hint="eastAsia" w:ascii="Arial" w:hAnsi="Arial" w:cs="Arial"/>
                <w:kern w:val="0"/>
                <w:szCs w:val="21"/>
              </w:rPr>
              <w:t>，方案基本可行</w:t>
            </w:r>
            <w:r>
              <w:rPr>
                <w:rFonts w:hint="eastAsia" w:ascii="Arial" w:hAnsi="Arial" w:cs="Arial"/>
                <w:kern w:val="0"/>
                <w:szCs w:val="21"/>
                <w:lang w:eastAsia="zh-CN"/>
              </w:rPr>
              <w:t>。</w:t>
            </w:r>
          </w:p>
        </w:tc>
        <w:tc>
          <w:tcPr>
            <w:tcW w:w="697" w:type="dxa"/>
          </w:tcPr>
          <w:p w14:paraId="532AC29C">
            <w:pPr>
              <w:wordWrap w:val="0"/>
              <w:snapToGrid w:val="0"/>
              <w:spacing w:line="440" w:lineRule="exact"/>
              <w:rPr>
                <w:rFonts w:hint="eastAsia" w:ascii="宋体" w:hAnsi="宋体" w:eastAsia="宋体" w:cs="Times New Roman"/>
                <w:kern w:val="0"/>
                <w:szCs w:val="21"/>
              </w:rPr>
            </w:pPr>
          </w:p>
        </w:tc>
      </w:tr>
      <w:tr w14:paraId="3766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9" w:type="dxa"/>
            <w:vMerge w:val="continue"/>
            <w:vAlign w:val="center"/>
          </w:tcPr>
          <w:p w14:paraId="4B4FFE60">
            <w:pPr>
              <w:widowControl/>
              <w:wordWrap w:val="0"/>
              <w:spacing w:line="360" w:lineRule="exact"/>
              <w:jc w:val="center"/>
              <w:rPr>
                <w:rFonts w:hint="eastAsia" w:ascii="宋体" w:hAnsi="宋体" w:eastAsia="宋体" w:cs="宋体"/>
                <w:kern w:val="0"/>
                <w:szCs w:val="21"/>
              </w:rPr>
            </w:pPr>
          </w:p>
        </w:tc>
        <w:tc>
          <w:tcPr>
            <w:tcW w:w="1449" w:type="dxa"/>
            <w:vMerge w:val="continue"/>
            <w:vAlign w:val="center"/>
          </w:tcPr>
          <w:p w14:paraId="2A2A1098">
            <w:pPr>
              <w:keepNext/>
              <w:keepLines/>
              <w:jc w:val="center"/>
              <w:rPr>
                <w:rFonts w:hint="eastAsia" w:ascii="宋体" w:hAnsi="宋体" w:cs="宋体"/>
                <w:kern w:val="0"/>
                <w:szCs w:val="21"/>
              </w:rPr>
            </w:pPr>
          </w:p>
        </w:tc>
        <w:tc>
          <w:tcPr>
            <w:tcW w:w="1231" w:type="dxa"/>
            <w:vAlign w:val="center"/>
          </w:tcPr>
          <w:p w14:paraId="1C949266">
            <w:pPr>
              <w:pStyle w:val="87"/>
              <w:keepNext/>
              <w:keepLines/>
              <w:ind w:left="0" w:leftChars="0"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0</w:t>
            </w:r>
            <w:r>
              <w:rPr>
                <w:rFonts w:hint="eastAsia" w:ascii="宋体" w:hAnsi="宋体" w:eastAsia="宋体" w:cs="宋体"/>
                <w:sz w:val="21"/>
              </w:rPr>
              <w:t>≤m≤</w:t>
            </w:r>
            <w:r>
              <w:rPr>
                <w:rFonts w:hint="eastAsia" w:ascii="宋体" w:hAnsi="宋体" w:eastAsia="宋体" w:cs="宋体"/>
                <w:sz w:val="21"/>
                <w:lang w:val="en-US" w:eastAsia="zh-CN"/>
              </w:rPr>
              <w:t>3</w:t>
            </w:r>
          </w:p>
        </w:tc>
        <w:tc>
          <w:tcPr>
            <w:tcW w:w="5060" w:type="dxa"/>
            <w:vAlign w:val="center"/>
          </w:tcPr>
          <w:p w14:paraId="01698F83">
            <w:pPr>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提供了系统功能解决方案，内容不完整，或描述不清晰，或针对性不强，未能符合项目实际需求。</w:t>
            </w:r>
          </w:p>
        </w:tc>
        <w:tc>
          <w:tcPr>
            <w:tcW w:w="697" w:type="dxa"/>
          </w:tcPr>
          <w:p w14:paraId="64C42132">
            <w:pPr>
              <w:wordWrap w:val="0"/>
              <w:snapToGrid w:val="0"/>
              <w:spacing w:line="440" w:lineRule="exact"/>
              <w:rPr>
                <w:rFonts w:hint="eastAsia" w:ascii="宋体" w:hAnsi="宋体" w:eastAsia="宋体" w:cs="Times New Roman"/>
                <w:kern w:val="0"/>
                <w:szCs w:val="21"/>
              </w:rPr>
            </w:pPr>
          </w:p>
        </w:tc>
      </w:tr>
      <w:tr w14:paraId="15F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98" w:type="dxa"/>
            <w:gridSpan w:val="2"/>
            <w:vAlign w:val="center"/>
          </w:tcPr>
          <w:p w14:paraId="75F31E61">
            <w:pPr>
              <w:keepNext/>
              <w:keepLines/>
              <w:jc w:val="center"/>
              <w:rPr>
                <w:rFonts w:hint="eastAsia" w:eastAsia="宋体"/>
                <w:lang w:eastAsia="zh-CN"/>
              </w:rPr>
            </w:pPr>
            <w:r>
              <w:rPr>
                <w:rFonts w:hint="eastAsia" w:ascii="宋体" w:hAnsi="宋体" w:cs="宋体"/>
                <w:kern w:val="0"/>
                <w:szCs w:val="21"/>
                <w:lang w:val="en-US" w:eastAsia="zh-CN"/>
              </w:rPr>
              <w:t>技术文件得分</w:t>
            </w:r>
          </w:p>
        </w:tc>
        <w:tc>
          <w:tcPr>
            <w:tcW w:w="1231" w:type="dxa"/>
            <w:vAlign w:val="center"/>
          </w:tcPr>
          <w:p w14:paraId="01E680F4">
            <w:pPr>
              <w:wordWrap w:val="0"/>
              <w:spacing w:line="44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w:t>
            </w:r>
          </w:p>
        </w:tc>
        <w:tc>
          <w:tcPr>
            <w:tcW w:w="5060" w:type="dxa"/>
            <w:vAlign w:val="center"/>
          </w:tcPr>
          <w:p w14:paraId="1924B9C6">
            <w:pPr>
              <w:wordWrap w:val="0"/>
              <w:spacing w:line="440" w:lineRule="exact"/>
              <w:rPr>
                <w:rFonts w:hint="eastAsia" w:ascii="宋体" w:hAnsi="宋体" w:eastAsia="宋体" w:cs="Times New Roman"/>
                <w:szCs w:val="21"/>
              </w:rPr>
            </w:pPr>
          </w:p>
        </w:tc>
        <w:tc>
          <w:tcPr>
            <w:tcW w:w="697" w:type="dxa"/>
          </w:tcPr>
          <w:p w14:paraId="227AE614">
            <w:pPr>
              <w:wordWrap w:val="0"/>
              <w:snapToGrid w:val="0"/>
              <w:spacing w:line="440" w:lineRule="exact"/>
              <w:rPr>
                <w:rFonts w:hint="eastAsia" w:ascii="宋体" w:hAnsi="宋体" w:eastAsia="宋体" w:cs="Times New Roman"/>
                <w:szCs w:val="21"/>
              </w:rPr>
            </w:pPr>
          </w:p>
        </w:tc>
      </w:tr>
    </w:tbl>
    <w:p w14:paraId="03464FB1">
      <w:pPr>
        <w:wordWrap w:val="0"/>
        <w:spacing w:after="120"/>
        <w:rPr>
          <w:rFonts w:ascii="Calibri" w:hAnsi="Calibri" w:eastAsia="宋体" w:cs="Times New Roman"/>
          <w:kern w:val="0"/>
          <w:sz w:val="24"/>
          <w:szCs w:val="24"/>
        </w:rPr>
        <w:sectPr>
          <w:pgSz w:w="11907" w:h="16840"/>
          <w:pgMar w:top="1440" w:right="1797" w:bottom="1440" w:left="1440" w:header="567" w:footer="590" w:gutter="0"/>
          <w:cols w:space="720" w:num="1"/>
          <w:docGrid w:linePitch="312" w:charSpace="0"/>
        </w:sectPr>
      </w:pPr>
    </w:p>
    <w:p w14:paraId="2B1C1368">
      <w:pPr>
        <w:keepNext/>
        <w:keepLines/>
        <w:pageBreakBefore/>
        <w:wordWrap w:val="0"/>
        <w:spacing w:line="360" w:lineRule="auto"/>
        <w:outlineLvl w:val="2"/>
        <w:rPr>
          <w:rFonts w:ascii="Arial" w:hAnsi="Arial" w:eastAsia="宋体" w:cs="Times New Roman"/>
          <w:b/>
          <w:bCs/>
          <w:kern w:val="0"/>
          <w:sz w:val="24"/>
          <w:szCs w:val="28"/>
        </w:rPr>
      </w:pPr>
      <w:r>
        <w:rPr>
          <w:rFonts w:hint="eastAsia" w:ascii="Arial" w:hAnsi="Arial" w:eastAsia="宋体" w:cs="Times New Roman"/>
          <w:b/>
          <w:bCs/>
          <w:kern w:val="0"/>
          <w:sz w:val="24"/>
          <w:szCs w:val="28"/>
        </w:rPr>
        <w:t>附表五：投标报价评分表</w:t>
      </w:r>
    </w:p>
    <w:p w14:paraId="7F7EE38F">
      <w:pPr>
        <w:wordWrap w:val="0"/>
        <w:spacing w:after="120"/>
        <w:jc w:val="center"/>
        <w:rPr>
          <w:rFonts w:ascii="Calibri" w:hAnsi="Calibri" w:eastAsia="Times New Roman" w:cs="Times New Roman"/>
          <w:kern w:val="0"/>
          <w:sz w:val="24"/>
          <w:szCs w:val="24"/>
        </w:rPr>
      </w:pPr>
      <w:r>
        <w:rPr>
          <w:rFonts w:hint="eastAsia" w:ascii="MS Gothic" w:hAnsi="MS Gothic" w:eastAsia="MS Gothic" w:cs="MS Gothic"/>
          <w:b/>
          <w:bCs/>
          <w:kern w:val="0"/>
          <w:sz w:val="24"/>
          <w:szCs w:val="24"/>
        </w:rPr>
        <w:t>☑</w:t>
      </w:r>
      <w:r>
        <w:rPr>
          <w:rFonts w:hint="eastAsia" w:ascii="宋体" w:hAnsi="宋体" w:eastAsia="宋体" w:cs="宋体"/>
          <w:b/>
          <w:bCs/>
          <w:kern w:val="0"/>
          <w:sz w:val="24"/>
          <w:szCs w:val="24"/>
        </w:rPr>
        <w:t>投标报价评分表一</w:t>
      </w:r>
    </w:p>
    <w:tbl>
      <w:tblPr>
        <w:tblStyle w:val="90"/>
        <w:tblW w:w="9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34"/>
        <w:gridCol w:w="3050"/>
        <w:gridCol w:w="4176"/>
        <w:gridCol w:w="818"/>
      </w:tblGrid>
      <w:tr w14:paraId="48BBF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blHeader/>
          <w:jc w:val="center"/>
        </w:trPr>
        <w:tc>
          <w:tcPr>
            <w:tcW w:w="650" w:type="dxa"/>
            <w:vAlign w:val="center"/>
          </w:tcPr>
          <w:p w14:paraId="3447C4CB">
            <w:pPr>
              <w:wordWrap w:val="0"/>
              <w:jc w:val="center"/>
              <w:rPr>
                <w:rFonts w:hint="eastAsia" w:ascii="宋体" w:hAnsi="宋体" w:eastAsia="宋体" w:cs="Times New Roman"/>
                <w:b/>
                <w:szCs w:val="21"/>
              </w:rPr>
            </w:pPr>
            <w:r>
              <w:rPr>
                <w:rFonts w:ascii="宋体" w:hAnsi="宋体" w:eastAsia="宋体" w:cs="Times New Roman"/>
                <w:b/>
                <w:szCs w:val="21"/>
              </w:rPr>
              <w:t>序号</w:t>
            </w:r>
          </w:p>
        </w:tc>
        <w:tc>
          <w:tcPr>
            <w:tcW w:w="734" w:type="dxa"/>
            <w:vAlign w:val="center"/>
          </w:tcPr>
          <w:p w14:paraId="31638B83">
            <w:pPr>
              <w:wordWrap w:val="0"/>
              <w:jc w:val="center"/>
              <w:rPr>
                <w:rFonts w:hint="eastAsia" w:ascii="宋体" w:hAnsi="宋体" w:eastAsia="宋体" w:cs="Times New Roman"/>
                <w:b/>
                <w:szCs w:val="21"/>
              </w:rPr>
            </w:pPr>
            <w:r>
              <w:rPr>
                <w:rFonts w:ascii="宋体" w:hAnsi="宋体" w:eastAsia="宋体" w:cs="Times New Roman"/>
                <w:b/>
                <w:szCs w:val="21"/>
              </w:rPr>
              <w:t>项目</w:t>
            </w:r>
          </w:p>
        </w:tc>
        <w:tc>
          <w:tcPr>
            <w:tcW w:w="3050" w:type="dxa"/>
            <w:vAlign w:val="center"/>
          </w:tcPr>
          <w:p w14:paraId="77356EAB">
            <w:pPr>
              <w:wordWrap w:val="0"/>
              <w:jc w:val="center"/>
              <w:rPr>
                <w:rFonts w:hint="eastAsia" w:ascii="宋体" w:hAnsi="宋体" w:eastAsia="宋体" w:cs="Times New Roman"/>
                <w:b/>
                <w:szCs w:val="21"/>
              </w:rPr>
            </w:pPr>
            <w:r>
              <w:rPr>
                <w:rFonts w:hint="eastAsia" w:ascii="宋体" w:hAnsi="宋体" w:eastAsia="宋体" w:cs="Times New Roman"/>
                <w:b/>
                <w:szCs w:val="21"/>
              </w:rPr>
              <w:t>基准价</w:t>
            </w:r>
          </w:p>
        </w:tc>
        <w:tc>
          <w:tcPr>
            <w:tcW w:w="4176" w:type="dxa"/>
            <w:vAlign w:val="center"/>
          </w:tcPr>
          <w:p w14:paraId="19EA604B">
            <w:pPr>
              <w:wordWrap w:val="0"/>
              <w:jc w:val="center"/>
              <w:rPr>
                <w:rFonts w:hint="eastAsia" w:ascii="宋体" w:hAnsi="宋体" w:eastAsia="宋体" w:cs="Times New Roman"/>
                <w:b/>
                <w:szCs w:val="21"/>
              </w:rPr>
            </w:pPr>
            <w:r>
              <w:rPr>
                <w:rFonts w:hint="eastAsia" w:ascii="宋体" w:hAnsi="宋体" w:eastAsia="宋体" w:cs="Times New Roman"/>
                <w:b/>
                <w:szCs w:val="21"/>
              </w:rPr>
              <w:t>得分计算公式</w:t>
            </w:r>
          </w:p>
        </w:tc>
        <w:tc>
          <w:tcPr>
            <w:tcW w:w="818" w:type="dxa"/>
            <w:vAlign w:val="center"/>
          </w:tcPr>
          <w:p w14:paraId="53AD53A3">
            <w:pPr>
              <w:wordWrap w:val="0"/>
              <w:jc w:val="center"/>
              <w:rPr>
                <w:rFonts w:hint="eastAsia" w:ascii="宋体" w:hAnsi="宋体" w:eastAsia="宋体" w:cs="Times New Roman"/>
                <w:b/>
                <w:szCs w:val="21"/>
              </w:rPr>
            </w:pPr>
            <w:r>
              <w:rPr>
                <w:rFonts w:ascii="宋体" w:hAnsi="宋体" w:eastAsia="宋体" w:cs="Times New Roman"/>
                <w:b/>
                <w:szCs w:val="21"/>
              </w:rPr>
              <w:t>得分</w:t>
            </w:r>
          </w:p>
        </w:tc>
      </w:tr>
      <w:tr w14:paraId="7A863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3" w:hRule="exact"/>
          <w:jc w:val="center"/>
        </w:trPr>
        <w:tc>
          <w:tcPr>
            <w:tcW w:w="650" w:type="dxa"/>
            <w:vAlign w:val="center"/>
          </w:tcPr>
          <w:p w14:paraId="2E9D057C">
            <w:pPr>
              <w:wordWrap w:val="0"/>
              <w:jc w:val="center"/>
              <w:rPr>
                <w:rFonts w:hint="eastAsia" w:ascii="宋体" w:hAnsi="宋体" w:eastAsia="宋体" w:cs="Times New Roman"/>
                <w:szCs w:val="21"/>
              </w:rPr>
            </w:pPr>
            <w:r>
              <w:rPr>
                <w:rFonts w:hint="eastAsia" w:ascii="宋体" w:hAnsi="宋体" w:eastAsia="宋体" w:cs="Times New Roman"/>
                <w:szCs w:val="21"/>
              </w:rPr>
              <w:t>1</w:t>
            </w:r>
          </w:p>
        </w:tc>
        <w:tc>
          <w:tcPr>
            <w:tcW w:w="734" w:type="dxa"/>
            <w:vAlign w:val="center"/>
          </w:tcPr>
          <w:p w14:paraId="282CEC95">
            <w:pPr>
              <w:wordWrap w:val="0"/>
              <w:jc w:val="center"/>
              <w:rPr>
                <w:rFonts w:hint="eastAsia" w:ascii="宋体" w:hAnsi="宋体" w:eastAsia="宋体" w:cs="Times New Roman"/>
                <w:szCs w:val="21"/>
              </w:rPr>
            </w:pPr>
            <w:r>
              <w:rPr>
                <w:rFonts w:hint="eastAsia" w:ascii="宋体" w:hAnsi="宋体" w:eastAsia="宋体" w:cs="宋体"/>
                <w:szCs w:val="24"/>
              </w:rPr>
              <w:t>投标报价</w:t>
            </w:r>
          </w:p>
        </w:tc>
        <w:tc>
          <w:tcPr>
            <w:tcW w:w="3050" w:type="dxa"/>
            <w:vAlign w:val="center"/>
          </w:tcPr>
          <w:p w14:paraId="67A39CFD">
            <w:pPr>
              <w:wordWrap w:val="0"/>
              <w:snapToGrid w:val="0"/>
              <w:spacing w:line="288" w:lineRule="auto"/>
              <w:rPr>
                <w:rFonts w:hint="eastAsia" w:ascii="宋体" w:hAnsi="宋体" w:eastAsia="宋体" w:cs="Times New Roman"/>
                <w:szCs w:val="21"/>
              </w:rPr>
            </w:pPr>
            <w:bookmarkStart w:id="303" w:name="OLE_LINK183"/>
            <w:r>
              <w:rPr>
                <w:rFonts w:hint="eastAsia" w:ascii="宋体" w:hAnsi="宋体" w:eastAsia="宋体" w:cs="Times New Roman"/>
                <w:szCs w:val="21"/>
              </w:rPr>
              <w:t>当经评审的有效报价多于5个时（含5个），去掉一个最高评标价和一个最低评标价后的算术平均值作为基准价；当经评审的有效投标报价少于5个时，则以所有有效投标的评标价的算术平均值作为基准价。价格评审满分为20分，基准价和投标价格得分计算结果均保留小数点后两位。</w:t>
            </w:r>
            <w:bookmarkEnd w:id="303"/>
          </w:p>
        </w:tc>
        <w:tc>
          <w:tcPr>
            <w:tcW w:w="4176" w:type="dxa"/>
            <w:vAlign w:val="center"/>
          </w:tcPr>
          <w:p w14:paraId="4E691997">
            <w:pPr>
              <w:wordWrap w:val="0"/>
              <w:snapToGrid w:val="0"/>
              <w:spacing w:line="288" w:lineRule="auto"/>
              <w:rPr>
                <w:rFonts w:hint="eastAsia" w:ascii="宋体" w:hAnsi="宋体" w:eastAsia="宋体" w:cs="Times New Roman"/>
                <w:szCs w:val="21"/>
              </w:rPr>
            </w:pPr>
            <w:bookmarkStart w:id="304" w:name="OLE_LINK184"/>
            <w:r>
              <w:rPr>
                <w:rFonts w:hint="eastAsia" w:ascii="宋体" w:hAnsi="宋体" w:eastAsia="宋体" w:cs="Times New Roman"/>
                <w:szCs w:val="21"/>
              </w:rPr>
              <w:t>1）当评标价等于基准价时，投标人的价格得分为20分；</w:t>
            </w:r>
            <w:r>
              <w:rPr>
                <w:rFonts w:hint="eastAsia" w:ascii="宋体" w:hAnsi="宋体" w:eastAsia="宋体" w:cs="Times New Roman"/>
                <w:szCs w:val="21"/>
              </w:rPr>
              <w:br w:type="textWrapping"/>
            </w:r>
            <w:r>
              <w:rPr>
                <w:rFonts w:hint="eastAsia" w:ascii="宋体" w:hAnsi="宋体" w:eastAsia="宋体" w:cs="Times New Roman"/>
                <w:szCs w:val="21"/>
              </w:rPr>
              <w:t>2）当评标价高于基准价时，每高于基准价的1%，投标人的价格得分扣0.5分，中间数按内插法计算，即：投标价格得分=20-（评标价-基准价）/基准价×100×0.5；</w:t>
            </w:r>
            <w:r>
              <w:rPr>
                <w:rFonts w:hint="eastAsia" w:ascii="宋体" w:hAnsi="宋体" w:eastAsia="宋体" w:cs="Times New Roman"/>
                <w:szCs w:val="21"/>
              </w:rPr>
              <w:br w:type="textWrapping"/>
            </w:r>
            <w:r>
              <w:rPr>
                <w:rFonts w:hint="eastAsia" w:ascii="宋体" w:hAnsi="宋体" w:eastAsia="宋体" w:cs="Times New Roman"/>
                <w:szCs w:val="21"/>
              </w:rPr>
              <w:t>3）当评标价低于基准价时，每低于基准价的1%，投标人的价格得分扣0.25分，中间数按内插法计算，即:投标价格得分=20-（基准价-评标价）/基准价×100×0.25；</w:t>
            </w:r>
            <w:r>
              <w:rPr>
                <w:rFonts w:hint="eastAsia" w:ascii="宋体" w:hAnsi="宋体" w:eastAsia="宋体" w:cs="Times New Roman"/>
                <w:szCs w:val="21"/>
              </w:rPr>
              <w:br w:type="textWrapping"/>
            </w:r>
            <w:r>
              <w:rPr>
                <w:rFonts w:hint="eastAsia" w:ascii="宋体" w:hAnsi="宋体" w:eastAsia="宋体" w:cs="Times New Roman"/>
                <w:szCs w:val="21"/>
              </w:rPr>
              <w:t>本项最低为0分。</w:t>
            </w:r>
            <w:bookmarkEnd w:id="304"/>
          </w:p>
        </w:tc>
        <w:tc>
          <w:tcPr>
            <w:tcW w:w="818" w:type="dxa"/>
            <w:vAlign w:val="center"/>
          </w:tcPr>
          <w:p w14:paraId="0AD01C34">
            <w:pPr>
              <w:wordWrap w:val="0"/>
              <w:rPr>
                <w:rFonts w:hint="eastAsia" w:ascii="宋体" w:hAnsi="宋体" w:eastAsia="宋体" w:cs="Times New Roman"/>
                <w:szCs w:val="21"/>
              </w:rPr>
            </w:pPr>
          </w:p>
        </w:tc>
      </w:tr>
      <w:tr w14:paraId="4AE85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exact"/>
          <w:jc w:val="center"/>
        </w:trPr>
        <w:tc>
          <w:tcPr>
            <w:tcW w:w="4434" w:type="dxa"/>
            <w:gridSpan w:val="3"/>
            <w:vAlign w:val="center"/>
          </w:tcPr>
          <w:p w14:paraId="24EBAF6A">
            <w:pPr>
              <w:wordWrap w:val="0"/>
              <w:ind w:firstLine="420" w:firstLineChars="200"/>
              <w:jc w:val="center"/>
              <w:rPr>
                <w:rFonts w:hint="eastAsia" w:ascii="宋体" w:hAnsi="宋体" w:eastAsia="宋体" w:cs="Times New Roman"/>
                <w:szCs w:val="21"/>
              </w:rPr>
            </w:pPr>
            <w:r>
              <w:rPr>
                <w:rFonts w:hint="eastAsia" w:ascii="宋体" w:hAnsi="宋体" w:eastAsia="宋体" w:cs="Times New Roman"/>
                <w:szCs w:val="21"/>
              </w:rPr>
              <w:t>价格分总分</w:t>
            </w:r>
          </w:p>
        </w:tc>
        <w:tc>
          <w:tcPr>
            <w:tcW w:w="4176" w:type="dxa"/>
            <w:vAlign w:val="center"/>
          </w:tcPr>
          <w:p w14:paraId="1377A9DE">
            <w:pPr>
              <w:wordWrap w:val="0"/>
              <w:jc w:val="center"/>
              <w:rPr>
                <w:rFonts w:hint="eastAsia" w:ascii="宋体" w:hAnsi="宋体" w:eastAsia="宋体" w:cs="Times New Roman"/>
                <w:szCs w:val="21"/>
              </w:rPr>
            </w:pPr>
            <w:r>
              <w:rPr>
                <w:rFonts w:hint="eastAsia" w:ascii="宋体" w:hAnsi="宋体" w:eastAsia="宋体" w:cs="Times New Roman"/>
                <w:szCs w:val="21"/>
              </w:rPr>
              <w:t>20</w:t>
            </w:r>
          </w:p>
        </w:tc>
        <w:tc>
          <w:tcPr>
            <w:tcW w:w="818" w:type="dxa"/>
          </w:tcPr>
          <w:p w14:paraId="4E29541E">
            <w:pPr>
              <w:wordWrap w:val="0"/>
              <w:ind w:firstLine="420" w:firstLineChars="200"/>
              <w:rPr>
                <w:rFonts w:hint="eastAsia" w:ascii="宋体" w:hAnsi="宋体" w:eastAsia="宋体" w:cs="Times New Roman"/>
                <w:szCs w:val="21"/>
              </w:rPr>
            </w:pPr>
          </w:p>
        </w:tc>
      </w:tr>
    </w:tbl>
    <w:p w14:paraId="6296BACE">
      <w:pPr>
        <w:wordWrap w:val="0"/>
        <w:spacing w:line="360" w:lineRule="auto"/>
        <w:rPr>
          <w:rFonts w:hint="eastAsia" w:ascii="Times New Roman" w:hAnsi="宋体" w:eastAsia="宋体" w:cs="Times New Roman"/>
          <w:bCs/>
          <w:szCs w:val="21"/>
        </w:rPr>
      </w:pPr>
      <w:r>
        <w:rPr>
          <w:rFonts w:hint="eastAsia" w:ascii="Times New Roman" w:hAnsi="宋体" w:eastAsia="宋体" w:cs="Times New Roman"/>
          <w:bCs/>
          <w:szCs w:val="21"/>
        </w:rPr>
        <w:t>注：投标报价如有修正，经济评审组需填写附表《投标报价修正表》并由投标人代表签字确认。</w:t>
      </w:r>
    </w:p>
    <w:p w14:paraId="63CA948E">
      <w:pPr>
        <w:wordWrap w:val="0"/>
        <w:spacing w:after="120"/>
        <w:rPr>
          <w:rFonts w:ascii="Calibri" w:hAnsi="Calibri" w:eastAsia="宋体" w:cs="Times New Roman"/>
          <w:kern w:val="0"/>
          <w:sz w:val="24"/>
          <w:szCs w:val="24"/>
        </w:rPr>
        <w:sectPr>
          <w:pgSz w:w="11907" w:h="16840"/>
          <w:pgMar w:top="1440" w:right="1440" w:bottom="1440" w:left="1797" w:header="567" w:footer="590" w:gutter="0"/>
          <w:cols w:space="720" w:num="1"/>
          <w:docGrid w:linePitch="312" w:charSpace="0"/>
        </w:sectPr>
      </w:pPr>
    </w:p>
    <w:p w14:paraId="5C3CFDE5">
      <w:pPr>
        <w:wordWrap w:val="0"/>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附表  投标价格修正表</w:t>
      </w:r>
    </w:p>
    <w:tbl>
      <w:tblPr>
        <w:tblStyle w:val="90"/>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756"/>
        <w:gridCol w:w="2621"/>
        <w:gridCol w:w="2798"/>
      </w:tblGrid>
      <w:tr w14:paraId="0860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bottom w:val="single" w:color="auto" w:sz="4" w:space="0"/>
              <w:right w:val="single" w:color="auto" w:sz="4" w:space="0"/>
            </w:tcBorders>
            <w:vAlign w:val="center"/>
          </w:tcPr>
          <w:p w14:paraId="161B374E">
            <w:pPr>
              <w:wordWrap w:val="0"/>
              <w:jc w:val="center"/>
              <w:rPr>
                <w:rFonts w:hint="eastAsia" w:ascii="宋体" w:hAnsi="宋体" w:eastAsia="宋体" w:cs="Times New Roman"/>
                <w:szCs w:val="21"/>
              </w:rPr>
            </w:pPr>
            <w:r>
              <w:rPr>
                <w:rFonts w:hint="eastAsia" w:ascii="宋体" w:hAnsi="宋体" w:eastAsia="宋体" w:cs="Times New Roman"/>
                <w:szCs w:val="21"/>
              </w:rPr>
              <w:t>编号</w:t>
            </w:r>
          </w:p>
        </w:tc>
        <w:tc>
          <w:tcPr>
            <w:tcW w:w="1756" w:type="dxa"/>
            <w:tcBorders>
              <w:left w:val="single" w:color="auto" w:sz="4" w:space="0"/>
              <w:bottom w:val="single" w:color="auto" w:sz="4" w:space="0"/>
              <w:right w:val="single" w:color="auto" w:sz="4" w:space="0"/>
            </w:tcBorders>
            <w:vAlign w:val="center"/>
          </w:tcPr>
          <w:p w14:paraId="79788650">
            <w:pPr>
              <w:wordWrap w:val="0"/>
              <w:jc w:val="center"/>
              <w:rPr>
                <w:rFonts w:hint="eastAsia" w:ascii="宋体" w:hAnsi="宋体" w:eastAsia="宋体" w:cs="Times New Roman"/>
                <w:szCs w:val="21"/>
              </w:rPr>
            </w:pPr>
            <w:r>
              <w:rPr>
                <w:rFonts w:hint="eastAsia" w:ascii="宋体" w:hAnsi="宋体" w:eastAsia="宋体" w:cs="Times New Roman"/>
                <w:szCs w:val="21"/>
              </w:rPr>
              <w:t>修正项目</w:t>
            </w:r>
          </w:p>
        </w:tc>
        <w:tc>
          <w:tcPr>
            <w:tcW w:w="2621" w:type="dxa"/>
            <w:tcBorders>
              <w:left w:val="single" w:color="auto" w:sz="4" w:space="0"/>
              <w:bottom w:val="single" w:color="auto" w:sz="4" w:space="0"/>
              <w:right w:val="single" w:color="auto" w:sz="4" w:space="0"/>
            </w:tcBorders>
            <w:vAlign w:val="center"/>
          </w:tcPr>
          <w:p w14:paraId="2101671E">
            <w:pPr>
              <w:wordWrap w:val="0"/>
              <w:jc w:val="center"/>
              <w:rPr>
                <w:rFonts w:hint="eastAsia" w:ascii="宋体" w:hAnsi="宋体" w:eastAsia="宋体" w:cs="Times New Roman"/>
                <w:szCs w:val="21"/>
              </w:rPr>
            </w:pPr>
            <w:r>
              <w:rPr>
                <w:rFonts w:hint="eastAsia" w:ascii="宋体" w:hAnsi="宋体" w:eastAsia="宋体" w:cs="Times New Roman"/>
                <w:szCs w:val="21"/>
              </w:rPr>
              <w:t>修正前投标报价（元）</w:t>
            </w:r>
          </w:p>
        </w:tc>
        <w:tc>
          <w:tcPr>
            <w:tcW w:w="2798" w:type="dxa"/>
            <w:tcBorders>
              <w:top w:val="single" w:color="auto" w:sz="4" w:space="0"/>
              <w:left w:val="single" w:color="auto" w:sz="4" w:space="0"/>
              <w:bottom w:val="single" w:color="auto" w:sz="4" w:space="0"/>
              <w:right w:val="single" w:color="auto" w:sz="4" w:space="0"/>
            </w:tcBorders>
            <w:vAlign w:val="center"/>
          </w:tcPr>
          <w:p w14:paraId="40F8D059">
            <w:pPr>
              <w:wordWrap w:val="0"/>
              <w:jc w:val="center"/>
              <w:rPr>
                <w:rFonts w:hint="eastAsia" w:ascii="宋体" w:hAnsi="宋体" w:eastAsia="宋体" w:cs="Times New Roman"/>
                <w:szCs w:val="21"/>
              </w:rPr>
            </w:pPr>
            <w:r>
              <w:rPr>
                <w:rFonts w:hint="eastAsia" w:ascii="宋体" w:hAnsi="宋体" w:eastAsia="宋体" w:cs="Times New Roman"/>
                <w:szCs w:val="21"/>
              </w:rPr>
              <w:t>修正后投标报价（元）</w:t>
            </w:r>
          </w:p>
        </w:tc>
      </w:tr>
      <w:tr w14:paraId="171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44B3AC94">
            <w:pPr>
              <w:wordWrap w:val="0"/>
              <w:spacing w:line="360" w:lineRule="auto"/>
              <w:ind w:firstLine="420" w:firstLineChars="200"/>
              <w:rPr>
                <w:rFonts w:hint="eastAsia" w:ascii="宋体" w:hAnsi="宋体" w:eastAsia="宋体" w:cs="Times New Roman"/>
                <w:szCs w:val="21"/>
              </w:rPr>
            </w:pPr>
          </w:p>
        </w:tc>
        <w:tc>
          <w:tcPr>
            <w:tcW w:w="1756" w:type="dxa"/>
            <w:tcBorders>
              <w:left w:val="single" w:color="auto" w:sz="4" w:space="0"/>
              <w:right w:val="single" w:color="auto" w:sz="4" w:space="0"/>
            </w:tcBorders>
            <w:vAlign w:val="center"/>
          </w:tcPr>
          <w:p w14:paraId="181CE58A">
            <w:pPr>
              <w:wordWrap w:val="0"/>
              <w:spacing w:line="360" w:lineRule="auto"/>
              <w:ind w:firstLine="420" w:firstLineChars="200"/>
              <w:rPr>
                <w:rFonts w:hint="eastAsia" w:ascii="宋体" w:hAnsi="宋体" w:eastAsia="宋体" w:cs="Times New Roman"/>
                <w:szCs w:val="21"/>
              </w:rPr>
            </w:pPr>
          </w:p>
        </w:tc>
        <w:tc>
          <w:tcPr>
            <w:tcW w:w="2621" w:type="dxa"/>
            <w:tcBorders>
              <w:left w:val="single" w:color="auto" w:sz="4" w:space="0"/>
              <w:right w:val="single" w:color="auto" w:sz="4" w:space="0"/>
            </w:tcBorders>
            <w:vAlign w:val="center"/>
          </w:tcPr>
          <w:p w14:paraId="735C3FE6">
            <w:pPr>
              <w:wordWrap w:val="0"/>
              <w:spacing w:line="360" w:lineRule="auto"/>
              <w:ind w:firstLine="420" w:firstLineChars="200"/>
              <w:rPr>
                <w:rFonts w:hint="eastAsia" w:ascii="宋体" w:hAnsi="宋体" w:eastAsia="宋体" w:cs="Times New Roman"/>
                <w:szCs w:val="21"/>
              </w:rPr>
            </w:pPr>
          </w:p>
        </w:tc>
        <w:tc>
          <w:tcPr>
            <w:tcW w:w="2798" w:type="dxa"/>
            <w:tcBorders>
              <w:top w:val="single" w:color="auto" w:sz="4" w:space="0"/>
              <w:left w:val="single" w:color="auto" w:sz="4" w:space="0"/>
              <w:bottom w:val="single" w:color="auto" w:sz="4" w:space="0"/>
              <w:right w:val="single" w:color="auto" w:sz="4" w:space="0"/>
            </w:tcBorders>
          </w:tcPr>
          <w:p w14:paraId="5F724FEF">
            <w:pPr>
              <w:wordWrap w:val="0"/>
              <w:spacing w:line="360" w:lineRule="auto"/>
              <w:ind w:firstLine="420" w:firstLineChars="200"/>
              <w:rPr>
                <w:rFonts w:hint="eastAsia" w:ascii="宋体" w:hAnsi="宋体" w:eastAsia="宋体" w:cs="Times New Roman"/>
                <w:szCs w:val="21"/>
              </w:rPr>
            </w:pPr>
          </w:p>
        </w:tc>
      </w:tr>
      <w:tr w14:paraId="61F4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bottom w:val="single" w:color="auto" w:sz="4" w:space="0"/>
              <w:right w:val="single" w:color="auto" w:sz="4" w:space="0"/>
            </w:tcBorders>
            <w:vAlign w:val="center"/>
          </w:tcPr>
          <w:p w14:paraId="3EA726C8">
            <w:pPr>
              <w:wordWrap w:val="0"/>
              <w:spacing w:line="360" w:lineRule="auto"/>
              <w:ind w:firstLine="420" w:firstLineChars="200"/>
              <w:rPr>
                <w:rFonts w:hint="eastAsia" w:ascii="宋体" w:hAnsi="宋体" w:eastAsia="宋体" w:cs="Times New Roman"/>
                <w:szCs w:val="21"/>
              </w:rPr>
            </w:pPr>
          </w:p>
        </w:tc>
        <w:tc>
          <w:tcPr>
            <w:tcW w:w="1756" w:type="dxa"/>
            <w:tcBorders>
              <w:left w:val="single" w:color="auto" w:sz="4" w:space="0"/>
              <w:bottom w:val="single" w:color="auto" w:sz="4" w:space="0"/>
              <w:right w:val="single" w:color="auto" w:sz="4" w:space="0"/>
            </w:tcBorders>
            <w:vAlign w:val="center"/>
          </w:tcPr>
          <w:p w14:paraId="0A29CABB">
            <w:pPr>
              <w:wordWrap w:val="0"/>
              <w:spacing w:line="360" w:lineRule="auto"/>
              <w:ind w:firstLine="420" w:firstLineChars="200"/>
              <w:rPr>
                <w:rFonts w:hint="eastAsia" w:ascii="宋体" w:hAnsi="宋体" w:eastAsia="宋体" w:cs="Times New Roman"/>
                <w:szCs w:val="21"/>
              </w:rPr>
            </w:pPr>
          </w:p>
        </w:tc>
        <w:tc>
          <w:tcPr>
            <w:tcW w:w="2621" w:type="dxa"/>
            <w:tcBorders>
              <w:left w:val="single" w:color="auto" w:sz="4" w:space="0"/>
              <w:bottom w:val="single" w:color="auto" w:sz="4" w:space="0"/>
              <w:right w:val="single" w:color="auto" w:sz="4" w:space="0"/>
            </w:tcBorders>
            <w:vAlign w:val="center"/>
          </w:tcPr>
          <w:p w14:paraId="307CEB63">
            <w:pPr>
              <w:wordWrap w:val="0"/>
              <w:spacing w:line="360" w:lineRule="auto"/>
              <w:ind w:firstLine="420" w:firstLineChars="200"/>
              <w:rPr>
                <w:rFonts w:hint="eastAsia" w:ascii="宋体" w:hAnsi="宋体" w:eastAsia="宋体" w:cs="Times New Roman"/>
                <w:szCs w:val="21"/>
              </w:rPr>
            </w:pPr>
          </w:p>
        </w:tc>
        <w:tc>
          <w:tcPr>
            <w:tcW w:w="2798" w:type="dxa"/>
            <w:tcBorders>
              <w:top w:val="single" w:color="auto" w:sz="4" w:space="0"/>
              <w:left w:val="single" w:color="auto" w:sz="4" w:space="0"/>
              <w:bottom w:val="single" w:color="auto" w:sz="4" w:space="0"/>
              <w:right w:val="single" w:color="auto" w:sz="4" w:space="0"/>
            </w:tcBorders>
            <w:vAlign w:val="center"/>
          </w:tcPr>
          <w:p w14:paraId="5EF67EEB">
            <w:pPr>
              <w:wordWrap w:val="0"/>
              <w:spacing w:line="360" w:lineRule="auto"/>
              <w:ind w:firstLine="420" w:firstLineChars="200"/>
              <w:rPr>
                <w:rFonts w:hint="eastAsia" w:ascii="宋体" w:hAnsi="宋体" w:eastAsia="宋体" w:cs="Times New Roman"/>
                <w:szCs w:val="21"/>
              </w:rPr>
            </w:pPr>
          </w:p>
        </w:tc>
      </w:tr>
      <w:tr w14:paraId="0FEF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47B0A42E">
            <w:pPr>
              <w:wordWrap w:val="0"/>
              <w:spacing w:line="360" w:lineRule="auto"/>
              <w:ind w:firstLine="420" w:firstLineChars="200"/>
              <w:rPr>
                <w:rFonts w:hint="eastAsia" w:ascii="宋体" w:hAnsi="宋体" w:eastAsia="宋体" w:cs="Times New Roman"/>
                <w:szCs w:val="21"/>
              </w:rPr>
            </w:pPr>
          </w:p>
        </w:tc>
        <w:tc>
          <w:tcPr>
            <w:tcW w:w="1756" w:type="dxa"/>
            <w:tcBorders>
              <w:left w:val="single" w:color="auto" w:sz="4" w:space="0"/>
              <w:right w:val="single" w:color="auto" w:sz="4" w:space="0"/>
            </w:tcBorders>
            <w:vAlign w:val="center"/>
          </w:tcPr>
          <w:p w14:paraId="3BADAA3F">
            <w:pPr>
              <w:wordWrap w:val="0"/>
              <w:spacing w:line="360" w:lineRule="auto"/>
              <w:ind w:firstLine="420" w:firstLineChars="200"/>
              <w:rPr>
                <w:rFonts w:hint="eastAsia" w:ascii="宋体" w:hAnsi="宋体" w:eastAsia="宋体" w:cs="Times New Roman"/>
                <w:szCs w:val="21"/>
              </w:rPr>
            </w:pPr>
          </w:p>
        </w:tc>
        <w:tc>
          <w:tcPr>
            <w:tcW w:w="2621" w:type="dxa"/>
            <w:tcBorders>
              <w:left w:val="single" w:color="auto" w:sz="4" w:space="0"/>
              <w:right w:val="single" w:color="auto" w:sz="4" w:space="0"/>
            </w:tcBorders>
            <w:vAlign w:val="center"/>
          </w:tcPr>
          <w:p w14:paraId="2999AD9A">
            <w:pPr>
              <w:wordWrap w:val="0"/>
              <w:spacing w:line="360" w:lineRule="auto"/>
              <w:ind w:firstLine="420" w:firstLineChars="200"/>
              <w:rPr>
                <w:rFonts w:hint="eastAsia" w:ascii="宋体" w:hAnsi="宋体" w:eastAsia="宋体" w:cs="Times New Roman"/>
                <w:szCs w:val="21"/>
              </w:rPr>
            </w:pPr>
          </w:p>
        </w:tc>
        <w:tc>
          <w:tcPr>
            <w:tcW w:w="2798" w:type="dxa"/>
            <w:tcBorders>
              <w:top w:val="single" w:color="auto" w:sz="4" w:space="0"/>
              <w:left w:val="single" w:color="auto" w:sz="4" w:space="0"/>
              <w:bottom w:val="single" w:color="auto" w:sz="4" w:space="0"/>
              <w:right w:val="single" w:color="auto" w:sz="4" w:space="0"/>
            </w:tcBorders>
            <w:vAlign w:val="center"/>
          </w:tcPr>
          <w:p w14:paraId="297DF89E">
            <w:pPr>
              <w:wordWrap w:val="0"/>
              <w:spacing w:line="360" w:lineRule="auto"/>
              <w:ind w:firstLine="420" w:firstLineChars="200"/>
              <w:rPr>
                <w:rFonts w:hint="eastAsia" w:ascii="宋体" w:hAnsi="宋体" w:eastAsia="宋体" w:cs="Times New Roman"/>
                <w:szCs w:val="21"/>
              </w:rPr>
            </w:pPr>
          </w:p>
        </w:tc>
      </w:tr>
      <w:tr w14:paraId="677E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4D0B3543">
            <w:pPr>
              <w:wordWrap w:val="0"/>
              <w:spacing w:line="360" w:lineRule="auto"/>
              <w:ind w:firstLine="420" w:firstLineChars="200"/>
              <w:rPr>
                <w:rFonts w:hint="eastAsia" w:ascii="宋体" w:hAnsi="宋体" w:eastAsia="宋体" w:cs="Times New Roman"/>
                <w:szCs w:val="21"/>
              </w:rPr>
            </w:pPr>
          </w:p>
        </w:tc>
        <w:tc>
          <w:tcPr>
            <w:tcW w:w="1756" w:type="dxa"/>
            <w:tcBorders>
              <w:left w:val="single" w:color="auto" w:sz="4" w:space="0"/>
              <w:right w:val="single" w:color="auto" w:sz="4" w:space="0"/>
            </w:tcBorders>
            <w:vAlign w:val="center"/>
          </w:tcPr>
          <w:p w14:paraId="337673E9">
            <w:pPr>
              <w:wordWrap w:val="0"/>
              <w:spacing w:line="360" w:lineRule="auto"/>
              <w:ind w:firstLine="420" w:firstLineChars="200"/>
              <w:rPr>
                <w:rFonts w:hint="eastAsia" w:ascii="宋体" w:hAnsi="宋体" w:eastAsia="宋体" w:cs="Times New Roman"/>
                <w:szCs w:val="21"/>
              </w:rPr>
            </w:pPr>
          </w:p>
        </w:tc>
        <w:tc>
          <w:tcPr>
            <w:tcW w:w="2621" w:type="dxa"/>
            <w:tcBorders>
              <w:left w:val="single" w:color="auto" w:sz="4" w:space="0"/>
              <w:right w:val="single" w:color="auto" w:sz="4" w:space="0"/>
            </w:tcBorders>
            <w:vAlign w:val="center"/>
          </w:tcPr>
          <w:p w14:paraId="56657DE3">
            <w:pPr>
              <w:wordWrap w:val="0"/>
              <w:spacing w:line="360" w:lineRule="auto"/>
              <w:ind w:firstLine="420" w:firstLineChars="200"/>
              <w:rPr>
                <w:rFonts w:hint="eastAsia" w:ascii="宋体" w:hAnsi="宋体" w:eastAsia="宋体" w:cs="Times New Roman"/>
                <w:szCs w:val="21"/>
              </w:rPr>
            </w:pPr>
          </w:p>
        </w:tc>
        <w:tc>
          <w:tcPr>
            <w:tcW w:w="2798" w:type="dxa"/>
            <w:tcBorders>
              <w:top w:val="single" w:color="auto" w:sz="4" w:space="0"/>
              <w:left w:val="single" w:color="auto" w:sz="4" w:space="0"/>
              <w:bottom w:val="single" w:color="auto" w:sz="4" w:space="0"/>
              <w:right w:val="single" w:color="auto" w:sz="4" w:space="0"/>
            </w:tcBorders>
            <w:vAlign w:val="center"/>
          </w:tcPr>
          <w:p w14:paraId="55415DC7">
            <w:pPr>
              <w:wordWrap w:val="0"/>
              <w:spacing w:line="360" w:lineRule="auto"/>
              <w:ind w:firstLine="420" w:firstLineChars="200"/>
              <w:rPr>
                <w:rFonts w:hint="eastAsia" w:ascii="宋体" w:hAnsi="宋体" w:eastAsia="宋体" w:cs="Times New Roman"/>
                <w:szCs w:val="21"/>
              </w:rPr>
            </w:pPr>
          </w:p>
        </w:tc>
      </w:tr>
      <w:tr w14:paraId="6952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69CD0346">
            <w:pPr>
              <w:wordWrap w:val="0"/>
              <w:spacing w:line="360" w:lineRule="auto"/>
              <w:ind w:firstLine="420" w:firstLineChars="200"/>
              <w:rPr>
                <w:rFonts w:hint="eastAsia" w:ascii="宋体" w:hAnsi="宋体" w:eastAsia="宋体" w:cs="Times New Roman"/>
                <w:szCs w:val="21"/>
              </w:rPr>
            </w:pPr>
          </w:p>
        </w:tc>
        <w:tc>
          <w:tcPr>
            <w:tcW w:w="1756" w:type="dxa"/>
            <w:tcBorders>
              <w:left w:val="single" w:color="auto" w:sz="4" w:space="0"/>
              <w:right w:val="single" w:color="auto" w:sz="4" w:space="0"/>
            </w:tcBorders>
            <w:vAlign w:val="center"/>
          </w:tcPr>
          <w:p w14:paraId="715A072E">
            <w:pPr>
              <w:wordWrap w:val="0"/>
              <w:spacing w:line="360" w:lineRule="auto"/>
              <w:ind w:firstLine="420" w:firstLineChars="200"/>
              <w:rPr>
                <w:rFonts w:hint="eastAsia" w:ascii="宋体" w:hAnsi="宋体" w:eastAsia="宋体" w:cs="Times New Roman"/>
                <w:szCs w:val="21"/>
              </w:rPr>
            </w:pPr>
          </w:p>
        </w:tc>
        <w:tc>
          <w:tcPr>
            <w:tcW w:w="2621" w:type="dxa"/>
            <w:tcBorders>
              <w:left w:val="single" w:color="auto" w:sz="4" w:space="0"/>
              <w:right w:val="single" w:color="auto" w:sz="4" w:space="0"/>
            </w:tcBorders>
            <w:vAlign w:val="center"/>
          </w:tcPr>
          <w:p w14:paraId="2E08219F">
            <w:pPr>
              <w:wordWrap w:val="0"/>
              <w:spacing w:line="360" w:lineRule="auto"/>
              <w:ind w:firstLine="420" w:firstLineChars="200"/>
              <w:rPr>
                <w:rFonts w:hint="eastAsia" w:ascii="宋体" w:hAnsi="宋体" w:eastAsia="宋体" w:cs="Times New Roman"/>
                <w:szCs w:val="21"/>
              </w:rPr>
            </w:pPr>
          </w:p>
        </w:tc>
        <w:tc>
          <w:tcPr>
            <w:tcW w:w="2798" w:type="dxa"/>
            <w:tcBorders>
              <w:top w:val="single" w:color="auto" w:sz="4" w:space="0"/>
              <w:left w:val="single" w:color="auto" w:sz="4" w:space="0"/>
              <w:bottom w:val="single" w:color="auto" w:sz="4" w:space="0"/>
              <w:right w:val="single" w:color="auto" w:sz="4" w:space="0"/>
            </w:tcBorders>
            <w:vAlign w:val="center"/>
          </w:tcPr>
          <w:p w14:paraId="3049CC03">
            <w:pPr>
              <w:wordWrap w:val="0"/>
              <w:spacing w:line="360" w:lineRule="auto"/>
              <w:ind w:firstLine="420" w:firstLineChars="200"/>
              <w:rPr>
                <w:rFonts w:hint="eastAsia" w:ascii="宋体" w:hAnsi="宋体" w:eastAsia="宋体" w:cs="Times New Roman"/>
                <w:szCs w:val="21"/>
              </w:rPr>
            </w:pPr>
          </w:p>
        </w:tc>
      </w:tr>
      <w:tr w14:paraId="1D00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11" w:type="dxa"/>
            <w:tcBorders>
              <w:left w:val="single" w:color="auto" w:sz="4" w:space="0"/>
              <w:right w:val="single" w:color="auto" w:sz="4" w:space="0"/>
            </w:tcBorders>
            <w:vAlign w:val="center"/>
          </w:tcPr>
          <w:p w14:paraId="6F22ABCE">
            <w:pPr>
              <w:wordWrap w:val="0"/>
              <w:spacing w:line="360" w:lineRule="auto"/>
              <w:ind w:firstLine="420" w:firstLineChars="200"/>
              <w:rPr>
                <w:rFonts w:hint="eastAsia" w:ascii="宋体" w:hAnsi="宋体" w:eastAsia="宋体" w:cs="Times New Roman"/>
                <w:szCs w:val="21"/>
              </w:rPr>
            </w:pPr>
          </w:p>
        </w:tc>
        <w:tc>
          <w:tcPr>
            <w:tcW w:w="1756" w:type="dxa"/>
            <w:tcBorders>
              <w:left w:val="single" w:color="auto" w:sz="4" w:space="0"/>
              <w:right w:val="single" w:color="auto" w:sz="4" w:space="0"/>
            </w:tcBorders>
            <w:vAlign w:val="center"/>
          </w:tcPr>
          <w:p w14:paraId="2DFC3F93">
            <w:pPr>
              <w:wordWrap w:val="0"/>
              <w:spacing w:line="360" w:lineRule="auto"/>
              <w:ind w:firstLine="420" w:firstLineChars="200"/>
              <w:rPr>
                <w:rFonts w:hint="eastAsia" w:ascii="宋体" w:hAnsi="宋体" w:eastAsia="宋体" w:cs="Times New Roman"/>
                <w:szCs w:val="21"/>
              </w:rPr>
            </w:pPr>
          </w:p>
        </w:tc>
        <w:tc>
          <w:tcPr>
            <w:tcW w:w="2621" w:type="dxa"/>
            <w:tcBorders>
              <w:left w:val="single" w:color="auto" w:sz="4" w:space="0"/>
              <w:right w:val="single" w:color="auto" w:sz="4" w:space="0"/>
            </w:tcBorders>
            <w:vAlign w:val="center"/>
          </w:tcPr>
          <w:p w14:paraId="029A82F4">
            <w:pPr>
              <w:wordWrap w:val="0"/>
              <w:spacing w:line="360" w:lineRule="auto"/>
              <w:rPr>
                <w:rFonts w:hint="eastAsia" w:ascii="宋体" w:hAnsi="宋体" w:eastAsia="宋体" w:cs="Times New Roman"/>
                <w:szCs w:val="21"/>
              </w:rPr>
            </w:pPr>
            <w:r>
              <w:rPr>
                <w:rFonts w:hint="eastAsia" w:ascii="宋体" w:hAnsi="宋体" w:eastAsia="宋体" w:cs="Times New Roman"/>
                <w:szCs w:val="21"/>
              </w:rPr>
              <w:t>投标报价：</w:t>
            </w:r>
          </w:p>
        </w:tc>
        <w:tc>
          <w:tcPr>
            <w:tcW w:w="2798" w:type="dxa"/>
            <w:tcBorders>
              <w:top w:val="single" w:color="auto" w:sz="4" w:space="0"/>
              <w:left w:val="single" w:color="auto" w:sz="4" w:space="0"/>
              <w:bottom w:val="single" w:color="auto" w:sz="4" w:space="0"/>
              <w:right w:val="single" w:color="auto" w:sz="4" w:space="0"/>
            </w:tcBorders>
            <w:vAlign w:val="center"/>
          </w:tcPr>
          <w:p w14:paraId="7F9F31FA">
            <w:pPr>
              <w:wordWrap w:val="0"/>
              <w:spacing w:line="360" w:lineRule="auto"/>
              <w:rPr>
                <w:rFonts w:hint="eastAsia" w:ascii="宋体" w:hAnsi="宋体" w:eastAsia="宋体" w:cs="Times New Roman"/>
                <w:szCs w:val="21"/>
              </w:rPr>
            </w:pPr>
            <w:r>
              <w:rPr>
                <w:rFonts w:hint="eastAsia" w:ascii="宋体" w:hAnsi="宋体" w:eastAsia="宋体" w:cs="Times New Roman"/>
                <w:szCs w:val="21"/>
              </w:rPr>
              <w:t>修正后总价：</w:t>
            </w:r>
          </w:p>
        </w:tc>
      </w:tr>
      <w:tr w14:paraId="5F78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11" w:type="dxa"/>
            <w:tcBorders>
              <w:left w:val="single" w:color="auto" w:sz="4" w:space="0"/>
              <w:right w:val="single" w:color="auto" w:sz="4" w:space="0"/>
            </w:tcBorders>
            <w:vAlign w:val="center"/>
          </w:tcPr>
          <w:p w14:paraId="0DA356DF">
            <w:pPr>
              <w:wordWrap w:val="0"/>
              <w:jc w:val="center"/>
              <w:rPr>
                <w:rFonts w:hint="eastAsia" w:ascii="宋体" w:hAnsi="宋体" w:eastAsia="宋体" w:cs="Times New Roman"/>
                <w:szCs w:val="21"/>
              </w:rPr>
            </w:pPr>
            <w:r>
              <w:rPr>
                <w:rFonts w:hint="eastAsia" w:ascii="宋体" w:hAnsi="宋体" w:eastAsia="宋体" w:cs="Times New Roman"/>
                <w:szCs w:val="21"/>
              </w:rPr>
              <w:t>投标人名称</w:t>
            </w:r>
          </w:p>
        </w:tc>
        <w:tc>
          <w:tcPr>
            <w:tcW w:w="7175" w:type="dxa"/>
            <w:gridSpan w:val="3"/>
            <w:tcBorders>
              <w:left w:val="single" w:color="auto" w:sz="4" w:space="0"/>
              <w:right w:val="single" w:color="auto" w:sz="4" w:space="0"/>
            </w:tcBorders>
            <w:vAlign w:val="center"/>
          </w:tcPr>
          <w:p w14:paraId="444244F5">
            <w:pPr>
              <w:wordWrap w:val="0"/>
              <w:spacing w:line="360" w:lineRule="auto"/>
              <w:ind w:firstLine="420" w:firstLineChars="200"/>
              <w:rPr>
                <w:rFonts w:hint="eastAsia" w:ascii="宋体" w:hAnsi="宋体" w:eastAsia="宋体" w:cs="Times New Roman"/>
                <w:szCs w:val="21"/>
              </w:rPr>
            </w:pPr>
          </w:p>
        </w:tc>
      </w:tr>
      <w:tr w14:paraId="48AD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11" w:type="dxa"/>
            <w:tcBorders>
              <w:left w:val="single" w:color="auto" w:sz="4" w:space="0"/>
              <w:right w:val="single" w:color="auto" w:sz="4" w:space="0"/>
            </w:tcBorders>
            <w:vAlign w:val="center"/>
          </w:tcPr>
          <w:p w14:paraId="50BF4887">
            <w:pPr>
              <w:wordWrap w:val="0"/>
              <w:jc w:val="center"/>
              <w:rPr>
                <w:rFonts w:hint="eastAsia" w:ascii="宋体" w:hAnsi="宋体" w:eastAsia="宋体" w:cs="Times New Roman"/>
                <w:szCs w:val="21"/>
              </w:rPr>
            </w:pPr>
            <w:r>
              <w:rPr>
                <w:rFonts w:hint="eastAsia" w:ascii="宋体" w:hAnsi="宋体" w:eastAsia="宋体" w:cs="Times New Roman"/>
                <w:szCs w:val="21"/>
              </w:rPr>
              <w:t>投标人声明</w:t>
            </w:r>
          </w:p>
        </w:tc>
        <w:tc>
          <w:tcPr>
            <w:tcW w:w="7175" w:type="dxa"/>
            <w:gridSpan w:val="3"/>
            <w:tcBorders>
              <w:left w:val="single" w:color="auto" w:sz="4" w:space="0"/>
              <w:right w:val="single" w:color="auto" w:sz="4" w:space="0"/>
            </w:tcBorders>
            <w:vAlign w:val="center"/>
          </w:tcPr>
          <w:p w14:paraId="12747C70">
            <w:pPr>
              <w:wordWrap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□不接受</w:t>
            </w:r>
            <w:r>
              <w:rPr>
                <w:rFonts w:hint="eastAsia" w:ascii="宋体" w:hAnsi="宋体" w:eastAsia="宋体" w:cs="Times New Roman"/>
                <w:szCs w:val="21"/>
              </w:rPr>
              <w:t>）本评标办法第6.2.2款价格评审确定的评标总价和中标价。</w:t>
            </w:r>
          </w:p>
        </w:tc>
      </w:tr>
      <w:tr w14:paraId="6707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11" w:type="dxa"/>
            <w:tcBorders>
              <w:left w:val="single" w:color="auto" w:sz="4" w:space="0"/>
              <w:right w:val="single" w:color="auto" w:sz="4" w:space="0"/>
            </w:tcBorders>
            <w:vAlign w:val="center"/>
          </w:tcPr>
          <w:p w14:paraId="3A8EC308">
            <w:pPr>
              <w:wordWrap w:val="0"/>
              <w:spacing w:before="120"/>
              <w:jc w:val="center"/>
              <w:rPr>
                <w:rFonts w:hint="eastAsia" w:ascii="宋体" w:hAnsi="宋体" w:eastAsia="宋体" w:cs="Times New Roman"/>
                <w:szCs w:val="21"/>
              </w:rPr>
            </w:pPr>
            <w:r>
              <w:rPr>
                <w:rFonts w:hint="eastAsia" w:ascii="宋体" w:hAnsi="宋体" w:eastAsia="宋体" w:cs="Times New Roman"/>
                <w:szCs w:val="21"/>
              </w:rPr>
              <w:t>法定代表人或授权代理人签字</w:t>
            </w:r>
          </w:p>
        </w:tc>
        <w:tc>
          <w:tcPr>
            <w:tcW w:w="7175" w:type="dxa"/>
            <w:gridSpan w:val="3"/>
            <w:tcBorders>
              <w:left w:val="single" w:color="auto" w:sz="4" w:space="0"/>
              <w:right w:val="single" w:color="auto" w:sz="4" w:space="0"/>
            </w:tcBorders>
            <w:vAlign w:val="center"/>
          </w:tcPr>
          <w:p w14:paraId="704A77E7">
            <w:pPr>
              <w:wordWrap w:val="0"/>
              <w:spacing w:before="120"/>
              <w:rPr>
                <w:rFonts w:ascii="Calibri" w:hAnsi="Calibri" w:eastAsia="宋体" w:cs="宋体"/>
                <w:bCs/>
                <w:kern w:val="0"/>
                <w:szCs w:val="21"/>
              </w:rPr>
            </w:pPr>
          </w:p>
          <w:p w14:paraId="0BBE01E4">
            <w:pPr>
              <w:wordWrap w:val="0"/>
              <w:spacing w:before="120"/>
              <w:rPr>
                <w:rFonts w:hint="eastAsia" w:ascii="宋体" w:hAnsi="宋体" w:eastAsia="宋体" w:cs="Times New Roman"/>
                <w:szCs w:val="21"/>
              </w:rPr>
            </w:pPr>
            <w:r>
              <w:rPr>
                <w:rFonts w:hint="eastAsia" w:ascii="Calibri" w:hAnsi="Calibri" w:eastAsia="宋体" w:cs="宋体"/>
                <w:bCs/>
                <w:kern w:val="0"/>
                <w:szCs w:val="21"/>
              </w:rPr>
              <w:t xml:space="preserve">                                                                             日期：    年  月   日</w:t>
            </w:r>
          </w:p>
        </w:tc>
      </w:tr>
    </w:tbl>
    <w:p w14:paraId="23E3CF5F">
      <w:pPr>
        <w:wordWrap w:val="0"/>
        <w:spacing w:line="360" w:lineRule="auto"/>
        <w:ind w:firstLine="422" w:firstLineChars="200"/>
        <w:jc w:val="left"/>
        <w:rPr>
          <w:rFonts w:ascii="Times New Roman" w:hAnsi="Times New Roman" w:eastAsia="宋体" w:cs="Times New Roman"/>
          <w:b/>
          <w:szCs w:val="21"/>
        </w:rPr>
      </w:pPr>
      <w:r>
        <w:rPr>
          <w:rFonts w:hint="eastAsia" w:ascii="宋体" w:hAnsi="宋体" w:eastAsia="宋体" w:cs="Times New Roman"/>
          <w:b/>
          <w:szCs w:val="21"/>
        </w:rPr>
        <w:t>备注：</w:t>
      </w:r>
      <w:r>
        <w:rPr>
          <w:rFonts w:hint="eastAsia" w:ascii="Times New Roman" w:hAnsi="Times New Roman" w:eastAsia="宋体" w:cs="Times New Roman"/>
          <w:b/>
          <w:szCs w:val="21"/>
        </w:rPr>
        <w:t>评标价格及中标价均以修正后的投标报价为准</w:t>
      </w:r>
      <w:r>
        <w:rPr>
          <w:rFonts w:ascii="Times New Roman" w:hAnsi="Times New Roman" w:eastAsia="宋体" w:cs="Times New Roman"/>
          <w:b/>
          <w:szCs w:val="21"/>
        </w:rPr>
        <w:t>。</w:t>
      </w:r>
      <w:r>
        <w:rPr>
          <w:rFonts w:hint="eastAsia" w:ascii="宋体" w:hAnsi="宋体" w:eastAsia="宋体" w:cs="Times New Roman"/>
          <w:b/>
          <w:szCs w:val="21"/>
        </w:rPr>
        <w:t>如投标人不接受按以上规则确定的评标总价</w:t>
      </w:r>
      <w:r>
        <w:rPr>
          <w:rFonts w:hint="eastAsia" w:ascii="Times New Roman" w:hAnsi="Times New Roman" w:eastAsia="宋体" w:cs="Times New Roman"/>
          <w:b/>
          <w:szCs w:val="21"/>
        </w:rPr>
        <w:t>和中标价，则其投标将被拒绝。修正后投标报价小数位数保留到分。</w:t>
      </w:r>
    </w:p>
    <w:p w14:paraId="170751DA">
      <w:pPr>
        <w:wordWrap w:val="0"/>
        <w:spacing w:line="360" w:lineRule="auto"/>
        <w:ind w:firstLine="420" w:firstLineChars="200"/>
        <w:rPr>
          <w:rFonts w:hint="eastAsia" w:ascii="宋体" w:hAnsi="宋体" w:eastAsia="宋体" w:cs="Times New Roman"/>
          <w:szCs w:val="21"/>
        </w:rPr>
      </w:pPr>
    </w:p>
    <w:p w14:paraId="582421D3">
      <w:pPr>
        <w:wordWrap w:val="0"/>
        <w:spacing w:line="360" w:lineRule="auto"/>
        <w:ind w:firstLine="420" w:firstLineChars="200"/>
        <w:rPr>
          <w:rFonts w:hint="eastAsia" w:ascii="宋体" w:hAnsi="宋体" w:eastAsia="宋体" w:cs="Times New Roman"/>
          <w:szCs w:val="21"/>
        </w:rPr>
        <w:sectPr>
          <w:pgSz w:w="11907" w:h="16840"/>
          <w:pgMar w:top="1440" w:right="1440" w:bottom="1440" w:left="1797" w:header="567" w:footer="590" w:gutter="0"/>
          <w:cols w:space="720" w:num="1"/>
          <w:docGrid w:linePitch="312" w:charSpace="0"/>
        </w:sectPr>
      </w:pPr>
    </w:p>
    <w:bookmarkEnd w:id="237"/>
    <w:bookmarkEnd w:id="238"/>
    <w:bookmarkEnd w:id="259"/>
    <w:p w14:paraId="1B3E6317">
      <w:pPr>
        <w:wordWrap w:val="0"/>
        <w:spacing w:line="312" w:lineRule="auto"/>
        <w:jc w:val="center"/>
        <w:outlineLvl w:val="0"/>
        <w:rPr>
          <w:rFonts w:ascii="Times New Roman" w:hAnsi="Times New Roman" w:eastAsia="黑体" w:cs="Times New Roman"/>
          <w:b/>
          <w:bCs/>
          <w:kern w:val="0"/>
          <w:sz w:val="32"/>
          <w:szCs w:val="32"/>
        </w:rPr>
      </w:pPr>
      <w:bookmarkStart w:id="305" w:name="_Toc11866"/>
      <w:bookmarkStart w:id="306" w:name="_Toc6701"/>
      <w:bookmarkStart w:id="307" w:name="_Toc32377"/>
      <w:bookmarkStart w:id="308" w:name="_Toc12867"/>
      <w:bookmarkStart w:id="309" w:name="_Toc9080"/>
      <w:bookmarkStart w:id="310" w:name="_Toc234121074"/>
      <w:bookmarkStart w:id="311" w:name="_Toc19285"/>
      <w:bookmarkStart w:id="312" w:name="_Toc530736581"/>
      <w:bookmarkStart w:id="313" w:name="_Toc29041"/>
      <w:r>
        <w:rPr>
          <w:rFonts w:hint="eastAsia" w:ascii="Times New Roman" w:hAnsi="Times New Roman" w:eastAsia="黑体" w:cs="Times New Roman"/>
          <w:b/>
          <w:bCs/>
          <w:kern w:val="0"/>
          <w:sz w:val="32"/>
          <w:szCs w:val="32"/>
        </w:rPr>
        <w:t>第四章  合同条款及格式</w:t>
      </w:r>
      <w:bookmarkEnd w:id="305"/>
      <w:bookmarkEnd w:id="306"/>
      <w:bookmarkEnd w:id="307"/>
      <w:bookmarkEnd w:id="308"/>
      <w:bookmarkEnd w:id="309"/>
      <w:bookmarkEnd w:id="310"/>
      <w:bookmarkEnd w:id="311"/>
      <w:bookmarkEnd w:id="312"/>
      <w:bookmarkEnd w:id="313"/>
      <w:bookmarkStart w:id="314" w:name="_Toc14957"/>
      <w:bookmarkStart w:id="315" w:name="_Toc234121073"/>
      <w:bookmarkStart w:id="316" w:name="_Toc530736602"/>
      <w:bookmarkStart w:id="317" w:name="_Toc1420"/>
      <w:bookmarkStart w:id="318" w:name="_Toc11777"/>
      <w:bookmarkStart w:id="319" w:name="_Toc31316"/>
    </w:p>
    <w:p w14:paraId="5422EFFA">
      <w:pPr>
        <w:wordWrap w:val="0"/>
        <w:jc w:val="center"/>
        <w:rPr>
          <w:rFonts w:ascii="Times New Roman" w:hAnsi="Times New Roman" w:eastAsia="黑体" w:cs="Times New Roman"/>
          <w:b/>
          <w:bCs/>
          <w:kern w:val="0"/>
          <w:sz w:val="32"/>
          <w:szCs w:val="32"/>
        </w:rPr>
      </w:pPr>
      <w:bookmarkStart w:id="320" w:name="_Toc21526"/>
      <w:bookmarkStart w:id="321" w:name="_Toc342936253"/>
      <w:bookmarkStart w:id="322" w:name="_Toc530736582"/>
      <w:bookmarkStart w:id="323" w:name="_Toc16077"/>
      <w:bookmarkStart w:id="324" w:name="_Toc325030628"/>
      <w:bookmarkStart w:id="325" w:name="_Toc23075"/>
      <w:bookmarkStart w:id="326" w:name="_Toc6691"/>
      <w:bookmarkStart w:id="327" w:name="_Toc19850"/>
      <w:bookmarkStart w:id="328" w:name="OLE_LINK2"/>
    </w:p>
    <w:p w14:paraId="01925ECD">
      <w:pPr>
        <w:wordWrap w:val="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(合同封面)</w:t>
      </w:r>
    </w:p>
    <w:p w14:paraId="53A2D65D">
      <w:pPr>
        <w:wordWrap w:val="0"/>
        <w:spacing w:after="156" w:afterLines="50"/>
        <w:ind w:firstLine="600" w:firstLineChars="200"/>
        <w:jc w:val="right"/>
        <w:rPr>
          <w:rFonts w:hint="eastAsia" w:ascii="宋体" w:hAnsi="宋体" w:eastAsia="宋体" w:cs="Times New Roman"/>
          <w:sz w:val="30"/>
          <w:szCs w:val="30"/>
        </w:rPr>
      </w:pPr>
      <w:r>
        <w:rPr>
          <w:rFonts w:hint="eastAsia" w:ascii="宋体" w:hAnsi="宋体" w:eastAsia="宋体" w:cs="Times New Roman"/>
          <w:sz w:val="30"/>
          <w:szCs w:val="30"/>
        </w:rPr>
        <w:t>【X本】</w:t>
      </w:r>
    </w:p>
    <w:bookmarkEnd w:id="320"/>
    <w:bookmarkEnd w:id="321"/>
    <w:bookmarkEnd w:id="322"/>
    <w:bookmarkEnd w:id="323"/>
    <w:bookmarkEnd w:id="324"/>
    <w:bookmarkEnd w:id="325"/>
    <w:bookmarkEnd w:id="326"/>
    <w:bookmarkEnd w:id="327"/>
    <w:p w14:paraId="7F28A70E">
      <w:pPr>
        <w:wordWrap w:val="0"/>
        <w:snapToGrid w:val="0"/>
        <w:spacing w:before="156" w:beforeLines="50" w:after="156" w:afterLines="50" w:line="360" w:lineRule="auto"/>
        <w:jc w:val="center"/>
        <w:rPr>
          <w:rFonts w:hint="eastAsia" w:ascii="宋体" w:hAnsi="宋体" w:eastAsia="宋体" w:cs="宋体"/>
          <w:sz w:val="44"/>
          <w:szCs w:val="44"/>
        </w:rPr>
      </w:pPr>
    </w:p>
    <w:p w14:paraId="5F4A1E4E">
      <w:pPr>
        <w:wordWrap w:val="0"/>
        <w:snapToGrid w:val="0"/>
        <w:spacing w:before="156" w:beforeLines="50" w:after="156" w:afterLines="50" w:line="360" w:lineRule="auto"/>
        <w:jc w:val="both"/>
        <w:rPr>
          <w:rFonts w:hint="eastAsia" w:ascii="宋体" w:hAnsi="宋体" w:eastAsia="宋体" w:cs="宋体"/>
          <w:sz w:val="44"/>
          <w:szCs w:val="44"/>
        </w:rPr>
      </w:pPr>
    </w:p>
    <w:p w14:paraId="7DC35E46">
      <w:pPr>
        <w:wordWrap w:val="0"/>
        <w:snapToGrid w:val="0"/>
        <w:spacing w:before="156" w:beforeLines="50" w:after="156" w:afterLines="50" w:line="360" w:lineRule="auto"/>
        <w:jc w:val="center"/>
        <w:outlineLvl w:val="1"/>
        <w:rPr>
          <w:rFonts w:hint="eastAsia" w:ascii="宋体" w:hAnsi="宋体" w:eastAsia="宋体" w:cs="宋体"/>
          <w:b/>
          <w:bCs/>
          <w:sz w:val="44"/>
          <w:szCs w:val="44"/>
        </w:rPr>
      </w:pPr>
      <w:r>
        <w:rPr>
          <w:rFonts w:hint="eastAsia" w:ascii="宋体" w:hAnsi="宋体" w:eastAsia="宋体" w:cs="宋体"/>
          <w:b/>
          <w:bCs/>
          <w:sz w:val="44"/>
          <w:szCs w:val="44"/>
        </w:rPr>
        <w:t>采购合同书</w:t>
      </w:r>
    </w:p>
    <w:p w14:paraId="0F1A2916">
      <w:pPr>
        <w:wordWrap w:val="0"/>
        <w:snapToGrid w:val="0"/>
        <w:spacing w:before="156" w:beforeLines="50" w:after="156" w:afterLines="50" w:line="480" w:lineRule="auto"/>
        <w:ind w:right="482" w:firstLine="2570" w:firstLineChars="800"/>
        <w:rPr>
          <w:rFonts w:hint="eastAsia" w:ascii="宋体" w:hAnsi="宋体" w:eastAsia="宋体" w:cs="宋体"/>
          <w:b/>
          <w:sz w:val="32"/>
          <w:szCs w:val="32"/>
        </w:rPr>
      </w:pPr>
      <w:r>
        <w:rPr>
          <w:rFonts w:hint="eastAsia" w:ascii="宋体" w:hAnsi="宋体" w:eastAsia="宋体" w:cs="宋体"/>
          <w:b/>
          <w:sz w:val="32"/>
          <w:szCs w:val="32"/>
        </w:rPr>
        <w:t>（合同编号：</w:t>
      </w:r>
      <w:r>
        <w:rPr>
          <w:rFonts w:ascii="宋体" w:hAnsi="宋体" w:eastAsia="宋体" w:cs="宋体"/>
          <w:b/>
          <w:sz w:val="32"/>
          <w:szCs w:val="32"/>
        </w:rPr>
        <w:t xml:space="preserve">      </w:t>
      </w:r>
      <w:r>
        <w:rPr>
          <w:rFonts w:hint="eastAsia" w:ascii="宋体" w:hAnsi="宋体" w:eastAsia="宋体" w:cs="宋体"/>
          <w:b/>
          <w:sz w:val="32"/>
          <w:szCs w:val="32"/>
        </w:rPr>
        <w:t>）</w:t>
      </w:r>
    </w:p>
    <w:p w14:paraId="293CD1E0">
      <w:pPr>
        <w:wordWrap w:val="0"/>
        <w:spacing w:after="120"/>
        <w:rPr>
          <w:rFonts w:hint="eastAsia" w:ascii="宋体" w:hAnsi="宋体" w:eastAsia="宋体" w:cs="宋体"/>
          <w:bCs/>
          <w:sz w:val="32"/>
          <w:szCs w:val="32"/>
        </w:rPr>
      </w:pPr>
    </w:p>
    <w:p w14:paraId="4FBE9D43">
      <w:pPr>
        <w:wordWrap w:val="0"/>
        <w:spacing w:after="120"/>
        <w:rPr>
          <w:rFonts w:hint="eastAsia" w:ascii="宋体" w:hAnsi="宋体" w:eastAsia="宋体" w:cs="宋体"/>
          <w:bCs/>
          <w:sz w:val="32"/>
          <w:szCs w:val="32"/>
        </w:rPr>
      </w:pPr>
    </w:p>
    <w:p w14:paraId="0B314A0D">
      <w:pPr>
        <w:wordWrap w:val="0"/>
        <w:spacing w:after="120"/>
        <w:rPr>
          <w:rFonts w:hint="eastAsia" w:ascii="宋体" w:hAnsi="宋体" w:eastAsia="宋体" w:cs="宋体"/>
          <w:bCs/>
          <w:sz w:val="32"/>
          <w:szCs w:val="32"/>
        </w:rPr>
      </w:pPr>
    </w:p>
    <w:p w14:paraId="6B4E66EB">
      <w:pPr>
        <w:wordWrap w:val="0"/>
        <w:spacing w:after="120"/>
        <w:rPr>
          <w:rFonts w:hint="eastAsia" w:ascii="宋体" w:hAnsi="宋体" w:eastAsia="宋体" w:cs="宋体"/>
          <w:bCs/>
          <w:sz w:val="32"/>
          <w:szCs w:val="32"/>
        </w:rPr>
      </w:pPr>
    </w:p>
    <w:p w14:paraId="3CC5CEAB">
      <w:pPr>
        <w:wordWrap w:val="0"/>
        <w:spacing w:after="120"/>
        <w:rPr>
          <w:rFonts w:hint="eastAsia" w:ascii="宋体" w:hAnsi="宋体" w:eastAsia="宋体" w:cs="宋体"/>
          <w:bCs/>
          <w:sz w:val="32"/>
          <w:szCs w:val="32"/>
        </w:rPr>
      </w:pPr>
    </w:p>
    <w:p w14:paraId="5D5182B7">
      <w:pPr>
        <w:wordWrap w:val="0"/>
        <w:snapToGrid w:val="0"/>
        <w:spacing w:line="480" w:lineRule="auto"/>
        <w:ind w:right="480" w:firstLine="480" w:firstLineChars="200"/>
        <w:rPr>
          <w:rFonts w:hint="eastAsia" w:ascii="宋体" w:hAnsi="宋体" w:eastAsia="宋体" w:cs="宋体"/>
          <w:sz w:val="24"/>
          <w:szCs w:val="24"/>
        </w:rPr>
      </w:pPr>
      <w:r>
        <w:rPr>
          <w:rFonts w:hint="eastAsia" w:ascii="宋体" w:hAnsi="宋体" w:eastAsia="宋体" w:cs="宋体"/>
          <w:sz w:val="24"/>
          <w:szCs w:val="24"/>
        </w:rPr>
        <w:t>甲方：</w:t>
      </w:r>
    </w:p>
    <w:p w14:paraId="077156BC">
      <w:pPr>
        <w:wordWrap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p>
    <w:p w14:paraId="26700411">
      <w:pPr>
        <w:wordWrap w:val="0"/>
        <w:snapToGrid w:val="0"/>
        <w:spacing w:line="600" w:lineRule="auto"/>
        <w:ind w:firstLine="480" w:firstLineChars="200"/>
        <w:rPr>
          <w:rFonts w:hint="eastAsia" w:ascii="宋体" w:hAnsi="宋体" w:eastAsia="宋体" w:cs="宋体"/>
          <w:sz w:val="24"/>
          <w:szCs w:val="24"/>
        </w:rPr>
      </w:pPr>
    </w:p>
    <w:p w14:paraId="477C9868">
      <w:pPr>
        <w:wordWrap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签订地点：广西南宁市</w:t>
      </w:r>
      <w:r>
        <w:rPr>
          <w:rFonts w:ascii="宋体" w:hAnsi="宋体" w:eastAsia="宋体" w:cs="宋体"/>
          <w:sz w:val="24"/>
          <w:szCs w:val="24"/>
        </w:rPr>
        <w:t xml:space="preserve"> </w:t>
      </w:r>
    </w:p>
    <w:p w14:paraId="18516EE2">
      <w:pPr>
        <w:wordWrap w:val="0"/>
        <w:snapToGrid w:val="0"/>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签订时间：</w:t>
      </w:r>
    </w:p>
    <w:p w14:paraId="6496C428">
      <w:pPr>
        <w:spacing w:line="360" w:lineRule="auto"/>
        <w:rPr>
          <w:rFonts w:hint="eastAsia" w:ascii="宋体" w:hAnsi="宋体" w:eastAsia="宋体"/>
          <w:color w:val="000000"/>
        </w:rPr>
      </w:pPr>
      <w:r>
        <w:rPr>
          <w:rFonts w:ascii="宋体" w:hAnsi="宋体" w:eastAsia="宋体" w:cs="宋体"/>
          <w:sz w:val="32"/>
          <w:szCs w:val="32"/>
        </w:rPr>
        <w:br w:type="page"/>
      </w:r>
      <w:bookmarkEnd w:id="328"/>
      <w:bookmarkStart w:id="329" w:name="OLE_LINK7"/>
    </w:p>
    <w:p w14:paraId="4C83F7CB">
      <w:pPr>
        <w:adjustRightInd w:val="0"/>
        <w:snapToGrid w:val="0"/>
        <w:spacing w:line="360" w:lineRule="auto"/>
        <w:rPr>
          <w:rFonts w:hint="eastAsia" w:ascii="宋体" w:hAnsi="宋体" w:eastAsia="宋体"/>
          <w:snapToGrid w:val="0"/>
          <w:color w:val="000000"/>
        </w:rPr>
        <w:sectPr>
          <w:headerReference r:id="rId10" w:type="default"/>
          <w:footerReference r:id="rId11" w:type="default"/>
          <w:pgSz w:w="11906" w:h="16838"/>
          <w:pgMar w:top="1440" w:right="1797" w:bottom="1440" w:left="1797" w:header="851" w:footer="992" w:gutter="0"/>
          <w:cols w:space="708" w:num="1"/>
          <w:titlePg/>
          <w:docGrid w:type="lines" w:linePitch="312" w:charSpace="0"/>
        </w:sectPr>
      </w:pPr>
    </w:p>
    <w:p w14:paraId="45F30571">
      <w:pPr>
        <w:adjustRightInd w:val="0"/>
        <w:snapToGrid w:val="0"/>
        <w:spacing w:after="120" w:afterLines="50" w:line="360" w:lineRule="auto"/>
        <w:jc w:val="center"/>
        <w:outlineLvl w:val="0"/>
        <w:rPr>
          <w:rFonts w:hint="eastAsia" w:ascii="黑体" w:hAnsi="黑体" w:eastAsia="宋体"/>
          <w:b/>
          <w:snapToGrid w:val="0"/>
          <w:color w:val="000000"/>
          <w:sz w:val="32"/>
        </w:rPr>
      </w:pPr>
      <w:bookmarkStart w:id="330" w:name="_Toc138263825"/>
      <w:r>
        <w:rPr>
          <w:rFonts w:hint="eastAsia" w:ascii="黑体" w:hAnsi="黑体" w:eastAsia="宋体"/>
          <w:b/>
          <w:snapToGrid w:val="0"/>
          <w:color w:val="000000"/>
          <w:sz w:val="32"/>
        </w:rPr>
        <w:t xml:space="preserve"> </w:t>
      </w:r>
      <w:bookmarkStart w:id="331" w:name="_Toc13011"/>
      <w:bookmarkStart w:id="332" w:name="_Toc1746"/>
      <w:bookmarkStart w:id="333" w:name="_Toc30262"/>
      <w:r>
        <w:rPr>
          <w:rFonts w:hint="eastAsia" w:ascii="黑体" w:hAnsi="黑体" w:eastAsia="宋体"/>
          <w:b/>
          <w:snapToGrid w:val="0"/>
          <w:color w:val="000000"/>
          <w:sz w:val="32"/>
        </w:rPr>
        <w:t>合同条款及格式</w:t>
      </w:r>
      <w:bookmarkEnd w:id="330"/>
      <w:bookmarkEnd w:id="331"/>
      <w:bookmarkEnd w:id="332"/>
      <w:bookmarkEnd w:id="333"/>
    </w:p>
    <w:p w14:paraId="21332474">
      <w:pPr>
        <w:keepNext/>
        <w:tabs>
          <w:tab w:val="left" w:pos="432"/>
        </w:tabs>
        <w:spacing w:after="480" w:afterLines="200"/>
        <w:ind w:left="10" w:right="116" w:hanging="10"/>
        <w:jc w:val="center"/>
        <w:outlineLvl w:val="1"/>
        <w:rPr>
          <w:rFonts w:hint="eastAsia" w:ascii="黑体" w:hAnsi="黑体" w:eastAsia="华文中宋" w:cs="黑体"/>
          <w:color w:val="000000"/>
          <w:sz w:val="32"/>
          <w:szCs w:val="32"/>
        </w:rPr>
      </w:pPr>
      <w:bookmarkStart w:id="334" w:name="_Toc45885342"/>
      <w:bookmarkStart w:id="335" w:name="_Toc138263826"/>
      <w:bookmarkStart w:id="336" w:name="_Toc55482221"/>
      <w:bookmarkStart w:id="337" w:name="_Toc55480682"/>
      <w:bookmarkStart w:id="338" w:name="_Toc69482914"/>
      <w:bookmarkStart w:id="339" w:name="_Toc84855276"/>
      <w:bookmarkStart w:id="340" w:name="_Toc23456"/>
      <w:bookmarkStart w:id="341" w:name="_Toc55480857"/>
      <w:bookmarkStart w:id="342" w:name="_Toc44"/>
      <w:bookmarkStart w:id="343" w:name="_Toc55481714"/>
      <w:bookmarkStart w:id="344" w:name="_Toc12854"/>
      <w:bookmarkStart w:id="345" w:name="_Toc55482396"/>
      <w:r>
        <w:rPr>
          <w:rFonts w:ascii="黑体" w:hAnsi="黑体" w:eastAsia="华文中宋" w:cs="黑体"/>
          <w:color w:val="000000"/>
          <w:sz w:val="32"/>
          <w:szCs w:val="32"/>
        </w:rPr>
        <w:t>第一部分</w:t>
      </w:r>
      <w:r>
        <w:rPr>
          <w:rFonts w:hint="eastAsia" w:ascii="黑体" w:hAnsi="黑体" w:eastAsia="华文中宋" w:cs="黑体"/>
          <w:color w:val="000000"/>
          <w:sz w:val="32"/>
          <w:szCs w:val="32"/>
        </w:rPr>
        <w:t xml:space="preserve"> </w:t>
      </w:r>
      <w:r>
        <w:rPr>
          <w:rFonts w:ascii="黑体" w:hAnsi="黑体" w:eastAsia="华文中宋" w:cs="黑体"/>
          <w:color w:val="000000"/>
          <w:sz w:val="32"/>
          <w:szCs w:val="32"/>
        </w:rPr>
        <w:t xml:space="preserve"> 合同协议书</w:t>
      </w:r>
      <w:bookmarkEnd w:id="334"/>
      <w:bookmarkEnd w:id="335"/>
      <w:bookmarkEnd w:id="336"/>
      <w:bookmarkEnd w:id="337"/>
      <w:bookmarkEnd w:id="338"/>
      <w:bookmarkEnd w:id="339"/>
      <w:bookmarkEnd w:id="340"/>
      <w:bookmarkEnd w:id="341"/>
      <w:bookmarkEnd w:id="342"/>
      <w:bookmarkEnd w:id="343"/>
      <w:bookmarkEnd w:id="344"/>
      <w:bookmarkEnd w:id="345"/>
    </w:p>
    <w:p w14:paraId="214975B2">
      <w:pPr>
        <w:spacing w:line="360" w:lineRule="auto"/>
        <w:ind w:firstLine="447" w:firstLineChars="213"/>
        <w:rPr>
          <w:rFonts w:eastAsia="宋体"/>
          <w:color w:val="000000"/>
          <w:szCs w:val="21"/>
        </w:rPr>
      </w:pPr>
      <w:r>
        <w:rPr>
          <w:rFonts w:hint="eastAsia" w:eastAsia="宋体"/>
          <w:color w:val="000000"/>
          <w:szCs w:val="21"/>
        </w:rPr>
        <w:t>甲方：</w:t>
      </w:r>
      <w:r>
        <w:rPr>
          <w:rFonts w:eastAsia="宋体"/>
          <w:bCs/>
          <w:color w:val="000000"/>
          <w:szCs w:val="21"/>
          <w:u w:val="single"/>
        </w:rPr>
        <w:t xml:space="preserve">  </w:t>
      </w:r>
      <w:r>
        <w:rPr>
          <w:rFonts w:hint="eastAsia" w:eastAsia="宋体"/>
          <w:bCs/>
          <w:color w:val="000000"/>
          <w:szCs w:val="21"/>
          <w:u w:val="single"/>
        </w:rPr>
        <w:t xml:space="preserve">              </w:t>
      </w:r>
    </w:p>
    <w:p w14:paraId="64E94CCE">
      <w:pPr>
        <w:spacing w:line="360" w:lineRule="auto"/>
        <w:ind w:firstLine="447" w:firstLineChars="213"/>
        <w:rPr>
          <w:rFonts w:eastAsia="宋体"/>
          <w:color w:val="000000"/>
          <w:szCs w:val="21"/>
          <w:u w:val="single"/>
        </w:rPr>
      </w:pPr>
      <w:r>
        <w:rPr>
          <w:rFonts w:hint="eastAsia" w:eastAsia="宋体"/>
          <w:color w:val="000000"/>
          <w:szCs w:val="21"/>
        </w:rPr>
        <w:t>乙方：</w:t>
      </w:r>
      <w:r>
        <w:rPr>
          <w:rFonts w:hint="eastAsia" w:eastAsia="宋体"/>
          <w:color w:val="000000"/>
          <w:szCs w:val="21"/>
          <w:u w:val="single"/>
        </w:rPr>
        <w:tab/>
      </w:r>
      <w:r>
        <w:rPr>
          <w:rFonts w:hint="eastAsia" w:eastAsia="宋体"/>
          <w:color w:val="000000"/>
          <w:szCs w:val="21"/>
          <w:u w:val="single"/>
        </w:rPr>
        <w:tab/>
      </w:r>
      <w:r>
        <w:rPr>
          <w:rFonts w:hint="eastAsia" w:eastAsia="宋体"/>
          <w:color w:val="000000"/>
          <w:szCs w:val="21"/>
          <w:u w:val="single"/>
        </w:rPr>
        <w:tab/>
      </w:r>
      <w:r>
        <w:rPr>
          <w:rFonts w:hint="eastAsia" w:eastAsia="宋体"/>
          <w:color w:val="000000"/>
          <w:szCs w:val="21"/>
          <w:u w:val="single"/>
        </w:rPr>
        <w:tab/>
      </w:r>
      <w:r>
        <w:rPr>
          <w:rFonts w:hint="eastAsia" w:eastAsia="宋体"/>
          <w:color w:val="000000"/>
          <w:szCs w:val="21"/>
          <w:u w:val="single"/>
        </w:rPr>
        <w:t xml:space="preserve">  </w:t>
      </w:r>
    </w:p>
    <w:p w14:paraId="518595B7">
      <w:pPr>
        <w:spacing w:after="120" w:afterLines="50" w:line="360" w:lineRule="auto"/>
        <w:ind w:firstLine="420" w:firstLineChars="200"/>
        <w:rPr>
          <w:rFonts w:eastAsia="宋体"/>
          <w:color w:val="000000"/>
          <w:szCs w:val="21"/>
        </w:rPr>
      </w:pPr>
      <w:r>
        <w:rPr>
          <w:rFonts w:hint="eastAsia" w:eastAsia="宋体"/>
          <w:color w:val="000000"/>
          <w:szCs w:val="21"/>
        </w:rPr>
        <w:t>根据《中华人民共和国民法典》及其他有关法律、法规，遵循平等、自愿、公平和诚实信用的原则，甲乙双方就下述项目的设备采购事项协商一致，订立本合同，并自愿恪守。</w:t>
      </w:r>
    </w:p>
    <w:p w14:paraId="33EE8C7D">
      <w:pPr>
        <w:spacing w:before="100" w:beforeAutospacing="1" w:line="360" w:lineRule="auto"/>
        <w:ind w:firstLine="420" w:firstLineChars="200"/>
        <w:rPr>
          <w:rFonts w:eastAsia="黑体"/>
          <w:color w:val="000000"/>
        </w:rPr>
      </w:pPr>
      <w:bookmarkStart w:id="346" w:name="_Toc84855277"/>
      <w:bookmarkStart w:id="347" w:name="_Toc14225_WPSOffice_Level2"/>
      <w:bookmarkStart w:id="348" w:name="_Toc55481715"/>
      <w:bookmarkStart w:id="349" w:name="_Toc69482915"/>
      <w:bookmarkStart w:id="350" w:name="_Toc25242"/>
      <w:bookmarkStart w:id="351" w:name="_Toc55482397"/>
      <w:bookmarkStart w:id="352" w:name="_Toc55480858"/>
      <w:bookmarkStart w:id="353" w:name="_Toc18464"/>
      <w:bookmarkStart w:id="354" w:name="_Toc55482222"/>
      <w:bookmarkStart w:id="355" w:name="_Toc55480683"/>
      <w:bookmarkStart w:id="356" w:name="_Toc45885343"/>
      <w:r>
        <w:rPr>
          <w:rFonts w:hint="eastAsia" w:eastAsia="黑体"/>
          <w:color w:val="000000"/>
        </w:rPr>
        <w:t>一、项目概况</w:t>
      </w:r>
      <w:bookmarkEnd w:id="346"/>
      <w:bookmarkEnd w:id="347"/>
      <w:bookmarkEnd w:id="348"/>
      <w:bookmarkEnd w:id="349"/>
      <w:bookmarkEnd w:id="350"/>
      <w:bookmarkEnd w:id="351"/>
      <w:bookmarkEnd w:id="352"/>
      <w:bookmarkEnd w:id="353"/>
      <w:bookmarkEnd w:id="354"/>
      <w:bookmarkEnd w:id="355"/>
      <w:bookmarkEnd w:id="356"/>
    </w:p>
    <w:p w14:paraId="5A993ABE">
      <w:pPr>
        <w:spacing w:line="360" w:lineRule="auto"/>
        <w:ind w:firstLine="420" w:firstLineChars="200"/>
        <w:rPr>
          <w:rFonts w:eastAsia="宋体"/>
          <w:color w:val="000000"/>
          <w:szCs w:val="21"/>
          <w:u w:val="single"/>
        </w:rPr>
      </w:pPr>
      <w:r>
        <w:rPr>
          <w:rFonts w:hint="eastAsia" w:eastAsia="宋体"/>
          <w:color w:val="000000"/>
          <w:szCs w:val="21"/>
        </w:rPr>
        <w:t>1.项目</w:t>
      </w:r>
      <w:r>
        <w:rPr>
          <w:rFonts w:hint="eastAsia" w:eastAsia="宋体"/>
          <w:color w:val="000000"/>
          <w:spacing w:val="-4"/>
          <w:szCs w:val="21"/>
        </w:rPr>
        <w:t>名称：</w:t>
      </w:r>
      <w:r>
        <w:rPr>
          <w:rFonts w:hint="eastAsia" w:eastAsia="宋体"/>
          <w:color w:val="000000"/>
          <w:spacing w:val="-4"/>
          <w:szCs w:val="21"/>
          <w:lang w:eastAsia="zh-CN"/>
        </w:rPr>
        <w:t>南宁市智慧出行信息化工程二期项目-公共交通协同调度系统升级项目</w:t>
      </w:r>
    </w:p>
    <w:p w14:paraId="7D553E43">
      <w:pPr>
        <w:spacing w:line="360" w:lineRule="auto"/>
        <w:ind w:firstLine="420" w:firstLineChars="200"/>
        <w:rPr>
          <w:rFonts w:eastAsia="宋体"/>
          <w:color w:val="000000"/>
          <w:szCs w:val="21"/>
          <w:u w:val="single"/>
        </w:rPr>
      </w:pPr>
      <w:r>
        <w:rPr>
          <w:rFonts w:hint="eastAsia" w:eastAsia="宋体"/>
          <w:color w:val="000000"/>
          <w:szCs w:val="21"/>
        </w:rPr>
        <w:t>2.项目内容：</w:t>
      </w:r>
      <w:bookmarkStart w:id="357" w:name="_Toc55480859"/>
      <w:bookmarkStart w:id="358" w:name="_Toc6879"/>
      <w:bookmarkStart w:id="359" w:name="_Toc23497_WPSOffice_Level2"/>
      <w:bookmarkStart w:id="360" w:name="_Toc5394"/>
      <w:bookmarkStart w:id="361" w:name="_Toc45885344"/>
      <w:bookmarkStart w:id="362" w:name="_Toc84855278"/>
      <w:bookmarkStart w:id="363" w:name="_Toc69482916"/>
      <w:bookmarkStart w:id="364" w:name="_Toc55482223"/>
      <w:bookmarkStart w:id="365" w:name="_Toc55482398"/>
      <w:bookmarkStart w:id="366" w:name="_Toc55481716"/>
      <w:bookmarkStart w:id="367" w:name="_Toc55480684"/>
      <w:r>
        <w:rPr>
          <w:rFonts w:eastAsia="宋体"/>
          <w:color w:val="000000"/>
          <w:szCs w:val="21"/>
          <w:u w:val="single"/>
        </w:rPr>
        <w:t xml:space="preserve">                    </w:t>
      </w:r>
    </w:p>
    <w:p w14:paraId="087DAF47">
      <w:pPr>
        <w:spacing w:line="360" w:lineRule="auto"/>
        <w:ind w:firstLine="420" w:firstLineChars="200"/>
        <w:rPr>
          <w:rFonts w:eastAsia="黑体"/>
          <w:color w:val="000000"/>
          <w:highlight w:val="none"/>
        </w:rPr>
      </w:pPr>
      <w:r>
        <w:rPr>
          <w:rFonts w:hint="eastAsia" w:eastAsia="黑体"/>
          <w:color w:val="000000"/>
        </w:rPr>
        <w:t>二、合同范围</w:t>
      </w:r>
      <w:bookmarkEnd w:id="357"/>
      <w:bookmarkEnd w:id="358"/>
      <w:bookmarkEnd w:id="359"/>
      <w:bookmarkEnd w:id="360"/>
      <w:bookmarkEnd w:id="361"/>
      <w:bookmarkEnd w:id="362"/>
      <w:bookmarkEnd w:id="363"/>
      <w:bookmarkEnd w:id="364"/>
      <w:bookmarkEnd w:id="365"/>
      <w:bookmarkEnd w:id="366"/>
      <w:bookmarkEnd w:id="367"/>
    </w:p>
    <w:p w14:paraId="6FD9D1A4">
      <w:pPr>
        <w:spacing w:line="360" w:lineRule="auto"/>
        <w:ind w:firstLine="420" w:firstLineChars="200"/>
        <w:rPr>
          <w:rFonts w:eastAsia="宋体"/>
          <w:color w:val="000000"/>
          <w:szCs w:val="21"/>
          <w:highlight w:val="none"/>
        </w:rPr>
      </w:pPr>
      <w:r>
        <w:rPr>
          <w:rFonts w:hint="eastAsia" w:eastAsia="宋体"/>
          <w:color w:val="000000"/>
          <w:szCs w:val="21"/>
          <w:highlight w:val="none"/>
        </w:rPr>
        <w:t>1.项目实施范围包括：</w:t>
      </w:r>
      <w:r>
        <w:rPr>
          <w:rFonts w:hint="eastAsia" w:eastAsia="宋体"/>
          <w:color w:val="000000"/>
          <w:szCs w:val="21"/>
          <w:highlight w:val="none"/>
          <w:u w:val="single"/>
        </w:rPr>
        <w:t xml:space="preserve">                   </w:t>
      </w:r>
      <w:r>
        <w:rPr>
          <w:rFonts w:hint="eastAsia" w:eastAsia="宋体"/>
          <w:color w:val="000000"/>
          <w:szCs w:val="21"/>
          <w:highlight w:val="none"/>
        </w:rPr>
        <w:t>；</w:t>
      </w:r>
    </w:p>
    <w:p w14:paraId="112A8399">
      <w:pPr>
        <w:spacing w:line="360" w:lineRule="auto"/>
        <w:ind w:firstLine="404" w:firstLineChars="200"/>
        <w:rPr>
          <w:rFonts w:eastAsia="宋体"/>
          <w:color w:val="000000"/>
          <w:spacing w:val="-4"/>
          <w:szCs w:val="21"/>
          <w:highlight w:val="none"/>
        </w:rPr>
      </w:pPr>
      <w:r>
        <w:rPr>
          <w:rFonts w:eastAsia="宋体"/>
          <w:color w:val="000000"/>
          <w:spacing w:val="-4"/>
          <w:szCs w:val="21"/>
          <w:highlight w:val="none"/>
        </w:rPr>
        <w:t>2.</w:t>
      </w:r>
      <w:r>
        <w:rPr>
          <w:rFonts w:hint="eastAsia" w:eastAsia="宋体"/>
          <w:color w:val="000000"/>
          <w:spacing w:val="-4"/>
          <w:szCs w:val="21"/>
          <w:highlight w:val="none"/>
        </w:rPr>
        <w:t>附随义务包括：</w:t>
      </w:r>
      <w:r>
        <w:rPr>
          <w:rFonts w:hint="eastAsia" w:eastAsia="宋体"/>
          <w:b w:val="0"/>
          <w:bCs w:val="0"/>
          <w:color w:val="000000"/>
          <w:spacing w:val="-4"/>
          <w:szCs w:val="21"/>
          <w:highlight w:val="none"/>
          <w:u w:val="none"/>
        </w:rPr>
        <w:t>详见合同条款。</w:t>
      </w:r>
    </w:p>
    <w:p w14:paraId="4D0B0323">
      <w:pPr>
        <w:spacing w:before="100" w:beforeAutospacing="1" w:line="360" w:lineRule="auto"/>
        <w:ind w:firstLine="420" w:firstLineChars="200"/>
        <w:rPr>
          <w:rFonts w:eastAsia="黑体"/>
          <w:color w:val="000000"/>
        </w:rPr>
      </w:pPr>
      <w:bookmarkStart w:id="368" w:name="_Toc69482917"/>
      <w:bookmarkStart w:id="369" w:name="_Toc84855279"/>
      <w:r>
        <w:rPr>
          <w:rFonts w:hint="eastAsia" w:eastAsia="黑体"/>
          <w:color w:val="000000"/>
        </w:rPr>
        <w:t>三、交货地点</w:t>
      </w:r>
      <w:bookmarkEnd w:id="368"/>
      <w:bookmarkEnd w:id="369"/>
    </w:p>
    <w:p w14:paraId="5556A53E">
      <w:pPr>
        <w:spacing w:line="360" w:lineRule="auto"/>
        <w:ind w:firstLine="404" w:firstLineChars="200"/>
        <w:rPr>
          <w:rFonts w:eastAsia="宋体"/>
          <w:color w:val="000000"/>
          <w:spacing w:val="-4"/>
          <w:szCs w:val="21"/>
        </w:rPr>
      </w:pPr>
      <w:r>
        <w:rPr>
          <w:rFonts w:hint="eastAsia" w:eastAsia="宋体"/>
          <w:color w:val="000000"/>
          <w:spacing w:val="-4"/>
          <w:szCs w:val="21"/>
        </w:rPr>
        <w:t>交货地点：甲方指定地点</w:t>
      </w:r>
      <w:r>
        <w:rPr>
          <w:rFonts w:hint="eastAsia" w:eastAsia="宋体"/>
          <w:color w:val="000000"/>
          <w:spacing w:val="-4"/>
          <w:szCs w:val="21"/>
          <w:u w:val="none"/>
        </w:rPr>
        <w:t>，具体地点以甲方通知为准</w:t>
      </w:r>
      <w:r>
        <w:rPr>
          <w:rFonts w:hint="eastAsia" w:eastAsia="宋体"/>
          <w:color w:val="000000"/>
          <w:spacing w:val="-4"/>
          <w:szCs w:val="21"/>
        </w:rPr>
        <w:t>。</w:t>
      </w:r>
    </w:p>
    <w:p w14:paraId="2C5DDBB0">
      <w:pPr>
        <w:spacing w:before="100" w:beforeAutospacing="1" w:line="360" w:lineRule="auto"/>
        <w:ind w:firstLine="420" w:firstLineChars="200"/>
        <w:rPr>
          <w:rFonts w:eastAsia="黑体"/>
          <w:color w:val="000000"/>
        </w:rPr>
      </w:pPr>
      <w:bookmarkStart w:id="370" w:name="_Toc20281_WPSOffice_Level2"/>
      <w:bookmarkStart w:id="371" w:name="_Toc45885345"/>
      <w:bookmarkStart w:id="372" w:name="_Toc55480860"/>
      <w:bookmarkStart w:id="373" w:name="_Toc55480685"/>
      <w:bookmarkStart w:id="374" w:name="_Toc7106"/>
      <w:bookmarkStart w:id="375" w:name="_Toc84855280"/>
      <w:bookmarkStart w:id="376" w:name="_Toc32414"/>
      <w:bookmarkStart w:id="377" w:name="_Toc55481717"/>
      <w:bookmarkStart w:id="378" w:name="_Toc69482918"/>
      <w:bookmarkStart w:id="379" w:name="_Toc55482224"/>
      <w:bookmarkStart w:id="380" w:name="_Toc55482399"/>
      <w:r>
        <w:rPr>
          <w:rFonts w:hint="eastAsia" w:eastAsia="黑体"/>
          <w:color w:val="000000"/>
        </w:rPr>
        <w:t>四、</w:t>
      </w:r>
      <w:bookmarkEnd w:id="370"/>
      <w:bookmarkEnd w:id="371"/>
      <w:r>
        <w:rPr>
          <w:rFonts w:hint="eastAsia" w:eastAsia="黑体"/>
          <w:color w:val="000000"/>
        </w:rPr>
        <w:t>合同期限</w:t>
      </w:r>
      <w:bookmarkEnd w:id="372"/>
      <w:bookmarkEnd w:id="373"/>
      <w:bookmarkEnd w:id="374"/>
      <w:bookmarkEnd w:id="375"/>
      <w:bookmarkEnd w:id="376"/>
      <w:bookmarkEnd w:id="377"/>
      <w:bookmarkEnd w:id="378"/>
      <w:bookmarkEnd w:id="379"/>
      <w:bookmarkEnd w:id="380"/>
    </w:p>
    <w:p w14:paraId="0A5FE41B">
      <w:pPr>
        <w:spacing w:line="360" w:lineRule="auto"/>
        <w:ind w:firstLine="420" w:firstLineChars="200"/>
        <w:rPr>
          <w:rFonts w:eastAsia="宋体"/>
          <w:color w:val="000000"/>
          <w:szCs w:val="21"/>
        </w:rPr>
      </w:pPr>
      <w:r>
        <w:rPr>
          <w:rFonts w:hint="eastAsia" w:eastAsia="宋体"/>
          <w:color w:val="000000"/>
          <w:szCs w:val="21"/>
        </w:rPr>
        <w:t>本</w:t>
      </w:r>
      <w:r>
        <w:rPr>
          <w:rFonts w:hint="eastAsia" w:eastAsia="宋体"/>
          <w:color w:val="000000"/>
          <w:spacing w:val="-4"/>
          <w:szCs w:val="21"/>
        </w:rPr>
        <w:t>合同</w:t>
      </w:r>
      <w:r>
        <w:rPr>
          <w:rFonts w:hint="eastAsia" w:eastAsia="宋体"/>
          <w:color w:val="000000"/>
          <w:szCs w:val="21"/>
        </w:rPr>
        <w:t>暂定</w:t>
      </w:r>
      <w:r>
        <w:rPr>
          <w:rFonts w:hint="eastAsia" w:eastAsia="宋体"/>
          <w:color w:val="000000"/>
          <w:szCs w:val="21"/>
          <w:lang w:val="en-US" w:eastAsia="zh-CN"/>
        </w:rPr>
        <w:t>服务</w:t>
      </w:r>
      <w:r>
        <w:rPr>
          <w:rFonts w:hint="eastAsia" w:eastAsia="宋体"/>
          <w:color w:val="000000"/>
          <w:szCs w:val="21"/>
        </w:rPr>
        <w:t>期限</w:t>
      </w:r>
      <w:r>
        <w:rPr>
          <w:rFonts w:hint="eastAsia" w:eastAsia="宋体" w:cs="Times New Roman" w:asciiTheme="minorEastAsia" w:hAnsiTheme="minorEastAsia"/>
          <w:szCs w:val="21"/>
        </w:rPr>
        <w:t>4个月</w:t>
      </w:r>
      <w:r>
        <w:rPr>
          <w:rFonts w:hint="eastAsia" w:eastAsia="宋体"/>
          <w:color w:val="000000"/>
          <w:szCs w:val="21"/>
        </w:rPr>
        <w:t>，自</w:t>
      </w:r>
      <w:r>
        <w:rPr>
          <w:rFonts w:eastAsia="宋体"/>
          <w:color w:val="000000"/>
          <w:szCs w:val="21"/>
          <w:u w:val="single"/>
        </w:rPr>
        <w:t xml:space="preserve">    </w:t>
      </w:r>
      <w:r>
        <w:rPr>
          <w:rFonts w:hint="eastAsia" w:eastAsia="宋体"/>
          <w:color w:val="000000"/>
          <w:szCs w:val="21"/>
        </w:rPr>
        <w:t>年</w:t>
      </w:r>
      <w:r>
        <w:rPr>
          <w:rFonts w:eastAsia="宋体"/>
          <w:color w:val="000000"/>
          <w:szCs w:val="21"/>
          <w:u w:val="single"/>
        </w:rPr>
        <w:t xml:space="preserve">    </w:t>
      </w:r>
      <w:r>
        <w:rPr>
          <w:rFonts w:hint="eastAsia" w:eastAsia="宋体"/>
          <w:color w:val="000000"/>
          <w:szCs w:val="21"/>
        </w:rPr>
        <w:t>月</w:t>
      </w:r>
      <w:r>
        <w:rPr>
          <w:rFonts w:eastAsia="宋体"/>
          <w:color w:val="000000"/>
          <w:szCs w:val="21"/>
          <w:u w:val="single"/>
        </w:rPr>
        <w:t xml:space="preserve">    </w:t>
      </w:r>
      <w:r>
        <w:rPr>
          <w:rFonts w:hint="eastAsia" w:eastAsia="宋体"/>
          <w:color w:val="000000"/>
          <w:szCs w:val="21"/>
        </w:rPr>
        <w:t>日起，至</w:t>
      </w:r>
      <w:r>
        <w:rPr>
          <w:rFonts w:eastAsia="宋体"/>
          <w:color w:val="000000"/>
          <w:szCs w:val="21"/>
          <w:u w:val="single"/>
        </w:rPr>
        <w:t xml:space="preserve">     </w:t>
      </w:r>
      <w:r>
        <w:rPr>
          <w:rFonts w:hint="eastAsia" w:eastAsia="宋体"/>
          <w:color w:val="000000"/>
          <w:szCs w:val="21"/>
        </w:rPr>
        <w:t>年</w:t>
      </w:r>
      <w:r>
        <w:rPr>
          <w:rFonts w:eastAsia="宋体"/>
          <w:color w:val="000000"/>
          <w:szCs w:val="21"/>
          <w:u w:val="single"/>
        </w:rPr>
        <w:t xml:space="preserve">    </w:t>
      </w:r>
      <w:r>
        <w:rPr>
          <w:rFonts w:hint="eastAsia" w:eastAsia="宋体"/>
          <w:color w:val="000000"/>
          <w:szCs w:val="21"/>
        </w:rPr>
        <w:t>月</w:t>
      </w:r>
      <w:r>
        <w:rPr>
          <w:rFonts w:eastAsia="宋体"/>
          <w:color w:val="000000"/>
          <w:szCs w:val="21"/>
          <w:u w:val="single"/>
        </w:rPr>
        <w:t xml:space="preserve">    </w:t>
      </w:r>
      <w:r>
        <w:rPr>
          <w:rFonts w:hint="eastAsia" w:eastAsia="宋体"/>
          <w:color w:val="000000"/>
          <w:szCs w:val="21"/>
        </w:rPr>
        <w:t>日止。</w:t>
      </w:r>
    </w:p>
    <w:p w14:paraId="487EA06D">
      <w:pPr>
        <w:spacing w:before="100" w:beforeAutospacing="1" w:line="360" w:lineRule="auto"/>
        <w:ind w:firstLine="420" w:firstLineChars="200"/>
        <w:rPr>
          <w:rFonts w:eastAsia="黑体"/>
          <w:color w:val="000000"/>
        </w:rPr>
      </w:pPr>
      <w:bookmarkStart w:id="381" w:name="_Toc55482225"/>
      <w:bookmarkStart w:id="382" w:name="_Toc16857"/>
      <w:bookmarkStart w:id="383" w:name="_Toc55482400"/>
      <w:bookmarkStart w:id="384" w:name="_Toc55480686"/>
      <w:bookmarkStart w:id="385" w:name="_Toc3420"/>
      <w:bookmarkStart w:id="386" w:name="_Toc55481718"/>
      <w:bookmarkStart w:id="387" w:name="_Toc69482919"/>
      <w:bookmarkStart w:id="388" w:name="_Toc84855281"/>
      <w:bookmarkStart w:id="389" w:name="_Toc55480861"/>
      <w:r>
        <w:rPr>
          <w:rFonts w:hint="eastAsia" w:eastAsia="黑体"/>
          <w:color w:val="000000"/>
        </w:rPr>
        <w:t>五、项目负责人</w:t>
      </w:r>
      <w:bookmarkEnd w:id="381"/>
      <w:bookmarkEnd w:id="382"/>
      <w:bookmarkEnd w:id="383"/>
      <w:bookmarkEnd w:id="384"/>
      <w:bookmarkEnd w:id="385"/>
      <w:bookmarkEnd w:id="386"/>
      <w:bookmarkEnd w:id="387"/>
      <w:bookmarkEnd w:id="388"/>
      <w:bookmarkEnd w:id="389"/>
    </w:p>
    <w:p w14:paraId="45A1D5CF">
      <w:pPr>
        <w:spacing w:line="360" w:lineRule="auto"/>
        <w:ind w:firstLine="420" w:firstLineChars="200"/>
        <w:rPr>
          <w:rFonts w:eastAsia="宋体"/>
          <w:color w:val="000000"/>
          <w:szCs w:val="21"/>
          <w:u w:val="single"/>
        </w:rPr>
      </w:pPr>
      <w:r>
        <w:rPr>
          <w:rFonts w:hint="eastAsia" w:eastAsia="宋体"/>
          <w:color w:val="000000"/>
          <w:szCs w:val="21"/>
          <w:u w:val="single"/>
        </w:rPr>
        <w:t>甲方项目负责人姓名：</w:t>
      </w:r>
      <w:r>
        <w:rPr>
          <w:rFonts w:eastAsia="宋体"/>
          <w:color w:val="000000"/>
          <w:szCs w:val="21"/>
          <w:u w:val="single"/>
        </w:rPr>
        <w:t xml:space="preserve"> </w:t>
      </w:r>
      <w:r>
        <w:rPr>
          <w:rFonts w:hint="eastAsia" w:eastAsia="宋体"/>
          <w:color w:val="000000"/>
          <w:szCs w:val="21"/>
          <w:u w:val="single"/>
        </w:rPr>
        <w:t xml:space="preserve">      </w:t>
      </w:r>
      <w:r>
        <w:rPr>
          <w:rFonts w:eastAsia="宋体"/>
          <w:color w:val="000000"/>
          <w:szCs w:val="21"/>
          <w:u w:val="single"/>
        </w:rPr>
        <w:t xml:space="preserve">       </w:t>
      </w:r>
      <w:r>
        <w:rPr>
          <w:rFonts w:hint="eastAsia" w:eastAsia="宋体"/>
          <w:color w:val="000000"/>
          <w:szCs w:val="21"/>
          <w:u w:val="single"/>
        </w:rPr>
        <w:t>。</w:t>
      </w:r>
    </w:p>
    <w:p w14:paraId="47B88142">
      <w:pPr>
        <w:spacing w:line="360" w:lineRule="auto"/>
        <w:ind w:firstLine="420" w:firstLineChars="200"/>
        <w:rPr>
          <w:rFonts w:eastAsia="宋体"/>
          <w:color w:val="000000"/>
          <w:szCs w:val="21"/>
          <w:u w:val="single"/>
        </w:rPr>
      </w:pPr>
      <w:r>
        <w:rPr>
          <w:rFonts w:hint="eastAsia" w:eastAsia="宋体"/>
          <w:color w:val="000000"/>
          <w:szCs w:val="21"/>
          <w:u w:val="single"/>
        </w:rPr>
        <w:t>乙方项目负责人姓名：</w:t>
      </w:r>
      <w:r>
        <w:rPr>
          <w:rFonts w:eastAsia="宋体"/>
          <w:color w:val="000000"/>
          <w:szCs w:val="21"/>
          <w:u w:val="single"/>
        </w:rPr>
        <w:t xml:space="preserve"> </w:t>
      </w:r>
      <w:r>
        <w:rPr>
          <w:rFonts w:hint="eastAsia" w:eastAsia="宋体"/>
          <w:color w:val="000000"/>
          <w:szCs w:val="21"/>
          <w:u w:val="single"/>
        </w:rPr>
        <w:t xml:space="preserve">      </w:t>
      </w:r>
      <w:r>
        <w:rPr>
          <w:rFonts w:eastAsia="宋体"/>
          <w:color w:val="000000"/>
          <w:szCs w:val="21"/>
          <w:u w:val="single"/>
        </w:rPr>
        <w:t xml:space="preserve">       </w:t>
      </w:r>
      <w:r>
        <w:rPr>
          <w:rFonts w:hint="eastAsia" w:eastAsia="宋体"/>
          <w:color w:val="000000"/>
          <w:szCs w:val="21"/>
          <w:u w:val="single"/>
        </w:rPr>
        <w:t>。</w:t>
      </w:r>
    </w:p>
    <w:p w14:paraId="0B9589F9">
      <w:pPr>
        <w:spacing w:before="100" w:beforeAutospacing="1" w:line="360" w:lineRule="auto"/>
        <w:ind w:firstLine="420" w:firstLineChars="200"/>
        <w:rPr>
          <w:rFonts w:eastAsia="黑体"/>
          <w:color w:val="000000"/>
        </w:rPr>
      </w:pPr>
      <w:bookmarkStart w:id="390" w:name="_Toc45885346"/>
      <w:bookmarkStart w:id="391" w:name="_Toc4813_WPSOffice_Level2"/>
      <w:bookmarkStart w:id="392" w:name="_Toc18366"/>
      <w:bookmarkStart w:id="393" w:name="_Toc55482226"/>
      <w:bookmarkStart w:id="394" w:name="_Toc25972"/>
      <w:bookmarkStart w:id="395" w:name="_Toc55480687"/>
      <w:bookmarkStart w:id="396" w:name="_Toc55481719"/>
      <w:bookmarkStart w:id="397" w:name="_Toc84855282"/>
      <w:bookmarkStart w:id="398" w:name="_Toc55480862"/>
      <w:bookmarkStart w:id="399" w:name="_Toc55482401"/>
      <w:bookmarkStart w:id="400" w:name="_Toc69482920"/>
      <w:r>
        <w:rPr>
          <w:rFonts w:hint="eastAsia" w:eastAsia="黑体"/>
          <w:color w:val="000000"/>
        </w:rPr>
        <w:t>六、</w:t>
      </w:r>
      <w:bookmarkEnd w:id="390"/>
      <w:bookmarkEnd w:id="391"/>
      <w:r>
        <w:rPr>
          <w:rFonts w:hint="eastAsia" w:eastAsia="黑体"/>
          <w:color w:val="000000"/>
        </w:rPr>
        <w:t>签约合同价</w:t>
      </w:r>
      <w:bookmarkEnd w:id="392"/>
      <w:bookmarkEnd w:id="393"/>
      <w:bookmarkEnd w:id="394"/>
      <w:bookmarkEnd w:id="395"/>
      <w:bookmarkEnd w:id="396"/>
      <w:bookmarkEnd w:id="397"/>
      <w:bookmarkEnd w:id="398"/>
      <w:bookmarkEnd w:id="399"/>
      <w:bookmarkEnd w:id="400"/>
    </w:p>
    <w:p w14:paraId="7AF44948">
      <w:pPr>
        <w:spacing w:line="360" w:lineRule="auto"/>
        <w:ind w:firstLine="420" w:firstLineChars="200"/>
        <w:rPr>
          <w:rFonts w:ascii="宋体" w:hAnsi="宋体" w:eastAsia="宋体" w:cs="宋体"/>
          <w:color w:val="000000"/>
          <w:szCs w:val="21"/>
        </w:rPr>
      </w:pPr>
      <w:r>
        <w:rPr>
          <w:rFonts w:hint="eastAsia" w:eastAsia="宋体"/>
          <w:color w:val="000000"/>
          <w:szCs w:val="21"/>
        </w:rPr>
        <w:t>1.本合同价格形式</w:t>
      </w:r>
      <w:r>
        <w:rPr>
          <w:rFonts w:hint="eastAsia" w:ascii="宋体" w:hAnsi="宋体" w:eastAsia="宋体" w:cs="宋体"/>
          <w:color w:val="000000"/>
          <w:szCs w:val="21"/>
        </w:rPr>
        <w:t>为</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sym w:font="Wingdings" w:char="00A8"/>
      </w:r>
      <w:r>
        <w:rPr>
          <w:rFonts w:hint="eastAsia" w:ascii="宋体" w:hAnsi="宋体" w:eastAsia="宋体" w:cs="宋体"/>
          <w:color w:val="000000"/>
          <w:szCs w:val="21"/>
          <w:u w:val="single"/>
        </w:rPr>
        <w:t>单价合同</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sym w:font="Wingdings" w:char="00FE"/>
      </w:r>
      <w:r>
        <w:rPr>
          <w:rFonts w:hint="eastAsia" w:ascii="宋体" w:hAnsi="宋体" w:eastAsia="宋体" w:cs="宋体"/>
          <w:color w:val="000000"/>
          <w:szCs w:val="21"/>
          <w:u w:val="single"/>
        </w:rPr>
        <w:t>总价合同</w:t>
      </w:r>
      <w:r>
        <w:rPr>
          <w:rFonts w:ascii="宋体" w:hAnsi="宋体" w:eastAsia="宋体" w:cs="宋体"/>
          <w:color w:val="000000"/>
          <w:szCs w:val="21"/>
          <w:u w:val="single"/>
        </w:rPr>
        <w:t xml:space="preserve"> </w:t>
      </w:r>
    </w:p>
    <w:p w14:paraId="306A9AF0">
      <w:pPr>
        <w:spacing w:line="360" w:lineRule="auto"/>
        <w:ind w:firstLine="420" w:firstLineChars="200"/>
        <w:rPr>
          <w:rFonts w:eastAsia="宋体"/>
          <w:color w:val="000000"/>
          <w:szCs w:val="21"/>
        </w:rPr>
      </w:pPr>
      <w:r>
        <w:rPr>
          <w:rFonts w:hint="eastAsia" w:eastAsia="宋体"/>
          <w:color w:val="000000"/>
          <w:szCs w:val="21"/>
        </w:rPr>
        <w:t>2.本合同的签约合同价为人民币：</w:t>
      </w:r>
      <w:r>
        <w:rPr>
          <w:rFonts w:ascii="宋体" w:hAnsi="宋体" w:eastAsia="宋体"/>
          <w:color w:val="000000"/>
          <w:szCs w:val="21"/>
        </w:rPr>
        <w:t>大写金额：</w:t>
      </w:r>
      <w:r>
        <w:rPr>
          <w:rFonts w:ascii="宋体" w:hAnsi="宋体" w:eastAsia="宋体"/>
          <w:color w:val="000000"/>
          <w:szCs w:val="21"/>
          <w:u w:val="single"/>
        </w:rPr>
        <w:t xml:space="preserve">   </w:t>
      </w:r>
      <w:r>
        <w:rPr>
          <w:rFonts w:hint="eastAsia" w:ascii="宋体" w:hAnsi="宋体" w:eastAsia="宋体"/>
          <w:color w:val="000000"/>
          <w:szCs w:val="21"/>
          <w:u w:val="single"/>
        </w:rPr>
        <w:t xml:space="preserve">   </w:t>
      </w:r>
      <w:r>
        <w:rPr>
          <w:rFonts w:ascii="宋体" w:hAnsi="宋体" w:eastAsia="宋体"/>
          <w:color w:val="000000"/>
          <w:szCs w:val="21"/>
          <w:u w:val="single"/>
        </w:rPr>
        <w:t xml:space="preserve">    </w:t>
      </w:r>
      <w:r>
        <w:rPr>
          <w:rFonts w:hint="eastAsia" w:ascii="宋体" w:hAnsi="宋体" w:eastAsia="宋体"/>
          <w:color w:val="000000"/>
          <w:szCs w:val="21"/>
          <w:u w:val="single"/>
        </w:rPr>
        <w:t>元</w:t>
      </w:r>
      <w:r>
        <w:rPr>
          <w:rFonts w:ascii="宋体" w:hAnsi="宋体" w:eastAsia="宋体"/>
          <w:color w:val="000000"/>
          <w:szCs w:val="21"/>
        </w:rPr>
        <w:t>，小写金额：</w:t>
      </w:r>
      <w:r>
        <w:rPr>
          <w:rFonts w:ascii="宋体" w:hAnsi="宋体" w:eastAsia="宋体"/>
          <w:color w:val="000000"/>
          <w:szCs w:val="21"/>
          <w:u w:val="single"/>
        </w:rPr>
        <w:t xml:space="preserve">  </w:t>
      </w:r>
      <w:r>
        <w:rPr>
          <w:rFonts w:hint="eastAsia" w:ascii="宋体" w:hAnsi="宋体" w:eastAsia="宋体"/>
          <w:color w:val="000000"/>
          <w:szCs w:val="21"/>
          <w:u w:val="single"/>
        </w:rPr>
        <w:t xml:space="preserve">   </w:t>
      </w:r>
      <w:r>
        <w:rPr>
          <w:rFonts w:ascii="宋体" w:hAnsi="宋体" w:eastAsia="宋体"/>
          <w:color w:val="000000"/>
          <w:szCs w:val="21"/>
          <w:u w:val="single"/>
        </w:rPr>
        <w:t xml:space="preserve">   </w:t>
      </w:r>
      <w:r>
        <w:rPr>
          <w:rFonts w:hint="eastAsia" w:ascii="宋体" w:hAnsi="宋体" w:eastAsia="宋体"/>
          <w:color w:val="000000"/>
          <w:szCs w:val="21"/>
          <w:u w:val="single"/>
        </w:rPr>
        <w:t>元</w:t>
      </w:r>
      <w:r>
        <w:rPr>
          <w:rFonts w:hint="eastAsia" w:ascii="宋体" w:hAnsi="宋体" w:eastAsia="宋体"/>
          <w:color w:val="000000"/>
          <w:szCs w:val="21"/>
        </w:rPr>
        <w:t>；其中，不含税价为</w:t>
      </w:r>
      <w:r>
        <w:rPr>
          <w:rFonts w:hint="eastAsia" w:ascii="宋体" w:hAnsi="宋体" w:eastAsia="宋体"/>
          <w:color w:val="000000"/>
          <w:szCs w:val="21"/>
          <w:u w:val="single"/>
        </w:rPr>
        <w:t xml:space="preserve">          元</w:t>
      </w:r>
      <w:r>
        <w:rPr>
          <w:rFonts w:hint="eastAsia" w:ascii="宋体" w:hAnsi="宋体" w:eastAsia="宋体"/>
          <w:color w:val="000000"/>
          <w:szCs w:val="21"/>
        </w:rPr>
        <w:t>；增值税税额</w:t>
      </w:r>
      <w:r>
        <w:rPr>
          <w:rFonts w:hint="eastAsia" w:ascii="宋体" w:hAnsi="宋体" w:eastAsia="宋体"/>
          <w:color w:val="000000"/>
          <w:szCs w:val="21"/>
          <w:u w:val="single"/>
        </w:rPr>
        <w:t xml:space="preserve">          元</w:t>
      </w:r>
      <w:r>
        <w:rPr>
          <w:rFonts w:hint="eastAsia" w:ascii="宋体" w:hAnsi="宋体" w:eastAsia="宋体"/>
          <w:color w:val="000000"/>
          <w:szCs w:val="21"/>
        </w:rPr>
        <w:t>；增值税税率</w:t>
      </w:r>
      <w:r>
        <w:rPr>
          <w:rFonts w:ascii="宋体" w:hAnsi="宋体" w:eastAsia="宋体"/>
          <w:color w:val="000000"/>
          <w:szCs w:val="21"/>
          <w:u w:val="single"/>
        </w:rPr>
        <w:t xml:space="preserve"> </w:t>
      </w:r>
      <w:r>
        <w:rPr>
          <w:rFonts w:hint="eastAsia" w:ascii="宋体" w:hAnsi="宋体" w:eastAsia="宋体"/>
          <w:color w:val="000000"/>
          <w:szCs w:val="21"/>
          <w:u w:val="single"/>
        </w:rPr>
        <w:t xml:space="preserve">  </w:t>
      </w:r>
      <w:r>
        <w:rPr>
          <w:rFonts w:ascii="宋体" w:hAnsi="宋体" w:eastAsia="宋体"/>
          <w:color w:val="000000"/>
          <w:szCs w:val="21"/>
          <w:u w:val="single"/>
        </w:rPr>
        <w:t xml:space="preserve">  </w:t>
      </w:r>
      <w:r>
        <w:rPr>
          <w:rFonts w:ascii="宋体" w:hAnsi="宋体" w:eastAsia="宋体"/>
          <w:color w:val="000000"/>
          <w:szCs w:val="21"/>
        </w:rPr>
        <w:t>%</w:t>
      </w:r>
      <w:r>
        <w:rPr>
          <w:rFonts w:hint="eastAsia" w:ascii="宋体" w:hAnsi="宋体" w:eastAsia="宋体"/>
          <w:color w:val="000000"/>
          <w:szCs w:val="21"/>
        </w:rPr>
        <w:t>。</w:t>
      </w:r>
    </w:p>
    <w:p w14:paraId="0CAF4828">
      <w:pPr>
        <w:spacing w:before="100" w:beforeAutospacing="1" w:line="360" w:lineRule="auto"/>
        <w:ind w:firstLine="420" w:firstLineChars="200"/>
        <w:rPr>
          <w:rFonts w:eastAsia="黑体"/>
          <w:color w:val="000000"/>
        </w:rPr>
      </w:pPr>
      <w:bookmarkStart w:id="401" w:name="_Toc29657_WPSOffice_Level2"/>
      <w:bookmarkStart w:id="402" w:name="_Toc45885347"/>
      <w:bookmarkStart w:id="403" w:name="_Toc55481720"/>
      <w:bookmarkStart w:id="404" w:name="_Toc18604"/>
      <w:bookmarkStart w:id="405" w:name="_Toc84855283"/>
      <w:bookmarkStart w:id="406" w:name="_Toc55482402"/>
      <w:bookmarkStart w:id="407" w:name="_Toc55482227"/>
      <w:bookmarkStart w:id="408" w:name="_Toc69482921"/>
      <w:bookmarkStart w:id="409" w:name="_Toc19062"/>
      <w:bookmarkStart w:id="410" w:name="_Toc55480688"/>
      <w:bookmarkStart w:id="411" w:name="_Toc55480863"/>
      <w:r>
        <w:rPr>
          <w:rFonts w:hint="eastAsia" w:eastAsia="黑体"/>
          <w:color w:val="000000"/>
        </w:rPr>
        <w:t>七、合同文件</w:t>
      </w:r>
      <w:bookmarkEnd w:id="401"/>
      <w:bookmarkEnd w:id="402"/>
      <w:r>
        <w:rPr>
          <w:rFonts w:hint="eastAsia" w:eastAsia="黑体"/>
          <w:color w:val="000000"/>
        </w:rPr>
        <w:t>的组成及优先顺序</w:t>
      </w:r>
      <w:bookmarkEnd w:id="403"/>
      <w:bookmarkEnd w:id="404"/>
      <w:bookmarkEnd w:id="405"/>
      <w:bookmarkEnd w:id="406"/>
      <w:bookmarkEnd w:id="407"/>
      <w:bookmarkEnd w:id="408"/>
      <w:bookmarkEnd w:id="409"/>
      <w:bookmarkEnd w:id="410"/>
      <w:bookmarkEnd w:id="411"/>
    </w:p>
    <w:p w14:paraId="26DCFF5D">
      <w:pPr>
        <w:spacing w:line="360" w:lineRule="auto"/>
        <w:ind w:firstLine="420" w:firstLineChars="200"/>
        <w:rPr>
          <w:rFonts w:eastAsia="宋体"/>
          <w:color w:val="000000"/>
          <w:szCs w:val="21"/>
        </w:rPr>
      </w:pPr>
      <w:r>
        <w:rPr>
          <w:rFonts w:hint="eastAsia" w:eastAsia="宋体"/>
          <w:color w:val="000000"/>
          <w:szCs w:val="21"/>
        </w:rPr>
        <w:t>1.组成合同的各项文件应互相解释，互为说明，本合同文件组成及解释合同文件的优先顺序如下：</w:t>
      </w:r>
    </w:p>
    <w:p w14:paraId="1222EC63">
      <w:pPr>
        <w:spacing w:line="360" w:lineRule="auto"/>
        <w:ind w:firstLine="420" w:firstLineChars="200"/>
        <w:rPr>
          <w:rFonts w:eastAsia="宋体"/>
          <w:color w:val="000000"/>
          <w:szCs w:val="21"/>
        </w:rPr>
      </w:pPr>
      <w:r>
        <w:rPr>
          <w:rFonts w:hint="eastAsia" w:eastAsia="宋体"/>
          <w:color w:val="000000"/>
          <w:szCs w:val="21"/>
        </w:rPr>
        <w:t>（1）合同协议书</w:t>
      </w:r>
    </w:p>
    <w:p w14:paraId="46CA6EA1">
      <w:pPr>
        <w:spacing w:line="360" w:lineRule="auto"/>
        <w:ind w:firstLine="420" w:firstLineChars="200"/>
        <w:rPr>
          <w:rFonts w:eastAsia="宋体"/>
          <w:color w:val="000000"/>
          <w:szCs w:val="21"/>
        </w:rPr>
      </w:pPr>
      <w:r>
        <w:rPr>
          <w:rFonts w:hint="eastAsia" w:eastAsia="宋体"/>
          <w:color w:val="000000"/>
          <w:szCs w:val="21"/>
        </w:rPr>
        <w:t>（2）中标通知书</w:t>
      </w:r>
    </w:p>
    <w:p w14:paraId="2A27AD23">
      <w:pPr>
        <w:spacing w:line="360" w:lineRule="auto"/>
        <w:ind w:firstLine="420" w:firstLineChars="200"/>
        <w:rPr>
          <w:rFonts w:eastAsia="宋体"/>
          <w:color w:val="000000"/>
          <w:szCs w:val="21"/>
        </w:rPr>
      </w:pPr>
      <w:r>
        <w:rPr>
          <w:rFonts w:hint="eastAsia" w:eastAsia="宋体"/>
          <w:color w:val="000000"/>
          <w:szCs w:val="21"/>
        </w:rPr>
        <w:t>（3）投标函及其附录</w:t>
      </w:r>
    </w:p>
    <w:p w14:paraId="4BE43E4F">
      <w:pPr>
        <w:spacing w:line="360" w:lineRule="auto"/>
        <w:ind w:firstLine="420" w:firstLineChars="200"/>
        <w:rPr>
          <w:rFonts w:eastAsia="宋体"/>
          <w:color w:val="000000"/>
          <w:szCs w:val="21"/>
        </w:rPr>
      </w:pPr>
      <w:r>
        <w:rPr>
          <w:rFonts w:hint="eastAsia" w:eastAsia="宋体"/>
          <w:color w:val="000000"/>
          <w:szCs w:val="21"/>
        </w:rPr>
        <w:t>（4）合同条款</w:t>
      </w:r>
    </w:p>
    <w:p w14:paraId="21D2D335">
      <w:pPr>
        <w:spacing w:line="360" w:lineRule="auto"/>
        <w:ind w:firstLine="420" w:firstLineChars="200"/>
        <w:rPr>
          <w:rFonts w:eastAsia="宋体"/>
          <w:color w:val="000000"/>
          <w:szCs w:val="21"/>
        </w:rPr>
      </w:pPr>
      <w:r>
        <w:rPr>
          <w:rFonts w:hint="eastAsia" w:eastAsia="宋体"/>
          <w:color w:val="000000"/>
          <w:szCs w:val="21"/>
        </w:rPr>
        <w:t>（5）价格清单</w:t>
      </w:r>
    </w:p>
    <w:p w14:paraId="1E548FDE">
      <w:pPr>
        <w:spacing w:line="360" w:lineRule="auto"/>
        <w:ind w:firstLine="420" w:firstLineChars="200"/>
        <w:rPr>
          <w:rFonts w:eastAsia="宋体"/>
          <w:color w:val="000000"/>
          <w:szCs w:val="21"/>
        </w:rPr>
      </w:pPr>
      <w:r>
        <w:rPr>
          <w:rFonts w:hint="eastAsia" w:eastAsia="宋体"/>
          <w:color w:val="000000"/>
          <w:szCs w:val="21"/>
        </w:rPr>
        <w:t>（6）</w:t>
      </w:r>
      <w:bookmarkStart w:id="412" w:name="_Hlk132362234"/>
      <w:r>
        <w:rPr>
          <w:rFonts w:hint="eastAsia" w:eastAsia="宋体"/>
          <w:color w:val="000000"/>
          <w:szCs w:val="21"/>
        </w:rPr>
        <w:t>用户需求书</w:t>
      </w:r>
      <w:bookmarkEnd w:id="412"/>
    </w:p>
    <w:p w14:paraId="2258E500">
      <w:pPr>
        <w:spacing w:line="360" w:lineRule="auto"/>
        <w:ind w:firstLine="420" w:firstLineChars="200"/>
        <w:rPr>
          <w:rFonts w:eastAsia="宋体"/>
          <w:color w:val="000000"/>
          <w:szCs w:val="21"/>
        </w:rPr>
      </w:pPr>
      <w:r>
        <w:rPr>
          <w:rFonts w:hint="eastAsia" w:eastAsia="宋体"/>
          <w:color w:val="000000"/>
          <w:szCs w:val="21"/>
        </w:rPr>
        <w:t>（7）图纸（如有）</w:t>
      </w:r>
    </w:p>
    <w:p w14:paraId="280879EF">
      <w:pPr>
        <w:spacing w:line="360" w:lineRule="auto"/>
        <w:ind w:firstLine="420" w:firstLineChars="200"/>
        <w:rPr>
          <w:rFonts w:eastAsia="宋体"/>
          <w:color w:val="000000"/>
          <w:szCs w:val="21"/>
        </w:rPr>
      </w:pPr>
      <w:r>
        <w:rPr>
          <w:rFonts w:hint="eastAsia" w:eastAsia="宋体"/>
          <w:color w:val="000000"/>
          <w:szCs w:val="21"/>
        </w:rPr>
        <w:t>（8）招标文件及其澄清补遗、投标文件。</w:t>
      </w:r>
    </w:p>
    <w:p w14:paraId="0A49D0E7">
      <w:pPr>
        <w:spacing w:line="360" w:lineRule="auto"/>
        <w:ind w:firstLine="420" w:firstLineChars="200"/>
        <w:rPr>
          <w:rFonts w:eastAsia="宋体"/>
          <w:color w:val="000000"/>
          <w:szCs w:val="21"/>
        </w:rPr>
      </w:pPr>
      <w:r>
        <w:rPr>
          <w:rFonts w:hint="eastAsia" w:eastAsia="宋体"/>
          <w:color w:val="000000"/>
          <w:szCs w:val="21"/>
        </w:rPr>
        <w:t>2.如果合同文件之间存在矛盾或不一致之处，以上述文件的排列顺序在先者为准；同一内容的文件以最新签署的为准。合同履行中形成的有关变更、洽商、备忘录或补充协议等，均构成合同文件的组成之一，应视其内容与上述合同文件的关系确定解释顺序。</w:t>
      </w:r>
    </w:p>
    <w:p w14:paraId="289A5239">
      <w:pPr>
        <w:spacing w:before="100" w:beforeAutospacing="1" w:line="360" w:lineRule="auto"/>
        <w:ind w:firstLine="420" w:firstLineChars="200"/>
        <w:rPr>
          <w:rFonts w:eastAsia="黑体"/>
          <w:color w:val="000000"/>
        </w:rPr>
      </w:pPr>
      <w:bookmarkStart w:id="413" w:name="_Toc3419_WPSOffice_Level2"/>
      <w:bookmarkStart w:id="414" w:name="_Toc13080"/>
      <w:bookmarkStart w:id="415" w:name="_Toc55480689"/>
      <w:bookmarkStart w:id="416" w:name="_Toc55482403"/>
      <w:bookmarkStart w:id="417" w:name="_Toc84855284"/>
      <w:bookmarkStart w:id="418" w:name="_Toc20072"/>
      <w:bookmarkStart w:id="419" w:name="_Toc55480864"/>
      <w:bookmarkStart w:id="420" w:name="_Toc55482228"/>
      <w:bookmarkStart w:id="421" w:name="_Toc45885349"/>
      <w:bookmarkStart w:id="422" w:name="_Toc69482922"/>
      <w:bookmarkStart w:id="423" w:name="_Toc55481721"/>
      <w:r>
        <w:rPr>
          <w:rFonts w:hint="eastAsia" w:eastAsia="黑体"/>
          <w:color w:val="000000"/>
        </w:rPr>
        <w:t>八、合同双方承诺</w:t>
      </w:r>
      <w:bookmarkEnd w:id="413"/>
      <w:bookmarkEnd w:id="414"/>
      <w:bookmarkEnd w:id="415"/>
      <w:bookmarkEnd w:id="416"/>
      <w:bookmarkEnd w:id="417"/>
      <w:bookmarkEnd w:id="418"/>
      <w:bookmarkEnd w:id="419"/>
      <w:bookmarkEnd w:id="420"/>
      <w:bookmarkEnd w:id="421"/>
      <w:bookmarkEnd w:id="422"/>
      <w:bookmarkEnd w:id="423"/>
    </w:p>
    <w:p w14:paraId="719C1C63">
      <w:pPr>
        <w:spacing w:line="360" w:lineRule="auto"/>
        <w:ind w:firstLine="420" w:firstLineChars="200"/>
        <w:rPr>
          <w:rFonts w:eastAsia="宋体"/>
          <w:color w:val="000000"/>
          <w:szCs w:val="21"/>
        </w:rPr>
      </w:pPr>
      <w:r>
        <w:rPr>
          <w:rFonts w:hint="eastAsia" w:eastAsia="宋体"/>
          <w:color w:val="000000"/>
          <w:szCs w:val="21"/>
        </w:rPr>
        <w:t>甲方承诺，保证按照本合同约定的条件、时间和方式向乙方支付合同价款</w:t>
      </w:r>
      <w:r>
        <w:rPr>
          <w:rFonts w:eastAsia="宋体"/>
          <w:color w:val="000000"/>
          <w:szCs w:val="21"/>
        </w:rPr>
        <w:t>,</w:t>
      </w:r>
      <w:r>
        <w:rPr>
          <w:rFonts w:hint="eastAsia" w:eastAsia="宋体"/>
          <w:color w:val="000000"/>
          <w:szCs w:val="21"/>
        </w:rPr>
        <w:t>并履行本合同所约定的全部义务。</w:t>
      </w:r>
    </w:p>
    <w:p w14:paraId="49E27E3D">
      <w:pPr>
        <w:spacing w:line="360" w:lineRule="auto"/>
        <w:ind w:firstLine="420" w:firstLineChars="200"/>
        <w:rPr>
          <w:rFonts w:eastAsia="宋体"/>
          <w:color w:val="000000"/>
          <w:szCs w:val="21"/>
        </w:rPr>
      </w:pPr>
      <w:r>
        <w:rPr>
          <w:rFonts w:hint="eastAsia" w:eastAsia="宋体"/>
          <w:color w:val="000000"/>
          <w:szCs w:val="21"/>
        </w:rPr>
        <w:t>乙方承诺</w:t>
      </w:r>
      <w:r>
        <w:rPr>
          <w:rFonts w:hint="eastAsia" w:eastAsia="宋体"/>
          <w:color w:val="000000"/>
          <w:szCs w:val="21"/>
          <w:lang w:eastAsia="zh-CN"/>
        </w:rPr>
        <w:t>，</w:t>
      </w:r>
      <w:r>
        <w:rPr>
          <w:rFonts w:hint="eastAsia" w:eastAsia="宋体"/>
          <w:color w:val="000000"/>
          <w:szCs w:val="21"/>
        </w:rPr>
        <w:t>保证完全按照合同约定提供合同设备、附随义务和质保期服务及修补缺陷，并履行本合同所约定的全部义务。</w:t>
      </w:r>
    </w:p>
    <w:p w14:paraId="4B733B86">
      <w:pPr>
        <w:spacing w:before="100" w:beforeAutospacing="1" w:line="360" w:lineRule="auto"/>
        <w:ind w:firstLine="420" w:firstLineChars="200"/>
        <w:rPr>
          <w:rFonts w:eastAsia="黑体"/>
          <w:color w:val="000000"/>
        </w:rPr>
      </w:pPr>
      <w:bookmarkStart w:id="424" w:name="_Toc45885351"/>
      <w:bookmarkStart w:id="425" w:name="_Toc22620_WPSOffice_Level2"/>
      <w:bookmarkStart w:id="426" w:name="_Toc55481722"/>
      <w:bookmarkStart w:id="427" w:name="_Toc55482229"/>
      <w:bookmarkStart w:id="428" w:name="_Toc55480690"/>
      <w:bookmarkStart w:id="429" w:name="_Toc32010"/>
      <w:bookmarkStart w:id="430" w:name="_Toc69482923"/>
      <w:bookmarkStart w:id="431" w:name="_Toc55480865"/>
      <w:bookmarkStart w:id="432" w:name="_Toc84855285"/>
      <w:bookmarkStart w:id="433" w:name="_Toc31027"/>
      <w:bookmarkStart w:id="434" w:name="_Toc55482404"/>
      <w:r>
        <w:rPr>
          <w:rFonts w:hint="eastAsia" w:eastAsia="黑体"/>
          <w:color w:val="000000"/>
        </w:rPr>
        <w:t>九、合同生效</w:t>
      </w:r>
      <w:bookmarkEnd w:id="424"/>
      <w:bookmarkEnd w:id="425"/>
      <w:r>
        <w:rPr>
          <w:rFonts w:hint="eastAsia" w:eastAsia="黑体"/>
          <w:color w:val="000000"/>
        </w:rPr>
        <w:t>和终止</w:t>
      </w:r>
      <w:bookmarkEnd w:id="426"/>
      <w:bookmarkEnd w:id="427"/>
      <w:bookmarkEnd w:id="428"/>
      <w:bookmarkEnd w:id="429"/>
      <w:bookmarkEnd w:id="430"/>
      <w:bookmarkEnd w:id="431"/>
      <w:bookmarkEnd w:id="432"/>
      <w:bookmarkEnd w:id="433"/>
      <w:bookmarkEnd w:id="434"/>
    </w:p>
    <w:p w14:paraId="41CF5384">
      <w:pPr>
        <w:spacing w:line="360" w:lineRule="auto"/>
        <w:ind w:firstLine="420" w:firstLineChars="200"/>
        <w:rPr>
          <w:rFonts w:eastAsia="黑体"/>
          <w:color w:val="000000"/>
        </w:rPr>
      </w:pPr>
      <w:r>
        <w:rPr>
          <w:rFonts w:hint="eastAsia" w:eastAsia="宋体"/>
          <w:color w:val="000000"/>
          <w:szCs w:val="21"/>
        </w:rPr>
        <w:t>本合同协议书经合同双方盖章，且由双方法定代表人或其授权代表签字后成立。合同成立后开始生效，在双方履行完毕合同约定的权利义务时，本合同自行终止。</w:t>
      </w:r>
      <w:bookmarkStart w:id="435" w:name="_Toc84855286"/>
      <w:bookmarkStart w:id="436" w:name="_Toc63581980"/>
      <w:bookmarkStart w:id="437" w:name="_Toc69482924"/>
      <w:bookmarkStart w:id="438" w:name="_Toc63179227"/>
    </w:p>
    <w:bookmarkEnd w:id="435"/>
    <w:bookmarkEnd w:id="436"/>
    <w:bookmarkEnd w:id="437"/>
    <w:bookmarkEnd w:id="438"/>
    <w:p w14:paraId="3BDC9FAA">
      <w:pPr>
        <w:spacing w:before="100" w:beforeAutospacing="1" w:line="360" w:lineRule="auto"/>
        <w:ind w:firstLine="420" w:firstLineChars="200"/>
        <w:rPr>
          <w:rFonts w:eastAsia="黑体"/>
          <w:color w:val="000000"/>
          <w:highlight w:val="none"/>
        </w:rPr>
      </w:pPr>
      <w:bookmarkStart w:id="439" w:name="_Toc84855287"/>
      <w:bookmarkStart w:id="440" w:name="_Toc69482925"/>
      <w:r>
        <w:rPr>
          <w:rFonts w:hint="eastAsia" w:eastAsia="黑体"/>
          <w:color w:val="000000"/>
        </w:rPr>
        <w:t>十、风险理</w:t>
      </w:r>
      <w:r>
        <w:rPr>
          <w:rFonts w:hint="eastAsia" w:eastAsia="黑体"/>
          <w:color w:val="000000"/>
          <w:highlight w:val="none"/>
        </w:rPr>
        <w:t>解与提示</w:t>
      </w:r>
      <w:bookmarkEnd w:id="439"/>
      <w:bookmarkEnd w:id="440"/>
    </w:p>
    <w:p w14:paraId="6ABCBE0A">
      <w:pPr>
        <w:spacing w:line="360" w:lineRule="auto"/>
        <w:ind w:firstLine="420" w:firstLineChars="200"/>
        <w:rPr>
          <w:rFonts w:eastAsia="宋体"/>
          <w:color w:val="000000"/>
          <w:highlight w:val="none"/>
        </w:rPr>
      </w:pPr>
      <w:r>
        <w:rPr>
          <w:rFonts w:hint="eastAsia" w:eastAsia="宋体"/>
          <w:color w:val="000000"/>
          <w:highlight w:val="none"/>
        </w:rPr>
        <w:t>1</w:t>
      </w:r>
      <w:r>
        <w:rPr>
          <w:rFonts w:hint="eastAsia" w:ascii="宋体" w:hAnsi="宋体" w:eastAsia="宋体"/>
          <w:bCs/>
          <w:color w:val="000000"/>
          <w:szCs w:val="21"/>
          <w:highlight w:val="none"/>
        </w:rPr>
        <w:t>.</w:t>
      </w:r>
      <w:r>
        <w:rPr>
          <w:rFonts w:hint="eastAsia" w:eastAsia="宋体"/>
          <w:color w:val="000000"/>
          <w:highlight w:val="none"/>
        </w:rPr>
        <w:t>甲方</w:t>
      </w:r>
      <w:r>
        <w:rPr>
          <w:rFonts w:eastAsia="宋体"/>
          <w:color w:val="000000"/>
          <w:highlight w:val="none"/>
        </w:rPr>
        <w:t>遵循公平原则确定合同双方之间的权利和义务</w:t>
      </w:r>
      <w:r>
        <w:rPr>
          <w:rFonts w:hint="eastAsia" w:eastAsia="宋体"/>
          <w:color w:val="000000"/>
          <w:highlight w:val="none"/>
        </w:rPr>
        <w:t>，</w:t>
      </w:r>
      <w:r>
        <w:rPr>
          <w:rFonts w:eastAsia="宋体"/>
          <w:color w:val="000000"/>
          <w:highlight w:val="none"/>
        </w:rPr>
        <w:t>提请</w:t>
      </w:r>
      <w:r>
        <w:rPr>
          <w:rFonts w:hint="eastAsia" w:eastAsia="宋体"/>
          <w:color w:val="000000"/>
          <w:highlight w:val="none"/>
        </w:rPr>
        <w:t>乙方</w:t>
      </w:r>
      <w:r>
        <w:rPr>
          <w:rFonts w:eastAsia="宋体"/>
          <w:color w:val="000000"/>
          <w:highlight w:val="none"/>
        </w:rPr>
        <w:t>注意是否存在免除或者减轻</w:t>
      </w:r>
      <w:r>
        <w:rPr>
          <w:rFonts w:hint="eastAsia" w:eastAsia="宋体"/>
          <w:color w:val="000000"/>
          <w:highlight w:val="none"/>
        </w:rPr>
        <w:t>甲方</w:t>
      </w:r>
      <w:r>
        <w:rPr>
          <w:rFonts w:eastAsia="宋体"/>
          <w:color w:val="000000"/>
          <w:highlight w:val="none"/>
        </w:rPr>
        <w:t>责任等与</w:t>
      </w:r>
      <w:r>
        <w:rPr>
          <w:rFonts w:hint="eastAsia" w:eastAsia="宋体"/>
          <w:color w:val="000000"/>
          <w:highlight w:val="none"/>
        </w:rPr>
        <w:t>乙方</w:t>
      </w:r>
      <w:r>
        <w:rPr>
          <w:rFonts w:eastAsia="宋体"/>
          <w:color w:val="000000"/>
          <w:highlight w:val="none"/>
        </w:rPr>
        <w:t>有重大利害关系的条款；如存在上述条款，提请</w:t>
      </w:r>
      <w:r>
        <w:rPr>
          <w:rFonts w:hint="eastAsia" w:eastAsia="宋体"/>
          <w:color w:val="000000"/>
          <w:highlight w:val="none"/>
        </w:rPr>
        <w:t>乙方</w:t>
      </w:r>
      <w:r>
        <w:rPr>
          <w:rFonts w:eastAsia="宋体"/>
          <w:color w:val="000000"/>
          <w:highlight w:val="none"/>
        </w:rPr>
        <w:t>注意应在</w:t>
      </w:r>
      <w:r>
        <w:rPr>
          <w:rFonts w:hint="eastAsia" w:ascii="Segoe UI Symbol" w:hAnsi="Segoe UI Symbol" w:eastAsia="宋体" w:cs="Segoe UI Symbol"/>
          <w:b/>
          <w:bCs/>
          <w:i/>
          <w:iCs/>
          <w:color w:val="000000"/>
          <w:highlight w:val="none"/>
          <w:u w:val="single"/>
        </w:rPr>
        <w:t>☑</w:t>
      </w:r>
      <w:r>
        <w:rPr>
          <w:rFonts w:eastAsia="宋体"/>
          <w:b/>
          <w:bCs/>
          <w:i/>
          <w:iCs/>
          <w:color w:val="000000"/>
          <w:highlight w:val="none"/>
          <w:u w:val="single"/>
        </w:rPr>
        <w:t>投标文件递交</w:t>
      </w:r>
      <w:r>
        <w:rPr>
          <w:rFonts w:hint="eastAsia" w:eastAsia="宋体"/>
          <w:b/>
          <w:bCs/>
          <w:i/>
          <w:iCs/>
          <w:color w:val="000000"/>
          <w:highlight w:val="none"/>
          <w:u w:val="single"/>
        </w:rPr>
        <w:t xml:space="preserve">  </w:t>
      </w:r>
      <w:r>
        <w:rPr>
          <w:rFonts w:eastAsia="宋体"/>
          <w:b/>
          <w:bCs/>
          <w:i/>
          <w:iCs/>
          <w:color w:val="000000"/>
          <w:highlight w:val="none"/>
          <w:u w:val="single"/>
        </w:rPr>
        <w:t> </w:t>
      </w:r>
      <w:r>
        <w:rPr>
          <w:rFonts w:hint="eastAsia" w:ascii="宋体" w:hAnsi="宋体" w:eastAsia="宋体"/>
          <w:b/>
          <w:bCs/>
          <w:i/>
          <w:iCs/>
          <w:color w:val="000000"/>
          <w:highlight w:val="none"/>
          <w:u w:val="single"/>
        </w:rPr>
        <w:t>□</w:t>
      </w:r>
      <w:r>
        <w:rPr>
          <w:rFonts w:eastAsia="宋体"/>
          <w:b/>
          <w:bCs/>
          <w:i/>
          <w:iCs/>
          <w:color w:val="000000"/>
          <w:highlight w:val="none"/>
          <w:u w:val="single"/>
        </w:rPr>
        <w:t>合同签订</w:t>
      </w:r>
      <w:r>
        <w:rPr>
          <w:rFonts w:eastAsia="宋体"/>
          <w:color w:val="000000"/>
          <w:highlight w:val="none"/>
        </w:rPr>
        <w:t>之前与</w:t>
      </w:r>
      <w:r>
        <w:rPr>
          <w:rFonts w:hint="eastAsia" w:eastAsia="宋体"/>
          <w:color w:val="000000"/>
          <w:highlight w:val="none"/>
        </w:rPr>
        <w:t>甲方</w:t>
      </w:r>
      <w:r>
        <w:rPr>
          <w:rFonts w:eastAsia="宋体"/>
          <w:color w:val="000000"/>
          <w:highlight w:val="none"/>
        </w:rPr>
        <w:t>进行沟通，</w:t>
      </w:r>
      <w:r>
        <w:rPr>
          <w:rFonts w:hint="eastAsia" w:eastAsia="宋体"/>
          <w:color w:val="000000"/>
          <w:highlight w:val="none"/>
        </w:rPr>
        <w:t>甲方</w:t>
      </w:r>
      <w:r>
        <w:rPr>
          <w:rFonts w:eastAsia="宋体"/>
          <w:color w:val="000000"/>
          <w:highlight w:val="none"/>
        </w:rPr>
        <w:t>将给予说明。</w:t>
      </w:r>
    </w:p>
    <w:p w14:paraId="77AD1D0B">
      <w:pPr>
        <w:spacing w:line="360" w:lineRule="auto"/>
        <w:ind w:firstLine="420" w:firstLineChars="200"/>
        <w:rPr>
          <w:rFonts w:eastAsia="宋体"/>
          <w:color w:val="000000"/>
          <w:szCs w:val="20"/>
        </w:rPr>
      </w:pPr>
      <w:r>
        <w:rPr>
          <w:rFonts w:hint="eastAsia" w:eastAsia="宋体"/>
          <w:color w:val="000000"/>
          <w:highlight w:val="none"/>
        </w:rPr>
        <w:t>2</w:t>
      </w:r>
      <w:r>
        <w:rPr>
          <w:rFonts w:hint="eastAsia" w:ascii="宋体" w:hAnsi="宋体" w:eastAsia="宋体"/>
          <w:bCs/>
          <w:color w:val="000000"/>
          <w:szCs w:val="21"/>
          <w:highlight w:val="none"/>
        </w:rPr>
        <w:t>.</w:t>
      </w:r>
      <w:r>
        <w:rPr>
          <w:rFonts w:hint="eastAsia" w:eastAsia="宋体"/>
          <w:color w:val="000000"/>
          <w:highlight w:val="none"/>
        </w:rPr>
        <w:t>乙方</w:t>
      </w:r>
      <w:r>
        <w:rPr>
          <w:rFonts w:eastAsia="宋体"/>
          <w:color w:val="000000"/>
          <w:highlight w:val="none"/>
        </w:rPr>
        <w:t>如在上述规定时间之前，未对合同条款提出异议</w:t>
      </w:r>
      <w:r>
        <w:rPr>
          <w:rFonts w:eastAsia="宋体"/>
          <w:color w:val="000000"/>
        </w:rPr>
        <w:t>，视为</w:t>
      </w:r>
      <w:r>
        <w:rPr>
          <w:rFonts w:hint="eastAsia" w:eastAsia="宋体"/>
          <w:color w:val="000000"/>
        </w:rPr>
        <w:t>甲方</w:t>
      </w:r>
      <w:r>
        <w:rPr>
          <w:rFonts w:eastAsia="宋体"/>
          <w:color w:val="000000"/>
        </w:rPr>
        <w:t>已经履行对合同条款的提示和说明义务；合同履行期间或争议解决时，</w:t>
      </w:r>
      <w:r>
        <w:rPr>
          <w:rFonts w:hint="eastAsia" w:eastAsia="宋体"/>
          <w:color w:val="000000"/>
        </w:rPr>
        <w:t>乙方</w:t>
      </w:r>
      <w:r>
        <w:rPr>
          <w:rFonts w:eastAsia="宋体"/>
          <w:color w:val="000000"/>
        </w:rPr>
        <w:t>不得以此理由主张</w:t>
      </w:r>
      <w:r>
        <w:rPr>
          <w:rFonts w:hint="eastAsia" w:eastAsia="宋体"/>
          <w:color w:val="000000"/>
        </w:rPr>
        <w:t>合同任一条款</w:t>
      </w:r>
      <w:r>
        <w:rPr>
          <w:rFonts w:eastAsia="宋体"/>
          <w:color w:val="000000"/>
        </w:rPr>
        <w:t>不属于合同的</w:t>
      </w:r>
      <w:r>
        <w:rPr>
          <w:rFonts w:hint="eastAsia" w:eastAsia="宋体"/>
          <w:color w:val="000000"/>
        </w:rPr>
        <w:t>组成</w:t>
      </w:r>
      <w:r>
        <w:rPr>
          <w:rFonts w:eastAsia="宋体"/>
          <w:color w:val="000000"/>
        </w:rPr>
        <w:t>内容。</w:t>
      </w:r>
    </w:p>
    <w:p w14:paraId="3C9B9479">
      <w:pPr>
        <w:spacing w:before="100" w:beforeAutospacing="1" w:line="360" w:lineRule="auto"/>
        <w:ind w:firstLine="420" w:firstLineChars="200"/>
        <w:rPr>
          <w:rFonts w:eastAsia="黑体"/>
          <w:color w:val="000000"/>
        </w:rPr>
      </w:pPr>
      <w:bookmarkStart w:id="441" w:name="_Toc17253_WPSOffice_Level2"/>
      <w:bookmarkStart w:id="442" w:name="_Toc1052"/>
      <w:bookmarkStart w:id="443" w:name="_Toc29500"/>
      <w:bookmarkStart w:id="444" w:name="_Toc55480691"/>
      <w:bookmarkStart w:id="445" w:name="_Toc45885352"/>
      <w:bookmarkStart w:id="446" w:name="_Toc55480866"/>
      <w:bookmarkStart w:id="447" w:name="_Toc55482230"/>
      <w:bookmarkStart w:id="448" w:name="_Toc55482405"/>
      <w:bookmarkStart w:id="449" w:name="_Toc84855288"/>
      <w:bookmarkStart w:id="450" w:name="_Toc69482926"/>
      <w:bookmarkStart w:id="451" w:name="_Toc55481723"/>
      <w:r>
        <w:rPr>
          <w:rFonts w:hint="eastAsia" w:eastAsia="黑体"/>
          <w:color w:val="000000"/>
        </w:rPr>
        <w:t>十一、合同份数</w:t>
      </w:r>
      <w:bookmarkEnd w:id="441"/>
      <w:bookmarkEnd w:id="442"/>
      <w:bookmarkEnd w:id="443"/>
      <w:bookmarkEnd w:id="444"/>
      <w:bookmarkEnd w:id="445"/>
      <w:bookmarkEnd w:id="446"/>
      <w:bookmarkEnd w:id="447"/>
      <w:bookmarkEnd w:id="448"/>
      <w:bookmarkEnd w:id="449"/>
      <w:bookmarkEnd w:id="450"/>
      <w:bookmarkEnd w:id="451"/>
    </w:p>
    <w:p w14:paraId="06FB544E">
      <w:pPr>
        <w:spacing w:line="360" w:lineRule="auto"/>
        <w:ind w:firstLine="420" w:firstLineChars="200"/>
        <w:rPr>
          <w:rFonts w:eastAsia="宋体"/>
          <w:color w:val="000000"/>
          <w:szCs w:val="21"/>
        </w:rPr>
      </w:pPr>
      <w:r>
        <w:rPr>
          <w:rFonts w:hint="eastAsia" w:eastAsia="宋体"/>
          <w:color w:val="000000"/>
          <w:szCs w:val="21"/>
        </w:rPr>
        <w:t>本合同协议书正本一式</w:t>
      </w:r>
      <w:r>
        <w:rPr>
          <w:rFonts w:eastAsia="宋体"/>
          <w:color w:val="000000"/>
          <w:szCs w:val="21"/>
          <w:u w:val="single"/>
        </w:rPr>
        <w:t xml:space="preserve"> </w:t>
      </w:r>
      <w:r>
        <w:rPr>
          <w:rFonts w:hint="eastAsia" w:eastAsia="宋体"/>
          <w:color w:val="000000"/>
          <w:szCs w:val="21"/>
          <w:u w:val="single"/>
        </w:rPr>
        <w:t>贰</w:t>
      </w:r>
      <w:r>
        <w:rPr>
          <w:rFonts w:eastAsia="宋体"/>
          <w:color w:val="000000"/>
          <w:szCs w:val="21"/>
          <w:u w:val="single"/>
        </w:rPr>
        <w:t xml:space="preserve"> </w:t>
      </w:r>
      <w:r>
        <w:rPr>
          <w:rFonts w:hint="eastAsia" w:eastAsia="宋体"/>
          <w:color w:val="000000"/>
          <w:szCs w:val="21"/>
        </w:rPr>
        <w:t>份、副本一式</w:t>
      </w:r>
      <w:r>
        <w:rPr>
          <w:rFonts w:eastAsia="宋体"/>
          <w:color w:val="000000"/>
          <w:szCs w:val="21"/>
          <w:u w:val="single"/>
        </w:rPr>
        <w:t xml:space="preserve">  贰拾  </w:t>
      </w:r>
      <w:r>
        <w:rPr>
          <w:rFonts w:hint="eastAsia" w:eastAsia="宋体"/>
          <w:color w:val="000000"/>
          <w:szCs w:val="21"/>
        </w:rPr>
        <w:t>份，其中甲方执正本</w:t>
      </w:r>
      <w:r>
        <w:rPr>
          <w:rFonts w:eastAsia="宋体"/>
          <w:color w:val="000000"/>
          <w:szCs w:val="21"/>
          <w:u w:val="single"/>
        </w:rPr>
        <w:t xml:space="preserve">  壹  </w:t>
      </w:r>
      <w:r>
        <w:rPr>
          <w:rFonts w:hint="eastAsia" w:eastAsia="宋体"/>
          <w:color w:val="000000"/>
          <w:szCs w:val="21"/>
        </w:rPr>
        <w:t>份、副本</w:t>
      </w:r>
    </w:p>
    <w:p w14:paraId="61E05E6A">
      <w:pPr>
        <w:spacing w:line="360" w:lineRule="auto"/>
        <w:rPr>
          <w:rFonts w:eastAsia="宋体"/>
          <w:color w:val="000000"/>
          <w:szCs w:val="21"/>
        </w:rPr>
      </w:pPr>
      <w:r>
        <w:rPr>
          <w:rFonts w:eastAsia="宋体"/>
          <w:color w:val="000000"/>
          <w:szCs w:val="21"/>
          <w:u w:val="single"/>
        </w:rPr>
        <w:t>拾</w:t>
      </w:r>
      <w:r>
        <w:rPr>
          <w:rFonts w:hint="eastAsia" w:eastAsia="宋体"/>
          <w:color w:val="000000"/>
          <w:szCs w:val="21"/>
        </w:rPr>
        <w:t>份，乙方执正本</w:t>
      </w:r>
      <w:r>
        <w:rPr>
          <w:rFonts w:eastAsia="宋体"/>
          <w:color w:val="000000"/>
          <w:szCs w:val="21"/>
          <w:u w:val="single"/>
        </w:rPr>
        <w:t xml:space="preserve">  壹  </w:t>
      </w:r>
      <w:r>
        <w:rPr>
          <w:rFonts w:hint="eastAsia" w:eastAsia="宋体"/>
          <w:color w:val="000000"/>
          <w:szCs w:val="21"/>
        </w:rPr>
        <w:t>份、副本</w:t>
      </w:r>
      <w:r>
        <w:rPr>
          <w:rFonts w:eastAsia="宋体"/>
          <w:color w:val="000000"/>
          <w:szCs w:val="21"/>
          <w:u w:val="single"/>
        </w:rPr>
        <w:t xml:space="preserve"> </w:t>
      </w:r>
      <w:r>
        <w:rPr>
          <w:rFonts w:hint="eastAsia" w:eastAsia="宋体"/>
          <w:color w:val="000000"/>
          <w:szCs w:val="21"/>
          <w:u w:val="single"/>
        </w:rPr>
        <w:t>贰</w:t>
      </w:r>
      <w:r>
        <w:rPr>
          <w:rFonts w:eastAsia="宋体"/>
          <w:color w:val="000000"/>
          <w:szCs w:val="21"/>
          <w:u w:val="single"/>
        </w:rPr>
        <w:t xml:space="preserve"> </w:t>
      </w:r>
      <w:r>
        <w:rPr>
          <w:rFonts w:hint="eastAsia" w:eastAsia="宋体"/>
          <w:color w:val="000000"/>
          <w:szCs w:val="21"/>
        </w:rPr>
        <w:t>份；正本、副本均具有同等法律效力。</w:t>
      </w:r>
    </w:p>
    <w:p w14:paraId="04ECF2F8">
      <w:pPr>
        <w:spacing w:line="360" w:lineRule="auto"/>
        <w:rPr>
          <w:rFonts w:eastAsia="宋体"/>
          <w:color w:val="000000"/>
          <w:szCs w:val="21"/>
        </w:rPr>
      </w:pPr>
    </w:p>
    <w:p w14:paraId="730D8672">
      <w:pPr>
        <w:rPr>
          <w:rFonts w:eastAsia="宋体"/>
          <w:color w:val="000000"/>
          <w:szCs w:val="21"/>
        </w:rPr>
      </w:pPr>
      <w:r>
        <w:rPr>
          <w:rFonts w:eastAsia="宋体"/>
          <w:color w:val="000000"/>
        </w:rPr>
        <w:br w:type="page"/>
      </w:r>
    </w:p>
    <w:p w14:paraId="298A2110">
      <w:pPr>
        <w:spacing w:line="360" w:lineRule="auto"/>
        <w:ind w:left="840" w:hanging="420"/>
        <w:rPr>
          <w:rFonts w:eastAsia="宋体"/>
          <w:color w:val="000000"/>
          <w:szCs w:val="21"/>
        </w:rPr>
      </w:pPr>
      <w:r>
        <w:rPr>
          <w:rFonts w:hint="eastAsia" w:eastAsia="宋体"/>
          <w:color w:val="000000"/>
          <w:szCs w:val="21"/>
        </w:rPr>
        <w:t>（本页无正文）</w:t>
      </w:r>
    </w:p>
    <w:p w14:paraId="2AEC9867">
      <w:pPr>
        <w:spacing w:line="360" w:lineRule="auto"/>
        <w:ind w:left="900" w:hanging="480"/>
        <w:rPr>
          <w:rFonts w:eastAsia="宋体"/>
          <w:color w:val="000000"/>
        </w:rPr>
      </w:pPr>
    </w:p>
    <w:tbl>
      <w:tblPr>
        <w:tblStyle w:val="90"/>
        <w:tblW w:w="9004" w:type="dxa"/>
        <w:jc w:val="center"/>
        <w:tblLayout w:type="fixed"/>
        <w:tblCellMar>
          <w:top w:w="0" w:type="dxa"/>
          <w:left w:w="108" w:type="dxa"/>
          <w:bottom w:w="0" w:type="dxa"/>
          <w:right w:w="108" w:type="dxa"/>
        </w:tblCellMar>
      </w:tblPr>
      <w:tblGrid>
        <w:gridCol w:w="1808"/>
        <w:gridCol w:w="7"/>
        <w:gridCol w:w="2922"/>
        <w:gridCol w:w="1633"/>
        <w:gridCol w:w="2622"/>
        <w:gridCol w:w="12"/>
      </w:tblGrid>
      <w:tr w14:paraId="0EAA5DD5">
        <w:tblPrEx>
          <w:tblCellMar>
            <w:top w:w="0" w:type="dxa"/>
            <w:left w:w="108" w:type="dxa"/>
            <w:bottom w:w="0" w:type="dxa"/>
            <w:right w:w="108" w:type="dxa"/>
          </w:tblCellMar>
        </w:tblPrEx>
        <w:trPr>
          <w:trHeight w:val="814" w:hRule="exact"/>
          <w:jc w:val="center"/>
        </w:trPr>
        <w:tc>
          <w:tcPr>
            <w:tcW w:w="1808" w:type="dxa"/>
            <w:vAlign w:val="center"/>
          </w:tcPr>
          <w:p w14:paraId="59AC2887">
            <w:pPr>
              <w:rPr>
                <w:rFonts w:eastAsia="宋体"/>
                <w:color w:val="000000"/>
                <w:szCs w:val="21"/>
              </w:rPr>
            </w:pPr>
            <w:bookmarkStart w:id="452" w:name="_Toc69482927"/>
            <w:bookmarkStart w:id="453" w:name="_Toc84855289"/>
            <w:bookmarkStart w:id="454" w:name="_Toc14225_WPSOffice_Level1"/>
            <w:bookmarkStart w:id="455" w:name="_Toc282993828"/>
            <w:bookmarkStart w:id="456" w:name="_Toc45885356"/>
            <w:bookmarkStart w:id="457" w:name="_Toc318807028"/>
            <w:bookmarkStart w:id="458" w:name="_Toc318641874"/>
            <w:bookmarkStart w:id="459" w:name="_Toc55482231"/>
            <w:bookmarkStart w:id="460" w:name="_Toc23897"/>
            <w:bookmarkStart w:id="461" w:name="_Toc55480867"/>
            <w:bookmarkStart w:id="462" w:name="_Toc55482406"/>
            <w:bookmarkStart w:id="463" w:name="_Toc497339335"/>
            <w:bookmarkStart w:id="464" w:name="_Toc55480692"/>
            <w:bookmarkStart w:id="465" w:name="_Toc55481724"/>
            <w:bookmarkStart w:id="466" w:name="_Toc449602247"/>
            <w:bookmarkStart w:id="467" w:name="_Toc28641_WPSOffice_Level1"/>
            <w:bookmarkStart w:id="468" w:name="_Toc401824163"/>
            <w:r>
              <w:rPr>
                <w:rFonts w:hint="eastAsia" w:eastAsia="宋体"/>
                <w:color w:val="000000"/>
                <w:szCs w:val="21"/>
              </w:rPr>
              <w:t>甲方</w:t>
            </w:r>
            <w:r>
              <w:rPr>
                <w:rFonts w:eastAsia="宋体"/>
                <w:color w:val="000000"/>
                <w:szCs w:val="21"/>
              </w:rPr>
              <w:t>(</w:t>
            </w:r>
            <w:r>
              <w:rPr>
                <w:rFonts w:hint="eastAsia" w:eastAsia="宋体"/>
                <w:color w:val="000000"/>
                <w:szCs w:val="21"/>
              </w:rPr>
              <w:t>盖章</w:t>
            </w:r>
            <w:r>
              <w:rPr>
                <w:rFonts w:eastAsia="宋体"/>
                <w:color w:val="000000"/>
                <w:szCs w:val="21"/>
              </w:rPr>
              <w:t>)</w:t>
            </w:r>
            <w:r>
              <w:rPr>
                <w:rFonts w:hint="eastAsia" w:eastAsia="宋体"/>
                <w:color w:val="000000"/>
                <w:szCs w:val="21"/>
              </w:rPr>
              <w:t>：</w:t>
            </w:r>
          </w:p>
        </w:tc>
        <w:tc>
          <w:tcPr>
            <w:tcW w:w="2929" w:type="dxa"/>
            <w:gridSpan w:val="2"/>
            <w:vAlign w:val="center"/>
          </w:tcPr>
          <w:p w14:paraId="1F1F3C26">
            <w:pPr>
              <w:rPr>
                <w:rFonts w:eastAsia="宋体"/>
                <w:color w:val="000000"/>
                <w:szCs w:val="21"/>
              </w:rPr>
            </w:pPr>
          </w:p>
        </w:tc>
        <w:tc>
          <w:tcPr>
            <w:tcW w:w="1633" w:type="dxa"/>
            <w:vAlign w:val="center"/>
          </w:tcPr>
          <w:p w14:paraId="3CCA5DFC">
            <w:pPr>
              <w:rPr>
                <w:rFonts w:eastAsia="宋体"/>
                <w:color w:val="000000"/>
                <w:szCs w:val="21"/>
              </w:rPr>
            </w:pPr>
            <w:r>
              <w:rPr>
                <w:rFonts w:hint="eastAsia" w:eastAsia="宋体"/>
                <w:color w:val="000000"/>
                <w:szCs w:val="21"/>
              </w:rPr>
              <w:t>法定代表人或授权代表：</w:t>
            </w:r>
          </w:p>
        </w:tc>
        <w:tc>
          <w:tcPr>
            <w:tcW w:w="2634" w:type="dxa"/>
            <w:gridSpan w:val="2"/>
            <w:vAlign w:val="center"/>
          </w:tcPr>
          <w:p w14:paraId="6AEC4FE2">
            <w:pPr>
              <w:rPr>
                <w:rFonts w:eastAsia="宋体"/>
                <w:color w:val="000000"/>
                <w:szCs w:val="21"/>
              </w:rPr>
            </w:pPr>
          </w:p>
        </w:tc>
      </w:tr>
      <w:tr w14:paraId="35002413">
        <w:tblPrEx>
          <w:tblCellMar>
            <w:top w:w="0" w:type="dxa"/>
            <w:left w:w="108" w:type="dxa"/>
            <w:bottom w:w="0" w:type="dxa"/>
            <w:right w:w="108" w:type="dxa"/>
          </w:tblCellMar>
        </w:tblPrEx>
        <w:trPr>
          <w:trHeight w:val="478" w:hRule="exact"/>
          <w:jc w:val="center"/>
        </w:trPr>
        <w:tc>
          <w:tcPr>
            <w:tcW w:w="1808" w:type="dxa"/>
            <w:vAlign w:val="center"/>
          </w:tcPr>
          <w:p w14:paraId="6E03BD02">
            <w:pPr>
              <w:spacing w:line="280" w:lineRule="exact"/>
              <w:rPr>
                <w:rFonts w:eastAsia="宋体"/>
                <w:color w:val="000000"/>
                <w:szCs w:val="21"/>
              </w:rPr>
            </w:pPr>
            <w:r>
              <w:rPr>
                <w:rFonts w:hint="eastAsia" w:ascii="宋体" w:hAnsi="宋体" w:eastAsia="宋体"/>
                <w:color w:val="000000"/>
                <w:szCs w:val="21"/>
              </w:rPr>
              <w:t>住</w:t>
            </w:r>
            <w:r>
              <w:rPr>
                <w:rFonts w:ascii="宋体" w:hAnsi="宋体" w:eastAsia="宋体"/>
                <w:color w:val="000000"/>
                <w:szCs w:val="21"/>
              </w:rPr>
              <w:t xml:space="preserve">    </w:t>
            </w:r>
            <w:r>
              <w:rPr>
                <w:rFonts w:hint="eastAsia" w:ascii="宋体" w:hAnsi="宋体" w:eastAsia="宋体"/>
                <w:color w:val="000000"/>
                <w:szCs w:val="21"/>
              </w:rPr>
              <w:t>所：</w:t>
            </w:r>
          </w:p>
        </w:tc>
        <w:tc>
          <w:tcPr>
            <w:tcW w:w="2929" w:type="dxa"/>
            <w:gridSpan w:val="2"/>
            <w:vAlign w:val="center"/>
          </w:tcPr>
          <w:p w14:paraId="6BE0D703">
            <w:pPr>
              <w:spacing w:line="280" w:lineRule="exact"/>
              <w:rPr>
                <w:rFonts w:eastAsia="宋体"/>
                <w:color w:val="000000"/>
                <w:szCs w:val="21"/>
              </w:rPr>
            </w:pPr>
          </w:p>
        </w:tc>
        <w:tc>
          <w:tcPr>
            <w:tcW w:w="1633" w:type="dxa"/>
            <w:vAlign w:val="center"/>
          </w:tcPr>
          <w:p w14:paraId="20B2DA0B">
            <w:pPr>
              <w:spacing w:line="280" w:lineRule="exact"/>
              <w:rPr>
                <w:rFonts w:eastAsia="宋体"/>
                <w:color w:val="000000"/>
                <w:szCs w:val="21"/>
              </w:rPr>
            </w:pPr>
            <w:r>
              <w:rPr>
                <w:rFonts w:hint="eastAsia" w:ascii="宋体" w:hAnsi="宋体" w:eastAsia="宋体"/>
                <w:color w:val="000000"/>
                <w:szCs w:val="21"/>
              </w:rPr>
              <w:t>邮政编码：</w:t>
            </w:r>
          </w:p>
        </w:tc>
        <w:tc>
          <w:tcPr>
            <w:tcW w:w="2634" w:type="dxa"/>
            <w:gridSpan w:val="2"/>
            <w:vAlign w:val="center"/>
          </w:tcPr>
          <w:p w14:paraId="04319083">
            <w:pPr>
              <w:spacing w:line="280" w:lineRule="exact"/>
              <w:rPr>
                <w:rFonts w:eastAsia="宋体"/>
                <w:color w:val="000000"/>
                <w:szCs w:val="21"/>
              </w:rPr>
            </w:pPr>
          </w:p>
        </w:tc>
      </w:tr>
      <w:tr w14:paraId="3D0B11E0">
        <w:tblPrEx>
          <w:tblCellMar>
            <w:top w:w="0" w:type="dxa"/>
            <w:left w:w="108" w:type="dxa"/>
            <w:bottom w:w="0" w:type="dxa"/>
            <w:right w:w="108" w:type="dxa"/>
          </w:tblCellMar>
        </w:tblPrEx>
        <w:trPr>
          <w:trHeight w:val="539" w:hRule="exact"/>
          <w:jc w:val="center"/>
        </w:trPr>
        <w:tc>
          <w:tcPr>
            <w:tcW w:w="1808" w:type="dxa"/>
            <w:vAlign w:val="center"/>
          </w:tcPr>
          <w:p w14:paraId="6D89FE69">
            <w:pPr>
              <w:rPr>
                <w:rFonts w:hint="eastAsia" w:ascii="宋体" w:hAnsi="宋体" w:eastAsia="宋体"/>
                <w:color w:val="000000"/>
                <w:szCs w:val="21"/>
              </w:rPr>
            </w:pPr>
            <w:r>
              <w:rPr>
                <w:rFonts w:hint="eastAsia" w:ascii="宋体" w:hAnsi="宋体" w:eastAsia="宋体"/>
                <w:color w:val="000000"/>
                <w:szCs w:val="21"/>
              </w:rPr>
              <w:t>统一信用代码：</w:t>
            </w:r>
          </w:p>
        </w:tc>
        <w:tc>
          <w:tcPr>
            <w:tcW w:w="2929" w:type="dxa"/>
            <w:gridSpan w:val="2"/>
            <w:vAlign w:val="center"/>
          </w:tcPr>
          <w:p w14:paraId="46DD4FE1">
            <w:pPr>
              <w:rPr>
                <w:rFonts w:eastAsia="宋体"/>
                <w:color w:val="000000"/>
                <w:szCs w:val="21"/>
              </w:rPr>
            </w:pPr>
          </w:p>
        </w:tc>
        <w:tc>
          <w:tcPr>
            <w:tcW w:w="1633" w:type="dxa"/>
            <w:vAlign w:val="center"/>
          </w:tcPr>
          <w:p w14:paraId="190A2A7E">
            <w:pPr>
              <w:rPr>
                <w:rFonts w:eastAsia="宋体"/>
                <w:color w:val="000000"/>
                <w:szCs w:val="21"/>
              </w:rPr>
            </w:pPr>
            <w:r>
              <w:rPr>
                <w:rFonts w:hint="eastAsia" w:ascii="宋体" w:hAnsi="宋体" w:eastAsia="宋体"/>
                <w:color w:val="000000"/>
                <w:szCs w:val="21"/>
              </w:rPr>
              <w:t>电</w:t>
            </w:r>
            <w:r>
              <w:rPr>
                <w:rFonts w:ascii="宋体" w:hAnsi="宋体" w:eastAsia="宋体"/>
                <w:color w:val="000000"/>
                <w:szCs w:val="21"/>
              </w:rPr>
              <w:t xml:space="preserve">    </w:t>
            </w:r>
            <w:r>
              <w:rPr>
                <w:rFonts w:hint="eastAsia" w:ascii="宋体" w:hAnsi="宋体" w:eastAsia="宋体"/>
                <w:color w:val="000000"/>
                <w:szCs w:val="21"/>
              </w:rPr>
              <w:t>话：</w:t>
            </w:r>
          </w:p>
        </w:tc>
        <w:tc>
          <w:tcPr>
            <w:tcW w:w="2634" w:type="dxa"/>
            <w:gridSpan w:val="2"/>
            <w:vAlign w:val="center"/>
          </w:tcPr>
          <w:p w14:paraId="5BD6FD7B">
            <w:pPr>
              <w:rPr>
                <w:rFonts w:eastAsia="宋体"/>
                <w:color w:val="000000"/>
                <w:szCs w:val="21"/>
              </w:rPr>
            </w:pPr>
          </w:p>
        </w:tc>
      </w:tr>
      <w:tr w14:paraId="35862B66">
        <w:tblPrEx>
          <w:tblCellMar>
            <w:top w:w="0" w:type="dxa"/>
            <w:left w:w="108" w:type="dxa"/>
            <w:bottom w:w="0" w:type="dxa"/>
            <w:right w:w="108" w:type="dxa"/>
          </w:tblCellMar>
        </w:tblPrEx>
        <w:trPr>
          <w:trHeight w:val="539" w:hRule="exact"/>
          <w:jc w:val="center"/>
        </w:trPr>
        <w:tc>
          <w:tcPr>
            <w:tcW w:w="1808" w:type="dxa"/>
            <w:vAlign w:val="center"/>
          </w:tcPr>
          <w:p w14:paraId="0D4D2AA3">
            <w:pPr>
              <w:rPr>
                <w:rFonts w:eastAsia="宋体"/>
                <w:color w:val="000000"/>
                <w:szCs w:val="21"/>
              </w:rPr>
            </w:pPr>
            <w:r>
              <w:rPr>
                <w:rFonts w:hint="eastAsia" w:ascii="宋体" w:hAnsi="宋体" w:eastAsia="宋体"/>
                <w:color w:val="000000"/>
                <w:szCs w:val="21"/>
              </w:rPr>
              <w:t>邮</w:t>
            </w:r>
            <w:r>
              <w:rPr>
                <w:rFonts w:ascii="宋体" w:hAnsi="宋体" w:eastAsia="宋体"/>
                <w:color w:val="000000"/>
                <w:szCs w:val="21"/>
              </w:rPr>
              <w:t xml:space="preserve">    </w:t>
            </w:r>
            <w:r>
              <w:rPr>
                <w:rFonts w:hint="eastAsia" w:ascii="宋体" w:hAnsi="宋体" w:eastAsia="宋体"/>
                <w:color w:val="000000"/>
                <w:szCs w:val="21"/>
              </w:rPr>
              <w:t>箱：</w:t>
            </w:r>
          </w:p>
        </w:tc>
        <w:tc>
          <w:tcPr>
            <w:tcW w:w="2929" w:type="dxa"/>
            <w:gridSpan w:val="2"/>
            <w:vAlign w:val="center"/>
          </w:tcPr>
          <w:p w14:paraId="5AF586A8">
            <w:pPr>
              <w:rPr>
                <w:rFonts w:eastAsia="宋体"/>
                <w:color w:val="000000"/>
                <w:szCs w:val="21"/>
              </w:rPr>
            </w:pPr>
          </w:p>
        </w:tc>
        <w:tc>
          <w:tcPr>
            <w:tcW w:w="1633" w:type="dxa"/>
            <w:vAlign w:val="center"/>
          </w:tcPr>
          <w:p w14:paraId="0610EA4E">
            <w:pPr>
              <w:spacing w:line="280" w:lineRule="exact"/>
              <w:rPr>
                <w:rFonts w:eastAsia="宋体"/>
                <w:color w:val="000000"/>
                <w:szCs w:val="21"/>
              </w:rPr>
            </w:pPr>
            <w:r>
              <w:rPr>
                <w:rFonts w:hint="eastAsia" w:ascii="宋体" w:hAnsi="宋体" w:eastAsia="宋体"/>
                <w:color w:val="000000"/>
                <w:szCs w:val="21"/>
              </w:rPr>
              <w:t>传</w:t>
            </w:r>
            <w:r>
              <w:rPr>
                <w:rFonts w:ascii="宋体" w:hAnsi="宋体" w:eastAsia="宋体"/>
                <w:color w:val="000000"/>
                <w:szCs w:val="21"/>
              </w:rPr>
              <w:t xml:space="preserve">    </w:t>
            </w:r>
            <w:r>
              <w:rPr>
                <w:rFonts w:hint="eastAsia" w:ascii="宋体" w:hAnsi="宋体" w:eastAsia="宋体"/>
                <w:color w:val="000000"/>
                <w:szCs w:val="21"/>
              </w:rPr>
              <w:t>真：</w:t>
            </w:r>
          </w:p>
        </w:tc>
        <w:tc>
          <w:tcPr>
            <w:tcW w:w="2634" w:type="dxa"/>
            <w:gridSpan w:val="2"/>
            <w:vAlign w:val="center"/>
          </w:tcPr>
          <w:p w14:paraId="341DB354">
            <w:pPr>
              <w:rPr>
                <w:rFonts w:eastAsia="宋体"/>
                <w:color w:val="000000"/>
                <w:szCs w:val="21"/>
              </w:rPr>
            </w:pPr>
          </w:p>
        </w:tc>
      </w:tr>
      <w:tr w14:paraId="49008884">
        <w:tblPrEx>
          <w:tblCellMar>
            <w:top w:w="0" w:type="dxa"/>
            <w:left w:w="108" w:type="dxa"/>
            <w:bottom w:w="0" w:type="dxa"/>
            <w:right w:w="108" w:type="dxa"/>
          </w:tblCellMar>
        </w:tblPrEx>
        <w:trPr>
          <w:trHeight w:val="596" w:hRule="exact"/>
          <w:jc w:val="center"/>
        </w:trPr>
        <w:tc>
          <w:tcPr>
            <w:tcW w:w="1808" w:type="dxa"/>
            <w:vAlign w:val="center"/>
          </w:tcPr>
          <w:p w14:paraId="03393D21">
            <w:pPr>
              <w:spacing w:line="280" w:lineRule="exact"/>
              <w:rPr>
                <w:rFonts w:eastAsia="宋体"/>
                <w:color w:val="000000"/>
                <w:szCs w:val="21"/>
              </w:rPr>
            </w:pPr>
            <w:r>
              <w:rPr>
                <w:rFonts w:hint="eastAsia" w:ascii="宋体" w:hAnsi="宋体" w:eastAsia="宋体"/>
                <w:color w:val="000000"/>
                <w:szCs w:val="21"/>
              </w:rPr>
              <w:t>开户银行：</w:t>
            </w:r>
          </w:p>
        </w:tc>
        <w:tc>
          <w:tcPr>
            <w:tcW w:w="2929" w:type="dxa"/>
            <w:gridSpan w:val="2"/>
            <w:vAlign w:val="center"/>
          </w:tcPr>
          <w:p w14:paraId="08BE4F7C">
            <w:pPr>
              <w:rPr>
                <w:rFonts w:eastAsia="宋体"/>
                <w:color w:val="000000"/>
                <w:szCs w:val="21"/>
              </w:rPr>
            </w:pPr>
          </w:p>
        </w:tc>
        <w:tc>
          <w:tcPr>
            <w:tcW w:w="1633" w:type="dxa"/>
            <w:vAlign w:val="center"/>
          </w:tcPr>
          <w:p w14:paraId="687B9238">
            <w:pPr>
              <w:spacing w:line="280" w:lineRule="exact"/>
              <w:rPr>
                <w:rFonts w:eastAsia="宋体"/>
                <w:color w:val="000000"/>
                <w:szCs w:val="21"/>
              </w:rPr>
            </w:pPr>
            <w:r>
              <w:rPr>
                <w:rFonts w:hint="eastAsia" w:ascii="宋体" w:hAnsi="宋体" w:eastAsia="宋体"/>
                <w:color w:val="000000"/>
                <w:szCs w:val="21"/>
              </w:rPr>
              <w:t>开户全名</w:t>
            </w:r>
            <w:r>
              <w:rPr>
                <w:rFonts w:hint="eastAsia" w:eastAsia="宋体"/>
                <w:color w:val="000000"/>
                <w:szCs w:val="21"/>
              </w:rPr>
              <w:t>：</w:t>
            </w:r>
          </w:p>
        </w:tc>
        <w:tc>
          <w:tcPr>
            <w:tcW w:w="2634" w:type="dxa"/>
            <w:gridSpan w:val="2"/>
            <w:vAlign w:val="center"/>
          </w:tcPr>
          <w:p w14:paraId="517C1F9C">
            <w:pPr>
              <w:spacing w:line="280" w:lineRule="exact"/>
              <w:rPr>
                <w:rFonts w:eastAsia="宋体"/>
                <w:color w:val="000000"/>
                <w:szCs w:val="21"/>
              </w:rPr>
            </w:pPr>
          </w:p>
        </w:tc>
      </w:tr>
      <w:tr w14:paraId="769E9D35">
        <w:tblPrEx>
          <w:tblCellMar>
            <w:top w:w="0" w:type="dxa"/>
            <w:left w:w="108" w:type="dxa"/>
            <w:bottom w:w="0" w:type="dxa"/>
            <w:right w:w="108" w:type="dxa"/>
          </w:tblCellMar>
        </w:tblPrEx>
        <w:trPr>
          <w:trHeight w:val="555" w:hRule="exact"/>
          <w:jc w:val="center"/>
        </w:trPr>
        <w:tc>
          <w:tcPr>
            <w:tcW w:w="1808" w:type="dxa"/>
            <w:vAlign w:val="center"/>
          </w:tcPr>
          <w:p w14:paraId="20A7D47A">
            <w:pPr>
              <w:spacing w:line="280" w:lineRule="exact"/>
              <w:rPr>
                <w:rFonts w:hint="eastAsia" w:ascii="宋体" w:hAnsi="宋体" w:eastAsia="宋体"/>
                <w:color w:val="000000"/>
                <w:szCs w:val="21"/>
              </w:rPr>
            </w:pPr>
            <w:r>
              <w:rPr>
                <w:rFonts w:hint="eastAsia" w:ascii="宋体" w:hAnsi="宋体" w:eastAsia="宋体"/>
                <w:color w:val="000000"/>
                <w:szCs w:val="21"/>
              </w:rPr>
              <w:t>账    号：</w:t>
            </w:r>
          </w:p>
        </w:tc>
        <w:tc>
          <w:tcPr>
            <w:tcW w:w="2929" w:type="dxa"/>
            <w:gridSpan w:val="2"/>
            <w:vAlign w:val="center"/>
          </w:tcPr>
          <w:p w14:paraId="578D0C33">
            <w:pPr>
              <w:spacing w:line="280" w:lineRule="exact"/>
              <w:rPr>
                <w:rFonts w:eastAsia="宋体"/>
                <w:color w:val="000000"/>
                <w:szCs w:val="21"/>
              </w:rPr>
            </w:pPr>
          </w:p>
        </w:tc>
        <w:tc>
          <w:tcPr>
            <w:tcW w:w="1633" w:type="dxa"/>
            <w:vAlign w:val="center"/>
          </w:tcPr>
          <w:p w14:paraId="543CBA78">
            <w:pPr>
              <w:spacing w:line="280" w:lineRule="exact"/>
              <w:rPr>
                <w:rFonts w:eastAsia="宋体"/>
                <w:color w:val="000000"/>
                <w:szCs w:val="21"/>
              </w:rPr>
            </w:pPr>
            <w:r>
              <w:rPr>
                <w:rFonts w:hint="eastAsia" w:ascii="宋体" w:hAnsi="宋体" w:eastAsia="宋体"/>
                <w:color w:val="000000"/>
                <w:szCs w:val="21"/>
              </w:rPr>
              <w:t>银行行号：</w:t>
            </w:r>
          </w:p>
        </w:tc>
        <w:tc>
          <w:tcPr>
            <w:tcW w:w="2634" w:type="dxa"/>
            <w:gridSpan w:val="2"/>
            <w:vAlign w:val="center"/>
          </w:tcPr>
          <w:p w14:paraId="795EB6AA">
            <w:pPr>
              <w:spacing w:line="280" w:lineRule="exact"/>
              <w:rPr>
                <w:rFonts w:eastAsia="宋体"/>
                <w:color w:val="000000"/>
                <w:szCs w:val="21"/>
              </w:rPr>
            </w:pPr>
          </w:p>
        </w:tc>
      </w:tr>
      <w:tr w14:paraId="2BA18D8D">
        <w:tblPrEx>
          <w:tblCellMar>
            <w:top w:w="0" w:type="dxa"/>
            <w:left w:w="108" w:type="dxa"/>
            <w:bottom w:w="0" w:type="dxa"/>
            <w:right w:w="108" w:type="dxa"/>
          </w:tblCellMar>
        </w:tblPrEx>
        <w:trPr>
          <w:trHeight w:val="926" w:hRule="exact"/>
          <w:jc w:val="center"/>
        </w:trPr>
        <w:tc>
          <w:tcPr>
            <w:tcW w:w="1808" w:type="dxa"/>
            <w:vAlign w:val="center"/>
          </w:tcPr>
          <w:p w14:paraId="0B5CFC2A">
            <w:pPr>
              <w:rPr>
                <w:rFonts w:eastAsia="宋体"/>
                <w:color w:val="000000"/>
                <w:szCs w:val="21"/>
              </w:rPr>
            </w:pPr>
            <w:r>
              <w:rPr>
                <w:rFonts w:hint="eastAsia" w:ascii="宋体" w:hAnsi="宋体" w:eastAsia="宋体"/>
                <w:color w:val="000000"/>
                <w:szCs w:val="21"/>
              </w:rPr>
              <w:t>甲方经办人：</w:t>
            </w:r>
          </w:p>
        </w:tc>
        <w:tc>
          <w:tcPr>
            <w:tcW w:w="2929" w:type="dxa"/>
            <w:gridSpan w:val="2"/>
            <w:vAlign w:val="center"/>
          </w:tcPr>
          <w:p w14:paraId="5163D84F">
            <w:pPr>
              <w:rPr>
                <w:rFonts w:eastAsia="宋体"/>
                <w:color w:val="000000"/>
                <w:szCs w:val="21"/>
              </w:rPr>
            </w:pPr>
          </w:p>
        </w:tc>
        <w:tc>
          <w:tcPr>
            <w:tcW w:w="1633" w:type="dxa"/>
            <w:vAlign w:val="center"/>
          </w:tcPr>
          <w:p w14:paraId="4FEF99FB">
            <w:pPr>
              <w:rPr>
                <w:rFonts w:eastAsia="宋体"/>
                <w:color w:val="000000"/>
                <w:szCs w:val="21"/>
              </w:rPr>
            </w:pPr>
            <w:r>
              <w:rPr>
                <w:rFonts w:hint="eastAsia" w:ascii="宋体" w:hAnsi="宋体" w:eastAsia="宋体"/>
                <w:color w:val="000000"/>
                <w:szCs w:val="21"/>
              </w:rPr>
              <w:t>甲方经办人电话：</w:t>
            </w:r>
          </w:p>
        </w:tc>
        <w:tc>
          <w:tcPr>
            <w:tcW w:w="2634" w:type="dxa"/>
            <w:gridSpan w:val="2"/>
            <w:vAlign w:val="center"/>
          </w:tcPr>
          <w:p w14:paraId="43AEFCEA">
            <w:pPr>
              <w:rPr>
                <w:rFonts w:eastAsia="宋体"/>
                <w:color w:val="000000"/>
                <w:szCs w:val="21"/>
              </w:rPr>
            </w:pPr>
          </w:p>
        </w:tc>
      </w:tr>
      <w:tr w14:paraId="086A0B60">
        <w:tblPrEx>
          <w:tblCellMar>
            <w:top w:w="0" w:type="dxa"/>
            <w:left w:w="108" w:type="dxa"/>
            <w:bottom w:w="0" w:type="dxa"/>
            <w:right w:w="108" w:type="dxa"/>
          </w:tblCellMar>
        </w:tblPrEx>
        <w:trPr>
          <w:gridAfter w:val="1"/>
          <w:wAfter w:w="12" w:type="dxa"/>
          <w:trHeight w:val="693" w:hRule="exact"/>
          <w:jc w:val="center"/>
        </w:trPr>
        <w:tc>
          <w:tcPr>
            <w:tcW w:w="1815" w:type="dxa"/>
            <w:gridSpan w:val="2"/>
            <w:vAlign w:val="center"/>
          </w:tcPr>
          <w:p w14:paraId="1C937BA5">
            <w:pPr>
              <w:rPr>
                <w:rFonts w:eastAsia="宋体"/>
                <w:color w:val="000000"/>
                <w:szCs w:val="21"/>
              </w:rPr>
            </w:pPr>
            <w:r>
              <w:rPr>
                <w:rFonts w:hint="eastAsia" w:eastAsia="宋体"/>
                <w:color w:val="000000"/>
                <w:szCs w:val="21"/>
              </w:rPr>
              <w:t>合同签署地点：</w:t>
            </w:r>
          </w:p>
        </w:tc>
        <w:tc>
          <w:tcPr>
            <w:tcW w:w="7177" w:type="dxa"/>
            <w:gridSpan w:val="3"/>
            <w:vAlign w:val="center"/>
          </w:tcPr>
          <w:p w14:paraId="26BC5B99">
            <w:pPr>
              <w:rPr>
                <w:rFonts w:eastAsia="宋体"/>
                <w:color w:val="000000"/>
                <w:szCs w:val="21"/>
              </w:rPr>
            </w:pPr>
          </w:p>
        </w:tc>
      </w:tr>
      <w:tr w14:paraId="7BC8CB8C">
        <w:tblPrEx>
          <w:tblCellMar>
            <w:top w:w="0" w:type="dxa"/>
            <w:left w:w="108" w:type="dxa"/>
            <w:bottom w:w="0" w:type="dxa"/>
            <w:right w:w="108" w:type="dxa"/>
          </w:tblCellMar>
        </w:tblPrEx>
        <w:trPr>
          <w:gridAfter w:val="1"/>
          <w:wAfter w:w="12" w:type="dxa"/>
          <w:trHeight w:val="639" w:hRule="exact"/>
          <w:jc w:val="center"/>
        </w:trPr>
        <w:tc>
          <w:tcPr>
            <w:tcW w:w="1815" w:type="dxa"/>
            <w:gridSpan w:val="2"/>
            <w:vAlign w:val="center"/>
          </w:tcPr>
          <w:p w14:paraId="1465C755">
            <w:pPr>
              <w:rPr>
                <w:rFonts w:eastAsia="宋体"/>
                <w:color w:val="000000"/>
                <w:szCs w:val="21"/>
              </w:rPr>
            </w:pPr>
            <w:r>
              <w:rPr>
                <w:rFonts w:hint="eastAsia" w:eastAsia="宋体"/>
                <w:color w:val="000000"/>
                <w:szCs w:val="21"/>
              </w:rPr>
              <w:t>时</w:t>
            </w:r>
            <w:r>
              <w:rPr>
                <w:rFonts w:eastAsia="宋体"/>
                <w:color w:val="000000"/>
                <w:szCs w:val="21"/>
              </w:rPr>
              <w:t xml:space="preserve">    </w:t>
            </w:r>
            <w:r>
              <w:rPr>
                <w:rFonts w:hint="eastAsia" w:eastAsia="宋体"/>
                <w:color w:val="000000"/>
                <w:szCs w:val="21"/>
              </w:rPr>
              <w:t>间：</w:t>
            </w:r>
          </w:p>
        </w:tc>
        <w:tc>
          <w:tcPr>
            <w:tcW w:w="7177" w:type="dxa"/>
            <w:gridSpan w:val="3"/>
            <w:vAlign w:val="center"/>
          </w:tcPr>
          <w:p w14:paraId="06B27254">
            <w:pPr>
              <w:ind w:firstLine="630" w:firstLineChars="300"/>
              <w:rPr>
                <w:rFonts w:eastAsia="宋体"/>
                <w:color w:val="000000"/>
                <w:szCs w:val="21"/>
              </w:rPr>
            </w:pPr>
            <w:r>
              <w:rPr>
                <w:rFonts w:eastAsia="宋体"/>
                <w:color w:val="000000"/>
                <w:szCs w:val="21"/>
              </w:rPr>
              <w:t xml:space="preserve"> </w:t>
            </w:r>
            <w:r>
              <w:rPr>
                <w:rFonts w:ascii="宋体" w:hAnsi="宋体" w:eastAsia="宋体"/>
                <w:color w:val="000000"/>
                <w:szCs w:val="21"/>
              </w:rPr>
              <w:t xml:space="preserve">  </w:t>
            </w:r>
            <w:r>
              <w:rPr>
                <w:rFonts w:hint="eastAsia" w:ascii="宋体" w:hAnsi="宋体" w:eastAsia="宋体"/>
                <w:color w:val="000000"/>
                <w:szCs w:val="21"/>
              </w:rPr>
              <w:t>年</w:t>
            </w:r>
            <w:r>
              <w:rPr>
                <w:rFonts w:ascii="宋体" w:hAnsi="宋体" w:eastAsia="宋体"/>
                <w:color w:val="000000"/>
                <w:szCs w:val="21"/>
              </w:rPr>
              <w:t xml:space="preserve">   </w:t>
            </w:r>
            <w:r>
              <w:rPr>
                <w:rFonts w:hint="eastAsia" w:ascii="宋体" w:hAnsi="宋体" w:eastAsia="宋体"/>
                <w:color w:val="000000"/>
                <w:szCs w:val="21"/>
              </w:rPr>
              <w:t>月</w:t>
            </w:r>
            <w:r>
              <w:rPr>
                <w:rFonts w:ascii="宋体" w:hAnsi="宋体" w:eastAsia="宋体"/>
                <w:color w:val="000000"/>
                <w:szCs w:val="21"/>
              </w:rPr>
              <w:t xml:space="preserve">    </w:t>
            </w:r>
            <w:r>
              <w:rPr>
                <w:rFonts w:hint="eastAsia" w:ascii="宋体" w:hAnsi="宋体" w:eastAsia="宋体"/>
                <w:color w:val="000000"/>
                <w:szCs w:val="21"/>
              </w:rPr>
              <w:t>日</w:t>
            </w:r>
          </w:p>
        </w:tc>
      </w:tr>
      <w:tr w14:paraId="34369F70">
        <w:tblPrEx>
          <w:tblCellMar>
            <w:top w:w="0" w:type="dxa"/>
            <w:left w:w="108" w:type="dxa"/>
            <w:bottom w:w="0" w:type="dxa"/>
            <w:right w:w="108" w:type="dxa"/>
          </w:tblCellMar>
        </w:tblPrEx>
        <w:trPr>
          <w:trHeight w:val="814" w:hRule="exact"/>
          <w:jc w:val="center"/>
        </w:trPr>
        <w:tc>
          <w:tcPr>
            <w:tcW w:w="1808" w:type="dxa"/>
            <w:vAlign w:val="center"/>
          </w:tcPr>
          <w:p w14:paraId="3EB0D638">
            <w:pPr>
              <w:rPr>
                <w:rFonts w:eastAsia="宋体"/>
                <w:color w:val="000000"/>
                <w:szCs w:val="21"/>
              </w:rPr>
            </w:pPr>
            <w:r>
              <w:rPr>
                <w:rFonts w:hint="eastAsia" w:eastAsia="宋体"/>
                <w:color w:val="000000"/>
                <w:szCs w:val="21"/>
              </w:rPr>
              <w:t>乙方：</w:t>
            </w:r>
          </w:p>
        </w:tc>
        <w:tc>
          <w:tcPr>
            <w:tcW w:w="2929" w:type="dxa"/>
            <w:gridSpan w:val="2"/>
            <w:vAlign w:val="center"/>
          </w:tcPr>
          <w:p w14:paraId="33A14338">
            <w:pPr>
              <w:rPr>
                <w:rFonts w:eastAsia="宋体"/>
                <w:color w:val="000000"/>
                <w:szCs w:val="21"/>
              </w:rPr>
            </w:pPr>
          </w:p>
        </w:tc>
        <w:tc>
          <w:tcPr>
            <w:tcW w:w="1633" w:type="dxa"/>
            <w:vAlign w:val="center"/>
          </w:tcPr>
          <w:p w14:paraId="1BB361FD">
            <w:pPr>
              <w:rPr>
                <w:rFonts w:eastAsia="宋体"/>
                <w:color w:val="000000"/>
                <w:szCs w:val="21"/>
              </w:rPr>
            </w:pPr>
            <w:r>
              <w:rPr>
                <w:rFonts w:hint="eastAsia" w:eastAsia="宋体"/>
                <w:color w:val="000000"/>
                <w:szCs w:val="21"/>
              </w:rPr>
              <w:t>法定代表人或授权代表：</w:t>
            </w:r>
          </w:p>
        </w:tc>
        <w:tc>
          <w:tcPr>
            <w:tcW w:w="2634" w:type="dxa"/>
            <w:gridSpan w:val="2"/>
            <w:vAlign w:val="center"/>
          </w:tcPr>
          <w:p w14:paraId="6E5FC448">
            <w:pPr>
              <w:rPr>
                <w:rFonts w:eastAsia="宋体"/>
                <w:color w:val="000000"/>
                <w:szCs w:val="21"/>
              </w:rPr>
            </w:pPr>
          </w:p>
        </w:tc>
      </w:tr>
      <w:tr w14:paraId="41FF22F6">
        <w:tblPrEx>
          <w:tblCellMar>
            <w:top w:w="0" w:type="dxa"/>
            <w:left w:w="108" w:type="dxa"/>
            <w:bottom w:w="0" w:type="dxa"/>
            <w:right w:w="108" w:type="dxa"/>
          </w:tblCellMar>
        </w:tblPrEx>
        <w:trPr>
          <w:trHeight w:val="478" w:hRule="exact"/>
          <w:jc w:val="center"/>
        </w:trPr>
        <w:tc>
          <w:tcPr>
            <w:tcW w:w="1808" w:type="dxa"/>
            <w:vAlign w:val="center"/>
          </w:tcPr>
          <w:p w14:paraId="36BC84C1">
            <w:pPr>
              <w:spacing w:line="280" w:lineRule="exact"/>
              <w:rPr>
                <w:rFonts w:eastAsia="宋体"/>
                <w:color w:val="000000"/>
                <w:szCs w:val="21"/>
              </w:rPr>
            </w:pPr>
            <w:r>
              <w:rPr>
                <w:rFonts w:hint="eastAsia" w:ascii="宋体" w:hAnsi="宋体" w:eastAsia="宋体"/>
                <w:color w:val="000000"/>
                <w:szCs w:val="21"/>
              </w:rPr>
              <w:t>住</w:t>
            </w:r>
            <w:r>
              <w:rPr>
                <w:rFonts w:ascii="宋体" w:hAnsi="宋体" w:eastAsia="宋体"/>
                <w:color w:val="000000"/>
                <w:szCs w:val="21"/>
              </w:rPr>
              <w:t xml:space="preserve">    </w:t>
            </w:r>
            <w:r>
              <w:rPr>
                <w:rFonts w:hint="eastAsia" w:ascii="宋体" w:hAnsi="宋体" w:eastAsia="宋体"/>
                <w:color w:val="000000"/>
                <w:szCs w:val="21"/>
              </w:rPr>
              <w:t>所：</w:t>
            </w:r>
          </w:p>
        </w:tc>
        <w:tc>
          <w:tcPr>
            <w:tcW w:w="2929" w:type="dxa"/>
            <w:gridSpan w:val="2"/>
            <w:vAlign w:val="center"/>
          </w:tcPr>
          <w:p w14:paraId="0FC4AF71">
            <w:pPr>
              <w:spacing w:line="280" w:lineRule="exact"/>
              <w:rPr>
                <w:rFonts w:eastAsia="宋体"/>
                <w:color w:val="000000"/>
                <w:szCs w:val="21"/>
              </w:rPr>
            </w:pPr>
          </w:p>
        </w:tc>
        <w:tc>
          <w:tcPr>
            <w:tcW w:w="1633" w:type="dxa"/>
            <w:vAlign w:val="center"/>
          </w:tcPr>
          <w:p w14:paraId="7090FD92">
            <w:pPr>
              <w:spacing w:line="280" w:lineRule="exact"/>
              <w:rPr>
                <w:rFonts w:eastAsia="宋体"/>
                <w:color w:val="000000"/>
                <w:szCs w:val="21"/>
              </w:rPr>
            </w:pPr>
            <w:r>
              <w:rPr>
                <w:rFonts w:hint="eastAsia" w:ascii="宋体" w:hAnsi="宋体" w:eastAsia="宋体"/>
                <w:color w:val="000000"/>
                <w:szCs w:val="21"/>
              </w:rPr>
              <w:t>邮政编码：</w:t>
            </w:r>
          </w:p>
        </w:tc>
        <w:tc>
          <w:tcPr>
            <w:tcW w:w="2634" w:type="dxa"/>
            <w:gridSpan w:val="2"/>
            <w:vAlign w:val="center"/>
          </w:tcPr>
          <w:p w14:paraId="1DE776FF">
            <w:pPr>
              <w:spacing w:line="280" w:lineRule="exact"/>
              <w:rPr>
                <w:rFonts w:eastAsia="宋体"/>
                <w:color w:val="000000"/>
                <w:szCs w:val="21"/>
              </w:rPr>
            </w:pPr>
          </w:p>
        </w:tc>
      </w:tr>
      <w:tr w14:paraId="2FFC3847">
        <w:tblPrEx>
          <w:tblCellMar>
            <w:top w:w="0" w:type="dxa"/>
            <w:left w:w="108" w:type="dxa"/>
            <w:bottom w:w="0" w:type="dxa"/>
            <w:right w:w="108" w:type="dxa"/>
          </w:tblCellMar>
        </w:tblPrEx>
        <w:trPr>
          <w:trHeight w:val="539" w:hRule="exact"/>
          <w:jc w:val="center"/>
        </w:trPr>
        <w:tc>
          <w:tcPr>
            <w:tcW w:w="1808" w:type="dxa"/>
            <w:vAlign w:val="center"/>
          </w:tcPr>
          <w:p w14:paraId="72F78B0C">
            <w:pPr>
              <w:rPr>
                <w:rFonts w:hint="eastAsia" w:ascii="宋体" w:hAnsi="宋体" w:eastAsia="宋体"/>
                <w:color w:val="000000"/>
                <w:szCs w:val="21"/>
              </w:rPr>
            </w:pPr>
            <w:r>
              <w:rPr>
                <w:rFonts w:hint="eastAsia" w:ascii="宋体" w:hAnsi="宋体" w:eastAsia="宋体"/>
                <w:color w:val="000000"/>
                <w:szCs w:val="21"/>
              </w:rPr>
              <w:t>统一信用代码：</w:t>
            </w:r>
          </w:p>
        </w:tc>
        <w:tc>
          <w:tcPr>
            <w:tcW w:w="2929" w:type="dxa"/>
            <w:gridSpan w:val="2"/>
            <w:vAlign w:val="center"/>
          </w:tcPr>
          <w:p w14:paraId="796349C9">
            <w:pPr>
              <w:rPr>
                <w:rFonts w:eastAsia="宋体"/>
                <w:color w:val="000000"/>
                <w:szCs w:val="21"/>
              </w:rPr>
            </w:pPr>
          </w:p>
        </w:tc>
        <w:tc>
          <w:tcPr>
            <w:tcW w:w="1633" w:type="dxa"/>
            <w:vAlign w:val="center"/>
          </w:tcPr>
          <w:p w14:paraId="7B3CFC95">
            <w:pPr>
              <w:rPr>
                <w:rFonts w:eastAsia="宋体"/>
                <w:color w:val="000000"/>
                <w:szCs w:val="21"/>
              </w:rPr>
            </w:pPr>
            <w:r>
              <w:rPr>
                <w:rFonts w:hint="eastAsia" w:ascii="宋体" w:hAnsi="宋体" w:eastAsia="宋体"/>
                <w:color w:val="000000"/>
                <w:szCs w:val="21"/>
              </w:rPr>
              <w:t>电</w:t>
            </w:r>
            <w:r>
              <w:rPr>
                <w:rFonts w:ascii="宋体" w:hAnsi="宋体" w:eastAsia="宋体"/>
                <w:color w:val="000000"/>
                <w:szCs w:val="21"/>
              </w:rPr>
              <w:t xml:space="preserve">    </w:t>
            </w:r>
            <w:r>
              <w:rPr>
                <w:rFonts w:hint="eastAsia" w:ascii="宋体" w:hAnsi="宋体" w:eastAsia="宋体"/>
                <w:color w:val="000000"/>
                <w:szCs w:val="21"/>
              </w:rPr>
              <w:t>话：</w:t>
            </w:r>
          </w:p>
        </w:tc>
        <w:tc>
          <w:tcPr>
            <w:tcW w:w="2634" w:type="dxa"/>
            <w:gridSpan w:val="2"/>
            <w:vAlign w:val="center"/>
          </w:tcPr>
          <w:p w14:paraId="0BE65A2E">
            <w:pPr>
              <w:rPr>
                <w:rFonts w:eastAsia="宋体"/>
                <w:color w:val="000000"/>
                <w:szCs w:val="21"/>
              </w:rPr>
            </w:pPr>
          </w:p>
        </w:tc>
      </w:tr>
      <w:tr w14:paraId="19D8A29F">
        <w:tblPrEx>
          <w:tblCellMar>
            <w:top w:w="0" w:type="dxa"/>
            <w:left w:w="108" w:type="dxa"/>
            <w:bottom w:w="0" w:type="dxa"/>
            <w:right w:w="108" w:type="dxa"/>
          </w:tblCellMar>
        </w:tblPrEx>
        <w:trPr>
          <w:trHeight w:val="539" w:hRule="exact"/>
          <w:jc w:val="center"/>
        </w:trPr>
        <w:tc>
          <w:tcPr>
            <w:tcW w:w="1808" w:type="dxa"/>
            <w:vAlign w:val="center"/>
          </w:tcPr>
          <w:p w14:paraId="2A055E8A">
            <w:pPr>
              <w:rPr>
                <w:rFonts w:eastAsia="宋体"/>
                <w:color w:val="000000"/>
                <w:szCs w:val="21"/>
              </w:rPr>
            </w:pPr>
            <w:r>
              <w:rPr>
                <w:rFonts w:hint="eastAsia" w:ascii="宋体" w:hAnsi="宋体" w:eastAsia="宋体"/>
                <w:color w:val="000000"/>
                <w:szCs w:val="21"/>
              </w:rPr>
              <w:t>邮</w:t>
            </w:r>
            <w:r>
              <w:rPr>
                <w:rFonts w:ascii="宋体" w:hAnsi="宋体" w:eastAsia="宋体"/>
                <w:color w:val="000000"/>
                <w:szCs w:val="21"/>
              </w:rPr>
              <w:t xml:space="preserve">    </w:t>
            </w:r>
            <w:r>
              <w:rPr>
                <w:rFonts w:hint="eastAsia" w:ascii="宋体" w:hAnsi="宋体" w:eastAsia="宋体"/>
                <w:color w:val="000000"/>
                <w:szCs w:val="21"/>
              </w:rPr>
              <w:t>箱：</w:t>
            </w:r>
          </w:p>
        </w:tc>
        <w:tc>
          <w:tcPr>
            <w:tcW w:w="2929" w:type="dxa"/>
            <w:gridSpan w:val="2"/>
            <w:vAlign w:val="center"/>
          </w:tcPr>
          <w:p w14:paraId="49DCF5EA">
            <w:pPr>
              <w:rPr>
                <w:rFonts w:eastAsia="宋体"/>
                <w:color w:val="000000"/>
                <w:szCs w:val="21"/>
              </w:rPr>
            </w:pPr>
          </w:p>
        </w:tc>
        <w:tc>
          <w:tcPr>
            <w:tcW w:w="1633" w:type="dxa"/>
            <w:vAlign w:val="center"/>
          </w:tcPr>
          <w:p w14:paraId="145FFE8D">
            <w:pPr>
              <w:spacing w:line="280" w:lineRule="exact"/>
              <w:rPr>
                <w:rFonts w:eastAsia="宋体"/>
                <w:color w:val="000000"/>
                <w:szCs w:val="21"/>
              </w:rPr>
            </w:pPr>
            <w:r>
              <w:rPr>
                <w:rFonts w:hint="eastAsia" w:ascii="宋体" w:hAnsi="宋体" w:eastAsia="宋体"/>
                <w:color w:val="000000"/>
                <w:szCs w:val="21"/>
              </w:rPr>
              <w:t>传</w:t>
            </w:r>
            <w:r>
              <w:rPr>
                <w:rFonts w:ascii="宋体" w:hAnsi="宋体" w:eastAsia="宋体"/>
                <w:color w:val="000000"/>
                <w:szCs w:val="21"/>
              </w:rPr>
              <w:t xml:space="preserve">    </w:t>
            </w:r>
            <w:r>
              <w:rPr>
                <w:rFonts w:hint="eastAsia" w:ascii="宋体" w:hAnsi="宋体" w:eastAsia="宋体"/>
                <w:color w:val="000000"/>
                <w:szCs w:val="21"/>
              </w:rPr>
              <w:t>真：</w:t>
            </w:r>
          </w:p>
        </w:tc>
        <w:tc>
          <w:tcPr>
            <w:tcW w:w="2634" w:type="dxa"/>
            <w:gridSpan w:val="2"/>
            <w:vAlign w:val="center"/>
          </w:tcPr>
          <w:p w14:paraId="63F115CF">
            <w:pPr>
              <w:rPr>
                <w:rFonts w:eastAsia="宋体"/>
                <w:color w:val="000000"/>
                <w:szCs w:val="21"/>
              </w:rPr>
            </w:pPr>
          </w:p>
        </w:tc>
      </w:tr>
      <w:tr w14:paraId="0C1D265E">
        <w:tblPrEx>
          <w:tblCellMar>
            <w:top w:w="0" w:type="dxa"/>
            <w:left w:w="108" w:type="dxa"/>
            <w:bottom w:w="0" w:type="dxa"/>
            <w:right w:w="108" w:type="dxa"/>
          </w:tblCellMar>
        </w:tblPrEx>
        <w:trPr>
          <w:trHeight w:val="596" w:hRule="exact"/>
          <w:jc w:val="center"/>
        </w:trPr>
        <w:tc>
          <w:tcPr>
            <w:tcW w:w="1808" w:type="dxa"/>
            <w:vAlign w:val="center"/>
          </w:tcPr>
          <w:p w14:paraId="28BABBCB">
            <w:pPr>
              <w:spacing w:line="280" w:lineRule="exact"/>
              <w:rPr>
                <w:rFonts w:eastAsia="宋体"/>
                <w:color w:val="000000"/>
                <w:szCs w:val="21"/>
              </w:rPr>
            </w:pPr>
            <w:r>
              <w:rPr>
                <w:rFonts w:hint="eastAsia" w:ascii="宋体" w:hAnsi="宋体" w:eastAsia="宋体"/>
                <w:color w:val="000000"/>
                <w:szCs w:val="21"/>
              </w:rPr>
              <w:t>开户银行：</w:t>
            </w:r>
          </w:p>
        </w:tc>
        <w:tc>
          <w:tcPr>
            <w:tcW w:w="2929" w:type="dxa"/>
            <w:gridSpan w:val="2"/>
            <w:vAlign w:val="center"/>
          </w:tcPr>
          <w:p w14:paraId="04C69FB5">
            <w:pPr>
              <w:rPr>
                <w:rFonts w:eastAsia="宋体"/>
                <w:color w:val="000000"/>
                <w:szCs w:val="21"/>
              </w:rPr>
            </w:pPr>
          </w:p>
        </w:tc>
        <w:tc>
          <w:tcPr>
            <w:tcW w:w="1633" w:type="dxa"/>
            <w:vAlign w:val="center"/>
          </w:tcPr>
          <w:p w14:paraId="516274F0">
            <w:pPr>
              <w:spacing w:line="280" w:lineRule="exact"/>
              <w:rPr>
                <w:rFonts w:eastAsia="宋体"/>
                <w:color w:val="000000"/>
                <w:szCs w:val="21"/>
              </w:rPr>
            </w:pPr>
            <w:r>
              <w:rPr>
                <w:rFonts w:hint="eastAsia" w:ascii="宋体" w:hAnsi="宋体" w:eastAsia="宋体"/>
                <w:color w:val="000000"/>
                <w:szCs w:val="21"/>
              </w:rPr>
              <w:t>开户全名</w:t>
            </w:r>
            <w:r>
              <w:rPr>
                <w:rFonts w:hint="eastAsia" w:eastAsia="宋体"/>
                <w:color w:val="000000"/>
                <w:szCs w:val="21"/>
              </w:rPr>
              <w:t>：</w:t>
            </w:r>
          </w:p>
        </w:tc>
        <w:tc>
          <w:tcPr>
            <w:tcW w:w="2634" w:type="dxa"/>
            <w:gridSpan w:val="2"/>
            <w:vAlign w:val="center"/>
          </w:tcPr>
          <w:p w14:paraId="2386864C">
            <w:pPr>
              <w:spacing w:line="280" w:lineRule="exact"/>
              <w:rPr>
                <w:rFonts w:eastAsia="宋体"/>
                <w:color w:val="000000"/>
                <w:szCs w:val="21"/>
              </w:rPr>
            </w:pPr>
          </w:p>
        </w:tc>
      </w:tr>
      <w:tr w14:paraId="3A22BACC">
        <w:tblPrEx>
          <w:tblCellMar>
            <w:top w:w="0" w:type="dxa"/>
            <w:left w:w="108" w:type="dxa"/>
            <w:bottom w:w="0" w:type="dxa"/>
            <w:right w:w="108" w:type="dxa"/>
          </w:tblCellMar>
        </w:tblPrEx>
        <w:trPr>
          <w:trHeight w:val="555" w:hRule="exact"/>
          <w:jc w:val="center"/>
        </w:trPr>
        <w:tc>
          <w:tcPr>
            <w:tcW w:w="1808" w:type="dxa"/>
            <w:vAlign w:val="center"/>
          </w:tcPr>
          <w:p w14:paraId="7757B9D5">
            <w:pPr>
              <w:spacing w:line="280" w:lineRule="exact"/>
              <w:rPr>
                <w:rFonts w:hint="eastAsia" w:ascii="宋体" w:hAnsi="宋体" w:eastAsia="宋体"/>
                <w:color w:val="000000"/>
                <w:szCs w:val="21"/>
              </w:rPr>
            </w:pPr>
            <w:r>
              <w:rPr>
                <w:rFonts w:hint="eastAsia" w:ascii="宋体" w:hAnsi="宋体" w:eastAsia="宋体"/>
                <w:color w:val="000000"/>
                <w:szCs w:val="21"/>
              </w:rPr>
              <w:t>账    号：</w:t>
            </w:r>
          </w:p>
        </w:tc>
        <w:tc>
          <w:tcPr>
            <w:tcW w:w="2929" w:type="dxa"/>
            <w:gridSpan w:val="2"/>
            <w:vAlign w:val="center"/>
          </w:tcPr>
          <w:p w14:paraId="2862B4FF">
            <w:pPr>
              <w:spacing w:line="280" w:lineRule="exact"/>
              <w:rPr>
                <w:rFonts w:eastAsia="宋体"/>
                <w:color w:val="000000"/>
                <w:szCs w:val="21"/>
              </w:rPr>
            </w:pPr>
          </w:p>
        </w:tc>
        <w:tc>
          <w:tcPr>
            <w:tcW w:w="1633" w:type="dxa"/>
            <w:vAlign w:val="center"/>
          </w:tcPr>
          <w:p w14:paraId="01B3FF83">
            <w:pPr>
              <w:spacing w:line="280" w:lineRule="exact"/>
              <w:rPr>
                <w:rFonts w:eastAsia="宋体"/>
                <w:color w:val="000000"/>
                <w:szCs w:val="21"/>
              </w:rPr>
            </w:pPr>
            <w:r>
              <w:rPr>
                <w:rFonts w:hint="eastAsia" w:ascii="宋体" w:hAnsi="宋体" w:eastAsia="宋体"/>
                <w:color w:val="000000"/>
                <w:szCs w:val="21"/>
              </w:rPr>
              <w:t>银行行号：</w:t>
            </w:r>
          </w:p>
        </w:tc>
        <w:tc>
          <w:tcPr>
            <w:tcW w:w="2634" w:type="dxa"/>
            <w:gridSpan w:val="2"/>
            <w:vAlign w:val="center"/>
          </w:tcPr>
          <w:p w14:paraId="14E5663B">
            <w:pPr>
              <w:spacing w:line="280" w:lineRule="exact"/>
              <w:rPr>
                <w:rFonts w:eastAsia="宋体"/>
                <w:color w:val="000000"/>
                <w:szCs w:val="21"/>
              </w:rPr>
            </w:pPr>
          </w:p>
        </w:tc>
      </w:tr>
      <w:tr w14:paraId="6181654A">
        <w:tblPrEx>
          <w:tblCellMar>
            <w:top w:w="0" w:type="dxa"/>
            <w:left w:w="108" w:type="dxa"/>
            <w:bottom w:w="0" w:type="dxa"/>
            <w:right w:w="108" w:type="dxa"/>
          </w:tblCellMar>
        </w:tblPrEx>
        <w:trPr>
          <w:trHeight w:val="926" w:hRule="exact"/>
          <w:jc w:val="center"/>
        </w:trPr>
        <w:tc>
          <w:tcPr>
            <w:tcW w:w="1808" w:type="dxa"/>
            <w:vAlign w:val="center"/>
          </w:tcPr>
          <w:p w14:paraId="4E61A471">
            <w:pPr>
              <w:rPr>
                <w:rFonts w:eastAsia="宋体"/>
                <w:color w:val="000000"/>
                <w:szCs w:val="21"/>
              </w:rPr>
            </w:pPr>
            <w:r>
              <w:rPr>
                <w:rFonts w:hint="eastAsia" w:ascii="宋体" w:hAnsi="宋体" w:eastAsia="宋体"/>
                <w:color w:val="000000"/>
                <w:szCs w:val="21"/>
              </w:rPr>
              <w:t>乙方经办人：</w:t>
            </w:r>
          </w:p>
        </w:tc>
        <w:tc>
          <w:tcPr>
            <w:tcW w:w="2929" w:type="dxa"/>
            <w:gridSpan w:val="2"/>
            <w:vAlign w:val="center"/>
          </w:tcPr>
          <w:p w14:paraId="67749740">
            <w:pPr>
              <w:rPr>
                <w:rFonts w:eastAsia="宋体"/>
                <w:color w:val="000000"/>
                <w:szCs w:val="21"/>
              </w:rPr>
            </w:pPr>
          </w:p>
        </w:tc>
        <w:tc>
          <w:tcPr>
            <w:tcW w:w="1633" w:type="dxa"/>
            <w:vAlign w:val="center"/>
          </w:tcPr>
          <w:p w14:paraId="14C0B7B2">
            <w:pPr>
              <w:rPr>
                <w:rFonts w:eastAsia="宋体"/>
                <w:color w:val="000000"/>
                <w:szCs w:val="21"/>
              </w:rPr>
            </w:pPr>
            <w:r>
              <w:rPr>
                <w:rFonts w:hint="eastAsia" w:ascii="宋体" w:hAnsi="宋体" w:eastAsia="宋体"/>
                <w:color w:val="000000"/>
                <w:szCs w:val="21"/>
              </w:rPr>
              <w:t>乙方经办人电话：</w:t>
            </w:r>
          </w:p>
        </w:tc>
        <w:tc>
          <w:tcPr>
            <w:tcW w:w="2634" w:type="dxa"/>
            <w:gridSpan w:val="2"/>
            <w:vAlign w:val="center"/>
          </w:tcPr>
          <w:p w14:paraId="7BD55F20">
            <w:pPr>
              <w:rPr>
                <w:rFonts w:eastAsia="宋体"/>
                <w:color w:val="000000"/>
                <w:szCs w:val="21"/>
              </w:rPr>
            </w:pPr>
          </w:p>
        </w:tc>
      </w:tr>
      <w:tr w14:paraId="5E773523">
        <w:tblPrEx>
          <w:tblCellMar>
            <w:top w:w="0" w:type="dxa"/>
            <w:left w:w="108" w:type="dxa"/>
            <w:bottom w:w="0" w:type="dxa"/>
            <w:right w:w="108" w:type="dxa"/>
          </w:tblCellMar>
        </w:tblPrEx>
        <w:trPr>
          <w:gridAfter w:val="1"/>
          <w:wAfter w:w="12" w:type="dxa"/>
          <w:trHeight w:val="693" w:hRule="exact"/>
          <w:jc w:val="center"/>
        </w:trPr>
        <w:tc>
          <w:tcPr>
            <w:tcW w:w="1815" w:type="dxa"/>
            <w:gridSpan w:val="2"/>
            <w:vAlign w:val="center"/>
          </w:tcPr>
          <w:p w14:paraId="6FEEAE71">
            <w:pPr>
              <w:rPr>
                <w:rFonts w:eastAsia="宋体"/>
                <w:color w:val="000000"/>
                <w:szCs w:val="21"/>
              </w:rPr>
            </w:pPr>
            <w:r>
              <w:rPr>
                <w:rFonts w:hint="eastAsia" w:eastAsia="宋体"/>
                <w:color w:val="000000"/>
                <w:szCs w:val="21"/>
              </w:rPr>
              <w:t>合同签署地点：</w:t>
            </w:r>
          </w:p>
        </w:tc>
        <w:tc>
          <w:tcPr>
            <w:tcW w:w="7177" w:type="dxa"/>
            <w:gridSpan w:val="3"/>
            <w:vAlign w:val="center"/>
          </w:tcPr>
          <w:p w14:paraId="18077A79">
            <w:pPr>
              <w:rPr>
                <w:rFonts w:eastAsia="宋体"/>
                <w:color w:val="000000"/>
                <w:szCs w:val="21"/>
              </w:rPr>
            </w:pPr>
          </w:p>
        </w:tc>
      </w:tr>
      <w:tr w14:paraId="5ABF9B90">
        <w:tblPrEx>
          <w:tblCellMar>
            <w:top w:w="0" w:type="dxa"/>
            <w:left w:w="108" w:type="dxa"/>
            <w:bottom w:w="0" w:type="dxa"/>
            <w:right w:w="108" w:type="dxa"/>
          </w:tblCellMar>
        </w:tblPrEx>
        <w:trPr>
          <w:gridAfter w:val="1"/>
          <w:wAfter w:w="12" w:type="dxa"/>
          <w:trHeight w:val="639" w:hRule="exact"/>
          <w:jc w:val="center"/>
        </w:trPr>
        <w:tc>
          <w:tcPr>
            <w:tcW w:w="1815" w:type="dxa"/>
            <w:gridSpan w:val="2"/>
            <w:vAlign w:val="center"/>
          </w:tcPr>
          <w:p w14:paraId="53D814D8">
            <w:pPr>
              <w:rPr>
                <w:rFonts w:eastAsia="宋体"/>
                <w:color w:val="000000"/>
                <w:szCs w:val="21"/>
              </w:rPr>
            </w:pPr>
            <w:r>
              <w:rPr>
                <w:rFonts w:hint="eastAsia" w:eastAsia="宋体"/>
                <w:color w:val="000000"/>
                <w:szCs w:val="21"/>
              </w:rPr>
              <w:t>时</w:t>
            </w:r>
            <w:r>
              <w:rPr>
                <w:rFonts w:eastAsia="宋体"/>
                <w:color w:val="000000"/>
                <w:szCs w:val="21"/>
              </w:rPr>
              <w:t xml:space="preserve">    </w:t>
            </w:r>
            <w:r>
              <w:rPr>
                <w:rFonts w:hint="eastAsia" w:eastAsia="宋体"/>
                <w:color w:val="000000"/>
                <w:szCs w:val="21"/>
              </w:rPr>
              <w:t>间：</w:t>
            </w:r>
          </w:p>
        </w:tc>
        <w:tc>
          <w:tcPr>
            <w:tcW w:w="7177" w:type="dxa"/>
            <w:gridSpan w:val="3"/>
            <w:vAlign w:val="center"/>
          </w:tcPr>
          <w:p w14:paraId="5DF5B8FD">
            <w:pPr>
              <w:ind w:firstLine="630" w:firstLineChars="300"/>
              <w:rPr>
                <w:rFonts w:eastAsia="宋体"/>
                <w:color w:val="000000"/>
                <w:szCs w:val="21"/>
              </w:rPr>
            </w:pPr>
            <w:r>
              <w:rPr>
                <w:rFonts w:eastAsia="宋体"/>
                <w:color w:val="000000"/>
                <w:szCs w:val="21"/>
              </w:rPr>
              <w:t xml:space="preserve"> </w:t>
            </w:r>
            <w:r>
              <w:rPr>
                <w:rFonts w:ascii="宋体" w:hAnsi="宋体" w:eastAsia="宋体"/>
                <w:color w:val="000000"/>
                <w:szCs w:val="21"/>
              </w:rPr>
              <w:t xml:space="preserve">  </w:t>
            </w:r>
            <w:r>
              <w:rPr>
                <w:rFonts w:hint="eastAsia" w:ascii="宋体" w:hAnsi="宋体" w:eastAsia="宋体"/>
                <w:color w:val="000000"/>
                <w:szCs w:val="21"/>
              </w:rPr>
              <w:t>年</w:t>
            </w:r>
            <w:r>
              <w:rPr>
                <w:rFonts w:ascii="宋体" w:hAnsi="宋体" w:eastAsia="宋体"/>
                <w:color w:val="000000"/>
                <w:szCs w:val="21"/>
              </w:rPr>
              <w:t xml:space="preserve">   </w:t>
            </w:r>
            <w:r>
              <w:rPr>
                <w:rFonts w:hint="eastAsia" w:ascii="宋体" w:hAnsi="宋体" w:eastAsia="宋体"/>
                <w:color w:val="000000"/>
                <w:szCs w:val="21"/>
              </w:rPr>
              <w:t>月</w:t>
            </w:r>
            <w:r>
              <w:rPr>
                <w:rFonts w:ascii="宋体" w:hAnsi="宋体" w:eastAsia="宋体"/>
                <w:color w:val="000000"/>
                <w:szCs w:val="21"/>
              </w:rPr>
              <w:t xml:space="preserve">    </w:t>
            </w:r>
            <w:r>
              <w:rPr>
                <w:rFonts w:hint="eastAsia" w:ascii="宋体" w:hAnsi="宋体" w:eastAsia="宋体"/>
                <w:color w:val="000000"/>
                <w:szCs w:val="21"/>
              </w:rPr>
              <w:t>日</w:t>
            </w:r>
          </w:p>
        </w:tc>
      </w:tr>
    </w:tbl>
    <w:p w14:paraId="7B227876">
      <w:pPr>
        <w:rPr>
          <w:rFonts w:eastAsia="华文中宋"/>
          <w:color w:val="000000"/>
          <w:sz w:val="32"/>
          <w:szCs w:val="32"/>
        </w:rPr>
      </w:pPr>
    </w:p>
    <w:bookmarkEnd w:id="452"/>
    <w:bookmarkEnd w:id="453"/>
    <w:p w14:paraId="08D5C86B">
      <w:pPr>
        <w:rPr>
          <w:rFonts w:eastAsia="宋体"/>
          <w:color w:val="000000"/>
        </w:rPr>
      </w:pPr>
    </w:p>
    <w:p w14:paraId="68C7AA07">
      <w:pPr>
        <w:rPr>
          <w:rFonts w:eastAsia="华文中宋"/>
          <w:bCs/>
          <w:color w:val="000000"/>
          <w:sz w:val="32"/>
          <w:szCs w:val="32"/>
        </w:rPr>
      </w:pPr>
      <w:r>
        <w:rPr>
          <w:rFonts w:eastAsia="华文中宋"/>
          <w:bCs/>
          <w:color w:val="000000"/>
          <w:sz w:val="32"/>
          <w:szCs w:val="32"/>
        </w:rPr>
        <w:br w:type="page"/>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346F8243">
      <w:pPr>
        <w:keepNext/>
        <w:tabs>
          <w:tab w:val="left" w:pos="432"/>
        </w:tabs>
        <w:spacing w:after="480" w:afterLines="200"/>
        <w:ind w:left="10" w:right="116" w:hanging="10"/>
        <w:jc w:val="center"/>
        <w:outlineLvl w:val="1"/>
        <w:rPr>
          <w:rFonts w:hint="eastAsia" w:ascii="黑体" w:hAnsi="黑体" w:eastAsia="华文中宋" w:cs="黑体"/>
          <w:color w:val="000000"/>
          <w:sz w:val="32"/>
          <w:szCs w:val="32"/>
        </w:rPr>
      </w:pPr>
      <w:bookmarkStart w:id="469" w:name="_Toc138263827"/>
      <w:bookmarkStart w:id="470" w:name="_Toc69482930"/>
      <w:bookmarkStart w:id="471" w:name="_Toc16027"/>
      <w:bookmarkStart w:id="472" w:name="_Toc84855292"/>
      <w:bookmarkStart w:id="473" w:name="_Toc3907"/>
      <w:bookmarkStart w:id="474" w:name="_Toc318641894"/>
      <w:bookmarkStart w:id="475" w:name="_Toc84855389"/>
      <w:bookmarkStart w:id="476" w:name="_Toc45885376"/>
      <w:bookmarkStart w:id="477" w:name="_Toc55480787"/>
      <w:bookmarkStart w:id="478" w:name="_Toc401824181"/>
      <w:bookmarkStart w:id="479" w:name="_Toc69483027"/>
      <w:bookmarkStart w:id="480" w:name="_Toc55482501"/>
      <w:bookmarkStart w:id="481" w:name="_Toc449602265"/>
      <w:bookmarkStart w:id="482" w:name="_Toc497339353"/>
      <w:bookmarkStart w:id="483" w:name="_Toc318807047"/>
      <w:bookmarkStart w:id="484" w:name="_Toc55482326"/>
      <w:bookmarkStart w:id="485" w:name="_Toc55481819"/>
      <w:bookmarkStart w:id="486" w:name="_Toc282993848"/>
      <w:bookmarkStart w:id="487" w:name="_Toc319953838"/>
      <w:bookmarkStart w:id="488" w:name="_Toc55480962"/>
      <w:bookmarkStart w:id="489" w:name="_Toc7816"/>
      <w:r>
        <w:rPr>
          <w:rFonts w:hint="eastAsia" w:ascii="黑体" w:hAnsi="黑体" w:eastAsia="华文中宋" w:cs="黑体"/>
          <w:color w:val="000000"/>
          <w:sz w:val="32"/>
          <w:szCs w:val="32"/>
        </w:rPr>
        <w:t>第二部分  合同条款</w:t>
      </w:r>
      <w:bookmarkEnd w:id="469"/>
      <w:bookmarkEnd w:id="470"/>
      <w:bookmarkEnd w:id="471"/>
      <w:bookmarkEnd w:id="472"/>
      <w:bookmarkEnd w:id="473"/>
    </w:p>
    <w:p w14:paraId="2C42739D">
      <w:pPr>
        <w:keepNext/>
        <w:keepLines/>
        <w:spacing w:before="360" w:beforeLines="150" w:after="172" w:line="360" w:lineRule="auto"/>
        <w:ind w:left="420" w:right="113"/>
        <w:outlineLvl w:val="2"/>
        <w:rPr>
          <w:rFonts w:eastAsia="黑体" w:cs="黑体"/>
          <w:color w:val="000000"/>
          <w:sz w:val="28"/>
        </w:rPr>
      </w:pPr>
      <w:bookmarkStart w:id="490" w:name="_Toc138263828"/>
      <w:bookmarkStart w:id="491" w:name="_Toc449602248"/>
      <w:bookmarkStart w:id="492" w:name="_Toc319953821"/>
      <w:bookmarkStart w:id="493" w:name="_Toc55482407"/>
      <w:bookmarkStart w:id="494" w:name="_Toc69482931"/>
      <w:bookmarkStart w:id="495" w:name="_Toc84855293"/>
      <w:bookmarkStart w:id="496" w:name="_Toc401824164"/>
      <w:bookmarkStart w:id="497" w:name="_Toc55481725"/>
      <w:bookmarkStart w:id="498" w:name="_Toc11444"/>
      <w:bookmarkStart w:id="499" w:name="_Toc55480868"/>
      <w:bookmarkStart w:id="500" w:name="_Toc318641875"/>
      <w:bookmarkStart w:id="501" w:name="_Toc497339336"/>
      <w:bookmarkStart w:id="502" w:name="_Toc6564"/>
      <w:bookmarkStart w:id="503" w:name="_Toc55480693"/>
      <w:bookmarkStart w:id="504" w:name="_Toc55482232"/>
      <w:bookmarkStart w:id="505" w:name="_Toc318807029"/>
      <w:bookmarkStart w:id="506" w:name="_Toc282993829"/>
      <w:bookmarkStart w:id="507" w:name="_Toc29833"/>
      <w:bookmarkStart w:id="508" w:name="_Toc45885357"/>
      <w:bookmarkStart w:id="509" w:name="_Toc22254_WPSOffice_Level2"/>
      <w:r>
        <w:rPr>
          <w:rFonts w:eastAsia="黑体" w:cs="黑体"/>
          <w:color w:val="000000"/>
          <w:sz w:val="28"/>
        </w:rPr>
        <w:t>1.一般约定</w:t>
      </w:r>
    </w:p>
    <w:p w14:paraId="03851963">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1.1</w:t>
      </w:r>
      <w:r>
        <w:rPr>
          <w:rFonts w:hint="eastAsia" w:ascii="黑体" w:hAnsi="黑体" w:eastAsia="华文中宋" w:cs="黑体"/>
          <w:bCs/>
          <w:color w:val="000000"/>
          <w:lang w:val="zh-CN"/>
        </w:rPr>
        <w:t>词语定义</w:t>
      </w:r>
    </w:p>
    <w:p w14:paraId="13F155EB">
      <w:pPr>
        <w:spacing w:line="360" w:lineRule="auto"/>
        <w:ind w:firstLine="420" w:firstLineChars="200"/>
        <w:rPr>
          <w:rFonts w:eastAsia="宋体"/>
          <w:color w:val="000000"/>
          <w:szCs w:val="21"/>
        </w:rPr>
      </w:pPr>
      <w:r>
        <w:rPr>
          <w:rFonts w:hint="eastAsia" w:eastAsia="宋体"/>
          <w:color w:val="000000"/>
          <w:szCs w:val="21"/>
        </w:rPr>
        <w:t>合同协议书、通用合同条款中的下列词语和术语，应具有本款所赋予的含义。</w:t>
      </w:r>
    </w:p>
    <w:p w14:paraId="0EF60E9E">
      <w:pPr>
        <w:spacing w:line="360" w:lineRule="auto"/>
        <w:ind w:firstLine="420" w:firstLineChars="200"/>
        <w:rPr>
          <w:rFonts w:eastAsia="宋体"/>
          <w:color w:val="000000"/>
          <w:szCs w:val="21"/>
        </w:rPr>
      </w:pPr>
      <w:r>
        <w:rPr>
          <w:rFonts w:eastAsia="宋体"/>
          <w:color w:val="000000"/>
          <w:szCs w:val="21"/>
        </w:rPr>
        <w:t>1.1.1</w:t>
      </w:r>
      <w:r>
        <w:rPr>
          <w:rFonts w:hint="eastAsia" w:eastAsia="宋体"/>
          <w:color w:val="000000"/>
          <w:szCs w:val="21"/>
        </w:rPr>
        <w:t>合同：又称合同文件，指合同协议书、中标通知书、投标函及其附录、通用合同条款、用户需求书、价格清单、图纸（如有），以及其他合同文件等。</w:t>
      </w:r>
    </w:p>
    <w:p w14:paraId="45EE91C2">
      <w:pPr>
        <w:spacing w:line="360" w:lineRule="auto"/>
        <w:ind w:firstLine="420" w:firstLineChars="200"/>
        <w:rPr>
          <w:rFonts w:eastAsia="宋体"/>
          <w:color w:val="000000"/>
          <w:szCs w:val="21"/>
        </w:rPr>
      </w:pPr>
      <w:r>
        <w:rPr>
          <w:rFonts w:eastAsia="宋体"/>
          <w:color w:val="000000"/>
          <w:szCs w:val="21"/>
        </w:rPr>
        <w:t>1.1.2</w:t>
      </w:r>
      <w:r>
        <w:rPr>
          <w:rFonts w:hint="eastAsia" w:eastAsia="宋体"/>
          <w:color w:val="000000"/>
          <w:szCs w:val="21"/>
        </w:rPr>
        <w:t>合同条款：指构成合同文件组成，名为“合同条款”的文件。</w:t>
      </w:r>
    </w:p>
    <w:p w14:paraId="11EABBF4">
      <w:pPr>
        <w:spacing w:line="360" w:lineRule="auto"/>
        <w:ind w:firstLine="420" w:firstLineChars="200"/>
        <w:rPr>
          <w:rFonts w:eastAsia="宋体"/>
          <w:color w:val="000000"/>
          <w:szCs w:val="21"/>
        </w:rPr>
      </w:pPr>
      <w:r>
        <w:rPr>
          <w:rFonts w:eastAsia="宋体"/>
          <w:color w:val="000000"/>
          <w:szCs w:val="21"/>
        </w:rPr>
        <w:t>1.1.3</w:t>
      </w:r>
      <w:r>
        <w:rPr>
          <w:rFonts w:hint="eastAsia" w:eastAsia="宋体"/>
          <w:color w:val="000000"/>
          <w:szCs w:val="21"/>
        </w:rPr>
        <w:t>：用户需求书：指构成合同文件组成，结合项目情况和采购需要，名为</w:t>
      </w:r>
      <w:r>
        <w:rPr>
          <w:rFonts w:eastAsia="宋体"/>
          <w:color w:val="000000"/>
          <w:szCs w:val="21"/>
        </w:rPr>
        <w:t>“</w:t>
      </w:r>
      <w:r>
        <w:rPr>
          <w:rFonts w:hint="eastAsia" w:eastAsia="宋体"/>
          <w:color w:val="000000"/>
          <w:szCs w:val="21"/>
        </w:rPr>
        <w:t>用户需求书</w:t>
      </w:r>
      <w:r>
        <w:rPr>
          <w:rFonts w:eastAsia="宋体"/>
          <w:color w:val="000000"/>
          <w:szCs w:val="21"/>
        </w:rPr>
        <w:t>”</w:t>
      </w:r>
      <w:r>
        <w:rPr>
          <w:rFonts w:hint="eastAsia" w:eastAsia="宋体"/>
          <w:color w:val="000000"/>
          <w:szCs w:val="21"/>
        </w:rPr>
        <w:t>的文件，是对通用合同条款进行的调整、补充或细化。</w:t>
      </w:r>
    </w:p>
    <w:p w14:paraId="76C5192B">
      <w:pPr>
        <w:spacing w:line="360" w:lineRule="auto"/>
        <w:ind w:firstLine="420" w:firstLineChars="200"/>
        <w:rPr>
          <w:rFonts w:eastAsia="宋体"/>
          <w:color w:val="000000"/>
          <w:szCs w:val="21"/>
        </w:rPr>
      </w:pPr>
      <w:r>
        <w:rPr>
          <w:rFonts w:eastAsia="宋体"/>
          <w:color w:val="000000"/>
          <w:szCs w:val="21"/>
        </w:rPr>
        <w:t>1.1.4</w:t>
      </w:r>
      <w:r>
        <w:rPr>
          <w:rFonts w:hint="eastAsia" w:eastAsia="宋体"/>
          <w:color w:val="000000"/>
          <w:szCs w:val="21"/>
        </w:rPr>
        <w:t>其他合同文件：指构成合同文件组成，在约定明细内容的文件。</w:t>
      </w:r>
    </w:p>
    <w:p w14:paraId="5769438F">
      <w:pPr>
        <w:spacing w:line="360" w:lineRule="auto"/>
        <w:ind w:firstLine="420" w:firstLineChars="200"/>
        <w:rPr>
          <w:rFonts w:eastAsia="宋体"/>
          <w:color w:val="000000"/>
          <w:szCs w:val="21"/>
        </w:rPr>
      </w:pPr>
      <w:r>
        <w:rPr>
          <w:rFonts w:eastAsia="宋体"/>
          <w:color w:val="000000"/>
          <w:szCs w:val="21"/>
        </w:rPr>
        <w:t>1.1.5</w:t>
      </w:r>
      <w:r>
        <w:rPr>
          <w:rFonts w:hint="eastAsia" w:eastAsia="宋体"/>
          <w:color w:val="000000"/>
          <w:szCs w:val="21"/>
        </w:rPr>
        <w:t>签约合同价：指合同双方在合同协议书中确定的总金额，包括合同价款、备品备件费用、暂列金额和税金等。</w:t>
      </w:r>
    </w:p>
    <w:p w14:paraId="1128BB6E">
      <w:pPr>
        <w:spacing w:line="360" w:lineRule="auto"/>
        <w:ind w:firstLine="420" w:firstLineChars="200"/>
        <w:rPr>
          <w:rFonts w:eastAsia="宋体"/>
          <w:color w:val="000000"/>
          <w:szCs w:val="21"/>
        </w:rPr>
      </w:pPr>
      <w:r>
        <w:rPr>
          <w:rFonts w:eastAsia="宋体"/>
          <w:color w:val="000000"/>
          <w:szCs w:val="21"/>
        </w:rPr>
        <w:t>1.1.6</w:t>
      </w:r>
      <w:r>
        <w:rPr>
          <w:rFonts w:hint="eastAsia" w:eastAsia="宋体"/>
          <w:color w:val="000000"/>
          <w:szCs w:val="21"/>
        </w:rPr>
        <w:t>合同价格：是指甲方用于支付乙方按照合同约定完成合同范围内全部内容的金额，包括合同履行中按照合同约定进行的价格调整。</w:t>
      </w:r>
    </w:p>
    <w:p w14:paraId="3D3DEEC0">
      <w:pPr>
        <w:spacing w:line="360" w:lineRule="auto"/>
        <w:ind w:firstLine="420" w:firstLineChars="200"/>
        <w:rPr>
          <w:rFonts w:eastAsia="宋体"/>
          <w:color w:val="000000"/>
          <w:szCs w:val="21"/>
        </w:rPr>
      </w:pPr>
      <w:r>
        <w:rPr>
          <w:rFonts w:eastAsia="宋体"/>
          <w:color w:val="000000"/>
          <w:szCs w:val="21"/>
        </w:rPr>
        <w:t>1.1.7</w:t>
      </w:r>
      <w:r>
        <w:rPr>
          <w:rFonts w:hint="eastAsia" w:eastAsia="宋体"/>
          <w:color w:val="000000"/>
          <w:szCs w:val="21"/>
        </w:rPr>
        <w:t>甲方：指与乙方签订合同协议书，购买设备和质保期服务的单位及其合法继承人。</w:t>
      </w:r>
    </w:p>
    <w:p w14:paraId="5C42A15F">
      <w:pPr>
        <w:spacing w:line="360" w:lineRule="auto"/>
        <w:ind w:firstLine="420" w:firstLineChars="200"/>
        <w:rPr>
          <w:rFonts w:eastAsia="宋体"/>
          <w:color w:val="000000"/>
          <w:szCs w:val="21"/>
        </w:rPr>
      </w:pPr>
      <w:r>
        <w:rPr>
          <w:rFonts w:eastAsia="宋体"/>
          <w:color w:val="000000"/>
          <w:szCs w:val="21"/>
        </w:rPr>
        <w:t>1.1.8</w:t>
      </w:r>
      <w:r>
        <w:rPr>
          <w:rFonts w:hint="eastAsia" w:eastAsia="宋体"/>
          <w:color w:val="000000"/>
          <w:szCs w:val="21"/>
        </w:rPr>
        <w:t>乙方：指与甲方签订合同协议书，提供合同项下设备、附随义务和质保期服务的单位及其合法继承人。</w:t>
      </w:r>
    </w:p>
    <w:p w14:paraId="3B0C94A4">
      <w:pPr>
        <w:spacing w:line="360" w:lineRule="auto"/>
        <w:ind w:firstLine="420" w:firstLineChars="200"/>
        <w:rPr>
          <w:rFonts w:eastAsia="宋体"/>
          <w:color w:val="000000"/>
          <w:szCs w:val="21"/>
        </w:rPr>
      </w:pPr>
      <w:r>
        <w:rPr>
          <w:rFonts w:eastAsia="宋体"/>
          <w:color w:val="000000"/>
          <w:szCs w:val="21"/>
        </w:rPr>
        <w:t>1.1.</w:t>
      </w:r>
      <w:r>
        <w:rPr>
          <w:rFonts w:hint="eastAsia" w:eastAsia="宋体"/>
          <w:color w:val="000000"/>
          <w:szCs w:val="21"/>
        </w:rPr>
        <w:t>9甲方代表：指由甲方任命的，在甲方授权范围内代表甲方派驻现场履行合同的负责人。</w:t>
      </w:r>
    </w:p>
    <w:p w14:paraId="028A0344">
      <w:pPr>
        <w:spacing w:line="360" w:lineRule="auto"/>
        <w:ind w:firstLine="420" w:firstLineChars="200"/>
        <w:rPr>
          <w:rFonts w:eastAsia="宋体"/>
          <w:color w:val="000000"/>
          <w:szCs w:val="21"/>
        </w:rPr>
      </w:pPr>
      <w:r>
        <w:rPr>
          <w:rFonts w:eastAsia="宋体"/>
          <w:color w:val="000000"/>
          <w:szCs w:val="21"/>
        </w:rPr>
        <w:t>1.1.1</w:t>
      </w:r>
      <w:r>
        <w:rPr>
          <w:rFonts w:hint="eastAsia" w:eastAsia="宋体"/>
          <w:color w:val="000000"/>
          <w:szCs w:val="21"/>
        </w:rPr>
        <w:t>0项目负责人：指由乙方任命的，在乙方授权范围内代表乙方派驻现场履行合同的负责人。</w:t>
      </w:r>
    </w:p>
    <w:p w14:paraId="1B2FAB3B">
      <w:pPr>
        <w:spacing w:line="360" w:lineRule="auto"/>
        <w:ind w:firstLine="420" w:firstLineChars="200"/>
        <w:rPr>
          <w:rFonts w:eastAsia="宋体"/>
          <w:color w:val="000000"/>
          <w:szCs w:val="21"/>
        </w:rPr>
      </w:pPr>
      <w:r>
        <w:rPr>
          <w:rFonts w:eastAsia="宋体"/>
          <w:color w:val="000000"/>
          <w:szCs w:val="21"/>
        </w:rPr>
        <w:t>1.1.1</w:t>
      </w:r>
      <w:r>
        <w:rPr>
          <w:rFonts w:hint="eastAsia" w:eastAsia="宋体"/>
          <w:color w:val="000000"/>
          <w:szCs w:val="21"/>
        </w:rPr>
        <w:t>1工程：指与合同项下设备对应的永久工程和（或）临时工程。</w:t>
      </w:r>
    </w:p>
    <w:p w14:paraId="2DAC034B">
      <w:pPr>
        <w:spacing w:line="360" w:lineRule="auto"/>
        <w:ind w:firstLine="420" w:firstLineChars="200"/>
        <w:rPr>
          <w:rFonts w:eastAsia="宋体"/>
          <w:color w:val="000000"/>
          <w:szCs w:val="21"/>
        </w:rPr>
      </w:pPr>
      <w:r>
        <w:rPr>
          <w:rFonts w:eastAsia="宋体"/>
          <w:color w:val="000000"/>
          <w:szCs w:val="21"/>
        </w:rPr>
        <w:t>1.1.1</w:t>
      </w:r>
      <w:r>
        <w:rPr>
          <w:rFonts w:hint="eastAsia" w:eastAsia="宋体"/>
          <w:color w:val="000000"/>
          <w:szCs w:val="21"/>
        </w:rPr>
        <w:t>2现场：指本合同项下设备所生产、运输、安装、运行的场地。</w:t>
      </w:r>
    </w:p>
    <w:p w14:paraId="322111A2">
      <w:pPr>
        <w:spacing w:line="360" w:lineRule="auto"/>
        <w:ind w:firstLine="420" w:firstLineChars="200"/>
        <w:rPr>
          <w:rFonts w:eastAsia="宋体"/>
          <w:color w:val="000000"/>
          <w:szCs w:val="21"/>
        </w:rPr>
      </w:pPr>
      <w:r>
        <w:rPr>
          <w:rFonts w:eastAsia="宋体"/>
          <w:color w:val="000000"/>
          <w:szCs w:val="21"/>
        </w:rPr>
        <w:t>1.1.</w:t>
      </w:r>
      <w:r>
        <w:rPr>
          <w:rFonts w:hint="eastAsia" w:eastAsia="宋体"/>
          <w:color w:val="000000"/>
          <w:szCs w:val="21"/>
        </w:rPr>
        <w:t>13设备：指乙方根据本合同规定需向甲方提供的一切设备、仪器仪表、机械、材料、备品备件、配套使用的软件或其他电子程序、工具等。</w:t>
      </w:r>
    </w:p>
    <w:p w14:paraId="46A6611D">
      <w:pPr>
        <w:spacing w:line="360" w:lineRule="auto"/>
        <w:ind w:firstLine="420" w:firstLineChars="200"/>
        <w:rPr>
          <w:rFonts w:eastAsia="宋体"/>
          <w:color w:val="000000"/>
          <w:szCs w:val="21"/>
        </w:rPr>
      </w:pPr>
      <w:r>
        <w:rPr>
          <w:rFonts w:eastAsia="宋体"/>
          <w:color w:val="000000"/>
          <w:szCs w:val="21"/>
        </w:rPr>
        <w:t>1.1.1</w:t>
      </w:r>
      <w:r>
        <w:rPr>
          <w:rFonts w:hint="eastAsia" w:eastAsia="宋体"/>
          <w:color w:val="000000"/>
          <w:szCs w:val="21"/>
        </w:rPr>
        <w:t>4质保期：指合同设备竣工验收后，乙方按合同约定保证合同设备适当、稳定运行，并负责消除合同设备故障的期限。</w:t>
      </w:r>
    </w:p>
    <w:p w14:paraId="7F7CAC99">
      <w:pPr>
        <w:spacing w:line="360" w:lineRule="auto"/>
        <w:ind w:firstLine="420" w:firstLineChars="200"/>
        <w:rPr>
          <w:rFonts w:eastAsia="宋体"/>
          <w:color w:val="000000"/>
          <w:szCs w:val="21"/>
        </w:rPr>
      </w:pPr>
      <w:r>
        <w:rPr>
          <w:rFonts w:eastAsia="宋体"/>
          <w:color w:val="000000"/>
          <w:szCs w:val="21"/>
        </w:rPr>
        <w:t>1.1.</w:t>
      </w:r>
      <w:r>
        <w:rPr>
          <w:rFonts w:hint="eastAsia" w:eastAsia="宋体"/>
          <w:color w:val="000000"/>
          <w:szCs w:val="21"/>
        </w:rPr>
        <w:t>15质保期服务：指在质保期内，乙方向甲方提供的合同设备维护服务、咨询服务、技术指导、协助以及对出现故障的合同设备进行修理或更换的服务。</w:t>
      </w:r>
    </w:p>
    <w:p w14:paraId="30E3926A">
      <w:pPr>
        <w:spacing w:line="360" w:lineRule="auto"/>
        <w:ind w:firstLine="420" w:firstLineChars="200"/>
        <w:rPr>
          <w:rFonts w:eastAsia="宋体"/>
          <w:color w:val="000000"/>
          <w:szCs w:val="21"/>
        </w:rPr>
      </w:pPr>
      <w:r>
        <w:rPr>
          <w:rFonts w:eastAsia="宋体"/>
          <w:color w:val="000000"/>
          <w:szCs w:val="21"/>
        </w:rPr>
        <w:t>1.1.1</w:t>
      </w:r>
      <w:r>
        <w:rPr>
          <w:rFonts w:hint="eastAsia" w:eastAsia="宋体"/>
          <w:color w:val="000000"/>
          <w:szCs w:val="21"/>
        </w:rPr>
        <w:t>6规范标准：指与本项目或采购设备相关的，由国家、行业或地方发布的规范、标准、规程、导引或措施等以及甲方根据项目情况调整的技术要求。</w:t>
      </w:r>
    </w:p>
    <w:p w14:paraId="12380AB5">
      <w:pPr>
        <w:spacing w:line="360" w:lineRule="auto"/>
        <w:ind w:firstLine="420" w:firstLineChars="200"/>
        <w:rPr>
          <w:rFonts w:eastAsia="宋体"/>
          <w:color w:val="000000"/>
          <w:szCs w:val="21"/>
        </w:rPr>
      </w:pPr>
      <w:r>
        <w:rPr>
          <w:rFonts w:eastAsia="宋体"/>
          <w:color w:val="000000"/>
          <w:szCs w:val="21"/>
        </w:rPr>
        <w:t>1.1.</w:t>
      </w:r>
      <w:r>
        <w:rPr>
          <w:rFonts w:hint="eastAsia" w:eastAsia="宋体"/>
          <w:color w:val="000000"/>
          <w:szCs w:val="21"/>
        </w:rPr>
        <w:t>17技术文件：指由甲方根据合同向乙方提供的所有图纸、计算书、类似的技术资料，以及由乙方提供的经甲方批准的所有图纸、计算书、样品、图案、操作和维护维修手册以及类似的其它技术资料。</w:t>
      </w:r>
    </w:p>
    <w:p w14:paraId="219F0286">
      <w:pPr>
        <w:spacing w:line="360" w:lineRule="auto"/>
        <w:ind w:firstLine="420" w:firstLineChars="200"/>
        <w:rPr>
          <w:rFonts w:eastAsia="宋体"/>
          <w:color w:val="000000"/>
          <w:szCs w:val="21"/>
        </w:rPr>
      </w:pPr>
      <w:r>
        <w:rPr>
          <w:rFonts w:eastAsia="宋体"/>
          <w:color w:val="000000"/>
          <w:szCs w:val="21"/>
        </w:rPr>
        <w:t>1.1.</w:t>
      </w:r>
      <w:r>
        <w:rPr>
          <w:rFonts w:hint="eastAsia" w:eastAsia="宋体"/>
          <w:color w:val="000000"/>
          <w:szCs w:val="21"/>
        </w:rPr>
        <w:t>18天：除特别指明外，均指日历天。合同中按天计算时间的，开始当天不计入，从次日开始计算，期限最后一天的截止时间为当天</w:t>
      </w:r>
      <w:r>
        <w:rPr>
          <w:rFonts w:eastAsia="宋体"/>
          <w:color w:val="000000"/>
          <w:szCs w:val="21"/>
        </w:rPr>
        <w:t>24</w:t>
      </w:r>
      <w:r>
        <w:rPr>
          <w:rFonts w:hint="eastAsia" w:eastAsia="宋体"/>
          <w:color w:val="000000"/>
          <w:szCs w:val="21"/>
        </w:rPr>
        <w:t>：</w:t>
      </w:r>
      <w:r>
        <w:rPr>
          <w:rFonts w:eastAsia="宋体"/>
          <w:color w:val="000000"/>
          <w:szCs w:val="21"/>
        </w:rPr>
        <w:t>00</w:t>
      </w:r>
      <w:r>
        <w:rPr>
          <w:rFonts w:hint="eastAsia" w:eastAsia="宋体"/>
          <w:color w:val="000000"/>
          <w:szCs w:val="21"/>
        </w:rPr>
        <w:t>时。</w:t>
      </w:r>
    </w:p>
    <w:p w14:paraId="3163A454">
      <w:pPr>
        <w:spacing w:line="360" w:lineRule="auto"/>
        <w:ind w:firstLine="420" w:firstLineChars="200"/>
        <w:rPr>
          <w:rFonts w:eastAsia="宋体"/>
          <w:color w:val="000000"/>
          <w:szCs w:val="21"/>
        </w:rPr>
      </w:pPr>
      <w:r>
        <w:rPr>
          <w:rFonts w:eastAsia="宋体"/>
          <w:color w:val="000000"/>
          <w:szCs w:val="21"/>
        </w:rPr>
        <w:t>1.1.</w:t>
      </w:r>
      <w:r>
        <w:rPr>
          <w:rFonts w:hint="eastAsia" w:eastAsia="宋体"/>
          <w:color w:val="000000"/>
          <w:szCs w:val="21"/>
        </w:rPr>
        <w:t>19月：是指公历从一个月份中任何一天开始到下一个月相应日期的前一天的时间段。</w:t>
      </w:r>
    </w:p>
    <w:p w14:paraId="28233214">
      <w:pPr>
        <w:spacing w:line="360" w:lineRule="auto"/>
        <w:ind w:firstLine="420" w:firstLineChars="200"/>
        <w:rPr>
          <w:rFonts w:eastAsia="宋体"/>
          <w:color w:val="000000"/>
          <w:szCs w:val="21"/>
        </w:rPr>
      </w:pPr>
      <w:r>
        <w:rPr>
          <w:rFonts w:eastAsia="宋体"/>
          <w:color w:val="000000"/>
          <w:szCs w:val="21"/>
        </w:rPr>
        <w:t>1.1.2</w:t>
      </w:r>
      <w:r>
        <w:rPr>
          <w:rFonts w:hint="eastAsia" w:eastAsia="宋体"/>
          <w:color w:val="000000"/>
          <w:szCs w:val="21"/>
        </w:rPr>
        <w:t>0书面形式：是合同书、信件、电报、电传、传真等可以有形地表现所载内容的形式。以电子数据交换、电子邮件等方式能够有形地表现所载内容，并可以随时调取查用的数据电文，视为书面形式。</w:t>
      </w:r>
    </w:p>
    <w:p w14:paraId="1830F13B">
      <w:pPr>
        <w:spacing w:line="360" w:lineRule="auto"/>
        <w:ind w:firstLine="420" w:firstLineChars="200"/>
        <w:rPr>
          <w:rFonts w:eastAsia="宋体"/>
          <w:color w:val="000000"/>
          <w:szCs w:val="21"/>
        </w:rPr>
      </w:pPr>
      <w:r>
        <w:rPr>
          <w:rFonts w:hint="eastAsia" w:eastAsia="宋体"/>
          <w:color w:val="000000"/>
          <w:szCs w:val="21"/>
        </w:rPr>
        <w:t>1.1.21</w:t>
      </w:r>
      <w:r>
        <w:rPr>
          <w:rFonts w:hint="eastAsia" w:eastAsia="宋体"/>
          <w:color w:val="000000"/>
        </w:rPr>
        <w:t>违约责任：指合同一方不履行合同义务或履行合同义务不符合约定所应承担的责任。</w:t>
      </w:r>
    </w:p>
    <w:p w14:paraId="503A71CF">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1.2</w:t>
      </w:r>
      <w:r>
        <w:rPr>
          <w:rFonts w:hint="eastAsia" w:ascii="黑体" w:hAnsi="黑体" w:eastAsia="华文中宋" w:cs="黑体"/>
          <w:bCs/>
          <w:color w:val="000000"/>
          <w:lang w:val="zh-CN"/>
        </w:rPr>
        <w:t>语言文字</w:t>
      </w:r>
    </w:p>
    <w:p w14:paraId="3825FD5B">
      <w:pPr>
        <w:spacing w:line="360" w:lineRule="auto"/>
        <w:ind w:firstLine="420" w:firstLineChars="200"/>
        <w:rPr>
          <w:rFonts w:eastAsia="宋体"/>
          <w:color w:val="000000"/>
          <w:szCs w:val="21"/>
        </w:rPr>
      </w:pPr>
      <w:r>
        <w:rPr>
          <w:rFonts w:eastAsia="宋体"/>
          <w:color w:val="000000"/>
          <w:szCs w:val="21"/>
        </w:rPr>
        <w:t>1.2.1</w:t>
      </w:r>
      <w:r>
        <w:rPr>
          <w:rFonts w:hint="eastAsia" w:eastAsia="宋体"/>
          <w:color w:val="000000"/>
          <w:szCs w:val="21"/>
        </w:rPr>
        <w:t>本合同文件以及与合同相关的来往函件均以中文简体语言书写，并按中文语言习惯进行解释和说明。</w:t>
      </w:r>
    </w:p>
    <w:p w14:paraId="075821EF">
      <w:pPr>
        <w:spacing w:line="360" w:lineRule="auto"/>
        <w:ind w:firstLine="420" w:firstLineChars="200"/>
        <w:rPr>
          <w:rFonts w:eastAsia="宋体"/>
          <w:color w:val="000000"/>
          <w:szCs w:val="21"/>
        </w:rPr>
      </w:pPr>
      <w:r>
        <w:rPr>
          <w:rFonts w:eastAsia="宋体"/>
          <w:color w:val="000000"/>
          <w:szCs w:val="21"/>
        </w:rPr>
        <w:t>1.2.2</w:t>
      </w:r>
      <w:r>
        <w:rPr>
          <w:rFonts w:hint="eastAsia" w:eastAsia="宋体"/>
          <w:color w:val="000000"/>
          <w:szCs w:val="21"/>
        </w:rPr>
        <w:t>合同文件中专用术语需要使用外文或者字母简拼的，应当附有中文注释，并以中文注释为准。</w:t>
      </w:r>
    </w:p>
    <w:p w14:paraId="2816D7BE">
      <w:pPr>
        <w:spacing w:line="360" w:lineRule="auto"/>
        <w:ind w:firstLine="420" w:firstLineChars="200"/>
        <w:rPr>
          <w:rFonts w:eastAsia="宋体"/>
          <w:color w:val="000000"/>
          <w:szCs w:val="21"/>
        </w:rPr>
      </w:pPr>
      <w:r>
        <w:rPr>
          <w:rFonts w:eastAsia="宋体"/>
          <w:color w:val="000000"/>
          <w:szCs w:val="21"/>
        </w:rPr>
        <w:t>1.2.3</w:t>
      </w:r>
      <w:r>
        <w:rPr>
          <w:rFonts w:hint="eastAsia" w:eastAsia="宋体"/>
          <w:color w:val="000000"/>
          <w:szCs w:val="21"/>
        </w:rPr>
        <w:t>合同文件及来往文件所使用的图形、符号、标志等，应当符合相关标准规范或通用设计等规定，并附有中文注释。</w:t>
      </w:r>
    </w:p>
    <w:p w14:paraId="01BE5C90">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1.3</w:t>
      </w:r>
      <w:r>
        <w:rPr>
          <w:rFonts w:hint="eastAsia" w:ascii="黑体" w:hAnsi="黑体" w:eastAsia="华文中宋" w:cs="黑体"/>
          <w:bCs/>
          <w:color w:val="000000"/>
          <w:lang w:val="zh-CN"/>
        </w:rPr>
        <w:t>计量单位与计价货币</w:t>
      </w:r>
    </w:p>
    <w:p w14:paraId="0C60B278">
      <w:pPr>
        <w:spacing w:line="360" w:lineRule="auto"/>
        <w:ind w:firstLine="420" w:firstLineChars="200"/>
        <w:rPr>
          <w:rFonts w:eastAsia="宋体"/>
          <w:color w:val="000000"/>
          <w:szCs w:val="21"/>
        </w:rPr>
      </w:pPr>
      <w:r>
        <w:rPr>
          <w:rFonts w:eastAsia="宋体"/>
          <w:color w:val="000000"/>
          <w:szCs w:val="21"/>
        </w:rPr>
        <w:t>1.3.1</w:t>
      </w:r>
      <w:r>
        <w:rPr>
          <w:rFonts w:hint="eastAsia" w:eastAsia="宋体"/>
          <w:color w:val="000000"/>
          <w:szCs w:val="21"/>
        </w:rPr>
        <w:t>本合同涉及计量单位时，均采用中华人民共和国法定计量单位。</w:t>
      </w:r>
    </w:p>
    <w:p w14:paraId="6D3F6B8A">
      <w:pPr>
        <w:spacing w:line="360" w:lineRule="auto"/>
        <w:ind w:firstLine="420" w:firstLineChars="200"/>
        <w:rPr>
          <w:rFonts w:eastAsia="宋体"/>
          <w:color w:val="000000"/>
          <w:szCs w:val="21"/>
        </w:rPr>
      </w:pPr>
      <w:r>
        <w:rPr>
          <w:rFonts w:eastAsia="宋体"/>
          <w:color w:val="000000"/>
          <w:szCs w:val="21"/>
        </w:rPr>
        <w:t>1.3.2</w:t>
      </w:r>
      <w:r>
        <w:rPr>
          <w:rFonts w:hint="eastAsia" w:eastAsia="宋体"/>
          <w:color w:val="000000"/>
          <w:szCs w:val="21"/>
        </w:rPr>
        <w:t>本合同涉及计价货币时，均以人民币作为计价货币。涉及外币的，所采用的货币种类和汇率等见</w:t>
      </w:r>
      <w:r>
        <w:rPr>
          <w:rFonts w:hint="eastAsia" w:eastAsia="宋体"/>
          <w:b/>
          <w:color w:val="000000"/>
          <w:szCs w:val="21"/>
        </w:rPr>
        <w:t>合同条款</w:t>
      </w:r>
      <w:r>
        <w:rPr>
          <w:rFonts w:hint="eastAsia" w:eastAsia="宋体"/>
          <w:color w:val="000000"/>
          <w:szCs w:val="21"/>
        </w:rPr>
        <w:t>。</w:t>
      </w:r>
    </w:p>
    <w:p w14:paraId="33523E58">
      <w:pPr>
        <w:spacing w:line="360" w:lineRule="auto"/>
        <w:ind w:firstLine="420" w:firstLineChars="200"/>
        <w:rPr>
          <w:rFonts w:eastAsia="宋体"/>
          <w:color w:val="000000"/>
          <w:szCs w:val="21"/>
        </w:rPr>
      </w:pPr>
      <w:r>
        <w:rPr>
          <w:rFonts w:eastAsia="宋体"/>
          <w:color w:val="000000"/>
          <w:szCs w:val="21"/>
        </w:rPr>
        <w:t>1.3.3</w:t>
      </w:r>
      <w:r>
        <w:rPr>
          <w:rFonts w:hint="eastAsia" w:eastAsia="宋体"/>
          <w:color w:val="000000"/>
          <w:szCs w:val="21"/>
        </w:rPr>
        <w:t>合同文件及来往文件所使用的图形、符号、标志等，应当符合相关标准规范或通用设计等规定，并附有中文注释。</w:t>
      </w:r>
    </w:p>
    <w:p w14:paraId="7FD81F01">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1.4</w:t>
      </w:r>
      <w:r>
        <w:rPr>
          <w:rFonts w:hint="eastAsia" w:ascii="黑体" w:hAnsi="黑体" w:eastAsia="华文中宋" w:cs="黑体"/>
          <w:bCs/>
          <w:color w:val="000000"/>
          <w:lang w:val="zh-CN"/>
        </w:rPr>
        <w:t>法律法规</w:t>
      </w:r>
    </w:p>
    <w:p w14:paraId="7B372DB4">
      <w:pPr>
        <w:tabs>
          <w:tab w:val="left" w:pos="851"/>
        </w:tabs>
        <w:spacing w:line="360" w:lineRule="auto"/>
        <w:ind w:firstLine="420" w:firstLineChars="200"/>
        <w:rPr>
          <w:rFonts w:eastAsia="宋体"/>
          <w:color w:val="000000"/>
          <w:szCs w:val="21"/>
        </w:rPr>
      </w:pPr>
      <w:r>
        <w:rPr>
          <w:rFonts w:hint="eastAsia" w:eastAsia="宋体"/>
          <w:color w:val="000000"/>
          <w:szCs w:val="21"/>
        </w:rPr>
        <w:t>1.4.1</w:t>
      </w:r>
      <w:r>
        <w:rPr>
          <w:rFonts w:eastAsia="宋体"/>
          <w:color w:val="000000"/>
          <w:szCs w:val="21"/>
        </w:rPr>
        <w:t>适用于本合同的法律法规包括：中华人民共和国法律、行政法规、部门规章，以及</w:t>
      </w:r>
      <w:r>
        <w:rPr>
          <w:rFonts w:hint="eastAsia" w:eastAsia="宋体"/>
          <w:color w:val="000000"/>
          <w:szCs w:val="21"/>
        </w:rPr>
        <w:t>广西、南宁</w:t>
      </w:r>
      <w:r>
        <w:rPr>
          <w:rFonts w:eastAsia="宋体"/>
          <w:color w:val="000000"/>
          <w:szCs w:val="21"/>
        </w:rPr>
        <w:t>市的地方性法规</w:t>
      </w:r>
      <w:r>
        <w:rPr>
          <w:rFonts w:hint="eastAsia" w:eastAsia="宋体"/>
          <w:color w:val="000000"/>
          <w:szCs w:val="21"/>
        </w:rPr>
        <w:t>、地方政府</w:t>
      </w:r>
      <w:r>
        <w:rPr>
          <w:rFonts w:eastAsia="宋体"/>
          <w:color w:val="000000"/>
          <w:szCs w:val="21"/>
        </w:rPr>
        <w:t>规章，和</w:t>
      </w:r>
      <w:r>
        <w:rPr>
          <w:rFonts w:hint="eastAsia" w:eastAsia="宋体"/>
          <w:b/>
          <w:color w:val="000000"/>
          <w:szCs w:val="21"/>
        </w:rPr>
        <w:t>合同条款</w:t>
      </w:r>
      <w:r>
        <w:rPr>
          <w:rFonts w:eastAsia="宋体"/>
          <w:color w:val="000000"/>
          <w:szCs w:val="21"/>
        </w:rPr>
        <w:t>约定的规范性文件。</w:t>
      </w:r>
    </w:p>
    <w:p w14:paraId="170D1E84">
      <w:pPr>
        <w:tabs>
          <w:tab w:val="left" w:pos="851"/>
        </w:tabs>
        <w:spacing w:line="360" w:lineRule="auto"/>
        <w:ind w:firstLine="420" w:firstLineChars="200"/>
        <w:rPr>
          <w:rFonts w:eastAsia="宋体"/>
          <w:color w:val="000000"/>
          <w:szCs w:val="21"/>
        </w:rPr>
      </w:pPr>
      <w:r>
        <w:rPr>
          <w:rFonts w:hint="eastAsia" w:eastAsia="宋体"/>
          <w:color w:val="000000"/>
          <w:szCs w:val="21"/>
        </w:rPr>
        <w:t>1.4.2当法律法规、部门规章以及本合同约定的规范性文件出现修订或更新的，则以最新版本为准。</w:t>
      </w:r>
    </w:p>
    <w:p w14:paraId="438FDC17">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1.5</w:t>
      </w:r>
      <w:r>
        <w:rPr>
          <w:rFonts w:hint="eastAsia" w:ascii="黑体" w:hAnsi="黑体" w:eastAsia="华文中宋" w:cs="黑体"/>
          <w:bCs/>
          <w:color w:val="000000"/>
          <w:lang w:val="zh-CN"/>
        </w:rPr>
        <w:t>规范标准</w:t>
      </w:r>
    </w:p>
    <w:p w14:paraId="7B67A6F3">
      <w:pPr>
        <w:tabs>
          <w:tab w:val="left" w:pos="851"/>
        </w:tabs>
        <w:spacing w:line="360" w:lineRule="auto"/>
        <w:ind w:firstLine="420" w:firstLineChars="200"/>
        <w:rPr>
          <w:rFonts w:eastAsia="宋体"/>
          <w:color w:val="000000"/>
          <w:szCs w:val="21"/>
        </w:rPr>
      </w:pPr>
      <w:r>
        <w:rPr>
          <w:rFonts w:eastAsia="宋体"/>
          <w:color w:val="000000"/>
          <w:szCs w:val="21"/>
        </w:rPr>
        <w:t>1.5.1</w:t>
      </w:r>
      <w:r>
        <w:rPr>
          <w:rFonts w:hint="eastAsia" w:eastAsia="宋体"/>
          <w:color w:val="000000"/>
          <w:szCs w:val="21"/>
        </w:rPr>
        <w:t>履行本合同所适用的规范、规程、技术标准等见本合同用户需求书要求， 用户需求书未列明且适用的规范标准，则应符合国家、行业和所在地发布的规范标准。</w:t>
      </w:r>
    </w:p>
    <w:p w14:paraId="28AA1D73">
      <w:pPr>
        <w:tabs>
          <w:tab w:val="left" w:pos="851"/>
        </w:tabs>
        <w:spacing w:line="360" w:lineRule="auto"/>
        <w:ind w:firstLine="420" w:firstLineChars="200"/>
        <w:rPr>
          <w:rFonts w:eastAsia="宋体"/>
          <w:color w:val="000000"/>
          <w:szCs w:val="21"/>
        </w:rPr>
      </w:pPr>
      <w:r>
        <w:rPr>
          <w:rFonts w:eastAsia="宋体"/>
          <w:color w:val="000000"/>
          <w:szCs w:val="21"/>
        </w:rPr>
        <w:t>1.5.2</w:t>
      </w:r>
      <w:r>
        <w:rPr>
          <w:rFonts w:hint="eastAsia" w:eastAsia="宋体"/>
          <w:color w:val="000000"/>
          <w:szCs w:val="21"/>
        </w:rPr>
        <w:t>设备规范标准应为现行版本，不同的规范标准对同一事项约定不一致时，</w:t>
      </w:r>
      <w:r>
        <w:rPr>
          <w:rFonts w:hint="eastAsia" w:ascii="宋体" w:hAnsi="宋体" w:eastAsia="宋体"/>
          <w:color w:val="000000"/>
          <w:szCs w:val="21"/>
        </w:rPr>
        <w:t>按</w:t>
      </w:r>
      <w:r>
        <w:rPr>
          <w:rFonts w:hint="eastAsia" w:eastAsia="宋体"/>
          <w:color w:val="000000"/>
          <w:szCs w:val="21"/>
        </w:rPr>
        <w:t>约定执行。</w:t>
      </w:r>
    </w:p>
    <w:p w14:paraId="2C48EF38">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1.6</w:t>
      </w:r>
      <w:r>
        <w:rPr>
          <w:rFonts w:hint="eastAsia" w:ascii="黑体" w:hAnsi="黑体" w:eastAsia="华文中宋" w:cs="黑体"/>
          <w:bCs/>
          <w:color w:val="000000"/>
          <w:lang w:val="zh-CN"/>
        </w:rPr>
        <w:t>通知函件</w:t>
      </w:r>
    </w:p>
    <w:p w14:paraId="2B406CCA">
      <w:pPr>
        <w:spacing w:line="360" w:lineRule="auto"/>
        <w:ind w:firstLine="420" w:firstLineChars="200"/>
        <w:rPr>
          <w:rFonts w:eastAsia="宋体"/>
          <w:color w:val="000000"/>
          <w:szCs w:val="21"/>
        </w:rPr>
      </w:pPr>
      <w:r>
        <w:rPr>
          <w:rFonts w:eastAsia="宋体"/>
          <w:color w:val="000000"/>
          <w:szCs w:val="21"/>
        </w:rPr>
        <w:t>1.6.1</w:t>
      </w:r>
      <w:r>
        <w:rPr>
          <w:rFonts w:hint="eastAsia" w:eastAsia="宋体"/>
          <w:color w:val="000000"/>
          <w:szCs w:val="21"/>
        </w:rPr>
        <w:t>与合同有关的任何通知、批准、指示、确定、要求或承诺等来往函件，均应采用书面形式，当面送达或邮寄至合同文件标明的收件人地址；接收方无人签收或拒绝签收的，视为送达。</w:t>
      </w:r>
    </w:p>
    <w:p w14:paraId="6DB3BF23">
      <w:pPr>
        <w:spacing w:line="360" w:lineRule="auto"/>
        <w:ind w:firstLine="420" w:firstLineChars="200"/>
        <w:rPr>
          <w:rFonts w:eastAsia="宋体"/>
          <w:color w:val="000000"/>
          <w:szCs w:val="21"/>
        </w:rPr>
      </w:pPr>
      <w:r>
        <w:rPr>
          <w:rFonts w:eastAsia="宋体"/>
          <w:color w:val="000000"/>
          <w:szCs w:val="21"/>
        </w:rPr>
        <w:t>1.6.2</w:t>
      </w:r>
      <w:r>
        <w:rPr>
          <w:rFonts w:hint="eastAsia" w:eastAsia="宋体"/>
          <w:color w:val="000000"/>
          <w:szCs w:val="21"/>
        </w:rPr>
        <w:t>合同当事人关于通知函件的接收人、接收地址和联系方式见</w:t>
      </w:r>
      <w:r>
        <w:rPr>
          <w:rFonts w:hint="eastAsia" w:eastAsia="宋体"/>
          <w:b/>
          <w:color w:val="000000"/>
          <w:szCs w:val="21"/>
        </w:rPr>
        <w:t>合同条款</w:t>
      </w:r>
      <w:r>
        <w:rPr>
          <w:rFonts w:hint="eastAsia" w:eastAsia="宋体"/>
          <w:color w:val="000000"/>
          <w:szCs w:val="21"/>
        </w:rPr>
        <w:t>，上述信息发生变动的，当事人应提前</w:t>
      </w:r>
      <w:r>
        <w:rPr>
          <w:rFonts w:eastAsia="宋体"/>
          <w:color w:val="000000"/>
          <w:szCs w:val="21"/>
        </w:rPr>
        <w:t>3</w:t>
      </w:r>
      <w:r>
        <w:rPr>
          <w:rFonts w:hint="eastAsia" w:eastAsia="宋体"/>
          <w:color w:val="000000"/>
          <w:szCs w:val="21"/>
        </w:rPr>
        <w:t>天以书面形式通知对方，否则视为未发生变动。</w:t>
      </w:r>
    </w:p>
    <w:p w14:paraId="4D6C7D94">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1.7</w:t>
      </w:r>
      <w:r>
        <w:rPr>
          <w:rFonts w:hint="eastAsia" w:ascii="黑体" w:hAnsi="黑体" w:eastAsia="华文中宋" w:cs="黑体"/>
          <w:bCs/>
          <w:color w:val="000000"/>
          <w:lang w:val="zh-CN"/>
        </w:rPr>
        <w:t>严禁贿赂</w:t>
      </w:r>
    </w:p>
    <w:p w14:paraId="1EECAE16">
      <w:pPr>
        <w:spacing w:line="360" w:lineRule="auto"/>
        <w:ind w:firstLine="420" w:firstLineChars="200"/>
        <w:rPr>
          <w:rFonts w:eastAsia="宋体"/>
          <w:color w:val="000000"/>
          <w:szCs w:val="21"/>
        </w:rPr>
      </w:pPr>
      <w:r>
        <w:rPr>
          <w:rFonts w:eastAsia="宋体"/>
          <w:color w:val="000000"/>
          <w:szCs w:val="21"/>
        </w:rPr>
        <w:t>1.7.1</w:t>
      </w:r>
      <w:r>
        <w:rPr>
          <w:rFonts w:hint="eastAsia" w:eastAsia="宋体"/>
          <w:color w:val="000000"/>
          <w:szCs w:val="21"/>
        </w:rPr>
        <w:t>合同双方应在合同履行期间，严格遵守国家、广西、南宁市关于廉政建设的法律规定和管理办法，不得以贿赂或变相贿赂的方式，谋取不当利益或损害对方权益；涉嫌违法犯罪的，交由司法机关进行处理。</w:t>
      </w:r>
    </w:p>
    <w:p w14:paraId="3F45FE42">
      <w:pPr>
        <w:spacing w:line="360" w:lineRule="auto"/>
        <w:ind w:firstLine="420" w:firstLineChars="200"/>
        <w:rPr>
          <w:rFonts w:eastAsia="宋体"/>
          <w:color w:val="000000"/>
          <w:szCs w:val="21"/>
        </w:rPr>
      </w:pPr>
      <w:r>
        <w:rPr>
          <w:rFonts w:eastAsia="宋体"/>
          <w:color w:val="000000"/>
          <w:szCs w:val="21"/>
        </w:rPr>
        <w:t>1.7.2</w:t>
      </w:r>
      <w:r>
        <w:rPr>
          <w:rFonts w:hint="eastAsia" w:eastAsia="宋体"/>
          <w:color w:val="000000"/>
          <w:szCs w:val="21"/>
        </w:rPr>
        <w:t>为保护合同双方的合法权益，防止发生谋取不当利益的违规违纪活动，维护社会经济秩序，根据有关法律法规和反腐保廉各项规定，合同双方在签订本合同时，须同时签订廉洁责任书并予以执行。</w:t>
      </w:r>
    </w:p>
    <w:p w14:paraId="34D83F28">
      <w:pPr>
        <w:spacing w:line="360" w:lineRule="auto"/>
        <w:ind w:firstLine="420" w:firstLineChars="200"/>
        <w:rPr>
          <w:rFonts w:eastAsia="宋体"/>
          <w:color w:val="000000"/>
          <w:szCs w:val="21"/>
        </w:rPr>
      </w:pPr>
      <w:r>
        <w:rPr>
          <w:rFonts w:hint="eastAsia" w:eastAsia="宋体"/>
          <w:color w:val="000000"/>
          <w:szCs w:val="21"/>
        </w:rPr>
        <w:t>1.7.3 合同双方当事人因贿赂造成对方当事人损失的，行为人须赔偿对方经济损失，并承担相应的法律责任。</w:t>
      </w:r>
    </w:p>
    <w:p w14:paraId="6ACAFA0E">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1.8</w:t>
      </w:r>
      <w:r>
        <w:rPr>
          <w:rFonts w:hint="eastAsia" w:ascii="黑体" w:hAnsi="黑体" w:eastAsia="华文中宋" w:cs="黑体"/>
          <w:bCs/>
          <w:color w:val="000000"/>
          <w:lang w:val="zh-CN"/>
        </w:rPr>
        <w:t>知识产权</w:t>
      </w:r>
    </w:p>
    <w:p w14:paraId="5244C9F6">
      <w:pPr>
        <w:spacing w:line="360" w:lineRule="auto"/>
        <w:ind w:firstLine="420" w:firstLineChars="200"/>
        <w:rPr>
          <w:rFonts w:eastAsia="宋体"/>
          <w:color w:val="000000"/>
          <w:szCs w:val="21"/>
        </w:rPr>
      </w:pPr>
      <w:r>
        <w:rPr>
          <w:rFonts w:eastAsia="宋体"/>
          <w:color w:val="000000"/>
          <w:szCs w:val="21"/>
        </w:rPr>
        <w:t>1.8.1</w:t>
      </w:r>
      <w:r>
        <w:rPr>
          <w:rFonts w:hint="eastAsia" w:eastAsia="宋体"/>
          <w:color w:val="000000"/>
          <w:szCs w:val="21"/>
        </w:rPr>
        <w:t>合同履行期间，乙方利用甲方提供的技术资料和工作条件所形成的新的技术成果，编制人员享有署名权，除此之外的其他知识产权属于甲方所有，后续二次开发的权利及成果归甲方所有。乙方或其参与本合同项目的相关人员发表论文、评定职称时需要使用到本合同成果内容的，应载明成果的出处及权利人。</w:t>
      </w:r>
    </w:p>
    <w:p w14:paraId="498D4A30">
      <w:pPr>
        <w:spacing w:line="360" w:lineRule="auto"/>
        <w:ind w:firstLine="420" w:firstLineChars="200"/>
        <w:rPr>
          <w:rFonts w:eastAsia="宋体"/>
          <w:color w:val="000000"/>
          <w:szCs w:val="21"/>
        </w:rPr>
      </w:pPr>
      <w:r>
        <w:rPr>
          <w:rFonts w:eastAsia="宋体"/>
          <w:color w:val="000000"/>
          <w:szCs w:val="21"/>
        </w:rPr>
        <w:t>1.8.2</w:t>
      </w:r>
      <w:r>
        <w:rPr>
          <w:rFonts w:hint="eastAsia" w:eastAsia="宋体"/>
          <w:color w:val="000000"/>
          <w:szCs w:val="21"/>
        </w:rPr>
        <w:t>乙方承诺并保证本合同项下的设备和附随义务，在履行合同中所使用的第三人的专利、专有技术、技术秘密、商业秘密、著作权、商标权等，或者工具、流程、软件或零配件、图片、绘图、字体、文字等均已得到权利人的合法授权并支付了相应费用。乙方应将权利人、权利状况、授权范围如实告知甲方，不得影响甲方合法正常使用。</w:t>
      </w:r>
    </w:p>
    <w:p w14:paraId="1ADA576D">
      <w:pPr>
        <w:spacing w:line="360" w:lineRule="auto"/>
        <w:ind w:firstLine="420" w:firstLineChars="200"/>
        <w:rPr>
          <w:rFonts w:eastAsia="宋体"/>
          <w:color w:val="000000"/>
          <w:szCs w:val="21"/>
        </w:rPr>
      </w:pPr>
      <w:r>
        <w:rPr>
          <w:rFonts w:eastAsia="宋体"/>
          <w:color w:val="000000"/>
          <w:szCs w:val="21"/>
        </w:rPr>
        <w:t>1.8.3</w:t>
      </w:r>
      <w:r>
        <w:rPr>
          <w:rFonts w:hint="eastAsia" w:eastAsia="宋体"/>
          <w:color w:val="000000"/>
          <w:szCs w:val="21"/>
        </w:rPr>
        <w:t>乙方承诺并保证本合同项下的设备和附随义务，不存在任何侵犯第三人合法权益的情形。如有第三人追究侵权责任的，乙方应积极主动与第三人沟通协商和妥善解决，并将解决结果书面送达甲方，不得影响甲方合法正常使用，不得造成甲方经济损失，否则承担违约责任。甲方可为乙方与第三人的沟通协商、争端处理或仲裁诉讼等提供协助便利。</w:t>
      </w:r>
    </w:p>
    <w:p w14:paraId="05263FCF">
      <w:pPr>
        <w:spacing w:line="360" w:lineRule="auto"/>
        <w:ind w:firstLine="420" w:firstLineChars="200"/>
        <w:rPr>
          <w:rFonts w:eastAsia="宋体"/>
          <w:color w:val="000000"/>
          <w:szCs w:val="21"/>
        </w:rPr>
      </w:pPr>
      <w:r>
        <w:rPr>
          <w:rFonts w:eastAsia="宋体"/>
          <w:color w:val="000000"/>
          <w:szCs w:val="21"/>
        </w:rPr>
        <w:t>1.8.4</w:t>
      </w:r>
      <w:r>
        <w:rPr>
          <w:rFonts w:hint="eastAsia" w:eastAsia="宋体"/>
          <w:color w:val="000000"/>
          <w:szCs w:val="21"/>
        </w:rPr>
        <w:t>乙方如果拒绝或怠于履行上述义务，甲方有权单方解除合同。甲方如被第三人仲裁起诉或以其他方式追究侵权责任的，乙方承担违约责任，并承担甲方由此发生的侵权损害赔偿费、律师费、诉讼费等相关费用。</w:t>
      </w:r>
    </w:p>
    <w:p w14:paraId="25B8D741">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1.9</w:t>
      </w:r>
      <w:r>
        <w:rPr>
          <w:rFonts w:hint="eastAsia" w:ascii="黑体" w:hAnsi="黑体" w:eastAsia="华文中宋" w:cs="黑体"/>
          <w:bCs/>
          <w:color w:val="000000"/>
          <w:lang w:val="zh-CN"/>
        </w:rPr>
        <w:t>保密</w:t>
      </w:r>
    </w:p>
    <w:p w14:paraId="268AC619">
      <w:pPr>
        <w:spacing w:line="360" w:lineRule="auto"/>
        <w:ind w:firstLine="420" w:firstLineChars="200"/>
        <w:rPr>
          <w:rFonts w:eastAsia="宋体"/>
          <w:color w:val="000000"/>
          <w:szCs w:val="21"/>
        </w:rPr>
      </w:pPr>
      <w:r>
        <w:rPr>
          <w:rFonts w:eastAsia="宋体"/>
          <w:color w:val="000000"/>
          <w:szCs w:val="21"/>
        </w:rPr>
        <w:t>1.9.1</w:t>
      </w:r>
      <w:r>
        <w:rPr>
          <w:rFonts w:hint="eastAsia" w:eastAsia="宋体"/>
          <w:color w:val="000000"/>
          <w:szCs w:val="21"/>
        </w:rPr>
        <w:t>合同当事人除遵守附件保密协议的约定外，未经对方同意，任何一方当事人不得将本项目的有关文件、技术秘密、需要保密的资料和信息泄露或转让给第三方，或公开发表与引用。</w:t>
      </w:r>
    </w:p>
    <w:p w14:paraId="7C747B8E">
      <w:pPr>
        <w:spacing w:line="360" w:lineRule="auto"/>
        <w:ind w:firstLine="420" w:firstLineChars="200"/>
        <w:rPr>
          <w:rFonts w:eastAsia="宋体"/>
          <w:color w:val="000000"/>
          <w:szCs w:val="21"/>
        </w:rPr>
      </w:pPr>
      <w:r>
        <w:rPr>
          <w:rFonts w:eastAsia="宋体"/>
          <w:color w:val="000000"/>
          <w:szCs w:val="21"/>
        </w:rPr>
        <w:t xml:space="preserve">1.9.2 </w:t>
      </w:r>
      <w:r>
        <w:rPr>
          <w:rFonts w:hint="eastAsia" w:eastAsia="宋体"/>
          <w:color w:val="000000"/>
          <w:szCs w:val="21"/>
        </w:rPr>
        <w:t xml:space="preserve">合同当事人违反本项约定，私自泄露保密事宜的，应按合同约定承担违约责任；违约金不足以赔偿对方当事人财产损失的，对方当事人有权要求增加赔偿金直至弥补损失。  </w:t>
      </w:r>
    </w:p>
    <w:p w14:paraId="1C48CD8F">
      <w:pPr>
        <w:spacing w:line="360" w:lineRule="auto"/>
        <w:ind w:firstLine="420" w:firstLineChars="200"/>
        <w:rPr>
          <w:rFonts w:eastAsia="宋体"/>
          <w:color w:val="000000"/>
          <w:szCs w:val="21"/>
        </w:rPr>
      </w:pPr>
      <w:r>
        <w:rPr>
          <w:rFonts w:hint="eastAsia" w:eastAsia="宋体"/>
          <w:color w:val="000000"/>
          <w:szCs w:val="21"/>
        </w:rPr>
        <w:t>1.9.3 保密义务不因合同终止而失效。</w:t>
      </w:r>
    </w:p>
    <w:p w14:paraId="34ECAD69">
      <w:pPr>
        <w:spacing w:line="360" w:lineRule="auto"/>
        <w:outlineLvl w:val="2"/>
        <w:rPr>
          <w:rFonts w:eastAsia="黑体" w:cs="黑体"/>
          <w:color w:val="000000"/>
          <w:sz w:val="28"/>
        </w:rPr>
      </w:pPr>
      <w:r>
        <w:rPr>
          <w:rFonts w:eastAsia="黑体" w:cs="黑体"/>
          <w:color w:val="000000"/>
          <w:sz w:val="28"/>
        </w:rPr>
        <w:t>2.</w:t>
      </w:r>
      <w:r>
        <w:rPr>
          <w:rFonts w:hint="eastAsia" w:eastAsia="黑体" w:cs="黑体"/>
          <w:color w:val="000000"/>
          <w:sz w:val="28"/>
        </w:rPr>
        <w:t>甲方义务</w:t>
      </w:r>
    </w:p>
    <w:p w14:paraId="6540EA03">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2.1</w:t>
      </w:r>
      <w:r>
        <w:rPr>
          <w:rFonts w:hint="eastAsia" w:ascii="黑体" w:hAnsi="黑体" w:eastAsia="华文中宋" w:cs="黑体"/>
          <w:bCs/>
          <w:color w:val="000000"/>
          <w:lang w:val="zh-CN"/>
        </w:rPr>
        <w:t>遵守法律法规</w:t>
      </w:r>
    </w:p>
    <w:p w14:paraId="00341D56">
      <w:pPr>
        <w:spacing w:line="360" w:lineRule="auto"/>
        <w:ind w:firstLine="420" w:firstLineChars="200"/>
        <w:rPr>
          <w:rFonts w:eastAsia="宋体"/>
          <w:color w:val="000000"/>
          <w:szCs w:val="21"/>
        </w:rPr>
      </w:pPr>
      <w:r>
        <w:rPr>
          <w:rFonts w:eastAsia="宋体"/>
          <w:color w:val="000000"/>
          <w:szCs w:val="21"/>
        </w:rPr>
        <w:t>2.1.1</w:t>
      </w:r>
      <w:r>
        <w:rPr>
          <w:rFonts w:hint="eastAsia" w:eastAsia="宋体"/>
          <w:color w:val="000000"/>
          <w:szCs w:val="21"/>
        </w:rPr>
        <w:t>甲方在履行合同中应当遵守法律法规，以及国家、行业和地方的规范标准，不得以任何理由要求乙方违反法律和强制性标准提供设备和附随义务，不得降低工程质量标准。</w:t>
      </w:r>
    </w:p>
    <w:p w14:paraId="4DA90047">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2.2</w:t>
      </w:r>
      <w:r>
        <w:rPr>
          <w:rFonts w:hint="eastAsia" w:ascii="黑体" w:hAnsi="黑体" w:eastAsia="华文中宋" w:cs="黑体"/>
          <w:bCs/>
          <w:color w:val="000000"/>
          <w:lang w:val="zh-CN"/>
        </w:rPr>
        <w:t>甲方代表</w:t>
      </w:r>
    </w:p>
    <w:p w14:paraId="4421BB7A">
      <w:pPr>
        <w:autoSpaceDE w:val="0"/>
        <w:autoSpaceDN w:val="0"/>
        <w:adjustRightInd w:val="0"/>
        <w:spacing w:line="360" w:lineRule="auto"/>
        <w:ind w:firstLine="420" w:firstLineChars="200"/>
        <w:rPr>
          <w:rFonts w:eastAsia="宋体"/>
          <w:color w:val="000000"/>
          <w:szCs w:val="21"/>
        </w:rPr>
      </w:pPr>
      <w:r>
        <w:rPr>
          <w:rFonts w:eastAsia="宋体"/>
          <w:color w:val="000000"/>
          <w:szCs w:val="21"/>
        </w:rPr>
        <w:t>2.2.1</w:t>
      </w:r>
      <w:r>
        <w:rPr>
          <w:rFonts w:hint="eastAsia" w:eastAsia="宋体"/>
          <w:color w:val="000000"/>
          <w:szCs w:val="21"/>
        </w:rPr>
        <w:t>甲方应书面通知其派驻项目现场的甲方代表的姓名、职务、联系方式及授权范围等事项。甲方代表在甲方的授权范围内，负责处理合同履行过程中与甲方有关的具体事宜。甲方代表在授权范围内的行为由甲方承担法律责任。甲方更换甲方代表的，应提前</w:t>
      </w:r>
      <w:r>
        <w:rPr>
          <w:rFonts w:eastAsia="宋体"/>
          <w:color w:val="000000"/>
          <w:szCs w:val="21"/>
        </w:rPr>
        <w:t>7</w:t>
      </w:r>
      <w:r>
        <w:rPr>
          <w:rFonts w:hint="eastAsia" w:eastAsia="宋体"/>
          <w:color w:val="000000"/>
          <w:szCs w:val="21"/>
        </w:rPr>
        <w:t>天书面通知乙方。</w:t>
      </w:r>
    </w:p>
    <w:p w14:paraId="0598E91D">
      <w:pPr>
        <w:spacing w:line="360" w:lineRule="auto"/>
        <w:ind w:firstLine="420" w:firstLineChars="200"/>
        <w:rPr>
          <w:rFonts w:eastAsia="宋体"/>
          <w:color w:val="000000"/>
          <w:szCs w:val="21"/>
        </w:rPr>
      </w:pPr>
      <w:r>
        <w:rPr>
          <w:rFonts w:eastAsia="宋体"/>
          <w:color w:val="000000"/>
          <w:szCs w:val="21"/>
        </w:rPr>
        <w:t>2.2.2</w:t>
      </w:r>
      <w:r>
        <w:rPr>
          <w:rFonts w:hint="eastAsia" w:eastAsia="宋体"/>
          <w:color w:val="000000"/>
          <w:szCs w:val="21"/>
        </w:rPr>
        <w:t>甲方代表不能按照合同约定履行其职责及义务，并导致合同无法继续正常履行的，乙方可以要求甲方撤换甲方代表。</w:t>
      </w:r>
    </w:p>
    <w:p w14:paraId="3E0291AC">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2.3</w:t>
      </w:r>
      <w:r>
        <w:rPr>
          <w:rFonts w:hint="eastAsia" w:ascii="黑体" w:hAnsi="黑体" w:eastAsia="华文中宋" w:cs="黑体"/>
          <w:bCs/>
          <w:color w:val="000000"/>
          <w:lang w:val="zh-CN"/>
        </w:rPr>
        <w:t>支付合同价款</w:t>
      </w:r>
    </w:p>
    <w:p w14:paraId="29EDDFAC">
      <w:pPr>
        <w:tabs>
          <w:tab w:val="left" w:pos="567"/>
          <w:tab w:val="left" w:pos="1418"/>
          <w:tab w:val="left" w:pos="8647"/>
        </w:tabs>
        <w:adjustRightInd w:val="0"/>
        <w:snapToGrid w:val="0"/>
        <w:spacing w:line="360" w:lineRule="auto"/>
        <w:ind w:firstLine="400" w:firstLineChars="200"/>
        <w:rPr>
          <w:rFonts w:eastAsia="宋体"/>
          <w:color w:val="000000"/>
          <w:sz w:val="20"/>
          <w:szCs w:val="21"/>
        </w:rPr>
      </w:pPr>
      <w:r>
        <w:rPr>
          <w:rFonts w:hint="eastAsia" w:eastAsia="宋体"/>
          <w:color w:val="000000"/>
          <w:sz w:val="20"/>
          <w:szCs w:val="21"/>
        </w:rPr>
        <w:t>甲方应按合同约定，向乙方按时支付合同价款。若乙方存在违约、质量问题、进度延误等情形，甲方有权暂停或拒绝付款，且无需承担违约责任，直至乙方纠正相关问题，因暂停或拒绝付款产生的一切责任和损失由乙方承担。</w:t>
      </w:r>
    </w:p>
    <w:p w14:paraId="4C6BA41B">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ascii="黑体" w:hAnsi="黑体" w:eastAsia="华文中宋" w:cs="黑体"/>
          <w:bCs/>
          <w:color w:val="000000"/>
          <w:lang w:val="zh-CN"/>
        </w:rPr>
        <w:t>2.</w:t>
      </w:r>
      <w:r>
        <w:rPr>
          <w:rFonts w:hint="eastAsia" w:ascii="黑体" w:hAnsi="黑体" w:eastAsia="华文中宋" w:cs="黑体"/>
          <w:bCs/>
          <w:color w:val="000000"/>
          <w:lang w:val="zh-CN"/>
        </w:rPr>
        <w:t>4其他义务</w:t>
      </w:r>
    </w:p>
    <w:p w14:paraId="25093803">
      <w:pPr>
        <w:spacing w:line="360" w:lineRule="auto"/>
        <w:ind w:firstLine="420" w:firstLineChars="200"/>
        <w:rPr>
          <w:rFonts w:eastAsia="宋体"/>
          <w:color w:val="000000"/>
          <w:szCs w:val="21"/>
        </w:rPr>
      </w:pPr>
      <w:r>
        <w:rPr>
          <w:rFonts w:eastAsia="宋体"/>
          <w:color w:val="000000"/>
          <w:szCs w:val="21"/>
        </w:rPr>
        <w:t>2.</w:t>
      </w:r>
      <w:r>
        <w:rPr>
          <w:rFonts w:hint="eastAsia" w:eastAsia="宋体"/>
          <w:color w:val="000000"/>
          <w:szCs w:val="21"/>
        </w:rPr>
        <w:t>4</w:t>
      </w:r>
      <w:r>
        <w:rPr>
          <w:rFonts w:eastAsia="宋体"/>
          <w:color w:val="000000"/>
          <w:szCs w:val="21"/>
        </w:rPr>
        <w:t>.1</w:t>
      </w:r>
      <w:r>
        <w:rPr>
          <w:rFonts w:hint="eastAsia" w:eastAsia="宋体"/>
          <w:color w:val="000000"/>
          <w:szCs w:val="21"/>
        </w:rPr>
        <w:t>甲方应按合同约定向乙方发出有关通知。</w:t>
      </w:r>
    </w:p>
    <w:p w14:paraId="0DD90843">
      <w:pPr>
        <w:spacing w:line="360" w:lineRule="auto"/>
        <w:ind w:firstLine="420" w:firstLineChars="200"/>
        <w:rPr>
          <w:rFonts w:eastAsia="宋体"/>
          <w:color w:val="000000"/>
          <w:szCs w:val="21"/>
        </w:rPr>
      </w:pPr>
      <w:r>
        <w:rPr>
          <w:rFonts w:eastAsia="宋体"/>
          <w:color w:val="000000"/>
          <w:szCs w:val="21"/>
        </w:rPr>
        <w:t>2.</w:t>
      </w:r>
      <w:r>
        <w:rPr>
          <w:rFonts w:hint="eastAsia" w:eastAsia="宋体"/>
          <w:color w:val="000000"/>
          <w:szCs w:val="21"/>
        </w:rPr>
        <w:t>4</w:t>
      </w:r>
      <w:r>
        <w:rPr>
          <w:rFonts w:eastAsia="宋体"/>
          <w:color w:val="000000"/>
          <w:szCs w:val="21"/>
        </w:rPr>
        <w:t>.2</w:t>
      </w:r>
      <w:r>
        <w:rPr>
          <w:rFonts w:hint="eastAsia" w:eastAsia="宋体"/>
          <w:color w:val="000000"/>
          <w:szCs w:val="21"/>
        </w:rPr>
        <w:t>甲方应协助乙方办理法律规定的有关证件和批件，但不承担因乙方自身原因导致的任何责任或费用。</w:t>
      </w:r>
    </w:p>
    <w:p w14:paraId="79DE1088">
      <w:pPr>
        <w:spacing w:line="360" w:lineRule="auto"/>
        <w:ind w:firstLine="420" w:firstLineChars="200"/>
        <w:rPr>
          <w:rFonts w:eastAsia="宋体"/>
          <w:color w:val="000000"/>
          <w:szCs w:val="21"/>
        </w:rPr>
      </w:pPr>
      <w:r>
        <w:rPr>
          <w:rFonts w:eastAsia="宋体"/>
          <w:color w:val="000000"/>
          <w:szCs w:val="21"/>
        </w:rPr>
        <w:t>2.</w:t>
      </w:r>
      <w:r>
        <w:rPr>
          <w:rFonts w:hint="eastAsia" w:eastAsia="宋体"/>
          <w:color w:val="000000"/>
          <w:szCs w:val="21"/>
        </w:rPr>
        <w:t>4</w:t>
      </w:r>
      <w:r>
        <w:rPr>
          <w:rFonts w:eastAsia="宋体"/>
          <w:color w:val="000000"/>
          <w:szCs w:val="21"/>
        </w:rPr>
        <w:t>.3</w:t>
      </w:r>
      <w:r>
        <w:rPr>
          <w:rFonts w:hint="eastAsia" w:eastAsia="宋体"/>
          <w:color w:val="000000"/>
          <w:szCs w:val="21"/>
        </w:rPr>
        <w:t>甲方和乙方在合同中约定的其他义务。</w:t>
      </w:r>
    </w:p>
    <w:p w14:paraId="5C3D1D0C">
      <w:pPr>
        <w:keepNext/>
        <w:keepLines/>
        <w:spacing w:before="360" w:beforeLines="150" w:after="172" w:line="360" w:lineRule="auto"/>
        <w:ind w:left="420" w:right="113"/>
        <w:outlineLvl w:val="2"/>
        <w:rPr>
          <w:rFonts w:eastAsia="黑体" w:cs="黑体"/>
          <w:color w:val="000000"/>
          <w:sz w:val="28"/>
        </w:rPr>
      </w:pPr>
      <w:r>
        <w:rPr>
          <w:rFonts w:hint="eastAsia" w:eastAsia="黑体" w:cs="黑体"/>
          <w:color w:val="000000"/>
          <w:sz w:val="28"/>
        </w:rPr>
        <w:t>3.乙方义务</w:t>
      </w:r>
    </w:p>
    <w:p w14:paraId="00E1A450">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lang w:val="zh-CN"/>
        </w:rPr>
        <w:t>3.</w:t>
      </w:r>
      <w:r>
        <w:rPr>
          <w:rFonts w:ascii="黑体" w:hAnsi="黑体" w:eastAsia="华文中宋" w:cs="黑体"/>
          <w:bCs/>
          <w:color w:val="000000"/>
          <w:lang w:val="zh-CN"/>
        </w:rPr>
        <w:t>1</w:t>
      </w:r>
      <w:r>
        <w:rPr>
          <w:rFonts w:hint="eastAsia" w:ascii="黑体" w:hAnsi="黑体" w:eastAsia="华文中宋" w:cs="黑体"/>
          <w:bCs/>
          <w:color w:val="000000"/>
          <w:lang w:val="zh-CN"/>
        </w:rPr>
        <w:t>遵守法律法规</w:t>
      </w:r>
    </w:p>
    <w:p w14:paraId="64BD6E78">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1.1</w:t>
      </w:r>
      <w:r>
        <w:rPr>
          <w:rFonts w:hint="eastAsia" w:eastAsia="宋体"/>
          <w:color w:val="000000"/>
          <w:szCs w:val="21"/>
        </w:rPr>
        <w:t>乙方在履行合同中应当遵守法律法规，按照国家、行业和当地的发布的法律规定提供设备和附随义务。</w:t>
      </w:r>
    </w:p>
    <w:p w14:paraId="7A5B508A">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1.2</w:t>
      </w:r>
      <w:r>
        <w:rPr>
          <w:rFonts w:hint="eastAsia" w:eastAsia="宋体"/>
          <w:color w:val="000000"/>
          <w:szCs w:val="21"/>
        </w:rPr>
        <w:t>乙方应当保证甲方免于承担因乙方违反法律法规而引起的任何责任。</w:t>
      </w:r>
    </w:p>
    <w:p w14:paraId="44E3FB88">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lang w:val="zh-CN"/>
        </w:rPr>
        <w:t>3.</w:t>
      </w:r>
      <w:r>
        <w:rPr>
          <w:rFonts w:ascii="黑体" w:hAnsi="黑体" w:eastAsia="华文中宋" w:cs="黑体"/>
          <w:bCs/>
          <w:color w:val="000000"/>
          <w:lang w:val="zh-CN"/>
        </w:rPr>
        <w:t>2</w:t>
      </w:r>
      <w:r>
        <w:rPr>
          <w:rFonts w:hint="eastAsia" w:ascii="黑体" w:hAnsi="黑体" w:eastAsia="华文中宋" w:cs="黑体"/>
          <w:bCs/>
          <w:color w:val="000000"/>
          <w:lang w:val="zh-CN"/>
        </w:rPr>
        <w:t>依法缴纳税费</w:t>
      </w:r>
    </w:p>
    <w:p w14:paraId="6A39BB9B">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2.1</w:t>
      </w:r>
      <w:r>
        <w:rPr>
          <w:rFonts w:hint="eastAsia" w:eastAsia="宋体"/>
          <w:color w:val="000000"/>
          <w:szCs w:val="21"/>
        </w:rPr>
        <w:t>乙方应按相关法律规定纳税，政府对乙方征收的一切税费，均已含在合同价格之中，应由乙方缴纳。</w:t>
      </w:r>
    </w:p>
    <w:p w14:paraId="0F726898">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2.2</w:t>
      </w:r>
      <w:r>
        <w:rPr>
          <w:rFonts w:hint="eastAsia" w:eastAsia="宋体"/>
          <w:color w:val="000000"/>
          <w:szCs w:val="21"/>
        </w:rPr>
        <w:t>合同履行过程中，如遇税法调整或者税率（征收率）变化，不含税价保持不变，合同价款中的税金应当相应调整。</w:t>
      </w:r>
    </w:p>
    <w:p w14:paraId="0EBAF5CF">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lang w:val="zh-CN"/>
        </w:rPr>
        <w:t>3.</w:t>
      </w:r>
      <w:r>
        <w:rPr>
          <w:rFonts w:ascii="黑体" w:hAnsi="黑体" w:eastAsia="华文中宋" w:cs="黑体"/>
          <w:bCs/>
          <w:color w:val="000000"/>
          <w:lang w:val="zh-CN"/>
        </w:rPr>
        <w:t>3</w:t>
      </w:r>
      <w:r>
        <w:rPr>
          <w:rFonts w:hint="eastAsia" w:ascii="黑体" w:hAnsi="黑体" w:eastAsia="华文中宋" w:cs="黑体"/>
          <w:bCs/>
          <w:color w:val="000000"/>
          <w:lang w:val="zh-CN"/>
        </w:rPr>
        <w:t>全面履行职责</w:t>
      </w:r>
    </w:p>
    <w:p w14:paraId="6295012A">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3.1</w:t>
      </w:r>
      <w:r>
        <w:rPr>
          <w:rFonts w:hint="eastAsia" w:eastAsia="宋体"/>
          <w:color w:val="000000"/>
          <w:szCs w:val="21"/>
        </w:rPr>
        <w:t>乙方应按法律法规、合同约定、甲方要求、规范标准等，全面履行合同义务和工作职责，接受甲方为合同目的的现场管理和全过程检查、监督，包括但不限于项目管理、项目进展、系统设计、业务流程设计、接口设计、软件开发、设计联络、接口服务、设备生产、设备供货、包装、运输、设备安装、系统调试、联调、测试与检验、培训、文件提供、质保服务等环节，为甲方提供满足合同要求的设备、服务、备品备件、安装设施或装备、技术文件等其他技术服务，以及应由乙方提供的人员、耗材和其他物品等。</w:t>
      </w:r>
    </w:p>
    <w:p w14:paraId="4E14FA53">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3.2</w:t>
      </w:r>
      <w:r>
        <w:rPr>
          <w:rFonts w:hint="eastAsia" w:eastAsia="宋体"/>
          <w:color w:val="000000"/>
          <w:szCs w:val="21"/>
        </w:rPr>
        <w:t>乙方应当根据合同约定和甲方要求，向甲方提交设备供应进度计划、生产制造工艺措施、设备质量控制方案、产品检验验收方案、设备包装和运输方案、安装督导计划和保障措施、附随义务方案、质保期服务方案等，并根据批复意见组织实施。未事先通知并获得甲方同意的前提下，乙方不得擅自改变上述计划或方案的实质性内容。</w:t>
      </w:r>
    </w:p>
    <w:p w14:paraId="63B4C1D0">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3.3</w:t>
      </w:r>
      <w:r>
        <w:rPr>
          <w:rFonts w:hint="eastAsia" w:eastAsia="宋体"/>
          <w:color w:val="000000"/>
          <w:szCs w:val="21"/>
        </w:rPr>
        <w:t>乙方应当保证合同项下所供设备是未使用的全新设备，所采用的原材料、元器件、重要部件、配件的质量优良且能追溯，生产、制造方法和工艺标准应当满足工程所在地和原产地的规范标准和合同约定，并经严格的检验合格之后方能放行，不得存在因设计错误或不合理、材料选用不当、工艺粗糙、检验缺漏而造成的质量或安全缺陷。</w:t>
      </w:r>
    </w:p>
    <w:p w14:paraId="6537B48C">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3.4</w:t>
      </w:r>
      <w:r>
        <w:rPr>
          <w:rFonts w:hint="eastAsia" w:eastAsia="宋体"/>
          <w:color w:val="000000"/>
          <w:szCs w:val="21"/>
        </w:rPr>
        <w:t>约定设备某部分的内容由乙方设计的，乙方应按合同约定向甲方提交该部分的设计文件；设计文件（含图纸）必须适用合同约定的法律法规，使用合同约定的语言文字，满足合同约定的规范标准和技术要求，按照甲方关于设计的统一规定进行设计和标注信息等。</w:t>
      </w:r>
    </w:p>
    <w:p w14:paraId="284B219C">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3.5</w:t>
      </w:r>
      <w:r>
        <w:rPr>
          <w:rFonts w:hint="eastAsia" w:eastAsia="宋体"/>
          <w:color w:val="000000"/>
          <w:szCs w:val="21"/>
        </w:rPr>
        <w:t>乙方应对所有生产制造现场作业和工作方法的完备性、稳定性和安全性负责，应当保证合同项下的设备能够验收合格和稳定运行；乙方应对其技术文件和按照合同规定对每项设备所做的设计负责。</w:t>
      </w:r>
    </w:p>
    <w:p w14:paraId="483D1FF8">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3.6</w:t>
      </w:r>
      <w:r>
        <w:rPr>
          <w:rFonts w:hint="eastAsia" w:eastAsia="宋体"/>
          <w:color w:val="000000"/>
          <w:szCs w:val="21"/>
        </w:rPr>
        <w:t>乙方应当保证设备满足合同规定的寿命要求，对不符合寿命要求的部件，乙方应当随时更换并承担违约责任；乙方应当保证设备在正常的寿命周期内，在正常使用维护条件下，不会因为任何潜在缺陷发生质量或安全事故，否则由此造成的一切损失和责任应由乙方负责。</w:t>
      </w:r>
    </w:p>
    <w:p w14:paraId="7C85AA1A">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3.7</w:t>
      </w:r>
      <w:r>
        <w:rPr>
          <w:rFonts w:hint="eastAsia" w:eastAsia="宋体"/>
          <w:color w:val="000000"/>
          <w:szCs w:val="21"/>
        </w:rPr>
        <w:t>乙方应当保证合同项下的设备，能够适应现有的和合理预料的现场环境和作业条件，保证设备在正常操作维护情况下，不会因乙方或其分包人在原材料选用、设备设计、生产制造工艺、检验验收、安装调试中的任何缺陷、错误等而发生运行故障，否则由此造成的一切损失和责任应由乙方负责。</w:t>
      </w:r>
    </w:p>
    <w:p w14:paraId="7EDBB1A3">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3.8</w:t>
      </w:r>
      <w:r>
        <w:rPr>
          <w:rFonts w:hint="eastAsia" w:eastAsia="宋体"/>
          <w:color w:val="000000"/>
          <w:szCs w:val="21"/>
        </w:rPr>
        <w:t>乙方应在本合同竣工验收之前，向甲方无偿提供与本合同设备具有同等功能的代用设备的名称、规格和供货商，和∕或有关本合同设备正确使用的有关代用设计或方案，和∕或能够确保本合同设备正常使用所需要的其他代用元器件的名称、规格和供货商，并确保其提供的信息真实有效并且满足有关规范规定。</w:t>
      </w:r>
    </w:p>
    <w:p w14:paraId="76E5D8BD">
      <w:pPr>
        <w:spacing w:line="360" w:lineRule="auto"/>
        <w:ind w:firstLine="420" w:firstLineChars="200"/>
        <w:rPr>
          <w:rFonts w:eastAsia="宋体"/>
          <w:color w:val="000000"/>
          <w:szCs w:val="21"/>
        </w:rPr>
      </w:pPr>
      <w:r>
        <w:rPr>
          <w:rFonts w:hint="eastAsia" w:eastAsia="宋体"/>
          <w:color w:val="000000"/>
          <w:szCs w:val="21"/>
        </w:rPr>
        <w:t>3.</w:t>
      </w:r>
      <w:r>
        <w:rPr>
          <w:rFonts w:eastAsia="宋体"/>
          <w:color w:val="000000"/>
          <w:szCs w:val="21"/>
        </w:rPr>
        <w:t>3.9</w:t>
      </w:r>
      <w:r>
        <w:rPr>
          <w:rFonts w:hint="eastAsia" w:eastAsia="宋体"/>
          <w:color w:val="000000"/>
          <w:szCs w:val="21"/>
        </w:rPr>
        <w:t>关于甲方在合同范围内对乙方设备或服务提出的意见要求，乙方应当及时拟定处置意见并与甲方协商确定，直至满足合同约定和甲方合理要求。意见要求附有处理期限的，乙方应在规定的期限内办理完毕。</w:t>
      </w:r>
    </w:p>
    <w:p w14:paraId="28A7FDCE">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lang w:val="zh-CN"/>
        </w:rPr>
        <w:t>3.</w:t>
      </w:r>
      <w:r>
        <w:rPr>
          <w:rFonts w:ascii="黑体" w:hAnsi="黑体" w:eastAsia="华文中宋" w:cs="黑体"/>
          <w:bCs/>
          <w:color w:val="000000"/>
          <w:lang w:val="zh-CN"/>
        </w:rPr>
        <w:t>4</w:t>
      </w:r>
      <w:r>
        <w:rPr>
          <w:rFonts w:hint="eastAsia" w:ascii="黑体" w:hAnsi="黑体" w:eastAsia="华文中宋" w:cs="黑体"/>
          <w:bCs/>
          <w:color w:val="000000"/>
          <w:lang w:val="zh-CN"/>
        </w:rPr>
        <w:t>项目机构和人员</w:t>
      </w:r>
    </w:p>
    <w:p w14:paraId="5AE01636">
      <w:pPr>
        <w:spacing w:line="360" w:lineRule="auto"/>
        <w:ind w:firstLine="420" w:firstLineChars="200"/>
        <w:rPr>
          <w:rFonts w:eastAsia="宋体"/>
          <w:color w:val="000000"/>
          <w:szCs w:val="21"/>
        </w:rPr>
      </w:pPr>
      <w:r>
        <w:rPr>
          <w:rFonts w:hint="eastAsia" w:eastAsia="宋体"/>
          <w:color w:val="000000"/>
          <w:szCs w:val="21"/>
        </w:rPr>
        <w:t>3.4.</w:t>
      </w:r>
      <w:r>
        <w:rPr>
          <w:rFonts w:eastAsia="宋体"/>
          <w:color w:val="000000"/>
          <w:szCs w:val="21"/>
        </w:rPr>
        <w:t>1</w:t>
      </w:r>
      <w:r>
        <w:rPr>
          <w:rFonts w:hint="eastAsia" w:eastAsia="宋体"/>
          <w:color w:val="000000"/>
        </w:rPr>
        <w:t>乙方应按合同约定和投标文件承诺，向甲方提交有关合同履行管理人员组织架构图和项目负责人及主要人员的名单及其职责，按照合同约定完成工作，并定期报告工作进展情况。</w:t>
      </w:r>
      <w:r>
        <w:rPr>
          <w:rFonts w:eastAsia="宋体"/>
          <w:color w:val="000000"/>
        </w:rPr>
        <w:t xml:space="preserve"> </w:t>
      </w:r>
    </w:p>
    <w:p w14:paraId="1B54FD83">
      <w:pPr>
        <w:spacing w:line="360" w:lineRule="auto"/>
        <w:ind w:firstLine="420" w:firstLineChars="200"/>
        <w:rPr>
          <w:rFonts w:eastAsia="宋体"/>
          <w:color w:val="000000"/>
          <w:szCs w:val="21"/>
        </w:rPr>
      </w:pPr>
      <w:r>
        <w:rPr>
          <w:rFonts w:hint="eastAsia" w:eastAsia="宋体"/>
          <w:color w:val="000000"/>
          <w:szCs w:val="21"/>
        </w:rPr>
        <w:t>3.4.</w:t>
      </w:r>
      <w:r>
        <w:rPr>
          <w:rFonts w:eastAsia="宋体"/>
          <w:color w:val="000000"/>
          <w:szCs w:val="21"/>
        </w:rPr>
        <w:t>2</w:t>
      </w:r>
      <w:r>
        <w:rPr>
          <w:rFonts w:hint="eastAsia" w:eastAsia="宋体"/>
          <w:color w:val="000000"/>
          <w:szCs w:val="21"/>
        </w:rPr>
        <w:t>项目负责人应由乙方书面任命，并报送甲方审核同意；没有甲方的事先书面同意，项目负责人不得更换或撤销任命，乙方擅自更换项目负责人的，按合同约定承担违约责任。甲方有权要求撤换不合格项目负责人。项目负责人应当常驻项目城市，每月离岗时间累计不得超过72小时，离岗需提前3日提交书面申请，能够流利地使用合同规定的语言文字进行日常交流，因故离岗和返岗时需向甲方代表进行请假和销假。甲方有权根据人员履职情况，直接要求乙方限期更换不合格人员，乙方须于七个工作日内落实。</w:t>
      </w:r>
    </w:p>
    <w:p w14:paraId="649D6012">
      <w:pPr>
        <w:spacing w:line="360" w:lineRule="auto"/>
        <w:ind w:firstLine="420" w:firstLineChars="200"/>
        <w:rPr>
          <w:rFonts w:eastAsia="宋体"/>
          <w:color w:val="000000"/>
          <w:szCs w:val="21"/>
        </w:rPr>
      </w:pPr>
      <w:r>
        <w:rPr>
          <w:rFonts w:hint="eastAsia" w:eastAsia="宋体"/>
          <w:color w:val="000000"/>
          <w:szCs w:val="21"/>
        </w:rPr>
        <w:t>3.4.</w:t>
      </w:r>
      <w:r>
        <w:rPr>
          <w:rFonts w:eastAsia="宋体"/>
          <w:color w:val="000000"/>
          <w:szCs w:val="21"/>
        </w:rPr>
        <w:t>3</w:t>
      </w:r>
      <w:r>
        <w:rPr>
          <w:rFonts w:hint="eastAsia" w:eastAsia="宋体"/>
          <w:color w:val="000000"/>
          <w:szCs w:val="21"/>
        </w:rPr>
        <w:t>项目机构的主要人员均应专业对口或具有与其岗位工作相适应的工作经历，能够流利地使用合同规定的语言文字进行日常交流，本合同项目机构人员明细附件。</w:t>
      </w:r>
    </w:p>
    <w:p w14:paraId="243807C8">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lang w:val="zh-CN"/>
        </w:rPr>
        <w:t>3.</w:t>
      </w:r>
      <w:r>
        <w:rPr>
          <w:rFonts w:ascii="黑体" w:hAnsi="黑体" w:eastAsia="华文中宋" w:cs="黑体"/>
          <w:bCs/>
          <w:color w:val="000000"/>
          <w:lang w:val="zh-CN"/>
        </w:rPr>
        <w:t>5</w:t>
      </w:r>
      <w:r>
        <w:rPr>
          <w:rFonts w:hint="eastAsia" w:ascii="黑体" w:hAnsi="黑体" w:eastAsia="华文中宋" w:cs="黑体"/>
          <w:bCs/>
          <w:color w:val="000000"/>
          <w:lang w:val="zh-CN"/>
        </w:rPr>
        <w:t>分包管理</w:t>
      </w:r>
    </w:p>
    <w:p w14:paraId="20FCCF29">
      <w:pPr>
        <w:spacing w:line="360" w:lineRule="auto"/>
        <w:ind w:firstLine="420" w:firstLineChars="200"/>
        <w:rPr>
          <w:rFonts w:eastAsia="宋体"/>
          <w:color w:val="000000"/>
          <w:szCs w:val="21"/>
          <w:highlight w:val="none"/>
        </w:rPr>
      </w:pPr>
      <w:r>
        <w:rPr>
          <w:rFonts w:hint="eastAsia" w:eastAsia="宋体"/>
          <w:color w:val="000000"/>
          <w:szCs w:val="21"/>
        </w:rPr>
        <w:t>3.</w:t>
      </w:r>
      <w:r>
        <w:rPr>
          <w:rFonts w:eastAsia="宋体"/>
          <w:color w:val="000000"/>
          <w:szCs w:val="21"/>
        </w:rPr>
        <w:t>5.1</w:t>
      </w:r>
      <w:r>
        <w:rPr>
          <w:rFonts w:hint="eastAsia" w:eastAsia="宋体"/>
          <w:color w:val="000000"/>
          <w:szCs w:val="21"/>
        </w:rPr>
        <w:t>乙方在满足现行法律法规的基础上，将部分合同内容分包给具备相应资质的分包人，须报甲方备案；分包人的资格能力应与</w:t>
      </w:r>
      <w:r>
        <w:rPr>
          <w:rFonts w:hint="eastAsia" w:eastAsia="宋体"/>
          <w:color w:val="000000"/>
          <w:szCs w:val="21"/>
          <w:highlight w:val="none"/>
        </w:rPr>
        <w:t>其分包内容相适应。</w:t>
      </w:r>
    </w:p>
    <w:p w14:paraId="0895E666">
      <w:pPr>
        <w:spacing w:line="360" w:lineRule="auto"/>
        <w:ind w:firstLine="420" w:firstLineChars="200"/>
        <w:rPr>
          <w:rFonts w:eastAsia="宋体"/>
          <w:color w:val="000000"/>
          <w:szCs w:val="21"/>
          <w:highlight w:val="none"/>
        </w:rPr>
      </w:pPr>
      <w:r>
        <w:rPr>
          <w:rFonts w:hint="eastAsia" w:eastAsia="宋体"/>
          <w:color w:val="000000"/>
          <w:szCs w:val="21"/>
          <w:highlight w:val="none"/>
        </w:rPr>
        <w:t>3.</w:t>
      </w:r>
      <w:r>
        <w:rPr>
          <w:rFonts w:eastAsia="宋体"/>
          <w:color w:val="000000"/>
          <w:szCs w:val="21"/>
          <w:highlight w:val="none"/>
        </w:rPr>
        <w:t>5.2</w:t>
      </w:r>
      <w:r>
        <w:rPr>
          <w:rFonts w:hint="eastAsia" w:eastAsia="宋体"/>
          <w:color w:val="000000"/>
          <w:szCs w:val="21"/>
          <w:highlight w:val="none"/>
        </w:rPr>
        <w:t>乙方不得违法分包、不得转包、不得将全部内容支解之后以分包名义进行转包，不得以包代管。乙方应当加强分包管理，与分包人就分包内容承担连带责任；分包活动不减轻或免除乙方按照法律规定和合同约定应承担的责任和义务。</w:t>
      </w:r>
    </w:p>
    <w:p w14:paraId="0ED4901C">
      <w:pPr>
        <w:keepNext/>
        <w:keepLines/>
        <w:spacing w:line="360" w:lineRule="auto"/>
        <w:ind w:left="11" w:right="113" w:firstLine="352" w:firstLineChars="168"/>
        <w:outlineLvl w:val="3"/>
        <w:rPr>
          <w:rFonts w:hint="eastAsia" w:ascii="黑体" w:hAnsi="黑体" w:eastAsia="华文中宋" w:cs="黑体"/>
          <w:b/>
          <w:bCs/>
          <w:color w:val="000000"/>
          <w:highlight w:val="none"/>
          <w:lang w:val="zh-CN"/>
        </w:rPr>
      </w:pPr>
      <w:r>
        <w:rPr>
          <w:rFonts w:hint="eastAsia" w:ascii="黑体" w:hAnsi="黑体" w:eastAsia="华文中宋" w:cs="黑体"/>
          <w:bCs/>
          <w:color w:val="000000"/>
          <w:highlight w:val="none"/>
          <w:lang w:val="zh-CN"/>
        </w:rPr>
        <w:t>3.</w:t>
      </w:r>
      <w:r>
        <w:rPr>
          <w:rFonts w:hint="eastAsia" w:ascii="黑体" w:hAnsi="黑体" w:eastAsia="华文中宋" w:cs="黑体"/>
          <w:bCs/>
          <w:color w:val="000000"/>
          <w:highlight w:val="none"/>
        </w:rPr>
        <w:t>6</w:t>
      </w:r>
      <w:r>
        <w:rPr>
          <w:rFonts w:hint="eastAsia" w:ascii="黑体" w:hAnsi="黑体" w:eastAsia="华文中宋" w:cs="黑体"/>
          <w:bCs/>
          <w:color w:val="000000"/>
          <w:highlight w:val="none"/>
          <w:lang w:val="zh-CN"/>
        </w:rPr>
        <w:t>项目照管与保护</w:t>
      </w:r>
    </w:p>
    <w:p w14:paraId="081C489B">
      <w:pPr>
        <w:spacing w:line="360" w:lineRule="auto"/>
        <w:ind w:firstLine="420" w:firstLineChars="200"/>
        <w:rPr>
          <w:rFonts w:eastAsia="宋体"/>
          <w:color w:val="000000"/>
          <w:szCs w:val="21"/>
        </w:rPr>
      </w:pPr>
      <w:r>
        <w:rPr>
          <w:rFonts w:hint="eastAsia" w:eastAsia="宋体"/>
          <w:color w:val="000000"/>
          <w:szCs w:val="21"/>
        </w:rPr>
        <w:t>3.6</w:t>
      </w:r>
      <w:r>
        <w:rPr>
          <w:rFonts w:eastAsia="宋体"/>
          <w:color w:val="000000"/>
          <w:szCs w:val="21"/>
        </w:rPr>
        <w:t>.1</w:t>
      </w:r>
      <w:r>
        <w:rPr>
          <w:rFonts w:hint="eastAsia" w:eastAsia="宋体"/>
          <w:color w:val="000000"/>
          <w:szCs w:val="21"/>
        </w:rPr>
        <w:t>乙方将合同约定的设备运输到甲方指定地点并办理移交接收前，乙方应当负责照管合同相关的材料、设备、设施等。</w:t>
      </w:r>
    </w:p>
    <w:p w14:paraId="0091491F">
      <w:pPr>
        <w:spacing w:line="360" w:lineRule="auto"/>
        <w:ind w:firstLine="420" w:firstLineChars="200"/>
        <w:rPr>
          <w:rFonts w:eastAsia="宋体"/>
          <w:color w:val="000000"/>
          <w:szCs w:val="21"/>
        </w:rPr>
      </w:pPr>
      <w:r>
        <w:rPr>
          <w:rFonts w:hint="eastAsia" w:eastAsia="宋体"/>
          <w:color w:val="000000"/>
          <w:szCs w:val="21"/>
        </w:rPr>
        <w:t>3.6</w:t>
      </w:r>
      <w:r>
        <w:rPr>
          <w:rFonts w:eastAsia="宋体"/>
          <w:color w:val="000000"/>
          <w:szCs w:val="21"/>
        </w:rPr>
        <w:t>.2</w:t>
      </w:r>
      <w:r>
        <w:rPr>
          <w:rFonts w:hint="eastAsia" w:eastAsia="宋体"/>
          <w:color w:val="000000"/>
          <w:szCs w:val="21"/>
        </w:rPr>
        <w:t>在乙方照管项目期间，因乙方原因造成工程、材料、设备、设施等损坏的，由乙方负责修复或更换，由此造成的费用增加和（或）工期延误由乙方自行承担。</w:t>
      </w:r>
    </w:p>
    <w:p w14:paraId="58A4191C">
      <w:pPr>
        <w:spacing w:line="360" w:lineRule="auto"/>
        <w:ind w:firstLine="420" w:firstLineChars="200"/>
        <w:rPr>
          <w:rFonts w:eastAsia="宋体"/>
          <w:color w:val="000000"/>
          <w:szCs w:val="21"/>
        </w:rPr>
      </w:pPr>
      <w:r>
        <w:rPr>
          <w:rFonts w:hint="eastAsia" w:eastAsia="宋体"/>
          <w:color w:val="000000"/>
          <w:szCs w:val="21"/>
        </w:rPr>
        <w:t>3.6</w:t>
      </w:r>
      <w:r>
        <w:rPr>
          <w:rFonts w:eastAsia="宋体"/>
          <w:color w:val="000000"/>
          <w:szCs w:val="21"/>
        </w:rPr>
        <w:t>.3</w:t>
      </w:r>
      <w:r>
        <w:rPr>
          <w:rFonts w:hint="eastAsia" w:eastAsia="宋体"/>
          <w:color w:val="000000"/>
          <w:szCs w:val="21"/>
        </w:rPr>
        <w:t>乙方已经运至施工现场的各项合同约定设备，无论是否按照合同约定计价完毕，均属于甲方的财产，由甲方拥有相应的处分权和收益权；乙方或其他第三人无权对该项设备进行抵扣、留置或拍卖等。</w:t>
      </w:r>
    </w:p>
    <w:p w14:paraId="19FD8689">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lang w:val="zh-CN"/>
        </w:rPr>
        <w:t>3.</w:t>
      </w:r>
      <w:r>
        <w:rPr>
          <w:rFonts w:hint="eastAsia" w:ascii="黑体" w:hAnsi="黑体" w:eastAsia="华文中宋" w:cs="黑体"/>
          <w:bCs/>
          <w:color w:val="000000"/>
        </w:rPr>
        <w:t>7</w:t>
      </w:r>
      <w:r>
        <w:rPr>
          <w:rFonts w:hint="eastAsia" w:ascii="黑体" w:hAnsi="黑体" w:eastAsia="华文中宋" w:cs="黑体"/>
          <w:bCs/>
          <w:color w:val="000000"/>
          <w:lang w:val="zh-CN"/>
        </w:rPr>
        <w:t>履约担保</w:t>
      </w:r>
    </w:p>
    <w:p w14:paraId="30CEC00C">
      <w:pPr>
        <w:spacing w:line="360" w:lineRule="auto"/>
        <w:ind w:firstLine="420" w:firstLineChars="200"/>
        <w:rPr>
          <w:rFonts w:eastAsia="宋体"/>
          <w:color w:val="000000"/>
          <w:szCs w:val="21"/>
        </w:rPr>
      </w:pPr>
      <w:r>
        <w:rPr>
          <w:rFonts w:hint="eastAsia" w:eastAsia="宋体"/>
          <w:color w:val="000000"/>
          <w:szCs w:val="21"/>
        </w:rPr>
        <w:t>3.7</w:t>
      </w:r>
      <w:r>
        <w:rPr>
          <w:rFonts w:eastAsia="宋体"/>
          <w:color w:val="000000"/>
          <w:szCs w:val="21"/>
        </w:rPr>
        <w:t>.</w:t>
      </w:r>
      <w:r>
        <w:rPr>
          <w:rFonts w:hint="eastAsia" w:eastAsia="宋体"/>
          <w:color w:val="000000"/>
          <w:szCs w:val="21"/>
        </w:rPr>
        <w:t>1 乙方应在收到中标通知书后30日内，签订本合同之前提交满足甲方要求的履约担保。乙方未能在规定时限提交履约担保的，每逾期一日按合同金额0.03%支付违约金，逾期超过15日甲方有权解除合同。</w:t>
      </w:r>
    </w:p>
    <w:p w14:paraId="42A5081C">
      <w:pPr>
        <w:spacing w:line="360" w:lineRule="auto"/>
        <w:ind w:firstLine="420" w:firstLineChars="200"/>
        <w:rPr>
          <w:rFonts w:eastAsia="宋体"/>
          <w:color w:val="000000"/>
          <w:szCs w:val="21"/>
        </w:rPr>
      </w:pPr>
      <w:r>
        <w:rPr>
          <w:rFonts w:hint="eastAsia" w:eastAsia="宋体"/>
          <w:color w:val="000000"/>
          <w:szCs w:val="21"/>
        </w:rPr>
        <w:t>3.7</w:t>
      </w:r>
      <w:r>
        <w:rPr>
          <w:rFonts w:eastAsia="宋体"/>
          <w:color w:val="000000"/>
          <w:szCs w:val="21"/>
        </w:rPr>
        <w:t>.</w:t>
      </w:r>
      <w:r>
        <w:rPr>
          <w:rFonts w:hint="eastAsia" w:eastAsia="宋体"/>
          <w:color w:val="000000"/>
          <w:szCs w:val="21"/>
        </w:rPr>
        <w:t>2</w:t>
      </w:r>
      <w:r>
        <w:rPr>
          <w:rFonts w:eastAsia="宋体"/>
          <w:color w:val="000000"/>
          <w:szCs w:val="21"/>
        </w:rPr>
        <w:t>履约担保的方式和金额：</w:t>
      </w:r>
    </w:p>
    <w:p w14:paraId="2C643E8D">
      <w:pPr>
        <w:spacing w:line="360" w:lineRule="auto"/>
        <w:ind w:left="420" w:firstLine="420" w:firstLineChars="200"/>
        <w:rPr>
          <w:rFonts w:eastAsia="宋体"/>
          <w:color w:val="000000"/>
          <w:szCs w:val="21"/>
          <w:highlight w:val="none"/>
        </w:rPr>
      </w:pPr>
      <w:r>
        <w:rPr>
          <w:rFonts w:hint="eastAsia" w:eastAsia="宋体"/>
          <w:color w:val="000000"/>
          <w:szCs w:val="21"/>
        </w:rPr>
        <w:t>履约担保提供方式：履约保函、银行电汇、转账等形式；若采用履约保函，在履约保函有效期截止前3个月，当确定履约保函有效期截止时合同义务不可能实际履行完毕，乙方应当及时办理履约保函续期或重新开具履约保函。乙方</w:t>
      </w:r>
      <w:r>
        <w:rPr>
          <w:rFonts w:hint="eastAsia" w:eastAsia="宋体"/>
          <w:color w:val="000000"/>
          <w:szCs w:val="21"/>
          <w:highlight w:val="none"/>
        </w:rPr>
        <w:t>在保函有效期截止日前未提交续保保函，也未重新开具履约保函的，甲方将暂停支付货款且不承担任何违约责任。</w:t>
      </w:r>
    </w:p>
    <w:p w14:paraId="54D3188C">
      <w:pPr>
        <w:spacing w:line="360" w:lineRule="auto"/>
        <w:ind w:firstLine="840" w:firstLineChars="400"/>
        <w:rPr>
          <w:rFonts w:eastAsia="宋体"/>
          <w:color w:val="000000"/>
          <w:szCs w:val="21"/>
          <w:highlight w:val="none"/>
        </w:rPr>
      </w:pPr>
      <w:r>
        <w:rPr>
          <w:rFonts w:hint="eastAsia" w:eastAsia="宋体"/>
          <w:color w:val="000000"/>
          <w:szCs w:val="21"/>
          <w:highlight w:val="none"/>
        </w:rPr>
        <w:t>履约担保</w:t>
      </w:r>
      <w:r>
        <w:rPr>
          <w:rFonts w:hint="eastAsia" w:eastAsia="宋体"/>
          <w:color w:val="000000"/>
          <w:highlight w:val="none"/>
        </w:rPr>
        <w:t>提供</w:t>
      </w:r>
      <w:r>
        <w:rPr>
          <w:rFonts w:hint="eastAsia" w:eastAsia="宋体"/>
          <w:color w:val="000000"/>
          <w:szCs w:val="21"/>
          <w:highlight w:val="none"/>
        </w:rPr>
        <w:t>金额：</w:t>
      </w:r>
      <w:r>
        <w:rPr>
          <w:rFonts w:hint="eastAsia" w:eastAsia="楷体"/>
          <w:color w:val="000000"/>
          <w:szCs w:val="21"/>
          <w:highlight w:val="none"/>
          <w:u w:val="single"/>
        </w:rPr>
        <w:t>签约合同价的3</w:t>
      </w:r>
      <w:r>
        <w:rPr>
          <w:rFonts w:eastAsia="楷体"/>
          <w:color w:val="000000"/>
          <w:szCs w:val="21"/>
          <w:highlight w:val="none"/>
          <w:u w:val="single"/>
        </w:rPr>
        <w:t>%</w:t>
      </w:r>
      <w:r>
        <w:rPr>
          <w:rFonts w:hint="eastAsia" w:eastAsia="宋体"/>
          <w:color w:val="000000"/>
          <w:szCs w:val="21"/>
          <w:highlight w:val="none"/>
        </w:rPr>
        <w:t>。</w:t>
      </w:r>
    </w:p>
    <w:p w14:paraId="3E638897">
      <w:pPr>
        <w:spacing w:line="360" w:lineRule="auto"/>
        <w:ind w:firstLine="420" w:firstLineChars="200"/>
        <w:rPr>
          <w:rFonts w:eastAsia="楷体"/>
          <w:color w:val="000000"/>
          <w:szCs w:val="21"/>
          <w:highlight w:val="none"/>
          <w:u w:val="single"/>
        </w:rPr>
      </w:pPr>
      <w:r>
        <w:rPr>
          <w:rFonts w:hint="eastAsia" w:eastAsia="宋体"/>
          <w:color w:val="000000"/>
          <w:szCs w:val="21"/>
          <w:highlight w:val="none"/>
        </w:rPr>
        <w:t>3.7</w:t>
      </w:r>
      <w:r>
        <w:rPr>
          <w:rFonts w:eastAsia="宋体"/>
          <w:color w:val="000000"/>
          <w:szCs w:val="21"/>
          <w:highlight w:val="none"/>
        </w:rPr>
        <w:t>.3</w:t>
      </w:r>
      <w:r>
        <w:rPr>
          <w:rFonts w:hint="eastAsia" w:eastAsia="宋体"/>
          <w:color w:val="000000"/>
          <w:szCs w:val="21"/>
          <w:highlight w:val="none"/>
        </w:rPr>
        <w:t>履约担保退还时间：</w:t>
      </w:r>
      <w:r>
        <w:rPr>
          <w:rFonts w:hint="eastAsia" w:ascii="宋体" w:hAnsi="宋体" w:eastAsia="宋体"/>
          <w:b/>
          <w:bCs/>
          <w:i/>
          <w:iCs/>
          <w:color w:val="000000"/>
          <w:sz w:val="20"/>
          <w:szCs w:val="21"/>
          <w:highlight w:val="none"/>
          <w:u w:val="single"/>
        </w:rPr>
        <w:t>当甲乙方完成项目竣工验收后</w:t>
      </w:r>
      <w:r>
        <w:rPr>
          <w:rFonts w:ascii="宋体" w:hAnsi="宋体" w:eastAsia="宋体"/>
          <w:b/>
          <w:bCs/>
          <w:i/>
          <w:iCs/>
          <w:color w:val="000000"/>
          <w:sz w:val="20"/>
          <w:szCs w:val="21"/>
          <w:highlight w:val="none"/>
          <w:u w:val="single"/>
        </w:rPr>
        <w:t>，</w:t>
      </w:r>
      <w:r>
        <w:rPr>
          <w:rFonts w:hint="eastAsia" w:ascii="宋体" w:hAnsi="宋体" w:eastAsia="宋体"/>
          <w:b/>
          <w:bCs/>
          <w:i/>
          <w:iCs/>
          <w:color w:val="000000"/>
          <w:sz w:val="20"/>
          <w:szCs w:val="21"/>
          <w:highlight w:val="none"/>
          <w:u w:val="single"/>
        </w:rPr>
        <w:t>乙</w:t>
      </w:r>
      <w:r>
        <w:rPr>
          <w:rFonts w:ascii="宋体" w:hAnsi="宋体" w:eastAsia="宋体"/>
          <w:b/>
          <w:bCs/>
          <w:i/>
          <w:iCs/>
          <w:color w:val="000000"/>
          <w:sz w:val="20"/>
          <w:szCs w:val="21"/>
          <w:highlight w:val="none"/>
          <w:u w:val="single"/>
        </w:rPr>
        <w:t>方</w:t>
      </w:r>
      <w:r>
        <w:rPr>
          <w:rFonts w:hint="eastAsia" w:ascii="宋体" w:hAnsi="宋体" w:eastAsia="宋体"/>
          <w:b/>
          <w:bCs/>
          <w:i/>
          <w:iCs/>
          <w:color w:val="000000"/>
          <w:sz w:val="20"/>
          <w:szCs w:val="21"/>
          <w:highlight w:val="none"/>
          <w:u w:val="single"/>
        </w:rPr>
        <w:t>提供的银行电汇、转账形式的履约担保直接转为质保金，履约保函形式的履约担保转为质保担保（保函有效期需覆盖项目质保期），待质保期满后，乙方向甲方提交申请后无息</w:t>
      </w:r>
      <w:r>
        <w:rPr>
          <w:rFonts w:ascii="宋体" w:hAnsi="宋体" w:eastAsia="宋体"/>
          <w:b/>
          <w:bCs/>
          <w:i/>
          <w:iCs/>
          <w:color w:val="000000"/>
          <w:sz w:val="20"/>
          <w:szCs w:val="21"/>
          <w:highlight w:val="none"/>
          <w:u w:val="single"/>
        </w:rPr>
        <w:t>退还</w:t>
      </w:r>
      <w:r>
        <w:rPr>
          <w:rFonts w:hint="eastAsia" w:ascii="宋体" w:hAnsi="宋体" w:eastAsia="宋体"/>
          <w:b/>
          <w:bCs/>
          <w:i/>
          <w:iCs/>
          <w:color w:val="000000"/>
          <w:sz w:val="20"/>
          <w:szCs w:val="21"/>
          <w:highlight w:val="none"/>
          <w:u w:val="single"/>
        </w:rPr>
        <w:t>乙</w:t>
      </w:r>
      <w:r>
        <w:rPr>
          <w:rFonts w:ascii="宋体" w:hAnsi="宋体" w:eastAsia="宋体"/>
          <w:b/>
          <w:bCs/>
          <w:i/>
          <w:iCs/>
          <w:color w:val="000000"/>
          <w:sz w:val="20"/>
          <w:szCs w:val="21"/>
          <w:highlight w:val="none"/>
          <w:u w:val="single"/>
        </w:rPr>
        <w:t>方</w:t>
      </w:r>
      <w:r>
        <w:rPr>
          <w:rFonts w:hint="eastAsia" w:eastAsia="楷体"/>
          <w:color w:val="000000"/>
          <w:szCs w:val="21"/>
          <w:highlight w:val="none"/>
          <w:u w:val="single"/>
        </w:rPr>
        <w:t>。</w:t>
      </w:r>
    </w:p>
    <w:p w14:paraId="274C269A">
      <w:pPr>
        <w:keepNext/>
        <w:keepLines/>
        <w:spacing w:line="360" w:lineRule="auto"/>
        <w:ind w:left="11" w:right="113" w:firstLine="352" w:firstLineChars="168"/>
        <w:outlineLvl w:val="3"/>
        <w:rPr>
          <w:rFonts w:hint="eastAsia" w:ascii="黑体" w:hAnsi="黑体" w:eastAsia="华文中宋" w:cs="黑体"/>
          <w:bCs/>
          <w:color w:val="000000"/>
          <w:lang w:val="zh-CN"/>
        </w:rPr>
      </w:pPr>
      <w:r>
        <w:rPr>
          <w:rFonts w:hint="eastAsia" w:ascii="黑体" w:hAnsi="黑体" w:eastAsia="华文中宋" w:cs="黑体"/>
          <w:bCs/>
          <w:color w:val="000000"/>
          <w:lang w:val="zh-CN"/>
        </w:rPr>
        <w:t>3.8其他义务</w:t>
      </w:r>
    </w:p>
    <w:p w14:paraId="3A24D6BF">
      <w:pPr>
        <w:spacing w:line="360" w:lineRule="auto"/>
        <w:ind w:firstLine="420" w:firstLineChars="200"/>
        <w:rPr>
          <w:rFonts w:eastAsia="宋体"/>
          <w:color w:val="000000"/>
          <w:szCs w:val="21"/>
        </w:rPr>
      </w:pPr>
      <w:r>
        <w:rPr>
          <w:rFonts w:hint="eastAsia" w:eastAsia="宋体"/>
          <w:color w:val="000000"/>
          <w:szCs w:val="21"/>
        </w:rPr>
        <w:t>甲方和乙方在合同约定的其他义务。</w:t>
      </w:r>
    </w:p>
    <w:p w14:paraId="33867641">
      <w:pPr>
        <w:keepNext/>
        <w:keepLines/>
        <w:spacing w:before="360" w:beforeLines="150" w:after="172" w:line="360" w:lineRule="auto"/>
        <w:ind w:left="420" w:right="113"/>
        <w:outlineLvl w:val="2"/>
        <w:rPr>
          <w:rFonts w:eastAsia="黑体" w:cs="黑体"/>
          <w:b/>
          <w:color w:val="000000"/>
          <w:sz w:val="28"/>
        </w:rPr>
      </w:pPr>
      <w:r>
        <w:rPr>
          <w:rFonts w:hint="eastAsia" w:eastAsia="黑体" w:cs="黑体"/>
          <w:color w:val="000000"/>
          <w:sz w:val="28"/>
        </w:rPr>
        <w:t>4.验收</w:t>
      </w:r>
    </w:p>
    <w:p w14:paraId="62A81A68">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4</w:t>
      </w:r>
      <w:r>
        <w:rPr>
          <w:rFonts w:hint="eastAsia" w:ascii="黑体" w:hAnsi="黑体" w:eastAsia="华文中宋" w:cs="黑体"/>
          <w:bCs/>
          <w:color w:val="000000"/>
          <w:lang w:val="zh-CN"/>
        </w:rPr>
        <w:t>.</w:t>
      </w:r>
      <w:r>
        <w:rPr>
          <w:rFonts w:ascii="黑体" w:hAnsi="黑体" w:eastAsia="华文中宋" w:cs="黑体"/>
          <w:bCs/>
          <w:color w:val="000000"/>
          <w:lang w:val="zh-CN"/>
        </w:rPr>
        <w:t>1</w:t>
      </w:r>
      <w:r>
        <w:rPr>
          <w:rFonts w:hint="eastAsia" w:ascii="黑体" w:hAnsi="黑体" w:eastAsia="华文中宋" w:cs="黑体"/>
          <w:bCs/>
          <w:color w:val="000000"/>
          <w:lang w:val="zh-CN"/>
        </w:rPr>
        <w:t>验收规定</w:t>
      </w:r>
    </w:p>
    <w:p w14:paraId="7269696E">
      <w:pPr>
        <w:spacing w:line="360" w:lineRule="auto"/>
        <w:ind w:firstLine="420" w:firstLineChars="200"/>
        <w:rPr>
          <w:rFonts w:eastAsia="宋体"/>
          <w:color w:val="000000"/>
        </w:rPr>
      </w:pPr>
      <w:r>
        <w:rPr>
          <w:rFonts w:hint="eastAsia" w:eastAsia="宋体"/>
          <w:color w:val="000000"/>
        </w:rPr>
        <w:t>4.</w:t>
      </w:r>
      <w:r>
        <w:rPr>
          <w:rFonts w:eastAsia="宋体"/>
          <w:color w:val="000000"/>
        </w:rPr>
        <w:t>1.1</w:t>
      </w:r>
      <w:r>
        <w:rPr>
          <w:rFonts w:hint="eastAsia" w:eastAsia="宋体"/>
          <w:color w:val="000000"/>
        </w:rPr>
        <w:t>本合同包括设备验收及竣工验收。乙方须提出验收申请，甲方应确定具体的验收时间并通知乙方，组织各方进行验收。</w:t>
      </w:r>
    </w:p>
    <w:p w14:paraId="3748D613">
      <w:pPr>
        <w:spacing w:line="360" w:lineRule="auto"/>
        <w:ind w:firstLine="420" w:firstLineChars="200"/>
        <w:rPr>
          <w:rFonts w:eastAsia="宋体"/>
          <w:color w:val="000000"/>
        </w:rPr>
      </w:pPr>
      <w:r>
        <w:rPr>
          <w:rFonts w:hint="eastAsia" w:eastAsia="宋体"/>
          <w:color w:val="000000"/>
        </w:rPr>
        <w:t>4.</w:t>
      </w:r>
      <w:r>
        <w:rPr>
          <w:rFonts w:eastAsia="宋体"/>
          <w:color w:val="000000"/>
        </w:rPr>
        <w:t>1.2</w:t>
      </w:r>
      <w:r>
        <w:t>设备到货前，</w:t>
      </w:r>
      <w:r>
        <w:rPr>
          <w:rFonts w:hint="eastAsia"/>
        </w:rPr>
        <w:t>乙方</w:t>
      </w:r>
      <w:r>
        <w:t>应提供材料设备清单、设备原厂证明、产品检测报告、产品合格证、材料自检证明等资料。</w:t>
      </w:r>
    </w:p>
    <w:p w14:paraId="466BE859">
      <w:pPr>
        <w:spacing w:line="360" w:lineRule="auto"/>
        <w:ind w:firstLine="420" w:firstLineChars="200"/>
        <w:rPr>
          <w:rFonts w:eastAsia="宋体"/>
          <w:color w:val="000000"/>
        </w:rPr>
      </w:pPr>
      <w:r>
        <w:rPr>
          <w:rFonts w:hint="eastAsia" w:eastAsia="宋体"/>
          <w:color w:val="000000"/>
        </w:rPr>
        <w:t>4.</w:t>
      </w:r>
      <w:r>
        <w:rPr>
          <w:rFonts w:eastAsia="宋体"/>
          <w:color w:val="000000"/>
        </w:rPr>
        <w:t>1.</w:t>
      </w:r>
      <w:r>
        <w:rPr>
          <w:rFonts w:hint="eastAsia" w:eastAsia="宋体"/>
          <w:color w:val="000000"/>
        </w:rPr>
        <w:t>3由于乙方原因致使设备交货延误的，甲方应向乙方发出催告通知，乙方应在收到通知后</w:t>
      </w:r>
      <w:r>
        <w:rPr>
          <w:rFonts w:eastAsia="宋体"/>
          <w:color w:val="000000"/>
        </w:rPr>
        <w:t>14</w:t>
      </w:r>
      <w:r>
        <w:rPr>
          <w:rFonts w:hint="eastAsia" w:eastAsia="宋体"/>
          <w:color w:val="000000"/>
        </w:rPr>
        <w:t>天内向甲方申请验收。催告后</w:t>
      </w:r>
      <w:r>
        <w:rPr>
          <w:rFonts w:eastAsia="宋体"/>
          <w:color w:val="000000"/>
        </w:rPr>
        <w:t>14</w:t>
      </w:r>
      <w:r>
        <w:rPr>
          <w:rFonts w:hint="eastAsia" w:eastAsia="宋体"/>
          <w:color w:val="000000"/>
        </w:rPr>
        <w:t>天乙方未回复的，甲方有权向乙方提出索赔请求，并自行或委托第三人进行验收，其风险和费用由乙方自行承担。</w:t>
      </w:r>
    </w:p>
    <w:p w14:paraId="04D2B247">
      <w:pPr>
        <w:spacing w:line="360" w:lineRule="auto"/>
        <w:ind w:firstLine="420" w:firstLineChars="200"/>
        <w:rPr>
          <w:rFonts w:eastAsia="宋体"/>
          <w:color w:val="000000"/>
        </w:rPr>
      </w:pPr>
      <w:r>
        <w:rPr>
          <w:rFonts w:hint="eastAsia" w:eastAsia="宋体"/>
          <w:color w:val="000000"/>
        </w:rPr>
        <w:t>4.</w:t>
      </w:r>
      <w:r>
        <w:rPr>
          <w:rFonts w:eastAsia="宋体"/>
          <w:color w:val="000000"/>
        </w:rPr>
        <w:t>1.</w:t>
      </w:r>
      <w:r>
        <w:rPr>
          <w:rFonts w:hint="eastAsia" w:eastAsia="宋体"/>
          <w:color w:val="000000"/>
        </w:rPr>
        <w:t>4甲方在接收设备时，应适当考虑由于甲方使用而对设备性能或其他特性所产生的影响。若设备或设备的某一部分通过验收，乙方应向甲方提交设备通过验收或部分通过验收的报告，由甲方、乙方共同签署确认。</w:t>
      </w:r>
    </w:p>
    <w:p w14:paraId="5BD11C48">
      <w:pPr>
        <w:spacing w:line="360" w:lineRule="auto"/>
        <w:ind w:firstLine="420" w:firstLineChars="200"/>
        <w:rPr>
          <w:rFonts w:eastAsia="宋体"/>
          <w:color w:val="000000"/>
        </w:rPr>
      </w:pPr>
      <w:r>
        <w:rPr>
          <w:rFonts w:hint="eastAsia" w:eastAsia="宋体"/>
          <w:color w:val="000000"/>
        </w:rPr>
        <w:t>4.</w:t>
      </w:r>
      <w:r>
        <w:rPr>
          <w:rFonts w:eastAsia="宋体"/>
          <w:color w:val="000000"/>
        </w:rPr>
        <w:t>1.</w:t>
      </w:r>
      <w:r>
        <w:rPr>
          <w:rFonts w:hint="eastAsia" w:eastAsia="宋体"/>
          <w:color w:val="000000"/>
        </w:rPr>
        <w:t>5首次设备验收未通过的部分或全部设备，由乙方在甲方规定期限内进行整改，并向甲方申请重新验收。如双方对验收结果存在争议，应共同委托第三方检测机构复验，费用乙方先行垫付，最终由责任方承担。若重新验收依旧未通过的，甲方有权拒收部分设备或全部设备，乙方应当承担违约责任，违约金不足弥补甲方损失的，乙方应当按实追加赔偿金额。</w:t>
      </w:r>
    </w:p>
    <w:p w14:paraId="5127F31C">
      <w:pPr>
        <w:spacing w:line="360" w:lineRule="auto"/>
        <w:ind w:firstLine="420" w:firstLineChars="200"/>
        <w:rPr>
          <w:rFonts w:eastAsia="宋体"/>
          <w:color w:val="000000"/>
        </w:rPr>
      </w:pPr>
      <w:r>
        <w:rPr>
          <w:rFonts w:hint="eastAsia" w:eastAsia="宋体"/>
          <w:color w:val="000000"/>
        </w:rPr>
        <w:t>4.</w:t>
      </w:r>
      <w:r>
        <w:rPr>
          <w:rFonts w:eastAsia="宋体"/>
          <w:color w:val="000000"/>
        </w:rPr>
        <w:t>1.</w:t>
      </w:r>
      <w:r>
        <w:rPr>
          <w:rFonts w:hint="eastAsia" w:eastAsia="宋体"/>
          <w:color w:val="000000"/>
        </w:rPr>
        <w:t>6甲方组织的设备验收和签发的合格证书，并不减轻或免除乙方依据法律规定及合同约定应承担的设备安全、质量的全部责任和义务。</w:t>
      </w:r>
    </w:p>
    <w:p w14:paraId="0A6A3A03">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4</w:t>
      </w:r>
      <w:r>
        <w:rPr>
          <w:rFonts w:hint="eastAsia" w:ascii="黑体" w:hAnsi="黑体" w:eastAsia="华文中宋" w:cs="黑体"/>
          <w:bCs/>
          <w:color w:val="000000"/>
          <w:lang w:val="zh-CN"/>
        </w:rPr>
        <w:t>.</w:t>
      </w:r>
      <w:r>
        <w:rPr>
          <w:rFonts w:ascii="黑体" w:hAnsi="黑体" w:eastAsia="华文中宋" w:cs="黑体"/>
          <w:bCs/>
          <w:color w:val="000000"/>
          <w:lang w:val="zh-CN"/>
        </w:rPr>
        <w:t>3</w:t>
      </w:r>
      <w:r>
        <w:rPr>
          <w:rFonts w:hint="eastAsia" w:ascii="黑体" w:hAnsi="黑体" w:eastAsia="华文中宋" w:cs="黑体"/>
          <w:bCs/>
          <w:color w:val="000000"/>
          <w:lang w:val="zh-CN"/>
        </w:rPr>
        <w:t>试运行</w:t>
      </w:r>
    </w:p>
    <w:p w14:paraId="0D409175">
      <w:pPr>
        <w:spacing w:line="360" w:lineRule="auto"/>
        <w:ind w:firstLine="420" w:firstLineChars="200"/>
        <w:rPr>
          <w:rFonts w:eastAsia="宋体"/>
          <w:color w:val="000000"/>
        </w:rPr>
      </w:pPr>
      <w:r>
        <w:rPr>
          <w:rFonts w:hint="eastAsia" w:eastAsia="宋体"/>
          <w:color w:val="000000"/>
        </w:rPr>
        <w:t>4.</w:t>
      </w:r>
      <w:r>
        <w:rPr>
          <w:rFonts w:eastAsia="宋体"/>
          <w:color w:val="000000"/>
        </w:rPr>
        <w:t>3.1</w:t>
      </w:r>
      <w:r>
        <w:rPr>
          <w:rFonts w:hint="eastAsia" w:eastAsia="宋体"/>
          <w:color w:val="000000"/>
        </w:rPr>
        <w:t>乙方应按甲方要求配合乙方进行试运行（乙方在试运行中的具体义务以甲方书面通知为准），负责提供所需的人员、器材和必要的条件，并自行承担有关费用。</w:t>
      </w:r>
    </w:p>
    <w:p w14:paraId="372BDFF2">
      <w:pPr>
        <w:spacing w:line="360" w:lineRule="auto"/>
        <w:ind w:firstLine="420" w:firstLineChars="200"/>
        <w:rPr>
          <w:rFonts w:eastAsia="宋体"/>
          <w:color w:val="000000"/>
        </w:rPr>
      </w:pPr>
      <w:r>
        <w:rPr>
          <w:rFonts w:hint="eastAsia" w:eastAsia="宋体"/>
          <w:color w:val="000000"/>
        </w:rPr>
        <w:t>4.</w:t>
      </w:r>
      <w:r>
        <w:rPr>
          <w:rFonts w:eastAsia="宋体"/>
          <w:color w:val="000000"/>
        </w:rPr>
        <w:t>3.2</w:t>
      </w:r>
      <w:r>
        <w:rPr>
          <w:rFonts w:hint="eastAsia" w:eastAsia="宋体"/>
          <w:color w:val="000000"/>
        </w:rPr>
        <w:t>由于乙方的原因导致试运行失败的，乙方应采取措施保证试运行合格，并承担相应费用。试运行失败且累计失败次数超过3次的，甲方有权要求更换设备并由乙方承担全部重置费用。由于甲方的原因导致试运行失败的，乙方应当采取措施保证试运行合格，甲方应承担由此产生的费用。</w:t>
      </w:r>
    </w:p>
    <w:p w14:paraId="3F499699">
      <w:pPr>
        <w:keepNext/>
        <w:keepLines/>
        <w:spacing w:line="360" w:lineRule="auto"/>
        <w:ind w:left="11" w:right="113" w:firstLine="352" w:firstLineChars="168"/>
        <w:outlineLvl w:val="3"/>
        <w:rPr>
          <w:rFonts w:hint="eastAsia" w:ascii="黑体" w:hAnsi="黑体" w:eastAsia="华文中宋" w:cs="黑体"/>
          <w:b/>
          <w:bCs/>
          <w:color w:val="000000"/>
        </w:rPr>
      </w:pPr>
      <w:r>
        <w:rPr>
          <w:rFonts w:hint="eastAsia" w:ascii="黑体" w:hAnsi="黑体" w:eastAsia="华文中宋" w:cs="黑体"/>
          <w:bCs/>
          <w:color w:val="000000"/>
        </w:rPr>
        <w:t>4</w:t>
      </w:r>
      <w:r>
        <w:rPr>
          <w:rFonts w:hint="eastAsia" w:ascii="黑体" w:hAnsi="黑体" w:eastAsia="华文中宋" w:cs="黑体"/>
          <w:bCs/>
          <w:color w:val="000000"/>
          <w:lang w:val="zh-CN"/>
        </w:rPr>
        <w:t>.</w:t>
      </w:r>
      <w:r>
        <w:rPr>
          <w:rFonts w:ascii="黑体" w:hAnsi="黑体" w:eastAsia="华文中宋" w:cs="黑体"/>
          <w:bCs/>
          <w:color w:val="000000"/>
          <w:lang w:val="zh-CN"/>
        </w:rPr>
        <w:t>4</w:t>
      </w:r>
      <w:r>
        <w:rPr>
          <w:rFonts w:hint="eastAsia" w:ascii="黑体" w:hAnsi="黑体" w:eastAsia="华文中宋" w:cs="黑体"/>
          <w:bCs/>
          <w:color w:val="000000"/>
          <w:lang w:val="zh-CN"/>
        </w:rPr>
        <w:t>竣工验收</w:t>
      </w:r>
    </w:p>
    <w:p w14:paraId="3EFE2968">
      <w:pPr>
        <w:spacing w:line="360" w:lineRule="auto"/>
        <w:ind w:firstLine="420" w:firstLineChars="200"/>
        <w:rPr>
          <w:rFonts w:eastAsia="宋体"/>
          <w:color w:val="000000"/>
          <w:szCs w:val="21"/>
        </w:rPr>
      </w:pPr>
      <w:r>
        <w:rPr>
          <w:rFonts w:hint="eastAsia" w:eastAsia="宋体"/>
          <w:color w:val="000000"/>
          <w:szCs w:val="21"/>
        </w:rPr>
        <w:t>4.4.</w:t>
      </w:r>
      <w:r>
        <w:rPr>
          <w:rFonts w:eastAsia="宋体"/>
          <w:color w:val="000000"/>
          <w:szCs w:val="21"/>
        </w:rPr>
        <w:t>1</w:t>
      </w:r>
      <w:r>
        <w:rPr>
          <w:rFonts w:hint="eastAsia" w:eastAsia="宋体"/>
          <w:color w:val="000000"/>
          <w:szCs w:val="21"/>
        </w:rPr>
        <w:t>设备完成系统</w:t>
      </w:r>
      <w:r>
        <w:rPr>
          <w:rFonts w:hint="eastAsia" w:eastAsia="宋体"/>
          <w:color w:val="000000"/>
        </w:rPr>
        <w:t>联调</w:t>
      </w:r>
      <w:r>
        <w:rPr>
          <w:rFonts w:hint="eastAsia" w:eastAsia="宋体"/>
          <w:color w:val="000000"/>
          <w:szCs w:val="21"/>
        </w:rPr>
        <w:t>后14天内，乙方须向甲方提交《竣工验收申请》，由甲方组织，接受方、乙方参加，必要时可邀请相关单位参加，按照合同约定的竣工验收程序及验收内容，对照合同条款、相关标准等进行评议、验收。</w:t>
      </w:r>
    </w:p>
    <w:p w14:paraId="01C20903">
      <w:pPr>
        <w:spacing w:line="360" w:lineRule="auto"/>
        <w:ind w:firstLine="480"/>
        <w:rPr>
          <w:rFonts w:eastAsia="宋体"/>
          <w:color w:val="000000"/>
          <w:szCs w:val="21"/>
          <w:highlight w:val="none"/>
        </w:rPr>
      </w:pPr>
      <w:r>
        <w:rPr>
          <w:rFonts w:hint="eastAsia" w:eastAsia="宋体"/>
          <w:color w:val="000000"/>
          <w:szCs w:val="21"/>
        </w:rPr>
        <w:t>4.4.2竣工验收过程中，甲方应详细记录验收人员的有关意见和提出的问题，整理形成整改意见或会议纪要，书面指令并督促责任单位限期改正。责任单位整改完毕后形成整改报告，由甲方对整改结果进行验收，重要问题须通知有关各方进行再次验收，验收通过后由乙方单位出具《验收合格证书》。</w:t>
      </w:r>
    </w:p>
    <w:p w14:paraId="231F7510">
      <w:pPr>
        <w:spacing w:line="360" w:lineRule="auto"/>
        <w:ind w:firstLine="480"/>
        <w:rPr>
          <w:rFonts w:eastAsia="宋体"/>
          <w:color w:val="000000"/>
          <w:szCs w:val="21"/>
          <w:highlight w:val="none"/>
        </w:rPr>
      </w:pPr>
      <w:r>
        <w:rPr>
          <w:rFonts w:hint="eastAsia" w:eastAsia="宋体"/>
          <w:color w:val="000000"/>
          <w:szCs w:val="21"/>
          <w:highlight w:val="none"/>
        </w:rPr>
        <w:t>4.4.3甲方与乙方根据技术文件中详细提出的测试方案、验收方案，进行竣工验收，在工程实施过程中，乙方需要细化测试方案并与用户讨论通过后，方可按计划进行测试。</w:t>
      </w:r>
    </w:p>
    <w:p w14:paraId="62C8010B">
      <w:pPr>
        <w:spacing w:line="360" w:lineRule="auto"/>
        <w:ind w:firstLine="480"/>
        <w:rPr>
          <w:rFonts w:eastAsia="宋体"/>
          <w:color w:val="000000"/>
          <w:szCs w:val="21"/>
          <w:highlight w:val="none"/>
        </w:rPr>
      </w:pPr>
      <w:r>
        <w:rPr>
          <w:rFonts w:hint="eastAsia" w:eastAsia="宋体"/>
          <w:color w:val="000000"/>
          <w:szCs w:val="21"/>
          <w:highlight w:val="none"/>
        </w:rPr>
        <w:t>4.4.4在软件开发过程中，乙方应按照软件开发要求形成全面详尽的技术资料，包括可运行的程序及技术文档等（包含软件验收后调整和补充的项目成果和资料），确保技术资料的一致性和完整性。</w:t>
      </w:r>
    </w:p>
    <w:p w14:paraId="576E1032">
      <w:pPr>
        <w:spacing w:line="360" w:lineRule="auto"/>
        <w:ind w:firstLine="480"/>
        <w:rPr>
          <w:rFonts w:eastAsia="宋体"/>
          <w:color w:val="000000"/>
          <w:szCs w:val="21"/>
          <w:highlight w:val="none"/>
        </w:rPr>
      </w:pPr>
      <w:r>
        <w:rPr>
          <w:rFonts w:hint="eastAsia" w:eastAsia="宋体"/>
          <w:color w:val="000000"/>
          <w:szCs w:val="21"/>
          <w:highlight w:val="none"/>
        </w:rPr>
        <w:t>包括：</w:t>
      </w:r>
    </w:p>
    <w:p w14:paraId="1018939B">
      <w:pPr>
        <w:spacing w:line="360" w:lineRule="auto"/>
        <w:ind w:firstLine="480"/>
        <w:rPr>
          <w:rFonts w:eastAsia="宋体"/>
          <w:color w:val="000000"/>
          <w:szCs w:val="21"/>
          <w:highlight w:val="none"/>
        </w:rPr>
      </w:pPr>
      <w:r>
        <w:rPr>
          <w:rFonts w:hint="eastAsia" w:eastAsia="宋体"/>
          <w:color w:val="000000"/>
          <w:szCs w:val="21"/>
          <w:highlight w:val="none"/>
        </w:rPr>
        <w:t>准备阶段：《软件开发计划》</w:t>
      </w:r>
    </w:p>
    <w:p w14:paraId="00090CC5">
      <w:pPr>
        <w:spacing w:line="360" w:lineRule="auto"/>
        <w:ind w:firstLine="480"/>
        <w:rPr>
          <w:rFonts w:eastAsia="宋体"/>
          <w:color w:val="000000"/>
          <w:szCs w:val="21"/>
          <w:highlight w:val="none"/>
        </w:rPr>
      </w:pPr>
      <w:r>
        <w:rPr>
          <w:rFonts w:hint="eastAsia" w:eastAsia="宋体"/>
          <w:color w:val="000000"/>
          <w:szCs w:val="21"/>
          <w:highlight w:val="none"/>
        </w:rPr>
        <w:t>需求分析阶段：《软件需求说明书》、《软件需求确认书》</w:t>
      </w:r>
    </w:p>
    <w:p w14:paraId="085CA608">
      <w:pPr>
        <w:spacing w:line="360" w:lineRule="auto"/>
        <w:ind w:firstLine="480"/>
        <w:rPr>
          <w:rFonts w:eastAsia="宋体"/>
          <w:color w:val="000000"/>
          <w:szCs w:val="21"/>
          <w:highlight w:val="none"/>
        </w:rPr>
      </w:pPr>
      <w:r>
        <w:rPr>
          <w:rFonts w:hint="eastAsia" w:eastAsia="宋体"/>
          <w:color w:val="000000"/>
          <w:szCs w:val="21"/>
          <w:highlight w:val="none"/>
        </w:rPr>
        <w:t>设计阶段：《系统设计说明书》</w:t>
      </w:r>
    </w:p>
    <w:p w14:paraId="3E3A3A43">
      <w:pPr>
        <w:spacing w:line="360" w:lineRule="auto"/>
        <w:ind w:firstLine="480"/>
        <w:rPr>
          <w:rFonts w:eastAsia="宋体"/>
          <w:color w:val="000000"/>
          <w:szCs w:val="21"/>
          <w:highlight w:val="none"/>
        </w:rPr>
      </w:pPr>
      <w:r>
        <w:rPr>
          <w:rFonts w:hint="eastAsia" w:eastAsia="宋体"/>
          <w:color w:val="000000"/>
          <w:szCs w:val="21"/>
          <w:highlight w:val="none"/>
        </w:rPr>
        <w:t>测试阶段：《测试计划》、《测试报告》</w:t>
      </w:r>
    </w:p>
    <w:p w14:paraId="64B937C8">
      <w:pPr>
        <w:spacing w:line="360" w:lineRule="auto"/>
        <w:ind w:firstLine="480"/>
        <w:rPr>
          <w:rFonts w:eastAsia="宋体"/>
          <w:color w:val="000000"/>
          <w:szCs w:val="21"/>
          <w:highlight w:val="none"/>
        </w:rPr>
      </w:pPr>
      <w:r>
        <w:rPr>
          <w:rFonts w:hint="eastAsia" w:eastAsia="宋体"/>
          <w:color w:val="000000"/>
          <w:szCs w:val="21"/>
          <w:highlight w:val="none"/>
        </w:rPr>
        <w:t>交付使用：《用户操作手册》《用户维护手册》</w:t>
      </w:r>
    </w:p>
    <w:p w14:paraId="65F540BA">
      <w:pPr>
        <w:spacing w:line="360" w:lineRule="auto"/>
        <w:ind w:firstLine="480"/>
        <w:rPr>
          <w:rFonts w:eastAsia="宋体"/>
          <w:color w:val="000000"/>
          <w:szCs w:val="21"/>
          <w:highlight w:val="none"/>
        </w:rPr>
      </w:pPr>
      <w:r>
        <w:rPr>
          <w:rFonts w:hint="eastAsia" w:eastAsia="宋体"/>
          <w:color w:val="000000"/>
          <w:szCs w:val="21"/>
          <w:highlight w:val="none"/>
        </w:rPr>
        <w:t>其他文档：项目建设方认为必要的其他文档</w:t>
      </w:r>
    </w:p>
    <w:p w14:paraId="5A57817A">
      <w:pPr>
        <w:spacing w:line="360" w:lineRule="auto"/>
        <w:ind w:firstLine="480" w:firstLineChars="0"/>
        <w:rPr>
          <w:rFonts w:eastAsia="宋体"/>
          <w:color w:val="000000"/>
          <w:szCs w:val="21"/>
          <w:highlight w:val="none"/>
        </w:rPr>
      </w:pPr>
      <w:r>
        <w:rPr>
          <w:rFonts w:hint="eastAsia" w:eastAsia="宋体"/>
          <w:color w:val="000000"/>
          <w:szCs w:val="21"/>
          <w:highlight w:val="none"/>
        </w:rPr>
        <w:t>所有的技术文件必须用中文书写，项目交付时，以上技术资料均须交付给甲方。</w:t>
      </w:r>
    </w:p>
    <w:p w14:paraId="76A4E892">
      <w:pPr>
        <w:keepNext/>
        <w:keepLines/>
        <w:spacing w:line="360" w:lineRule="auto"/>
        <w:ind w:left="11" w:right="113" w:firstLine="352" w:firstLineChars="168"/>
        <w:outlineLvl w:val="3"/>
        <w:rPr>
          <w:rFonts w:hint="eastAsia" w:ascii="黑体" w:hAnsi="黑体" w:eastAsia="华文中宋" w:cs="黑体"/>
          <w:b/>
          <w:bCs/>
          <w:color w:val="000000"/>
          <w:highlight w:val="none"/>
          <w:lang w:val="zh-CN"/>
        </w:rPr>
      </w:pPr>
      <w:r>
        <w:rPr>
          <w:rFonts w:hint="eastAsia" w:ascii="黑体" w:hAnsi="黑体" w:eastAsia="华文中宋" w:cs="黑体"/>
          <w:bCs/>
          <w:color w:val="000000"/>
          <w:highlight w:val="none"/>
        </w:rPr>
        <w:t>4</w:t>
      </w:r>
      <w:r>
        <w:rPr>
          <w:rFonts w:hint="eastAsia" w:ascii="黑体" w:hAnsi="黑体" w:eastAsia="华文中宋" w:cs="黑体"/>
          <w:bCs/>
          <w:color w:val="000000"/>
          <w:highlight w:val="none"/>
          <w:lang w:val="zh-CN"/>
        </w:rPr>
        <w:t>.</w:t>
      </w:r>
      <w:r>
        <w:rPr>
          <w:rFonts w:hint="eastAsia" w:ascii="黑体" w:hAnsi="黑体" w:eastAsia="华文中宋" w:cs="黑体"/>
          <w:bCs/>
          <w:color w:val="000000"/>
          <w:highlight w:val="none"/>
        </w:rPr>
        <w:t>5质保期</w:t>
      </w:r>
    </w:p>
    <w:p w14:paraId="03979BA6">
      <w:pPr>
        <w:spacing w:line="360" w:lineRule="auto"/>
        <w:ind w:firstLine="420" w:firstLineChars="200"/>
        <w:rPr>
          <w:rFonts w:eastAsia="宋体"/>
          <w:color w:val="000000"/>
          <w:szCs w:val="21"/>
          <w:highlight w:val="none"/>
        </w:rPr>
      </w:pPr>
      <w:r>
        <w:rPr>
          <w:rFonts w:hint="eastAsia" w:eastAsia="宋体"/>
          <w:color w:val="000000"/>
          <w:szCs w:val="21"/>
          <w:highlight w:val="none"/>
        </w:rPr>
        <w:t>4.5.1自项目竣工验收通过之日起为质保期，质保期为12个月。如因设备质量问题经甲方确认确需整改的，质保期自整改合格之日起重新计算。质保期内乙方应无条件提供免费维修、更换及技术支持。</w:t>
      </w:r>
    </w:p>
    <w:p w14:paraId="00DD6885">
      <w:pPr>
        <w:keepNext/>
        <w:keepLines/>
        <w:spacing w:line="360" w:lineRule="auto"/>
        <w:ind w:left="11" w:right="113" w:firstLine="352" w:firstLineChars="168"/>
        <w:outlineLvl w:val="3"/>
        <w:rPr>
          <w:rFonts w:ascii="黑体" w:hAnsi="黑体" w:eastAsia="华文中宋" w:cs="黑体"/>
          <w:bCs/>
          <w:color w:val="000000"/>
          <w:highlight w:val="none"/>
        </w:rPr>
      </w:pPr>
      <w:r>
        <w:rPr>
          <w:rFonts w:hint="eastAsia" w:ascii="黑体" w:hAnsi="黑体" w:eastAsia="华文中宋" w:cs="黑体"/>
          <w:bCs/>
          <w:color w:val="000000"/>
          <w:highlight w:val="none"/>
        </w:rPr>
        <w:t>4.6售后服务</w:t>
      </w:r>
    </w:p>
    <w:p w14:paraId="48FF643F">
      <w:pPr>
        <w:spacing w:line="360" w:lineRule="auto"/>
        <w:ind w:firstLine="420" w:firstLineChars="200"/>
        <w:rPr>
          <w:rFonts w:eastAsia="宋体"/>
          <w:color w:val="000000"/>
          <w:szCs w:val="21"/>
          <w:highlight w:val="none"/>
        </w:rPr>
      </w:pPr>
      <w:r>
        <w:rPr>
          <w:rFonts w:hint="eastAsia" w:eastAsia="宋体"/>
          <w:color w:val="000000"/>
          <w:szCs w:val="21"/>
          <w:highlight w:val="none"/>
        </w:rPr>
        <w:t>乙方提供7×24小时电话或电子邮件服务，系统如发生故障，接到用户的电话或者邮件后，乙方须在1个小时内响应，2个小时内解决故障，如需现场服务的，必须指派具有解决故障能力的工程师并在与用户沟通确定的时间内到达现场，及时解决问题排除故障。在紧急情况下有能力在接到报障后1小时内到达现场处理系统出现的故障。</w:t>
      </w:r>
    </w:p>
    <w:p w14:paraId="00220F41">
      <w:pPr>
        <w:spacing w:line="360" w:lineRule="auto"/>
        <w:ind w:firstLine="420" w:firstLineChars="200"/>
        <w:rPr>
          <w:rFonts w:hint="eastAsia" w:eastAsia="宋体"/>
          <w:color w:val="000000"/>
          <w:szCs w:val="21"/>
          <w:highlight w:val="none"/>
        </w:rPr>
      </w:pPr>
      <w:r>
        <w:rPr>
          <w:rFonts w:hint="eastAsia" w:eastAsia="宋体"/>
          <w:color w:val="000000"/>
          <w:szCs w:val="21"/>
          <w:highlight w:val="none"/>
        </w:rPr>
        <w:t>乙方提供的产品应是原装正品，符合国家质量检测标准，具有出厂合格证或国家鉴定合格证。乙方应与设备供应商签订合理的运维服务保障协议，保证提供充足的备品备件资源。</w:t>
      </w:r>
    </w:p>
    <w:p w14:paraId="1CD4E2FF">
      <w:pPr>
        <w:keepNext/>
        <w:keepLines/>
        <w:spacing w:before="360" w:beforeLines="150" w:after="172" w:line="360" w:lineRule="auto"/>
        <w:ind w:left="420" w:right="113"/>
        <w:outlineLvl w:val="2"/>
        <w:rPr>
          <w:rFonts w:eastAsia="黑体" w:cs="黑体"/>
          <w:b/>
          <w:color w:val="000000"/>
          <w:sz w:val="28"/>
          <w:highlight w:val="none"/>
        </w:rPr>
      </w:pPr>
      <w:r>
        <w:rPr>
          <w:rFonts w:hint="eastAsia" w:eastAsia="黑体" w:cs="黑体"/>
          <w:color w:val="000000"/>
          <w:sz w:val="28"/>
          <w:highlight w:val="none"/>
        </w:rPr>
        <w:t>5.合同价款和支付</w:t>
      </w:r>
    </w:p>
    <w:p w14:paraId="453A15C5">
      <w:pPr>
        <w:keepNext/>
        <w:keepLines/>
        <w:spacing w:line="360" w:lineRule="auto"/>
        <w:ind w:left="11" w:right="113" w:firstLine="352" w:firstLineChars="168"/>
        <w:outlineLvl w:val="3"/>
        <w:rPr>
          <w:rFonts w:hint="eastAsia" w:ascii="黑体" w:hAnsi="黑体" w:eastAsia="华文中宋" w:cs="黑体"/>
          <w:bCs/>
          <w:color w:val="000000"/>
          <w:highlight w:val="none"/>
        </w:rPr>
      </w:pPr>
      <w:r>
        <w:rPr>
          <w:rFonts w:hint="eastAsia" w:ascii="黑体" w:hAnsi="黑体" w:eastAsia="华文中宋" w:cs="黑体"/>
          <w:bCs/>
          <w:color w:val="000000"/>
          <w:highlight w:val="none"/>
        </w:rPr>
        <w:t>5.1</w:t>
      </w:r>
      <w:r>
        <w:rPr>
          <w:rFonts w:hint="eastAsia" w:ascii="黑体" w:hAnsi="黑体" w:eastAsia="华文中宋" w:cs="黑体"/>
          <w:bCs/>
          <w:color w:val="000000"/>
          <w:highlight w:val="none"/>
          <w:lang w:val="zh-CN"/>
        </w:rPr>
        <w:t>合同价款支付</w:t>
      </w:r>
    </w:p>
    <w:p w14:paraId="3A269AE1">
      <w:pPr>
        <w:keepNext/>
        <w:keepLines/>
        <w:spacing w:line="360" w:lineRule="auto"/>
        <w:ind w:left="11" w:right="113" w:firstLine="352" w:firstLineChars="168"/>
        <w:outlineLvl w:val="4"/>
        <w:rPr>
          <w:rFonts w:hint="eastAsia" w:ascii="黑体" w:hAnsi="黑体" w:eastAsia="华文中宋" w:cs="黑体"/>
          <w:bCs/>
          <w:color w:val="000000"/>
          <w:highlight w:val="none"/>
        </w:rPr>
      </w:pPr>
      <w:r>
        <w:rPr>
          <w:rFonts w:hint="eastAsia" w:ascii="黑体" w:hAnsi="黑体" w:eastAsia="华文中宋" w:cs="黑体"/>
          <w:bCs/>
          <w:color w:val="000000"/>
          <w:highlight w:val="none"/>
        </w:rPr>
        <w:t>5.1.1首期款支付的申报</w:t>
      </w:r>
    </w:p>
    <w:p w14:paraId="0D31E2D2">
      <w:pPr>
        <w:spacing w:line="360" w:lineRule="auto"/>
        <w:ind w:firstLine="440" w:firstLineChars="200"/>
        <w:rPr>
          <w:rFonts w:hint="eastAsia" w:ascii="宋体" w:hAnsi="宋体" w:eastAsia="宋体" w:cs="宋体"/>
          <w:szCs w:val="21"/>
          <w:highlight w:val="none"/>
        </w:rPr>
      </w:pPr>
      <w:r>
        <w:rPr>
          <w:rFonts w:hint="eastAsia" w:ascii="宋体" w:hAnsi="宋体" w:eastAsia="宋体" w:cs="Times New Roman"/>
          <w:sz w:val="22"/>
          <w:highlight w:val="none"/>
        </w:rPr>
        <w:t>合同生效后，甲方在收到乙方支付请求并附下列单据，证实其完整无误后支付给乙方，支付金额为合同总价的百</w:t>
      </w:r>
      <w:r>
        <w:rPr>
          <w:rFonts w:hint="eastAsia" w:ascii="宋体" w:hAnsi="宋体" w:eastAsia="宋体" w:cs="宋体"/>
          <w:sz w:val="22"/>
          <w:highlight w:val="none"/>
        </w:rPr>
        <w:t>分之</w:t>
      </w:r>
      <w:r>
        <w:rPr>
          <w:rFonts w:hint="default" w:ascii="宋体" w:hAnsi="宋体" w:eastAsia="宋体" w:cs="宋体"/>
          <w:sz w:val="22"/>
          <w:highlight w:val="none"/>
          <w:lang w:val="en-US"/>
        </w:rPr>
        <w:t>五</w:t>
      </w:r>
      <w:r>
        <w:rPr>
          <w:rFonts w:hint="eastAsia" w:ascii="宋体" w:hAnsi="宋体" w:eastAsia="宋体" w:cs="宋体"/>
          <w:sz w:val="22"/>
          <w:highlight w:val="none"/>
        </w:rPr>
        <w:t>十（50％）的金额</w:t>
      </w:r>
      <w:r>
        <w:rPr>
          <w:rFonts w:hint="eastAsia" w:ascii="宋体" w:hAnsi="宋体" w:eastAsia="宋体" w:cs="Times New Roman"/>
          <w:sz w:val="22"/>
          <w:highlight w:val="none"/>
        </w:rPr>
        <w:t>，即人民币</w:t>
      </w:r>
      <w:r>
        <w:rPr>
          <w:rFonts w:hint="eastAsia" w:ascii="宋体" w:hAnsi="宋体" w:eastAsia="宋体" w:cs="Times New Roman"/>
          <w:sz w:val="22"/>
          <w:highlight w:val="none"/>
          <w:u w:val="single"/>
        </w:rPr>
        <w:t xml:space="preserve">             </w:t>
      </w:r>
      <w:r>
        <w:rPr>
          <w:rFonts w:hint="eastAsia" w:ascii="宋体" w:hAnsi="宋体" w:eastAsia="宋体" w:cs="Times New Roman"/>
          <w:sz w:val="22"/>
          <w:highlight w:val="none"/>
        </w:rPr>
        <w:t>元。</w:t>
      </w:r>
    </w:p>
    <w:p w14:paraId="4CA2D640">
      <w:pPr>
        <w:numPr>
          <w:ilvl w:val="0"/>
          <w:numId w:val="28"/>
        </w:numPr>
        <w:spacing w:line="360" w:lineRule="auto"/>
        <w:ind w:firstLine="440" w:firstLineChars="200"/>
        <w:rPr>
          <w:rFonts w:hint="eastAsia" w:ascii="宋体" w:hAnsi="宋体" w:eastAsia="宋体" w:cs="Times New Roman"/>
          <w:sz w:val="22"/>
          <w:highlight w:val="none"/>
        </w:rPr>
      </w:pPr>
      <w:r>
        <w:rPr>
          <w:rFonts w:hint="eastAsia" w:ascii="宋体" w:hAnsi="宋体" w:eastAsia="宋体" w:cs="Times New Roman"/>
          <w:sz w:val="22"/>
          <w:highlight w:val="none"/>
        </w:rPr>
        <w:t>支付申请</w:t>
      </w:r>
    </w:p>
    <w:p w14:paraId="2423F56C">
      <w:pPr>
        <w:spacing w:line="360" w:lineRule="auto"/>
        <w:ind w:firstLine="440" w:firstLineChars="200"/>
        <w:rPr>
          <w:rFonts w:hint="eastAsia" w:ascii="宋体" w:hAnsi="宋体" w:eastAsia="宋体" w:cs="Times New Roman"/>
          <w:sz w:val="22"/>
          <w:highlight w:val="none"/>
        </w:rPr>
      </w:pPr>
      <w:r>
        <w:rPr>
          <w:rFonts w:hint="eastAsia" w:ascii="宋体" w:hAnsi="宋体" w:eastAsia="宋体" w:cs="Times New Roman"/>
          <w:sz w:val="22"/>
          <w:highlight w:val="none"/>
        </w:rPr>
        <w:t>（2）按规定出具的履约担保证明</w:t>
      </w:r>
    </w:p>
    <w:p w14:paraId="049114D2">
      <w:pPr>
        <w:spacing w:line="360" w:lineRule="auto"/>
        <w:ind w:firstLine="440" w:firstLineChars="200"/>
        <w:rPr>
          <w:rFonts w:hint="eastAsia" w:ascii="宋体" w:hAnsi="宋体" w:eastAsia="宋体" w:cs="Times New Roman"/>
          <w:sz w:val="22"/>
          <w:highlight w:val="none"/>
        </w:rPr>
      </w:pPr>
      <w:r>
        <w:rPr>
          <w:rFonts w:hint="eastAsia" w:ascii="宋体" w:hAnsi="宋体" w:eastAsia="宋体" w:cs="Times New Roman"/>
          <w:sz w:val="22"/>
          <w:highlight w:val="none"/>
        </w:rPr>
        <w:t>（3）等额的增值税专用发票</w:t>
      </w:r>
    </w:p>
    <w:p w14:paraId="775636E5">
      <w:pPr>
        <w:keepNext/>
        <w:keepLines/>
        <w:spacing w:line="360" w:lineRule="auto"/>
        <w:ind w:left="11" w:right="113" w:firstLine="352" w:firstLineChars="168"/>
        <w:outlineLvl w:val="4"/>
        <w:rPr>
          <w:rFonts w:hint="eastAsia" w:ascii="黑体" w:hAnsi="黑体" w:eastAsia="华文中宋" w:cs="黑体"/>
          <w:bCs/>
          <w:color w:val="000000"/>
          <w:highlight w:val="none"/>
        </w:rPr>
      </w:pPr>
      <w:r>
        <w:rPr>
          <w:rFonts w:hint="eastAsia" w:ascii="黑体" w:hAnsi="黑体" w:eastAsia="华文中宋" w:cs="黑体"/>
          <w:bCs/>
          <w:color w:val="000000"/>
          <w:highlight w:val="none"/>
        </w:rPr>
        <w:t>5.1.2期中支付的申报</w:t>
      </w:r>
    </w:p>
    <w:p w14:paraId="48C087CA">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硬件设备交货后，甲方在收到</w:t>
      </w:r>
      <w:r>
        <w:rPr>
          <w:rFonts w:hint="eastAsia" w:ascii="宋体" w:hAnsi="宋体" w:eastAsia="宋体" w:cs="Times New Roman"/>
          <w:sz w:val="22"/>
          <w:highlight w:val="none"/>
        </w:rPr>
        <w:t>乙方支付请求并附下列单据</w:t>
      </w:r>
      <w:r>
        <w:rPr>
          <w:rFonts w:hint="eastAsia" w:ascii="宋体" w:hAnsi="宋体" w:eastAsia="宋体" w:cs="宋体"/>
          <w:sz w:val="22"/>
          <w:highlight w:val="none"/>
        </w:rPr>
        <w:t>，证实完整无误后，由甲方向乙方支付合同总价的百分之</w:t>
      </w:r>
      <w:r>
        <w:rPr>
          <w:rFonts w:hint="default" w:ascii="宋体" w:hAnsi="宋体" w:eastAsia="宋体" w:cs="宋体"/>
          <w:sz w:val="22"/>
          <w:highlight w:val="none"/>
          <w:lang w:val="en-US"/>
        </w:rPr>
        <w:t>三</w:t>
      </w:r>
      <w:r>
        <w:rPr>
          <w:rFonts w:hint="eastAsia" w:ascii="宋体" w:hAnsi="宋体" w:eastAsia="宋体" w:cs="宋体"/>
          <w:sz w:val="22"/>
          <w:highlight w:val="none"/>
        </w:rPr>
        <w:t>十（30％）的金额，</w:t>
      </w:r>
      <w:r>
        <w:rPr>
          <w:rFonts w:hint="eastAsia" w:ascii="宋体" w:hAnsi="宋体" w:eastAsia="宋体" w:cs="Times New Roman"/>
          <w:sz w:val="22"/>
          <w:highlight w:val="none"/>
        </w:rPr>
        <w:t>即人民币</w:t>
      </w:r>
      <w:r>
        <w:rPr>
          <w:rFonts w:hint="eastAsia" w:ascii="宋体" w:hAnsi="宋体" w:eastAsia="宋体" w:cs="Times New Roman"/>
          <w:sz w:val="22"/>
          <w:highlight w:val="none"/>
          <w:u w:val="single"/>
        </w:rPr>
        <w:t xml:space="preserve">          </w:t>
      </w:r>
      <w:r>
        <w:rPr>
          <w:rFonts w:hint="eastAsia" w:ascii="宋体" w:hAnsi="宋体" w:eastAsia="宋体" w:cs="Times New Roman"/>
          <w:sz w:val="22"/>
          <w:highlight w:val="none"/>
        </w:rPr>
        <w:t>元</w:t>
      </w:r>
      <w:r>
        <w:rPr>
          <w:rFonts w:hint="eastAsia" w:ascii="宋体" w:hAnsi="宋体" w:eastAsia="宋体" w:cs="宋体"/>
          <w:sz w:val="22"/>
          <w:highlight w:val="none"/>
        </w:rPr>
        <w:t>。</w:t>
      </w:r>
    </w:p>
    <w:p w14:paraId="63F064DB">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（1）支付申请</w:t>
      </w:r>
    </w:p>
    <w:p w14:paraId="152D5C4A">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（2）双方签署确认的货物清单</w:t>
      </w:r>
    </w:p>
    <w:p w14:paraId="15E73BBE">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（3）等额增值税专用发票</w:t>
      </w:r>
    </w:p>
    <w:p w14:paraId="57091BB6">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（4）设备质量合格证</w:t>
      </w:r>
    </w:p>
    <w:p w14:paraId="0316C2BC">
      <w:pPr>
        <w:keepNext/>
        <w:keepLines/>
        <w:spacing w:line="360" w:lineRule="auto"/>
        <w:ind w:left="11" w:right="113" w:firstLine="352" w:firstLineChars="168"/>
        <w:outlineLvl w:val="4"/>
        <w:rPr>
          <w:rFonts w:hint="eastAsia" w:ascii="黑体" w:hAnsi="黑体" w:eastAsia="华文中宋" w:cs="黑体"/>
          <w:bCs/>
          <w:color w:val="000000"/>
          <w:highlight w:val="none"/>
        </w:rPr>
      </w:pPr>
      <w:r>
        <w:rPr>
          <w:rFonts w:hint="eastAsia" w:ascii="黑体" w:hAnsi="黑体" w:eastAsia="华文中宋" w:cs="黑体"/>
          <w:bCs/>
          <w:color w:val="000000"/>
          <w:highlight w:val="none"/>
        </w:rPr>
        <w:t>5.1.3 竣工验收支付</w:t>
      </w:r>
    </w:p>
    <w:p w14:paraId="37A65B80">
      <w:pPr>
        <w:spacing w:line="360" w:lineRule="auto"/>
        <w:ind w:firstLine="420" w:firstLineChars="200"/>
        <w:rPr>
          <w:rFonts w:hint="eastAsia" w:ascii="宋体" w:hAnsi="宋体" w:eastAsia="宋体" w:cs="宋体"/>
          <w:sz w:val="22"/>
          <w:highlight w:val="none"/>
        </w:rPr>
      </w:pPr>
      <w:r>
        <w:rPr>
          <w:rFonts w:hint="eastAsia" w:ascii="宋体" w:hAnsi="宋体" w:eastAsia="宋体" w:cs="宋体"/>
          <w:color w:val="000000"/>
          <w:highlight w:val="none"/>
        </w:rPr>
        <w:t>项目实施完成并竣工验收</w:t>
      </w:r>
      <w:r>
        <w:rPr>
          <w:rFonts w:hint="eastAsia" w:ascii="宋体" w:hAnsi="宋体" w:eastAsia="宋体" w:cs="宋体"/>
          <w:sz w:val="22"/>
          <w:highlight w:val="none"/>
        </w:rPr>
        <w:t>通过后，甲方在收到</w:t>
      </w:r>
      <w:r>
        <w:rPr>
          <w:rFonts w:hint="eastAsia" w:ascii="宋体" w:hAnsi="宋体" w:eastAsia="宋体" w:cs="Times New Roman"/>
          <w:sz w:val="22"/>
          <w:highlight w:val="none"/>
        </w:rPr>
        <w:t>乙方支付请求并附下列单据</w:t>
      </w:r>
      <w:r>
        <w:rPr>
          <w:rFonts w:hint="eastAsia" w:ascii="宋体" w:hAnsi="宋体" w:eastAsia="宋体" w:cs="宋体"/>
          <w:sz w:val="22"/>
          <w:highlight w:val="none"/>
        </w:rPr>
        <w:t>，证实完整无误后10</w:t>
      </w:r>
      <w:r>
        <w:rPr>
          <w:rFonts w:hint="eastAsia" w:ascii="宋体" w:hAnsi="宋体" w:eastAsia="宋体" w:cs="Times New Roman"/>
          <w:sz w:val="22"/>
          <w:highlight w:val="none"/>
        </w:rPr>
        <w:t>个</w:t>
      </w:r>
      <w:r>
        <w:rPr>
          <w:rFonts w:hint="eastAsia" w:ascii="宋体" w:hAnsi="宋体" w:eastAsia="宋体" w:cs="宋体"/>
          <w:sz w:val="22"/>
          <w:highlight w:val="none"/>
        </w:rPr>
        <w:t>工作日内，由甲方向乙方支付合同总价的百分之二十（20％）的金额，</w:t>
      </w:r>
      <w:r>
        <w:rPr>
          <w:rFonts w:hint="eastAsia" w:ascii="宋体" w:hAnsi="宋体" w:eastAsia="宋体" w:cs="Times New Roman"/>
          <w:sz w:val="22"/>
          <w:highlight w:val="none"/>
        </w:rPr>
        <w:t>即人民币</w:t>
      </w:r>
      <w:r>
        <w:rPr>
          <w:rFonts w:hint="eastAsia" w:ascii="宋体" w:hAnsi="宋体" w:eastAsia="宋体" w:cs="Times New Roman"/>
          <w:sz w:val="22"/>
          <w:highlight w:val="none"/>
          <w:u w:val="single"/>
        </w:rPr>
        <w:t xml:space="preserve">        </w:t>
      </w:r>
      <w:r>
        <w:rPr>
          <w:rFonts w:hint="eastAsia" w:ascii="宋体" w:hAnsi="宋体" w:eastAsia="宋体" w:cs="Times New Roman"/>
          <w:sz w:val="22"/>
          <w:highlight w:val="none"/>
        </w:rPr>
        <w:t>元</w:t>
      </w:r>
      <w:r>
        <w:rPr>
          <w:rFonts w:hint="eastAsia" w:ascii="宋体" w:hAnsi="宋体" w:eastAsia="宋体" w:cs="宋体"/>
          <w:sz w:val="22"/>
          <w:highlight w:val="none"/>
        </w:rPr>
        <w:t>。</w:t>
      </w:r>
    </w:p>
    <w:p w14:paraId="79C67B18">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（1）支付申请</w:t>
      </w:r>
    </w:p>
    <w:p w14:paraId="0A452708">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（2）竣工验收报告</w:t>
      </w:r>
    </w:p>
    <w:p w14:paraId="0B97B065">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（3）等额增值税专用发票</w:t>
      </w:r>
    </w:p>
    <w:p w14:paraId="78D71CB9">
      <w:pPr>
        <w:spacing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若经南宁市财政局批复的专项债使用资金与各付款阶段的申请的支付资金不一致的，以经南宁市财政局、南宁市交通局及发债银行等单位审定批复后的支付资金作为项目支付的条件，甲方不因此承担逾期付款违约责任。</w:t>
      </w:r>
    </w:p>
    <w:p w14:paraId="0ACD2D64">
      <w:pPr>
        <w:keepNext/>
        <w:keepLines/>
        <w:spacing w:before="360" w:beforeLines="150" w:after="172" w:line="360" w:lineRule="auto"/>
        <w:ind w:left="420" w:right="113"/>
        <w:outlineLvl w:val="2"/>
        <w:rPr>
          <w:rFonts w:eastAsia="黑体" w:cs="黑体"/>
          <w:b/>
          <w:color w:val="000000"/>
          <w:sz w:val="28"/>
          <w:highlight w:val="none"/>
        </w:rPr>
      </w:pPr>
      <w:r>
        <w:rPr>
          <w:rFonts w:hint="eastAsia" w:eastAsia="黑体" w:cs="黑体"/>
          <w:color w:val="000000"/>
          <w:sz w:val="28"/>
          <w:highlight w:val="none"/>
        </w:rPr>
        <w:t>6.不可抗力</w:t>
      </w:r>
    </w:p>
    <w:p w14:paraId="73DFD7A0">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6</w:t>
      </w:r>
      <w:r>
        <w:rPr>
          <w:rFonts w:hint="eastAsia" w:ascii="黑体" w:hAnsi="黑体" w:eastAsia="华文中宋" w:cs="黑体"/>
          <w:bCs/>
          <w:color w:val="000000"/>
          <w:lang w:val="zh-CN"/>
        </w:rPr>
        <w:t>.</w:t>
      </w:r>
      <w:r>
        <w:rPr>
          <w:rFonts w:ascii="黑体" w:hAnsi="黑体" w:eastAsia="华文中宋" w:cs="黑体"/>
          <w:bCs/>
          <w:color w:val="000000"/>
          <w:lang w:val="zh-CN"/>
        </w:rPr>
        <w:t>1</w:t>
      </w:r>
      <w:r>
        <w:rPr>
          <w:rFonts w:hint="eastAsia" w:ascii="黑体" w:hAnsi="黑体" w:eastAsia="华文中宋" w:cs="黑体"/>
          <w:bCs/>
          <w:color w:val="000000"/>
          <w:lang w:val="zh-CN"/>
        </w:rPr>
        <w:t>不可抗力的确认</w:t>
      </w:r>
    </w:p>
    <w:p w14:paraId="09C65E27">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1.1</w:t>
      </w:r>
      <w:r>
        <w:rPr>
          <w:rFonts w:hint="eastAsia" w:eastAsia="宋体"/>
          <w:color w:val="000000"/>
          <w:szCs w:val="21"/>
        </w:rPr>
        <w:t>不可抗力是指乙方和甲方在订立合同时不可预见，在履行合同过程中不可避免发生并不能克服的自然灾害和社会性突发事件，包括战争、恐怖活动、动乱、暴动、地震、海啸、瘟疫、水灾、空中飞行物体坠落和约定的其他情形。</w:t>
      </w:r>
    </w:p>
    <w:p w14:paraId="306127BE">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1.2</w:t>
      </w:r>
      <w:r>
        <w:rPr>
          <w:rFonts w:hint="eastAsia" w:eastAsia="宋体"/>
          <w:color w:val="000000"/>
          <w:szCs w:val="21"/>
        </w:rPr>
        <w:t>不可抗力发生后，甲方和乙方应及时认真统计所造成的损失，收集不可抗力造成损失的证据。</w:t>
      </w:r>
    </w:p>
    <w:p w14:paraId="69C5F2C4">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1.3</w:t>
      </w:r>
      <w:r>
        <w:rPr>
          <w:rFonts w:hint="eastAsia" w:eastAsia="宋体"/>
          <w:color w:val="000000"/>
          <w:szCs w:val="21"/>
        </w:rPr>
        <w:t>因法律法规、政府审批或其他政策等原因导致合同无法履行的，合同双方同意按不可抗力原则处理。合同双方对是否属于不可抗力或其损失的意见不一致的，由合同双方协商确定；协商不成的，按照争议进行处理。</w:t>
      </w:r>
    </w:p>
    <w:p w14:paraId="22D6422E">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6</w:t>
      </w:r>
      <w:r>
        <w:rPr>
          <w:rFonts w:hint="eastAsia" w:ascii="黑体" w:hAnsi="黑体" w:eastAsia="华文中宋" w:cs="黑体"/>
          <w:bCs/>
          <w:color w:val="000000"/>
          <w:lang w:val="zh-CN"/>
        </w:rPr>
        <w:t>.</w:t>
      </w:r>
      <w:r>
        <w:rPr>
          <w:rFonts w:ascii="黑体" w:hAnsi="黑体" w:eastAsia="华文中宋" w:cs="黑体"/>
          <w:bCs/>
          <w:color w:val="000000"/>
          <w:lang w:val="zh-CN"/>
        </w:rPr>
        <w:t>2</w:t>
      </w:r>
      <w:r>
        <w:rPr>
          <w:rFonts w:hint="eastAsia" w:ascii="黑体" w:hAnsi="黑体" w:eastAsia="华文中宋" w:cs="黑体"/>
          <w:bCs/>
          <w:color w:val="000000"/>
          <w:lang w:val="zh-CN"/>
        </w:rPr>
        <w:t>不可抗力的通知</w:t>
      </w:r>
    </w:p>
    <w:p w14:paraId="2E5E7D26">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2.1</w:t>
      </w:r>
      <w:r>
        <w:rPr>
          <w:rFonts w:hint="eastAsia" w:eastAsia="宋体"/>
          <w:color w:val="000000"/>
          <w:szCs w:val="21"/>
        </w:rPr>
        <w:t>合同一方当事人遇到不可抗力事件，使其履行合同义务受到阻碍时，应立即通知合同对方当事人，书面说明不可抗力和受阻碍的详细情况，并提供必要的证明。事件发生后</w:t>
      </w:r>
      <w:r>
        <w:rPr>
          <w:rFonts w:eastAsia="宋体"/>
          <w:color w:val="000000"/>
          <w:szCs w:val="21"/>
        </w:rPr>
        <w:t>14</w:t>
      </w:r>
      <w:r>
        <w:rPr>
          <w:rFonts w:hint="eastAsia" w:eastAsia="宋体"/>
          <w:color w:val="000000"/>
          <w:szCs w:val="21"/>
        </w:rPr>
        <w:t>天内，合同当事人应将政府相关部门出具的证明文件书面提交对方当事人审核确认。</w:t>
      </w:r>
    </w:p>
    <w:p w14:paraId="33857E7D">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2.2</w:t>
      </w:r>
      <w:r>
        <w:rPr>
          <w:rFonts w:hint="eastAsia" w:eastAsia="宋体"/>
          <w:color w:val="000000"/>
          <w:szCs w:val="21"/>
        </w:rPr>
        <w:t>如不可抗力持续发生，合同一方当事人应及时向合同对方当事人提交中间报告，说明不可抗力和履行合同受阻的情况，并于不可抗力事件结束后</w:t>
      </w:r>
      <w:r>
        <w:rPr>
          <w:rFonts w:eastAsia="宋体"/>
          <w:color w:val="000000"/>
          <w:szCs w:val="21"/>
        </w:rPr>
        <w:t>28</w:t>
      </w:r>
      <w:r>
        <w:rPr>
          <w:rFonts w:hint="eastAsia" w:eastAsia="宋体"/>
          <w:color w:val="000000"/>
          <w:szCs w:val="21"/>
        </w:rPr>
        <w:t>天内提交最终报告及有关资料。</w:t>
      </w:r>
    </w:p>
    <w:p w14:paraId="0CC436DE">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6</w:t>
      </w:r>
      <w:r>
        <w:rPr>
          <w:rFonts w:hint="eastAsia" w:ascii="黑体" w:hAnsi="黑体" w:eastAsia="华文中宋" w:cs="黑体"/>
          <w:bCs/>
          <w:color w:val="000000"/>
          <w:lang w:val="zh-CN"/>
        </w:rPr>
        <w:t>.</w:t>
      </w:r>
      <w:r>
        <w:rPr>
          <w:rFonts w:ascii="黑体" w:hAnsi="黑体" w:eastAsia="华文中宋" w:cs="黑体"/>
          <w:bCs/>
          <w:color w:val="000000"/>
          <w:lang w:val="zh-CN"/>
        </w:rPr>
        <w:t>3</w:t>
      </w:r>
      <w:r>
        <w:rPr>
          <w:rFonts w:hint="eastAsia" w:ascii="黑体" w:hAnsi="黑体" w:eastAsia="华文中宋" w:cs="黑体"/>
          <w:bCs/>
          <w:color w:val="000000"/>
          <w:lang w:val="zh-CN"/>
        </w:rPr>
        <w:t>不可抗力后果及其处理</w:t>
      </w:r>
    </w:p>
    <w:p w14:paraId="060D7198">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3.1</w:t>
      </w:r>
      <w:r>
        <w:rPr>
          <w:rFonts w:hint="eastAsia" w:eastAsia="宋体"/>
          <w:color w:val="000000"/>
          <w:szCs w:val="21"/>
        </w:rPr>
        <w:t>不可抗力引起的后果及其损失，应由合同当事人依据法律规定各自承担。因一方当事人迟延履行合同义务，致使迟延履行期间遭遇不可抗力的，应由该当事人承担全部损失。不可抗力发生前已完成的合作工作，应当按照合同约定进行支付。</w:t>
      </w:r>
    </w:p>
    <w:p w14:paraId="5DE70F9B">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3.2</w:t>
      </w:r>
      <w:r>
        <w:rPr>
          <w:rFonts w:hint="eastAsia" w:eastAsia="宋体"/>
          <w:color w:val="000000"/>
          <w:szCs w:val="21"/>
        </w:rPr>
        <w:t>不可抗力发生后，合同当事人应当采取有效措施避免损失进一步扩大，如未采取有效措施致使损失扩大的，应当责任方自行承担扩大部分的损失。</w:t>
      </w:r>
      <w:r>
        <w:rPr>
          <w:rFonts w:hint="eastAsia" w:eastAsia="宋体"/>
          <w:color w:val="000000"/>
        </w:rPr>
        <w:t>不可抗力事件持续发生期间，受影响方应继续履行未受不可抗力事件影响，且能继续履行的合同义务。</w:t>
      </w:r>
    </w:p>
    <w:p w14:paraId="1ED74E2B">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3.3</w:t>
      </w:r>
      <w:r>
        <w:rPr>
          <w:rFonts w:hint="eastAsia" w:eastAsia="宋体"/>
          <w:color w:val="000000"/>
          <w:szCs w:val="21"/>
        </w:rPr>
        <w:t>由于不可抗力事件的影响，使合同一方当事人无法履行合同义务且持续</w:t>
      </w:r>
      <w:r>
        <w:rPr>
          <w:rFonts w:eastAsia="宋体"/>
          <w:color w:val="000000"/>
          <w:szCs w:val="21"/>
        </w:rPr>
        <w:t>28</w:t>
      </w:r>
      <w:r>
        <w:rPr>
          <w:rFonts w:hint="eastAsia" w:eastAsia="宋体"/>
          <w:color w:val="000000"/>
          <w:szCs w:val="21"/>
        </w:rPr>
        <w:t>天以上的，合同双方应当友好协商，达成共识以进一步履行合同或解除合同；无法履行合同义务且持续</w:t>
      </w:r>
      <w:r>
        <w:rPr>
          <w:rFonts w:eastAsia="宋体"/>
          <w:color w:val="000000"/>
          <w:szCs w:val="21"/>
        </w:rPr>
        <w:t>84</w:t>
      </w:r>
      <w:r>
        <w:rPr>
          <w:rFonts w:hint="eastAsia" w:eastAsia="宋体"/>
          <w:color w:val="000000"/>
          <w:szCs w:val="21"/>
        </w:rPr>
        <w:t>天以上的，该当事人可以单方解除合同。</w:t>
      </w:r>
    </w:p>
    <w:p w14:paraId="52BC5244">
      <w:pPr>
        <w:spacing w:line="360" w:lineRule="auto"/>
        <w:ind w:firstLine="420" w:firstLineChars="200"/>
        <w:rPr>
          <w:rFonts w:eastAsia="宋体"/>
          <w:color w:val="000000"/>
          <w:szCs w:val="21"/>
        </w:rPr>
      </w:pPr>
      <w:r>
        <w:rPr>
          <w:rFonts w:hint="eastAsia" w:eastAsia="宋体"/>
          <w:color w:val="000000"/>
          <w:szCs w:val="21"/>
        </w:rPr>
        <w:t>6.</w:t>
      </w:r>
      <w:r>
        <w:rPr>
          <w:rFonts w:eastAsia="宋体"/>
          <w:color w:val="000000"/>
          <w:szCs w:val="21"/>
        </w:rPr>
        <w:t>3.4</w:t>
      </w:r>
      <w:r>
        <w:rPr>
          <w:rFonts w:hint="eastAsia" w:eastAsia="宋体"/>
          <w:color w:val="000000"/>
          <w:szCs w:val="21"/>
        </w:rPr>
        <w:t>不可抗力事件结束后，甲方应当尽快通知乙方恢复合同工作，乙方应在接到复工通知后</w:t>
      </w:r>
      <w:r>
        <w:rPr>
          <w:rFonts w:eastAsia="宋体"/>
          <w:color w:val="000000"/>
          <w:szCs w:val="21"/>
        </w:rPr>
        <w:t>14</w:t>
      </w:r>
      <w:r>
        <w:rPr>
          <w:rFonts w:hint="eastAsia" w:eastAsia="宋体"/>
          <w:color w:val="000000"/>
          <w:szCs w:val="21"/>
        </w:rPr>
        <w:t>天内或双方根据具体情况约定的时间内，向甲方提交复工方案和后续进度计划，经甲方确认后实施。乙方恢复合同工作的，由于不可抗力事件导致耽搁的时间应当相应顺延。</w:t>
      </w:r>
    </w:p>
    <w:p w14:paraId="7E2E5374">
      <w:pPr>
        <w:keepNext/>
        <w:keepLines/>
        <w:spacing w:before="360" w:beforeLines="150" w:after="172" w:line="360" w:lineRule="auto"/>
        <w:ind w:left="420" w:right="113"/>
        <w:outlineLvl w:val="2"/>
        <w:rPr>
          <w:rFonts w:eastAsia="黑体" w:cs="黑体"/>
          <w:b/>
          <w:color w:val="000000"/>
          <w:sz w:val="28"/>
        </w:rPr>
      </w:pPr>
      <w:r>
        <w:rPr>
          <w:rFonts w:hint="eastAsia" w:eastAsia="黑体" w:cs="黑体"/>
          <w:color w:val="000000"/>
          <w:sz w:val="28"/>
        </w:rPr>
        <w:t>7.违约责任</w:t>
      </w:r>
    </w:p>
    <w:p w14:paraId="4D833344">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7</w:t>
      </w:r>
      <w:r>
        <w:rPr>
          <w:rFonts w:hint="eastAsia" w:ascii="黑体" w:hAnsi="黑体" w:eastAsia="华文中宋" w:cs="黑体"/>
          <w:bCs/>
          <w:color w:val="000000"/>
          <w:lang w:val="zh-CN"/>
        </w:rPr>
        <w:t>.</w:t>
      </w:r>
      <w:r>
        <w:rPr>
          <w:rFonts w:ascii="黑体" w:hAnsi="黑体" w:eastAsia="华文中宋" w:cs="黑体"/>
          <w:bCs/>
          <w:color w:val="000000"/>
          <w:lang w:val="zh-CN"/>
        </w:rPr>
        <w:t>1</w:t>
      </w:r>
      <w:r>
        <w:rPr>
          <w:rFonts w:hint="eastAsia" w:ascii="黑体" w:hAnsi="黑体" w:eastAsia="华文中宋" w:cs="黑体"/>
          <w:bCs/>
          <w:color w:val="000000"/>
          <w:lang w:val="zh-CN"/>
        </w:rPr>
        <w:t>甲方违约</w:t>
      </w:r>
    </w:p>
    <w:p w14:paraId="370B1EBD">
      <w:pPr>
        <w:spacing w:line="360" w:lineRule="auto"/>
        <w:ind w:firstLine="420" w:firstLineChars="200"/>
        <w:rPr>
          <w:rFonts w:hint="eastAsia" w:eastAsia="宋体"/>
          <w:color w:val="000000"/>
          <w:szCs w:val="21"/>
        </w:rPr>
      </w:pPr>
      <w:r>
        <w:rPr>
          <w:rFonts w:hint="eastAsia" w:eastAsia="宋体"/>
          <w:color w:val="000000"/>
          <w:szCs w:val="21"/>
        </w:rPr>
        <w:t>7.</w:t>
      </w:r>
      <w:r>
        <w:rPr>
          <w:rFonts w:eastAsia="宋体"/>
          <w:color w:val="000000"/>
          <w:szCs w:val="21"/>
        </w:rPr>
        <w:t>1.1</w:t>
      </w:r>
      <w:r>
        <w:rPr>
          <w:rFonts w:hint="eastAsia" w:eastAsia="宋体"/>
          <w:color w:val="000000"/>
          <w:szCs w:val="21"/>
        </w:rPr>
        <w:t>甲方</w:t>
      </w:r>
      <w:r>
        <w:rPr>
          <w:rFonts w:eastAsia="宋体"/>
          <w:color w:val="000000"/>
          <w:szCs w:val="21"/>
        </w:rPr>
        <w:t>未按合同</w:t>
      </w:r>
      <w:r>
        <w:rPr>
          <w:rFonts w:hint="eastAsia" w:eastAsia="宋体"/>
          <w:color w:val="000000"/>
          <w:szCs w:val="21"/>
        </w:rPr>
        <w:t>约定</w:t>
      </w:r>
      <w:r>
        <w:rPr>
          <w:rFonts w:eastAsia="宋体"/>
          <w:color w:val="000000"/>
          <w:szCs w:val="21"/>
        </w:rPr>
        <w:t>时间向</w:t>
      </w:r>
      <w:r>
        <w:rPr>
          <w:rFonts w:hint="eastAsia" w:eastAsia="宋体"/>
          <w:color w:val="000000"/>
          <w:szCs w:val="21"/>
        </w:rPr>
        <w:t>乙方</w:t>
      </w:r>
      <w:r>
        <w:rPr>
          <w:rFonts w:eastAsia="宋体"/>
          <w:color w:val="000000"/>
          <w:szCs w:val="21"/>
        </w:rPr>
        <w:t>支付合同价款，应</w:t>
      </w:r>
      <w:r>
        <w:rPr>
          <w:rFonts w:hint="eastAsia" w:eastAsia="宋体"/>
          <w:color w:val="000000"/>
          <w:szCs w:val="21"/>
        </w:rPr>
        <w:t>按中国人民银行授权全国银行间同业拆借中心公布的同期贷款市场报价利率，以合同未付款金额为基数承担的</w:t>
      </w:r>
      <w:r>
        <w:rPr>
          <w:rFonts w:eastAsia="宋体"/>
          <w:color w:val="000000"/>
          <w:szCs w:val="21"/>
        </w:rPr>
        <w:t>违约责任。</w:t>
      </w:r>
      <w:r>
        <w:rPr>
          <w:rFonts w:hint="eastAsia" w:eastAsia="宋体"/>
          <w:color w:val="000000"/>
          <w:szCs w:val="21"/>
        </w:rPr>
        <w:t>但如因乙方违约、质量问题、进度延误、资料不全、不可抗力、政府审批等原因导致甲方未付款的，甲方不承担违约责任。</w:t>
      </w:r>
    </w:p>
    <w:p w14:paraId="65BB4AFF">
      <w:pPr>
        <w:spacing w:line="360" w:lineRule="auto"/>
        <w:ind w:firstLine="420" w:firstLineChars="200"/>
      </w:pPr>
      <w:r>
        <w:rPr>
          <w:rFonts w:hint="eastAsia" w:eastAsia="宋体"/>
          <w:color w:val="000000"/>
          <w:szCs w:val="21"/>
        </w:rPr>
        <w:t>7.1.2甲方向乙方支付违约金或者赔偿金时，可将违约金或赔偿金就近随同乙方的应收款项一并支付；如果支付周期过长或支付金额过高时，甲方也可按照双方约定的时间向乙方单独支付违约金或赔偿金。</w:t>
      </w:r>
    </w:p>
    <w:p w14:paraId="1945E0B1">
      <w:pPr>
        <w:keepNext/>
        <w:keepLines/>
        <w:spacing w:line="360" w:lineRule="auto"/>
        <w:ind w:left="11" w:right="113" w:firstLine="352" w:firstLineChars="168"/>
        <w:outlineLvl w:val="3"/>
        <w:rPr>
          <w:rFonts w:hint="eastAsia" w:ascii="黑体" w:hAnsi="黑体" w:eastAsia="华文中宋" w:cs="黑体"/>
          <w:b/>
          <w:bCs/>
          <w:color w:val="000000"/>
          <w:lang w:val="zh-CN"/>
        </w:rPr>
      </w:pPr>
      <w:r>
        <w:rPr>
          <w:rFonts w:hint="eastAsia" w:ascii="黑体" w:hAnsi="黑体" w:eastAsia="华文中宋" w:cs="黑体"/>
          <w:bCs/>
          <w:color w:val="000000"/>
        </w:rPr>
        <w:t>7</w:t>
      </w:r>
      <w:r>
        <w:rPr>
          <w:rFonts w:hint="eastAsia" w:ascii="黑体" w:hAnsi="黑体" w:eastAsia="华文中宋" w:cs="黑体"/>
          <w:bCs/>
          <w:color w:val="000000"/>
          <w:lang w:val="zh-CN"/>
        </w:rPr>
        <w:t>.</w:t>
      </w:r>
      <w:r>
        <w:rPr>
          <w:rFonts w:ascii="黑体" w:hAnsi="黑体" w:eastAsia="华文中宋" w:cs="黑体"/>
          <w:bCs/>
          <w:color w:val="000000"/>
          <w:lang w:val="zh-CN"/>
        </w:rPr>
        <w:t>2</w:t>
      </w:r>
      <w:r>
        <w:rPr>
          <w:rFonts w:hint="eastAsia" w:ascii="黑体" w:hAnsi="黑体" w:eastAsia="华文中宋" w:cs="黑体"/>
          <w:bCs/>
          <w:color w:val="000000"/>
          <w:lang w:val="zh-CN"/>
        </w:rPr>
        <w:t>乙方违约</w:t>
      </w:r>
    </w:p>
    <w:p w14:paraId="625993C5">
      <w:pPr>
        <w:spacing w:line="360" w:lineRule="auto"/>
        <w:ind w:firstLine="420" w:firstLineChars="200"/>
        <w:rPr>
          <w:rFonts w:eastAsia="宋体"/>
          <w:color w:val="000000"/>
          <w:szCs w:val="21"/>
        </w:rPr>
      </w:pPr>
      <w:r>
        <w:rPr>
          <w:rFonts w:hint="eastAsia" w:eastAsia="宋体"/>
          <w:color w:val="000000"/>
          <w:szCs w:val="21"/>
        </w:rPr>
        <w:t>7.2.1除甲方同意或人员身体原因外，乙方擅自更换项目负责人的，乙方按5000元/次支付违约金；乙方擅自撤换有关技术、管理人员，乙方按2000元/次支付违约金。</w:t>
      </w:r>
    </w:p>
    <w:p w14:paraId="590DC693">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2乙方提供的设备质量如不符合合同规定、未能通过样机验收或者试运行的，则甲方有权视情况选择修理、替换、退货或解除合同等方式要求乙方承担违约责任。</w:t>
      </w:r>
    </w:p>
    <w:p w14:paraId="2F1C99C6">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3乙方提供的设备出现短装的，则乙方除必须在</w:t>
      </w:r>
      <w:r>
        <w:rPr>
          <w:rFonts w:eastAsia="宋体"/>
          <w:color w:val="000000"/>
          <w:szCs w:val="21"/>
        </w:rPr>
        <w:t>21</w:t>
      </w:r>
      <w:r>
        <w:rPr>
          <w:rFonts w:hint="eastAsia" w:eastAsia="宋体"/>
          <w:color w:val="000000"/>
          <w:szCs w:val="21"/>
        </w:rPr>
        <w:t>天（备品备件和专用工具为</w:t>
      </w:r>
      <w:r>
        <w:rPr>
          <w:rFonts w:eastAsia="宋体"/>
          <w:color w:val="000000"/>
          <w:szCs w:val="21"/>
        </w:rPr>
        <w:t>7</w:t>
      </w:r>
      <w:r>
        <w:rPr>
          <w:rFonts w:hint="eastAsia" w:eastAsia="宋体"/>
          <w:color w:val="000000"/>
          <w:szCs w:val="21"/>
        </w:rPr>
        <w:t>天）或甲方规定的其他时间内补足设备外，乙方应按短装部分设备价值5%向甲方支付违约金。</w:t>
      </w:r>
    </w:p>
    <w:p w14:paraId="3FB111DB">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4乙方在合同约定期限或甲方同意其他期限内，未能按照合同约定提供部分或全部设备，每逾期一天，乙方应当按未交付设备价值的万分之五向甲方支付违约金，逾期超过三十日的，甲方有权单方解除合同。乙方应赔偿因逾期交付或未交付设备导致甲方遭受的直接损失。</w:t>
      </w:r>
    </w:p>
    <w:p w14:paraId="33414E37">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5乙方在合同约定期限或甲方同意其他期限内，未能按照合同约定提供部分或全部技术文件，每逾期一天，乙方应当按合同金额的万分之五向甲方支付违约金，逾期超过三十日的，甲方有权视情况严重程度单方解除合同，若因乙方未按合同约定提供技术文件造成甲方损失的，乙方应当承担赔偿责任。</w:t>
      </w:r>
    </w:p>
    <w:p w14:paraId="68257A29">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6乙方在质保期或者延长的质保期内不按合同规定履行义务的，甲方有权委托第三方进行维修，由此产生的费用乙方无异议且由乙方承担，甲方有权从质保金中扣除。若质保金不足以覆盖维修费用的，乙方应在接到甲方通知后7个工作日内补足差额部分，逾期按万分之五计收资金占用费。</w:t>
      </w:r>
    </w:p>
    <w:p w14:paraId="1A0FC175">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7乙方应保证合同项下所提供的服务，包括但不限于联络与审查、检验与验收、设计配合、培训、安装督导、安装、现场调试及配合等均按合同规定的方式或甲方确认的良好方式进行，并保证不存在因乙方人员的过失、错误或疏忽而产生服务问题。否则，乙方应承担由此给甲方造成的损失。</w:t>
      </w:r>
    </w:p>
    <w:p w14:paraId="3A28DD1E">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8由于乙方原因（包括但不限于乙方提供设备的潜在缺陷而导致安全事故）导致安全事故，有乙方承担全部赔偿责任（包括给甲方造成的损失）。</w:t>
      </w:r>
    </w:p>
    <w:p w14:paraId="2A216DEB">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w:t>
      </w:r>
      <w:r>
        <w:rPr>
          <w:rFonts w:hint="eastAsia" w:eastAsia="宋体"/>
          <w:color w:val="000000"/>
          <w:szCs w:val="21"/>
        </w:rPr>
        <w:t>9由于乙方原因导致项目竣工验收时间的延迟，逾期三十日（含）内，乙方应按合同总金额的0.05%每日向甲方支付逾期违约金；逾期超过三十日，甲方有权解除合同，乙方按合同金额的5%承担违约金，违约金不足以弥补损失的，乙方还应当赔偿。</w:t>
      </w:r>
    </w:p>
    <w:p w14:paraId="2F0A6FD2">
      <w:pPr>
        <w:spacing w:line="360" w:lineRule="auto"/>
        <w:ind w:firstLine="420" w:firstLineChars="200"/>
        <w:rPr>
          <w:rFonts w:eastAsia="宋体"/>
          <w:color w:val="000000"/>
          <w:szCs w:val="21"/>
        </w:rPr>
      </w:pPr>
      <w:r>
        <w:rPr>
          <w:rFonts w:hint="eastAsia" w:eastAsia="宋体"/>
          <w:color w:val="000000"/>
          <w:szCs w:val="21"/>
        </w:rPr>
        <w:t>7.</w:t>
      </w:r>
      <w:r>
        <w:rPr>
          <w:rFonts w:eastAsia="宋体"/>
          <w:color w:val="000000"/>
          <w:szCs w:val="21"/>
        </w:rPr>
        <w:t>2.1</w:t>
      </w:r>
      <w:r>
        <w:rPr>
          <w:rFonts w:hint="eastAsia" w:eastAsia="宋体"/>
          <w:color w:val="000000"/>
          <w:szCs w:val="21"/>
        </w:rPr>
        <w:t>0乙方</w:t>
      </w:r>
      <w:r>
        <w:rPr>
          <w:rFonts w:hint="eastAsia" w:eastAsia="宋体"/>
          <w:color w:val="000000"/>
        </w:rPr>
        <w:t>不履行本合同约定的其他义务或者履行义务不符合本合同约定的，每次按合同金额的10%向甲方支付违约金。</w:t>
      </w:r>
    </w:p>
    <w:p w14:paraId="48E4EF72">
      <w:pPr>
        <w:spacing w:line="360" w:lineRule="auto"/>
        <w:ind w:firstLine="420" w:firstLineChars="200"/>
        <w:rPr>
          <w:rFonts w:eastAsia="宋体"/>
          <w:color w:val="000000"/>
          <w:szCs w:val="21"/>
        </w:rPr>
      </w:pPr>
      <w:r>
        <w:rPr>
          <w:rFonts w:hint="eastAsia" w:eastAsia="宋体"/>
          <w:color w:val="000000"/>
          <w:szCs w:val="21"/>
        </w:rPr>
        <w:t>7.2</w:t>
      </w:r>
      <w:r>
        <w:rPr>
          <w:rFonts w:eastAsia="宋体"/>
          <w:color w:val="000000"/>
          <w:szCs w:val="21"/>
        </w:rPr>
        <w:t>.</w:t>
      </w:r>
      <w:r>
        <w:rPr>
          <w:rFonts w:hint="eastAsia" w:eastAsia="宋体"/>
          <w:color w:val="000000"/>
          <w:szCs w:val="21"/>
        </w:rPr>
        <w:t>11乙方向甲方支付违约金或者赔偿金时，甲方有权从付给乙方的任意一笔应收款项中扣除，不足部分应由乙方在</w:t>
      </w:r>
      <w:r>
        <w:rPr>
          <w:rFonts w:eastAsia="宋体"/>
          <w:color w:val="000000"/>
          <w:szCs w:val="21"/>
        </w:rPr>
        <w:t>28</w:t>
      </w:r>
      <w:r>
        <w:rPr>
          <w:rFonts w:hint="eastAsia" w:eastAsia="宋体"/>
          <w:color w:val="000000"/>
          <w:szCs w:val="21"/>
        </w:rPr>
        <w:t>天内，以履约保函、电汇或甲方同意的其他方式向甲方支付完毕。违约金或赔偿金的支付不减轻或免除乙方的合同责任和义务。</w:t>
      </w:r>
    </w:p>
    <w:p w14:paraId="41BA20D2">
      <w:pPr>
        <w:keepNext/>
        <w:keepLines/>
        <w:spacing w:before="360" w:beforeLines="150" w:after="172" w:line="360" w:lineRule="auto"/>
        <w:ind w:left="420" w:right="113"/>
        <w:outlineLvl w:val="2"/>
        <w:rPr>
          <w:rFonts w:eastAsia="黑体" w:cs="黑体"/>
          <w:b/>
          <w:color w:val="000000"/>
          <w:sz w:val="28"/>
        </w:rPr>
      </w:pPr>
      <w:r>
        <w:rPr>
          <w:rFonts w:hint="eastAsia" w:eastAsia="黑体" w:cs="黑体"/>
          <w:color w:val="000000"/>
          <w:sz w:val="28"/>
        </w:rPr>
        <w:t>8.争议解决</w:t>
      </w:r>
    </w:p>
    <w:p w14:paraId="77A452A4">
      <w:pPr>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8.1凡因本合同引起的或与本合同有关的任何争议，合同双方应通过直接的友好协商解决争议，协商和解成功的，双方应签订书面和解协议。</w:t>
      </w:r>
    </w:p>
    <w:p w14:paraId="00508C02">
      <w:pPr>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一方不愿意协商和解或和解不成的，应选择通过诉讼方式解决纠纷，如从协商开始后六十（60）天内甲方和乙方仍不能友好解决合同争议，合同双方的任一方可将争议按照下列方式办理：</w:t>
      </w:r>
    </w:p>
    <w:p w14:paraId="4BA7BC32">
      <w:pPr>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向甲方所在地法院提请诉讼。</w:t>
      </w:r>
    </w:p>
    <w:p w14:paraId="5E52AB48">
      <w:pPr>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8.2甲乙双方发生争议后，协商和解和诉讼期间，除非出现下列情况的，双方都应继续履行合同，保持工作连续性，保护好已完工作成果：</w:t>
      </w:r>
    </w:p>
    <w:p w14:paraId="0A98B2AE">
      <w:pPr>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（1）单方违约导致合同确已无法履行，双方协议停止工作；</w:t>
      </w:r>
    </w:p>
    <w:p w14:paraId="3F273292">
      <w:pPr>
        <w:spacing w:line="360" w:lineRule="auto"/>
        <w:ind w:firstLine="440" w:firstLineChars="200"/>
        <w:rPr>
          <w:rFonts w:eastAsia="宋体"/>
          <w:color w:val="000000"/>
        </w:rPr>
      </w:pPr>
      <w:r>
        <w:rPr>
          <w:rFonts w:hint="eastAsia" w:ascii="宋体" w:hAnsi="宋体" w:eastAsia="宋体"/>
          <w:color w:val="000000"/>
          <w:sz w:val="22"/>
        </w:rPr>
        <w:t>（2）甲方所在地法院要求停止工作。</w:t>
      </w:r>
    </w:p>
    <w:p w14:paraId="10B9340D">
      <w:pPr>
        <w:keepNext/>
        <w:keepLines/>
        <w:spacing w:before="360" w:beforeLines="150" w:after="172" w:line="360" w:lineRule="auto"/>
        <w:ind w:left="420" w:right="113"/>
        <w:outlineLvl w:val="2"/>
        <w:rPr>
          <w:rFonts w:eastAsia="黑体" w:cs="黑体"/>
          <w:color w:val="000000"/>
          <w:sz w:val="28"/>
        </w:rPr>
      </w:pPr>
      <w:r>
        <w:rPr>
          <w:rFonts w:hint="eastAsia" w:eastAsia="黑体" w:cs="黑体"/>
          <w:color w:val="000000"/>
          <w:sz w:val="28"/>
        </w:rPr>
        <w:t>9.合同效力</w:t>
      </w:r>
    </w:p>
    <w:p w14:paraId="79AC328D">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9.1合同生效</w:t>
      </w:r>
    </w:p>
    <w:p w14:paraId="0BB1A32D">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合同生效的条件由双方在协议书中约定。</w:t>
      </w:r>
    </w:p>
    <w:p w14:paraId="39E0EAB6">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9.2合同的终止与解除</w:t>
      </w:r>
    </w:p>
    <w:p w14:paraId="05C068CD">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9.2.1.当合同双方完成了合同中规定的责任和义务，合同终止。</w:t>
      </w:r>
    </w:p>
    <w:p w14:paraId="6E27EAFC">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9.2.2.若合同双方协商同意，合同可以在任何条件下终止。</w:t>
      </w:r>
    </w:p>
    <w:p w14:paraId="139B7B1E">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9.2.3因乙方破产而解除合同</w:t>
      </w:r>
    </w:p>
    <w:p w14:paraId="176BA747">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如果乙方破产或无清偿能力，甲方可在任何时候以书面形式通知乙方，提出解除合同而不给乙方任何补偿。该解除合同不损害或影响甲方已经采取或将要采取的任何行动或补救措施的权利。</w:t>
      </w:r>
    </w:p>
    <w:p w14:paraId="378EA0E7">
      <w:pPr>
        <w:adjustRightInd w:val="0"/>
        <w:snapToGrid w:val="0"/>
        <w:spacing w:line="360" w:lineRule="auto"/>
        <w:ind w:firstLine="440" w:firstLineChars="200"/>
        <w:rPr>
          <w:rFonts w:hint="eastAsia" w:ascii="宋体" w:hAnsi="宋体" w:eastAsia="宋体" w:cs="Times New Roman"/>
          <w:color w:val="000000"/>
          <w:sz w:val="22"/>
        </w:rPr>
      </w:pPr>
      <w:r>
        <w:rPr>
          <w:rFonts w:hint="eastAsia" w:ascii="宋体" w:hAnsi="宋体" w:eastAsia="宋体"/>
          <w:color w:val="000000"/>
          <w:sz w:val="22"/>
        </w:rPr>
        <w:t>9.2.4</w:t>
      </w:r>
      <w:r>
        <w:rPr>
          <w:rFonts w:hint="eastAsia" w:ascii="宋体" w:hAnsi="宋体" w:eastAsia="宋体" w:cs="Times New Roman"/>
          <w:color w:val="000000"/>
          <w:sz w:val="22"/>
        </w:rPr>
        <w:t>因乙方破产的后果</w:t>
      </w:r>
    </w:p>
    <w:p w14:paraId="0DFE83E6">
      <w:pPr>
        <w:adjustRightInd w:val="0"/>
        <w:snapToGrid w:val="0"/>
        <w:spacing w:line="360" w:lineRule="auto"/>
        <w:ind w:firstLine="440" w:firstLineChars="200"/>
        <w:rPr>
          <w:rFonts w:hint="eastAsia" w:ascii="宋体" w:hAnsi="宋体" w:eastAsia="宋体"/>
          <w:color w:val="000000"/>
          <w:sz w:val="22"/>
        </w:rPr>
      </w:pPr>
      <w:r>
        <w:rPr>
          <w:rFonts w:hint="eastAsia" w:ascii="宋体" w:hAnsi="宋体" w:eastAsia="宋体" w:cs="Times New Roman"/>
          <w:color w:val="000000"/>
          <w:sz w:val="22"/>
        </w:rPr>
        <w:t>在第9.2.3款情形下，对乙方在收到解除合同通知前已完成并准备装运的货物，甲方应按原合同价款和条件予以接受，但对于该类货物，应由甲乙双方以两方共同清点，共同清点的程序以甲方书面通知为准。</w:t>
      </w:r>
    </w:p>
    <w:p w14:paraId="7EDB1F70">
      <w:pPr>
        <w:keepNext/>
        <w:keepLines/>
        <w:spacing w:before="360" w:beforeLines="150" w:after="172" w:line="360" w:lineRule="auto"/>
        <w:ind w:left="420" w:right="113"/>
        <w:outlineLvl w:val="2"/>
        <w:rPr>
          <w:rFonts w:eastAsia="黑体" w:cs="黑体"/>
          <w:color w:val="000000"/>
          <w:sz w:val="28"/>
        </w:rPr>
      </w:pPr>
      <w:r>
        <w:rPr>
          <w:rFonts w:hint="eastAsia" w:eastAsia="黑体" w:cs="黑体"/>
          <w:color w:val="000000"/>
          <w:sz w:val="28"/>
        </w:rPr>
        <w:t>10.通知</w:t>
      </w:r>
    </w:p>
    <w:p w14:paraId="5B591561">
      <w:pPr>
        <w:spacing w:line="360" w:lineRule="auto"/>
        <w:ind w:firstLine="440" w:firstLineChars="200"/>
        <w:rPr>
          <w:rFonts w:eastAsia="宋体"/>
          <w:color w:val="000000"/>
          <w:sz w:val="22"/>
        </w:rPr>
      </w:pPr>
      <w:r>
        <w:rPr>
          <w:rFonts w:hint="eastAsia" w:ascii="宋体" w:hAnsi="宋体" w:eastAsia="宋体"/>
          <w:color w:val="000000"/>
          <w:sz w:val="22"/>
        </w:rPr>
        <w:t>10.1</w:t>
      </w:r>
      <w:r>
        <w:rPr>
          <w:rFonts w:hint="eastAsia" w:eastAsia="宋体"/>
          <w:color w:val="000000"/>
          <w:sz w:val="22"/>
        </w:rPr>
        <w:t>一方根据本合同条款发给另一方的一切证书、通知或指令均应发送或派专人送至本合同指定的另一方的地址。</w:t>
      </w:r>
    </w:p>
    <w:p w14:paraId="0BFBD07C">
      <w:pPr>
        <w:spacing w:line="360" w:lineRule="auto"/>
        <w:ind w:firstLine="440" w:firstLineChars="200"/>
        <w:rPr>
          <w:rFonts w:eastAsia="宋体"/>
          <w:color w:val="000000"/>
          <w:sz w:val="22"/>
        </w:rPr>
      </w:pPr>
      <w:r>
        <w:rPr>
          <w:rFonts w:hint="eastAsia" w:ascii="宋体" w:hAnsi="宋体" w:eastAsia="宋体"/>
          <w:color w:val="000000"/>
          <w:sz w:val="22"/>
        </w:rPr>
        <w:t>10.2</w:t>
      </w:r>
      <w:r>
        <w:rPr>
          <w:rFonts w:hint="eastAsia" w:eastAsia="宋体"/>
          <w:color w:val="000000"/>
          <w:sz w:val="22"/>
        </w:rPr>
        <w:t>以快递方式发出的通知，在投邮后第3个工作日视为送达；以电子邮件或传真发出的，在发出后24小时内视为送达。</w:t>
      </w:r>
    </w:p>
    <w:p w14:paraId="0EA50E99">
      <w:pPr>
        <w:spacing w:line="360" w:lineRule="auto"/>
        <w:ind w:firstLine="440" w:firstLineChars="200"/>
        <w:rPr>
          <w:rFonts w:eastAsia="宋体"/>
          <w:color w:val="000000"/>
          <w:sz w:val="22"/>
        </w:rPr>
      </w:pPr>
      <w:r>
        <w:rPr>
          <w:rFonts w:hint="eastAsia" w:eastAsia="宋体"/>
          <w:color w:val="000000"/>
          <w:sz w:val="22"/>
        </w:rPr>
        <w:t>10.3各方确认本合同预留的联系方式适用于诉讼/仲裁的各阶段，包括但不限于一审、二审、再审、特别程序及执行程序。</w:t>
      </w:r>
    </w:p>
    <w:p w14:paraId="054EBA92">
      <w:pPr>
        <w:keepNext/>
        <w:keepLines/>
        <w:spacing w:before="360" w:beforeLines="150" w:after="172" w:line="360" w:lineRule="auto"/>
        <w:ind w:left="420" w:right="113"/>
        <w:outlineLvl w:val="2"/>
        <w:rPr>
          <w:rFonts w:eastAsia="黑体" w:cs="黑体"/>
          <w:color w:val="000000"/>
          <w:sz w:val="28"/>
        </w:rPr>
      </w:pPr>
      <w:r>
        <w:rPr>
          <w:rFonts w:hint="eastAsia" w:eastAsia="黑体" w:cs="黑体"/>
          <w:color w:val="000000"/>
          <w:sz w:val="28"/>
        </w:rPr>
        <w:t>11.税费</w:t>
      </w:r>
    </w:p>
    <w:p w14:paraId="3DBC1846">
      <w:pPr>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11.1中国政府根据现行税法规定对甲方征收的与本合同有关的一切税费均应由甲方负担。</w:t>
      </w:r>
    </w:p>
    <w:p w14:paraId="5076BC4E">
      <w:pPr>
        <w:snapToGrid w:val="0"/>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11.2中国政府根据现行税法规定对乙方征收的与本合同有关的一切税费均应由乙方负担。</w:t>
      </w:r>
    </w:p>
    <w:p w14:paraId="460289E1">
      <w:pPr>
        <w:adjustRightInd w:val="0"/>
        <w:snapToGrid w:val="0"/>
        <w:spacing w:line="360" w:lineRule="auto"/>
        <w:ind w:firstLine="440" w:firstLineChars="200"/>
        <w:rPr>
          <w:rFonts w:hint="eastAsia" w:ascii="宋体" w:hAnsi="宋体" w:eastAsia="宋体"/>
          <w:b/>
          <w:color w:val="000000"/>
          <w:sz w:val="20"/>
          <w:szCs w:val="28"/>
        </w:rPr>
      </w:pPr>
      <w:r>
        <w:rPr>
          <w:rFonts w:hint="eastAsia" w:ascii="宋体" w:hAnsi="宋体" w:eastAsia="宋体"/>
          <w:color w:val="000000"/>
          <w:sz w:val="22"/>
        </w:rPr>
        <w:t>11.3在中国境外发生的与本合同执行有关的一切税费均应由乙方负担。</w:t>
      </w:r>
    </w:p>
    <w:p w14:paraId="2E3E0303">
      <w:pPr>
        <w:keepNext/>
        <w:keepLines/>
        <w:spacing w:before="360" w:beforeLines="150" w:after="172" w:line="360" w:lineRule="auto"/>
        <w:ind w:left="420" w:right="113"/>
        <w:outlineLvl w:val="2"/>
        <w:rPr>
          <w:rFonts w:eastAsia="黑体" w:cs="黑体"/>
          <w:color w:val="000000"/>
          <w:sz w:val="28"/>
        </w:rPr>
      </w:pPr>
      <w:r>
        <w:rPr>
          <w:rFonts w:hint="eastAsia" w:eastAsia="黑体" w:cs="黑体"/>
          <w:color w:val="000000"/>
          <w:sz w:val="28"/>
        </w:rPr>
        <w:t>1</w:t>
      </w:r>
      <w:r>
        <w:rPr>
          <w:rFonts w:hint="eastAsia" w:eastAsia="黑体" w:cs="黑体"/>
          <w:color w:val="000000"/>
          <w:sz w:val="28"/>
          <w:lang w:val="en-US" w:eastAsia="zh-CN"/>
        </w:rPr>
        <w:t>2</w:t>
      </w:r>
      <w:r>
        <w:rPr>
          <w:rFonts w:hint="eastAsia" w:eastAsia="黑体" w:cs="黑体"/>
          <w:color w:val="000000"/>
          <w:sz w:val="28"/>
        </w:rPr>
        <w:t>.廉政建设</w:t>
      </w:r>
    </w:p>
    <w:p w14:paraId="150C018B">
      <w:pPr>
        <w:spacing w:line="360" w:lineRule="auto"/>
        <w:ind w:firstLine="440" w:firstLineChars="200"/>
        <w:rPr>
          <w:rFonts w:hint="eastAsia" w:ascii="宋体" w:hAnsi="宋体" w:eastAsia="宋体"/>
          <w:color w:val="000000"/>
          <w:sz w:val="22"/>
        </w:rPr>
      </w:pPr>
      <w:r>
        <w:rPr>
          <w:rFonts w:hint="eastAsia" w:ascii="宋体" w:hAnsi="宋体" w:eastAsia="宋体"/>
          <w:color w:val="000000"/>
          <w:sz w:val="22"/>
        </w:rPr>
        <w:t>1</w:t>
      </w:r>
      <w:r>
        <w:rPr>
          <w:rFonts w:hint="eastAsia" w:ascii="宋体" w:hAnsi="宋体" w:eastAsia="宋体"/>
          <w:color w:val="000000"/>
          <w:sz w:val="22"/>
          <w:lang w:val="en-US" w:eastAsia="zh-CN"/>
        </w:rPr>
        <w:t>2</w:t>
      </w:r>
      <w:r>
        <w:rPr>
          <w:rFonts w:hint="eastAsia" w:ascii="宋体" w:hAnsi="宋体" w:eastAsia="宋体"/>
          <w:color w:val="000000"/>
          <w:sz w:val="22"/>
        </w:rPr>
        <w:t>.1乙方在工程建设期间，应遵守国家的法律法规，以及国家、省、市和甲方关于工程廉政建设的各种制度、规定与办法，如出现廉政问题，则甲方有权解除合同并按照相关规定与办法对乙方进行问责与处罚，如涉嫌违法犯罪的，甲方将交由公安、司法机关处理。</w:t>
      </w:r>
    </w:p>
    <w:p w14:paraId="395A3926">
      <w:pPr>
        <w:spacing w:line="360" w:lineRule="auto"/>
        <w:ind w:firstLine="440" w:firstLineChars="200"/>
        <w:rPr>
          <w:rFonts w:hint="eastAsia" w:ascii="宋体" w:hAnsi="宋体" w:eastAsia="宋体"/>
          <w:color w:val="000000"/>
          <w:szCs w:val="21"/>
        </w:rPr>
      </w:pPr>
      <w:r>
        <w:rPr>
          <w:rFonts w:hint="eastAsia" w:ascii="宋体" w:hAnsi="宋体" w:eastAsia="宋体"/>
          <w:color w:val="000000"/>
          <w:sz w:val="22"/>
        </w:rPr>
        <w:t>1</w:t>
      </w:r>
      <w:r>
        <w:rPr>
          <w:rFonts w:hint="eastAsia" w:ascii="宋体" w:hAnsi="宋体" w:eastAsia="宋体"/>
          <w:color w:val="000000"/>
          <w:sz w:val="22"/>
          <w:lang w:val="en-US" w:eastAsia="zh-CN"/>
        </w:rPr>
        <w:t>2</w:t>
      </w:r>
      <w:r>
        <w:rPr>
          <w:rFonts w:hint="eastAsia" w:ascii="宋体" w:hAnsi="宋体" w:eastAsia="宋体"/>
          <w:color w:val="000000"/>
          <w:sz w:val="22"/>
        </w:rPr>
        <w:t>.2为规范合同双方诚信行为，防止发生谋取不正当利益的违规违纪行为，维护社会经济秩序及合同各方的合法权益，根据国家有关法律法规和反腐保廉各项规定，合同双方在签订本合同的同时，须按招标文件约定的格式签订《廉洁</w:t>
      </w:r>
      <w:r>
        <w:rPr>
          <w:rFonts w:hint="eastAsia" w:ascii="宋体" w:hAnsi="宋体" w:eastAsia="宋体"/>
          <w:color w:val="000000"/>
          <w:sz w:val="22"/>
          <w:lang w:val="en-US" w:eastAsia="zh-CN"/>
        </w:rPr>
        <w:t>从业</w:t>
      </w:r>
      <w:r>
        <w:rPr>
          <w:rFonts w:hint="eastAsia" w:ascii="宋体" w:hAnsi="宋体" w:eastAsia="宋体"/>
          <w:color w:val="000000"/>
          <w:sz w:val="22"/>
        </w:rPr>
        <w:t>协议书》并共同遵守。</w:t>
      </w:r>
    </w:p>
    <w:p w14:paraId="41E861B4">
      <w:pPr>
        <w:adjustRightInd w:val="0"/>
        <w:snapToGrid w:val="0"/>
        <w:spacing w:line="360" w:lineRule="auto"/>
        <w:ind w:firstLine="440" w:firstLineChars="200"/>
        <w:rPr>
          <w:rFonts w:hint="eastAsia" w:ascii="宋体" w:hAnsi="宋体" w:eastAsia="宋体"/>
          <w:color w:val="000000"/>
          <w:sz w:val="22"/>
        </w:rPr>
      </w:pPr>
    </w:p>
    <w:p w14:paraId="229933C1">
      <w:pPr>
        <w:rPr>
          <w:rFonts w:eastAsia="华文中宋"/>
          <w:bCs/>
          <w:color w:val="000000"/>
          <w:sz w:val="32"/>
          <w:szCs w:val="32"/>
        </w:rPr>
      </w:pPr>
      <w:r>
        <w:rPr>
          <w:rFonts w:eastAsia="华文中宋"/>
          <w:bCs/>
          <w:color w:val="000000"/>
          <w:sz w:val="32"/>
          <w:szCs w:val="32"/>
        </w:rPr>
        <w:br w:type="page"/>
      </w:r>
    </w:p>
    <w:p w14:paraId="1BC5F224">
      <w:pPr>
        <w:keepNext/>
        <w:widowControl/>
        <w:tabs>
          <w:tab w:val="left" w:pos="432"/>
        </w:tabs>
        <w:spacing w:after="120" w:afterLines="50"/>
        <w:ind w:left="11" w:right="113" w:hanging="11"/>
        <w:jc w:val="center"/>
        <w:outlineLvl w:val="1"/>
        <w:rPr>
          <w:rFonts w:hint="eastAsia" w:ascii="黑体" w:hAnsi="黑体" w:eastAsia="华文中宋" w:cs="黑体"/>
          <w:color w:val="000000"/>
          <w:sz w:val="32"/>
          <w:szCs w:val="32"/>
        </w:rPr>
      </w:pPr>
      <w:r>
        <w:rPr>
          <w:rFonts w:hint="eastAsia" w:ascii="黑体" w:hAnsi="黑体" w:eastAsia="华文中宋" w:cs="黑体"/>
          <w:color w:val="000000"/>
          <w:sz w:val="32"/>
          <w:szCs w:val="32"/>
        </w:rPr>
        <w:t>第三部分</w:t>
      </w:r>
      <w:r>
        <w:rPr>
          <w:rFonts w:ascii="黑体" w:hAnsi="黑体" w:eastAsia="华文中宋" w:cs="黑体"/>
          <w:color w:val="000000"/>
          <w:sz w:val="32"/>
          <w:szCs w:val="32"/>
        </w:rPr>
        <w:t xml:space="preserve"> </w:t>
      </w:r>
      <w:r>
        <w:rPr>
          <w:rFonts w:hint="eastAsia" w:ascii="黑体" w:hAnsi="黑体" w:eastAsia="华文中宋" w:cs="黑体"/>
          <w:color w:val="000000"/>
          <w:sz w:val="32"/>
          <w:szCs w:val="32"/>
        </w:rPr>
        <w:t>合同附件</w:t>
      </w:r>
    </w:p>
    <w:p w14:paraId="24679CE9">
      <w:pPr>
        <w:spacing w:line="360" w:lineRule="auto"/>
        <w:outlineLvl w:val="2"/>
        <w:rPr>
          <w:rFonts w:eastAsia="宋体"/>
          <w:b/>
          <w:color w:val="000000"/>
        </w:rPr>
      </w:pPr>
      <w:r>
        <w:rPr>
          <w:rFonts w:hint="eastAsia" w:eastAsia="宋体"/>
          <w:b/>
          <w:color w:val="000000"/>
        </w:rPr>
        <w:t>附件1</w:t>
      </w:r>
      <w:r>
        <w:rPr>
          <w:rFonts w:eastAsia="宋体"/>
          <w:b/>
          <w:color w:val="000000"/>
        </w:rPr>
        <w:t>：</w:t>
      </w:r>
      <w:r>
        <w:rPr>
          <w:rFonts w:hint="eastAsia" w:eastAsia="宋体"/>
          <w:b/>
          <w:color w:val="000000"/>
        </w:rPr>
        <w:t>履约保函格式</w:t>
      </w:r>
    </w:p>
    <w:p w14:paraId="1836684D">
      <w:pPr>
        <w:spacing w:line="360" w:lineRule="auto"/>
        <w:jc w:val="center"/>
        <w:rPr>
          <w:rFonts w:eastAsia="宋体"/>
          <w:b/>
          <w:color w:val="000000"/>
          <w:sz w:val="28"/>
          <w:szCs w:val="28"/>
        </w:rPr>
      </w:pPr>
      <w:r>
        <w:rPr>
          <w:rFonts w:hint="eastAsia" w:eastAsia="宋体"/>
          <w:b/>
          <w:color w:val="000000"/>
          <w:sz w:val="28"/>
          <w:szCs w:val="28"/>
        </w:rPr>
        <w:t>履</w:t>
      </w:r>
      <w:r>
        <w:rPr>
          <w:rFonts w:eastAsia="宋体"/>
          <w:b/>
          <w:color w:val="000000"/>
          <w:sz w:val="28"/>
          <w:szCs w:val="28"/>
        </w:rPr>
        <w:t xml:space="preserve">  </w:t>
      </w:r>
      <w:r>
        <w:rPr>
          <w:rFonts w:hint="eastAsia" w:eastAsia="宋体"/>
          <w:b/>
          <w:color w:val="000000"/>
          <w:sz w:val="28"/>
          <w:szCs w:val="28"/>
        </w:rPr>
        <w:t>约</w:t>
      </w:r>
      <w:r>
        <w:rPr>
          <w:rFonts w:eastAsia="宋体"/>
          <w:b/>
          <w:color w:val="000000"/>
          <w:sz w:val="28"/>
          <w:szCs w:val="28"/>
        </w:rPr>
        <w:t xml:space="preserve">  </w:t>
      </w:r>
      <w:r>
        <w:rPr>
          <w:rFonts w:hint="eastAsia" w:eastAsia="宋体"/>
          <w:b/>
          <w:color w:val="000000"/>
          <w:sz w:val="28"/>
          <w:szCs w:val="28"/>
        </w:rPr>
        <w:t>保</w:t>
      </w:r>
      <w:r>
        <w:rPr>
          <w:rFonts w:eastAsia="宋体"/>
          <w:b/>
          <w:color w:val="000000"/>
          <w:sz w:val="28"/>
          <w:szCs w:val="28"/>
        </w:rPr>
        <w:t xml:space="preserve">  </w:t>
      </w:r>
      <w:r>
        <w:rPr>
          <w:rFonts w:hint="eastAsia" w:eastAsia="宋体"/>
          <w:b/>
          <w:color w:val="000000"/>
          <w:sz w:val="28"/>
          <w:szCs w:val="28"/>
        </w:rPr>
        <w:t>函</w:t>
      </w:r>
    </w:p>
    <w:p w14:paraId="20D8FA09">
      <w:pPr>
        <w:spacing w:line="360" w:lineRule="auto"/>
        <w:ind w:left="5670"/>
        <w:rPr>
          <w:rFonts w:hint="eastAsia" w:ascii="宋体" w:hAnsi="宋体" w:eastAsia="宋体"/>
          <w:b/>
          <w:color w:val="000000"/>
          <w:szCs w:val="21"/>
        </w:rPr>
      </w:pPr>
      <w:r>
        <w:rPr>
          <w:rFonts w:hint="eastAsia" w:ascii="宋体" w:hAnsi="宋体" w:eastAsia="宋体"/>
          <w:b/>
          <w:color w:val="000000"/>
          <w:szCs w:val="21"/>
        </w:rPr>
        <w:t>保函编号：</w:t>
      </w:r>
      <w:r>
        <w:rPr>
          <w:rFonts w:ascii="宋体" w:hAnsi="宋体" w:eastAsia="宋体"/>
          <w:color w:val="000000"/>
          <w:szCs w:val="21"/>
        </w:rPr>
        <w:t>_______________</w:t>
      </w:r>
    </w:p>
    <w:p w14:paraId="741D3808">
      <w:pPr>
        <w:spacing w:line="360" w:lineRule="auto"/>
        <w:ind w:left="5670"/>
        <w:rPr>
          <w:rFonts w:hint="eastAsia" w:ascii="宋体" w:hAnsi="宋体" w:eastAsia="宋体"/>
          <w:b/>
          <w:color w:val="000000"/>
          <w:szCs w:val="21"/>
        </w:rPr>
      </w:pPr>
      <w:r>
        <w:rPr>
          <w:rFonts w:hint="eastAsia" w:ascii="宋体" w:hAnsi="宋体" w:eastAsia="宋体"/>
          <w:b/>
          <w:color w:val="000000"/>
          <w:szCs w:val="21"/>
        </w:rPr>
        <w:t>签发日期：</w:t>
      </w:r>
      <w:r>
        <w:rPr>
          <w:rFonts w:ascii="宋体" w:hAnsi="宋体" w:eastAsia="宋体"/>
          <w:color w:val="000000"/>
          <w:szCs w:val="21"/>
        </w:rPr>
        <w:t>_______________</w:t>
      </w:r>
    </w:p>
    <w:p w14:paraId="3B549ECF">
      <w:pPr>
        <w:spacing w:line="480" w:lineRule="auto"/>
        <w:rPr>
          <w:rFonts w:hint="eastAsia" w:ascii="宋体" w:hAnsi="宋体" w:eastAsia="宋体"/>
          <w:b/>
          <w:color w:val="000000"/>
          <w:szCs w:val="21"/>
          <w:u w:val="single"/>
        </w:rPr>
      </w:pPr>
      <w:r>
        <w:rPr>
          <w:rFonts w:hint="eastAsia" w:ascii="宋体" w:hAnsi="宋体" w:eastAsia="宋体"/>
          <w:b/>
          <w:color w:val="000000"/>
          <w:szCs w:val="21"/>
        </w:rPr>
        <w:t>致：</w:t>
      </w:r>
      <w:r>
        <w:rPr>
          <w:rFonts w:ascii="宋体" w:hAnsi="宋体" w:eastAsia="宋体"/>
          <w:b/>
          <w:color w:val="000000"/>
          <w:szCs w:val="21"/>
          <w:u w:val="single"/>
        </w:rPr>
        <w:t xml:space="preserve">            </w:t>
      </w:r>
      <w:r>
        <w:rPr>
          <w:rFonts w:hint="eastAsia" w:ascii="宋体" w:hAnsi="宋体" w:eastAsia="宋体"/>
          <w:b/>
          <w:color w:val="000000"/>
          <w:szCs w:val="21"/>
        </w:rPr>
        <w:t>（受益人）：</w:t>
      </w:r>
    </w:p>
    <w:p w14:paraId="121AF242">
      <w:pPr>
        <w:spacing w:line="480" w:lineRule="auto"/>
        <w:ind w:firstLine="420" w:firstLineChars="200"/>
        <w:rPr>
          <w:rFonts w:hint="eastAsia" w:ascii="宋体" w:hAnsi="宋体" w:eastAsia="宋体"/>
          <w:color w:val="000000"/>
          <w:szCs w:val="21"/>
        </w:rPr>
      </w:pPr>
      <w:r>
        <w:rPr>
          <w:rFonts w:hint="eastAsia" w:ascii="宋体" w:hAnsi="宋体" w:eastAsia="宋体"/>
          <w:color w:val="000000"/>
          <w:szCs w:val="21"/>
        </w:rPr>
        <w:t>鉴于</w:t>
      </w:r>
      <w:r>
        <w:rPr>
          <w:rFonts w:ascii="宋体" w:hAnsi="宋体" w:eastAsia="宋体"/>
          <w:color w:val="000000"/>
          <w:szCs w:val="21"/>
          <w:u w:val="single"/>
        </w:rPr>
        <w:t xml:space="preserve">         （中标人名称）         </w:t>
      </w:r>
      <w:r>
        <w:rPr>
          <w:rFonts w:hint="eastAsia" w:ascii="宋体" w:hAnsi="宋体" w:eastAsia="宋体"/>
          <w:color w:val="000000"/>
          <w:szCs w:val="21"/>
        </w:rPr>
        <w:t>已与贵方签订了</w:t>
      </w:r>
      <w:r>
        <w:rPr>
          <w:rFonts w:ascii="宋体" w:hAnsi="宋体" w:eastAsia="宋体"/>
          <w:color w:val="000000"/>
          <w:szCs w:val="21"/>
          <w:u w:val="single"/>
        </w:rPr>
        <w:t xml:space="preserve">        （项目名称）         </w:t>
      </w:r>
      <w:r>
        <w:rPr>
          <w:rFonts w:hint="eastAsia" w:ascii="宋体" w:hAnsi="宋体" w:eastAsia="宋体"/>
          <w:color w:val="000000"/>
          <w:szCs w:val="21"/>
        </w:rPr>
        <w:t>的合同（下称合同，合同编号：</w:t>
      </w:r>
      <w:r>
        <w:rPr>
          <w:rFonts w:hint="eastAsia" w:ascii="宋体" w:hAnsi="宋体" w:eastAsia="宋体"/>
          <w:color w:val="000000"/>
          <w:szCs w:val="21"/>
          <w:u w:val="single"/>
        </w:rPr>
        <w:t xml:space="preserve">        </w:t>
      </w:r>
      <w:r>
        <w:rPr>
          <w:rFonts w:hint="eastAsia" w:ascii="宋体" w:hAnsi="宋体" w:eastAsia="宋体"/>
          <w:color w:val="000000"/>
          <w:szCs w:val="21"/>
        </w:rPr>
        <w:t>），工期自</w:t>
      </w:r>
      <w:r>
        <w:rPr>
          <w:rFonts w:ascii="宋体" w:hAnsi="宋体" w:eastAsia="宋体"/>
          <w:color w:val="000000"/>
          <w:szCs w:val="21"/>
          <w:u w:val="single"/>
        </w:rPr>
        <w:t xml:space="preserve">    </w:t>
      </w:r>
      <w:r>
        <w:rPr>
          <w:rFonts w:hint="eastAsia" w:ascii="宋体" w:hAnsi="宋体" w:eastAsia="宋体"/>
          <w:color w:val="000000"/>
          <w:szCs w:val="21"/>
        </w:rPr>
        <w:t>年</w:t>
      </w:r>
      <w:r>
        <w:rPr>
          <w:rFonts w:ascii="宋体" w:hAnsi="宋体" w:eastAsia="宋体"/>
          <w:color w:val="000000"/>
          <w:szCs w:val="21"/>
          <w:u w:val="single"/>
        </w:rPr>
        <w:t xml:space="preserve">    </w:t>
      </w:r>
      <w:r>
        <w:rPr>
          <w:rFonts w:hint="eastAsia" w:ascii="宋体" w:hAnsi="宋体" w:eastAsia="宋体"/>
          <w:color w:val="000000"/>
          <w:szCs w:val="21"/>
        </w:rPr>
        <w:t>月</w:t>
      </w:r>
      <w:r>
        <w:rPr>
          <w:rFonts w:ascii="宋体" w:hAnsi="宋体" w:eastAsia="宋体"/>
          <w:color w:val="000000"/>
          <w:szCs w:val="21"/>
          <w:u w:val="single"/>
        </w:rPr>
        <w:t xml:space="preserve">    </w:t>
      </w:r>
      <w:r>
        <w:rPr>
          <w:rFonts w:hint="eastAsia" w:ascii="宋体" w:hAnsi="宋体" w:eastAsia="宋体"/>
          <w:color w:val="000000"/>
          <w:szCs w:val="21"/>
        </w:rPr>
        <w:t>日至</w:t>
      </w:r>
      <w:r>
        <w:rPr>
          <w:rFonts w:ascii="宋体" w:hAnsi="宋体" w:eastAsia="宋体"/>
          <w:color w:val="000000"/>
          <w:szCs w:val="21"/>
          <w:u w:val="single"/>
        </w:rPr>
        <w:t xml:space="preserve">    </w:t>
      </w:r>
      <w:r>
        <w:rPr>
          <w:rFonts w:hint="eastAsia" w:ascii="宋体" w:hAnsi="宋体" w:eastAsia="宋体"/>
          <w:color w:val="000000"/>
          <w:szCs w:val="21"/>
        </w:rPr>
        <w:t>年</w:t>
      </w:r>
      <w:r>
        <w:rPr>
          <w:rFonts w:ascii="宋体" w:hAnsi="宋体" w:eastAsia="宋体"/>
          <w:color w:val="000000"/>
          <w:szCs w:val="21"/>
          <w:u w:val="single"/>
        </w:rPr>
        <w:t xml:space="preserve">    </w:t>
      </w:r>
      <w:r>
        <w:rPr>
          <w:rFonts w:hint="eastAsia" w:ascii="宋体" w:hAnsi="宋体" w:eastAsia="宋体"/>
          <w:color w:val="000000"/>
          <w:szCs w:val="21"/>
        </w:rPr>
        <w:t>月</w:t>
      </w:r>
      <w:r>
        <w:rPr>
          <w:rFonts w:ascii="宋体" w:hAnsi="宋体" w:eastAsia="宋体"/>
          <w:color w:val="000000"/>
          <w:szCs w:val="21"/>
          <w:u w:val="single"/>
        </w:rPr>
        <w:t xml:space="preserve">    </w:t>
      </w:r>
      <w:r>
        <w:rPr>
          <w:rFonts w:hint="eastAsia" w:ascii="宋体" w:hAnsi="宋体" w:eastAsia="宋体"/>
          <w:color w:val="000000"/>
          <w:szCs w:val="21"/>
        </w:rPr>
        <w:t>日。我方接受被保证人的委托，在此向受益人提供不可撤销的履约保函，该保函一经作出，则不可撤销、见</w:t>
      </w:r>
      <w:r>
        <w:rPr>
          <w:rFonts w:hint="eastAsia" w:ascii="宋体" w:hAnsi="宋体" w:eastAsia="宋体"/>
          <w:color w:val="000000"/>
          <w:szCs w:val="21"/>
          <w:lang w:val="en-US" w:eastAsia="zh-CN"/>
        </w:rPr>
        <w:t>索</w:t>
      </w:r>
      <w:r>
        <w:rPr>
          <w:rFonts w:hint="eastAsia" w:ascii="宋体" w:hAnsi="宋体" w:eastAsia="宋体"/>
          <w:color w:val="000000"/>
          <w:szCs w:val="21"/>
        </w:rPr>
        <w:t>即付：</w:t>
      </w:r>
    </w:p>
    <w:p w14:paraId="1A33BE41">
      <w:pPr>
        <w:spacing w:line="480" w:lineRule="auto"/>
        <w:ind w:firstLine="420" w:firstLineChars="200"/>
        <w:rPr>
          <w:rFonts w:hint="eastAsia" w:ascii="宋体" w:hAnsi="宋体" w:eastAsia="宋体"/>
          <w:color w:val="000000"/>
          <w:szCs w:val="21"/>
        </w:rPr>
      </w:pPr>
      <w:r>
        <w:rPr>
          <w:rFonts w:ascii="宋体" w:hAnsi="宋体" w:eastAsia="宋体"/>
          <w:color w:val="000000"/>
          <w:szCs w:val="21"/>
        </w:rPr>
        <w:t>1．本保证担保的最高担保金额为人民币</w:t>
      </w:r>
      <w:r>
        <w:rPr>
          <w:rFonts w:ascii="宋体" w:hAnsi="宋体" w:eastAsia="宋体"/>
          <w:color w:val="000000"/>
          <w:szCs w:val="21"/>
          <w:u w:val="single"/>
        </w:rPr>
        <w:t xml:space="preserve">    （小写）    </w:t>
      </w:r>
      <w:r>
        <w:rPr>
          <w:rFonts w:hint="eastAsia" w:ascii="宋体" w:hAnsi="宋体" w:eastAsia="宋体"/>
          <w:color w:val="000000"/>
          <w:szCs w:val="21"/>
        </w:rPr>
        <w:t>元（</w:t>
      </w:r>
      <w:r>
        <w:rPr>
          <w:rFonts w:ascii="宋体" w:hAnsi="宋体" w:eastAsia="宋体"/>
          <w:color w:val="000000"/>
          <w:szCs w:val="21"/>
          <w:u w:val="single"/>
        </w:rPr>
        <w:t xml:space="preserve">    （大写）    </w:t>
      </w:r>
      <w:r>
        <w:rPr>
          <w:rFonts w:hint="eastAsia" w:ascii="宋体" w:hAnsi="宋体" w:eastAsia="宋体"/>
          <w:color w:val="000000"/>
          <w:szCs w:val="21"/>
        </w:rPr>
        <w:t>元）。</w:t>
      </w:r>
    </w:p>
    <w:p w14:paraId="2E1014B6">
      <w:pPr>
        <w:spacing w:line="480" w:lineRule="auto"/>
        <w:ind w:firstLine="420" w:firstLineChars="200"/>
        <w:rPr>
          <w:rFonts w:hint="eastAsia" w:ascii="宋体" w:hAnsi="宋体" w:eastAsia="宋体"/>
          <w:color w:val="000000"/>
          <w:szCs w:val="21"/>
        </w:rPr>
      </w:pPr>
      <w:r>
        <w:rPr>
          <w:rFonts w:ascii="宋体" w:hAnsi="宋体" w:eastAsia="宋体"/>
          <w:color w:val="000000"/>
          <w:szCs w:val="21"/>
        </w:rPr>
        <w:t>2.本保证担保的保证期间自</w:t>
      </w:r>
      <w:r>
        <w:rPr>
          <w:rFonts w:hint="eastAsia" w:ascii="宋体" w:hAnsi="宋体" w:eastAsia="宋体"/>
          <w:color w:val="000000"/>
          <w:szCs w:val="21"/>
          <w:u w:val="single"/>
        </w:rPr>
        <w:t>签发之日起</w:t>
      </w:r>
      <w:r>
        <w:rPr>
          <w:rFonts w:hint="eastAsia" w:ascii="宋体" w:hAnsi="宋体" w:eastAsia="宋体"/>
          <w:color w:val="000000"/>
          <w:szCs w:val="21"/>
        </w:rPr>
        <w:t>至</w:t>
      </w:r>
      <w:r>
        <w:rPr>
          <w:rFonts w:ascii="宋体" w:hAnsi="宋体" w:eastAsia="宋体"/>
          <w:color w:val="000000"/>
          <w:szCs w:val="21"/>
          <w:u w:val="single"/>
        </w:rPr>
        <w:t xml:space="preserve">    </w:t>
      </w:r>
      <w:r>
        <w:rPr>
          <w:rFonts w:hint="eastAsia" w:ascii="宋体" w:hAnsi="宋体" w:eastAsia="宋体"/>
          <w:color w:val="000000"/>
          <w:szCs w:val="21"/>
        </w:rPr>
        <w:t>年</w:t>
      </w:r>
      <w:r>
        <w:rPr>
          <w:rFonts w:ascii="宋体" w:hAnsi="宋体" w:eastAsia="宋体"/>
          <w:color w:val="000000"/>
          <w:szCs w:val="21"/>
          <w:u w:val="single"/>
        </w:rPr>
        <w:t xml:space="preserve">    </w:t>
      </w:r>
      <w:r>
        <w:rPr>
          <w:rFonts w:hint="eastAsia" w:ascii="宋体" w:hAnsi="宋体" w:eastAsia="宋体"/>
          <w:color w:val="000000"/>
          <w:szCs w:val="21"/>
        </w:rPr>
        <w:t>月</w:t>
      </w:r>
      <w:r>
        <w:rPr>
          <w:rFonts w:ascii="宋体" w:hAnsi="宋体" w:eastAsia="宋体"/>
          <w:color w:val="000000"/>
          <w:szCs w:val="21"/>
          <w:u w:val="single"/>
        </w:rPr>
        <w:t xml:space="preserve">    </w:t>
      </w:r>
      <w:r>
        <w:rPr>
          <w:rFonts w:hint="eastAsia" w:ascii="宋体" w:hAnsi="宋体" w:eastAsia="宋体"/>
          <w:color w:val="000000"/>
          <w:szCs w:val="21"/>
        </w:rPr>
        <w:t>日。</w:t>
      </w:r>
    </w:p>
    <w:p w14:paraId="09D2D84F">
      <w:pPr>
        <w:spacing w:line="480" w:lineRule="auto"/>
        <w:ind w:firstLine="420" w:firstLineChars="200"/>
        <w:rPr>
          <w:rFonts w:hint="eastAsia" w:ascii="宋体" w:hAnsi="宋体" w:eastAsia="宋体"/>
          <w:color w:val="000000"/>
          <w:szCs w:val="21"/>
        </w:rPr>
      </w:pPr>
      <w:r>
        <w:rPr>
          <w:rFonts w:ascii="宋体" w:hAnsi="宋体" w:eastAsia="宋体"/>
          <w:color w:val="000000"/>
          <w:szCs w:val="21"/>
        </w:rPr>
        <w:t>3.本行作为担保人在此向你方确认承担支付人民币</w:t>
      </w:r>
      <w:r>
        <w:rPr>
          <w:rFonts w:ascii="宋体" w:hAnsi="宋体" w:eastAsia="宋体"/>
          <w:color w:val="000000"/>
          <w:szCs w:val="21"/>
          <w:u w:val="single"/>
        </w:rPr>
        <w:t xml:space="preserve">          </w:t>
      </w:r>
      <w:r>
        <w:rPr>
          <w:rFonts w:hint="eastAsia" w:ascii="宋体" w:hAnsi="宋体" w:eastAsia="宋体"/>
          <w:color w:val="000000"/>
          <w:szCs w:val="21"/>
        </w:rPr>
        <w:t>元（大写）的责任，在你方第一次书面提出要求得到上述金额内的任何付款时，本行即予支付，不提任何异议，也不要求你方出具证明或说明背景或理由。</w:t>
      </w:r>
    </w:p>
    <w:p w14:paraId="74AD2C23">
      <w:pPr>
        <w:spacing w:line="480" w:lineRule="auto"/>
        <w:ind w:firstLine="420" w:firstLineChars="200"/>
        <w:rPr>
          <w:rFonts w:hint="eastAsia" w:ascii="宋体" w:hAnsi="宋体" w:eastAsia="宋体"/>
          <w:color w:val="000000"/>
          <w:szCs w:val="21"/>
        </w:rPr>
      </w:pPr>
      <w:r>
        <w:rPr>
          <w:rFonts w:ascii="宋体" w:hAnsi="宋体" w:eastAsia="宋体"/>
          <w:color w:val="000000"/>
          <w:szCs w:val="21"/>
        </w:rPr>
        <w:t>4．本保证担保的保证期间届满，或我方向受益人支付的索赔款已达本保证担保的最高担保金额，我方的保证责任免除。</w:t>
      </w:r>
    </w:p>
    <w:p w14:paraId="295F3164">
      <w:pPr>
        <w:spacing w:line="480" w:lineRule="auto"/>
        <w:ind w:firstLine="420" w:firstLineChars="200"/>
        <w:rPr>
          <w:rFonts w:hint="eastAsia" w:ascii="宋体" w:hAnsi="宋体" w:eastAsia="宋体"/>
          <w:color w:val="000000"/>
          <w:szCs w:val="21"/>
        </w:rPr>
      </w:pPr>
      <w:r>
        <w:rPr>
          <w:rFonts w:ascii="宋体" w:hAnsi="宋体" w:eastAsia="宋体"/>
          <w:color w:val="000000"/>
          <w:szCs w:val="21"/>
        </w:rPr>
        <w:t>5．本保证担保适用中华人民共和国法律。</w:t>
      </w:r>
    </w:p>
    <w:p w14:paraId="395EAA77">
      <w:pPr>
        <w:spacing w:line="480" w:lineRule="auto"/>
        <w:ind w:firstLine="420" w:firstLineChars="200"/>
        <w:rPr>
          <w:rFonts w:hint="eastAsia" w:ascii="宋体" w:hAnsi="宋体" w:eastAsia="宋体"/>
          <w:color w:val="000000"/>
          <w:szCs w:val="21"/>
        </w:rPr>
      </w:pPr>
      <w:r>
        <w:rPr>
          <w:rFonts w:ascii="宋体" w:hAnsi="宋体" w:eastAsia="宋体"/>
          <w:color w:val="000000"/>
          <w:szCs w:val="21"/>
        </w:rPr>
        <w:t>6．本保证担保以中文文本为准，涂改无效。</w:t>
      </w:r>
    </w:p>
    <w:p w14:paraId="1DCCC3A6">
      <w:pPr>
        <w:adjustRightInd w:val="0"/>
        <w:snapToGrid w:val="0"/>
        <w:spacing w:line="480" w:lineRule="auto"/>
        <w:ind w:firstLine="422" w:firstLineChars="200"/>
        <w:rPr>
          <w:rFonts w:hint="eastAsia" w:ascii="宋体" w:hAnsi="宋体" w:eastAsia="宋体"/>
          <w:b/>
          <w:color w:val="000000"/>
          <w:szCs w:val="21"/>
        </w:rPr>
      </w:pPr>
      <w:r>
        <w:rPr>
          <w:rFonts w:hint="eastAsia" w:ascii="宋体" w:hAnsi="宋体" w:eastAsia="宋体"/>
          <w:b/>
          <w:color w:val="000000"/>
          <w:szCs w:val="21"/>
        </w:rPr>
        <w:t>保证人名称（公章）：</w:t>
      </w:r>
      <w:r>
        <w:rPr>
          <w:rFonts w:ascii="宋体" w:hAnsi="宋体" w:eastAsia="宋体"/>
          <w:color w:val="000000"/>
          <w:szCs w:val="21"/>
        </w:rPr>
        <w:t>_________________________________________</w:t>
      </w:r>
    </w:p>
    <w:p w14:paraId="5C56D3D5">
      <w:pPr>
        <w:adjustRightInd w:val="0"/>
        <w:snapToGrid w:val="0"/>
        <w:spacing w:line="480" w:lineRule="auto"/>
        <w:ind w:firstLine="422" w:firstLineChars="200"/>
        <w:rPr>
          <w:rFonts w:hint="eastAsia" w:ascii="宋体" w:hAnsi="宋体" w:eastAsia="宋体"/>
          <w:b/>
          <w:color w:val="000000"/>
          <w:szCs w:val="21"/>
        </w:rPr>
      </w:pPr>
      <w:r>
        <w:rPr>
          <w:rFonts w:hint="eastAsia" w:ascii="宋体" w:hAnsi="宋体" w:eastAsia="宋体"/>
          <w:b/>
          <w:color w:val="000000"/>
          <w:szCs w:val="21"/>
        </w:rPr>
        <w:t>法定代表人或委托代理人（签字）：</w:t>
      </w:r>
      <w:r>
        <w:rPr>
          <w:rFonts w:ascii="宋体" w:hAnsi="宋体" w:eastAsia="宋体"/>
          <w:color w:val="000000"/>
          <w:szCs w:val="21"/>
        </w:rPr>
        <w:t>_____________________________</w:t>
      </w:r>
    </w:p>
    <w:p w14:paraId="3F052497">
      <w:pPr>
        <w:adjustRightInd w:val="0"/>
        <w:snapToGrid w:val="0"/>
        <w:spacing w:line="480" w:lineRule="auto"/>
        <w:ind w:firstLine="422" w:firstLineChars="200"/>
        <w:rPr>
          <w:rFonts w:hint="eastAsia" w:ascii="宋体" w:hAnsi="宋体" w:eastAsia="宋体"/>
          <w:b/>
          <w:color w:val="000000"/>
          <w:szCs w:val="21"/>
          <w:u w:val="single"/>
        </w:rPr>
      </w:pPr>
      <w:r>
        <w:rPr>
          <w:rFonts w:hint="eastAsia" w:ascii="宋体" w:hAnsi="宋体" w:eastAsia="宋体"/>
          <w:b/>
          <w:color w:val="000000"/>
          <w:szCs w:val="21"/>
        </w:rPr>
        <w:t>单位地址：</w:t>
      </w:r>
      <w:r>
        <w:rPr>
          <w:rFonts w:ascii="宋体" w:hAnsi="宋体" w:eastAsia="宋体"/>
          <w:color w:val="000000"/>
          <w:szCs w:val="21"/>
        </w:rPr>
        <w:t>__________________________________________________</w:t>
      </w:r>
    </w:p>
    <w:p w14:paraId="1EA1E024">
      <w:pPr>
        <w:adjustRightInd w:val="0"/>
        <w:snapToGrid w:val="0"/>
        <w:spacing w:line="480" w:lineRule="auto"/>
        <w:ind w:firstLine="422" w:firstLineChars="200"/>
        <w:rPr>
          <w:rFonts w:hint="eastAsia" w:ascii="宋体" w:hAnsi="宋体" w:eastAsia="宋体"/>
          <w:color w:val="000000"/>
          <w:szCs w:val="21"/>
          <w:u w:val="single"/>
        </w:rPr>
      </w:pPr>
      <w:r>
        <w:rPr>
          <w:rFonts w:hint="eastAsia" w:ascii="宋体" w:hAnsi="宋体" w:eastAsia="宋体"/>
          <w:b/>
          <w:color w:val="000000"/>
          <w:szCs w:val="21"/>
        </w:rPr>
        <w:t>电话：</w:t>
      </w:r>
      <w:r>
        <w:rPr>
          <w:rFonts w:ascii="宋体" w:hAnsi="宋体" w:eastAsia="宋体"/>
          <w:color w:val="000000"/>
          <w:szCs w:val="21"/>
        </w:rPr>
        <w:t xml:space="preserve">_______________________  </w:t>
      </w:r>
      <w:r>
        <w:rPr>
          <w:rFonts w:hint="eastAsia" w:ascii="宋体" w:hAnsi="宋体" w:eastAsia="宋体"/>
          <w:b/>
          <w:color w:val="000000"/>
          <w:szCs w:val="21"/>
        </w:rPr>
        <w:t>传真：</w:t>
      </w:r>
      <w:r>
        <w:rPr>
          <w:rFonts w:ascii="宋体" w:hAnsi="宋体" w:eastAsia="宋体"/>
          <w:color w:val="000000"/>
          <w:szCs w:val="21"/>
        </w:rPr>
        <w:t>_______________________</w:t>
      </w:r>
    </w:p>
    <w:p w14:paraId="11617876">
      <w:pPr>
        <w:adjustRightInd w:val="0"/>
        <w:snapToGrid w:val="0"/>
        <w:ind w:firstLine="422" w:firstLineChars="200"/>
        <w:rPr>
          <w:rFonts w:hint="eastAsia" w:ascii="宋体" w:hAnsi="宋体" w:eastAsia="宋体"/>
          <w:b/>
          <w:color w:val="000000"/>
          <w:szCs w:val="21"/>
        </w:rPr>
      </w:pPr>
      <w:r>
        <w:rPr>
          <w:rFonts w:hint="eastAsia" w:ascii="宋体" w:hAnsi="宋体" w:eastAsia="宋体"/>
          <w:b/>
          <w:color w:val="000000"/>
          <w:szCs w:val="21"/>
        </w:rPr>
        <w:t>日期：</w:t>
      </w:r>
      <w:r>
        <w:rPr>
          <w:rFonts w:ascii="宋体" w:hAnsi="宋体" w:eastAsia="宋体"/>
          <w:color w:val="000000"/>
          <w:szCs w:val="21"/>
        </w:rPr>
        <w:t>_______________________</w:t>
      </w:r>
    </w:p>
    <w:p w14:paraId="7FE2B1E0">
      <w:pPr>
        <w:spacing w:before="120" w:beforeLines="50" w:line="360" w:lineRule="auto"/>
        <w:ind w:firstLine="420"/>
        <w:rPr>
          <w:rFonts w:hint="eastAsia" w:ascii="宋体" w:hAnsi="宋体" w:eastAsia="宋体"/>
          <w:color w:val="000000"/>
          <w:szCs w:val="21"/>
        </w:rPr>
      </w:pPr>
      <w:r>
        <w:rPr>
          <w:rFonts w:ascii="宋体" w:hAnsi="宋体" w:eastAsia="宋体"/>
          <w:color w:val="000000"/>
          <w:szCs w:val="21"/>
        </w:rPr>
        <w:t xml:space="preserve"> [注：如果中标人不采用以上保函格式，拟采用的履约保函格式须经招标人确认。]</w:t>
      </w:r>
    </w:p>
    <w:p w14:paraId="32E07DE2">
      <w:pPr>
        <w:adjustRightInd w:val="0"/>
        <w:snapToGrid w:val="0"/>
        <w:spacing w:line="20" w:lineRule="exact"/>
        <w:rPr>
          <w:rFonts w:eastAsia="宋体"/>
          <w:color w:val="000000"/>
        </w:rPr>
      </w:pPr>
    </w:p>
    <w:p w14:paraId="4300EB42">
      <w:pPr>
        <w:widowControl/>
        <w:rPr>
          <w:rFonts w:eastAsia="宋体"/>
          <w:b/>
          <w:color w:val="000000"/>
        </w:rPr>
      </w:pPr>
      <w:r>
        <w:rPr>
          <w:rFonts w:hint="eastAsia" w:eastAsia="宋体"/>
          <w:b/>
          <w:color w:val="000000"/>
        </w:rPr>
        <w:br w:type="page"/>
      </w:r>
    </w:p>
    <w:p w14:paraId="50D054E6">
      <w:pPr>
        <w:spacing w:line="360" w:lineRule="auto"/>
        <w:outlineLvl w:val="2"/>
        <w:rPr>
          <w:rFonts w:eastAsia="宋体"/>
          <w:b/>
          <w:color w:val="000000"/>
        </w:rPr>
      </w:pPr>
      <w:r>
        <w:rPr>
          <w:rFonts w:hint="eastAsia" w:eastAsia="宋体"/>
          <w:b/>
          <w:color w:val="000000"/>
        </w:rPr>
        <w:t>附件2</w:t>
      </w:r>
      <w:r>
        <w:rPr>
          <w:rFonts w:eastAsia="宋体"/>
          <w:b/>
          <w:color w:val="000000"/>
        </w:rPr>
        <w:t>：</w:t>
      </w:r>
      <w:r>
        <w:rPr>
          <w:rFonts w:hint="eastAsia" w:eastAsia="宋体"/>
          <w:b/>
          <w:color w:val="000000"/>
        </w:rPr>
        <w:t>廉洁从业协议书</w:t>
      </w:r>
    </w:p>
    <w:p w14:paraId="2E7D2A94">
      <w:pPr>
        <w:spacing w:before="120" w:beforeLines="50" w:line="276" w:lineRule="auto"/>
        <w:jc w:val="center"/>
        <w:rPr>
          <w:rFonts w:hint="eastAsia" w:ascii="宋体" w:hAnsi="宋体" w:eastAsia="宋体"/>
          <w:color w:val="000000"/>
          <w:szCs w:val="21"/>
        </w:rPr>
      </w:pPr>
      <w:r>
        <w:rPr>
          <w:rFonts w:hint="eastAsia" w:ascii="宋体" w:hAnsi="宋体" w:eastAsia="宋体"/>
          <w:b/>
          <w:color w:val="000000"/>
          <w:sz w:val="28"/>
        </w:rPr>
        <w:t>廉洁从业协议书</w:t>
      </w:r>
    </w:p>
    <w:p w14:paraId="3DC2D0F1">
      <w:pPr>
        <w:spacing w:line="360" w:lineRule="auto"/>
        <w:rPr>
          <w:rFonts w:hint="eastAsia" w:ascii="宋体" w:hAnsi="宋体" w:eastAsia="宋体"/>
          <w:color w:val="000000"/>
          <w:szCs w:val="21"/>
        </w:rPr>
      </w:pPr>
      <w:r>
        <w:rPr>
          <w:rFonts w:hint="eastAsia" w:ascii="宋体" w:hAnsi="宋体" w:eastAsia="宋体"/>
          <w:color w:val="000000"/>
          <w:szCs w:val="21"/>
        </w:rPr>
        <w:t>合同（项目）名称：</w:t>
      </w:r>
      <w:r>
        <w:rPr>
          <w:rFonts w:ascii="宋体" w:hAnsi="宋体" w:eastAsia="宋体"/>
          <w:color w:val="000000"/>
          <w:szCs w:val="21"/>
          <w:u w:val="single"/>
        </w:rPr>
        <w:t xml:space="preserve">                  </w:t>
      </w:r>
    </w:p>
    <w:p w14:paraId="141E7294">
      <w:pPr>
        <w:spacing w:line="360" w:lineRule="auto"/>
        <w:rPr>
          <w:rFonts w:hint="eastAsia" w:ascii="宋体" w:hAnsi="宋体" w:eastAsia="宋体"/>
          <w:color w:val="000000"/>
          <w:szCs w:val="21"/>
        </w:rPr>
      </w:pPr>
      <w:r>
        <w:rPr>
          <w:rFonts w:hint="eastAsia" w:ascii="宋体" w:hAnsi="宋体" w:eastAsia="宋体"/>
          <w:color w:val="000000"/>
          <w:szCs w:val="21"/>
        </w:rPr>
        <w:t>甲方（下文或称“发包人”）：</w:t>
      </w:r>
      <w:r>
        <w:rPr>
          <w:rFonts w:ascii="宋体" w:hAnsi="宋体" w:eastAsia="宋体"/>
          <w:i/>
          <w:iCs/>
          <w:color w:val="000000"/>
          <w:szCs w:val="21"/>
          <w:u w:val="single"/>
        </w:rPr>
        <w:t xml:space="preserve">  </w:t>
      </w:r>
      <w:r>
        <w:rPr>
          <w:rFonts w:hint="eastAsia" w:ascii="宋体" w:hAnsi="宋体" w:eastAsia="宋体"/>
          <w:i/>
          <w:iCs/>
          <w:color w:val="000000"/>
          <w:szCs w:val="21"/>
          <w:u w:val="single"/>
        </w:rPr>
        <w:t xml:space="preserve">                </w:t>
      </w:r>
      <w:r>
        <w:rPr>
          <w:rFonts w:ascii="宋体" w:hAnsi="宋体" w:eastAsia="宋体"/>
          <w:i/>
          <w:iCs/>
          <w:color w:val="000000"/>
          <w:szCs w:val="21"/>
          <w:u w:val="single"/>
        </w:rPr>
        <w:t xml:space="preserve">  </w:t>
      </w:r>
    </w:p>
    <w:p w14:paraId="414D0F4D">
      <w:pPr>
        <w:spacing w:line="360" w:lineRule="auto"/>
        <w:rPr>
          <w:rFonts w:hint="eastAsia" w:ascii="宋体" w:hAnsi="宋体" w:eastAsia="宋体"/>
          <w:color w:val="000000"/>
          <w:szCs w:val="21"/>
        </w:rPr>
      </w:pPr>
      <w:r>
        <w:rPr>
          <w:rFonts w:hint="eastAsia" w:ascii="宋体" w:hAnsi="宋体" w:eastAsia="宋体"/>
          <w:color w:val="000000"/>
          <w:szCs w:val="21"/>
        </w:rPr>
        <w:t>乙方（下文或称“承包人”）：</w:t>
      </w:r>
      <w:r>
        <w:rPr>
          <w:rFonts w:ascii="宋体" w:hAnsi="宋体" w:eastAsia="宋体"/>
          <w:color w:val="000000"/>
          <w:szCs w:val="21"/>
          <w:u w:val="single"/>
        </w:rPr>
        <w:t xml:space="preserve">                    </w:t>
      </w:r>
    </w:p>
    <w:p w14:paraId="549B69A4">
      <w:pPr>
        <w:spacing w:line="430" w:lineRule="exact"/>
        <w:ind w:firstLine="420" w:firstLineChars="200"/>
        <w:rPr>
          <w:rFonts w:eastAsia="宋体"/>
          <w:color w:val="000000"/>
        </w:rPr>
      </w:pPr>
      <w:r>
        <w:rPr>
          <w:rFonts w:hint="eastAsia" w:eastAsia="宋体"/>
          <w:color w:val="000000"/>
        </w:rPr>
        <w:t>为加强廉洁诚信从业，规范本合同当事人双方有关活动，防止发生各种谋取不正当利益等违法违规违纪行为，保护国家、集体和合同当事人的合法权益，根据国家有关法律法规和廉政建设责任制规定，本《廉洁从业协议书》发包人与承包人，应遵从下列规定：</w:t>
      </w:r>
    </w:p>
    <w:p w14:paraId="2EA29396">
      <w:pPr>
        <w:spacing w:line="430" w:lineRule="exact"/>
        <w:ind w:firstLine="422" w:firstLineChars="200"/>
        <w:rPr>
          <w:rFonts w:eastAsia="宋体"/>
          <w:b/>
          <w:bCs/>
          <w:color w:val="000000"/>
        </w:rPr>
      </w:pPr>
      <w:r>
        <w:rPr>
          <w:rFonts w:hint="eastAsia" w:eastAsia="宋体"/>
          <w:b/>
          <w:bCs/>
          <w:color w:val="000000"/>
        </w:rPr>
        <w:t>第一条  基本要求</w:t>
      </w:r>
    </w:p>
    <w:p w14:paraId="2C48C688">
      <w:pPr>
        <w:spacing w:line="430" w:lineRule="exact"/>
        <w:ind w:firstLine="420" w:firstLineChars="200"/>
        <w:rPr>
          <w:rFonts w:eastAsia="宋体"/>
          <w:color w:val="000000"/>
        </w:rPr>
      </w:pPr>
      <w:r>
        <w:rPr>
          <w:rFonts w:hint="eastAsia" w:eastAsia="宋体"/>
          <w:color w:val="000000"/>
        </w:rPr>
        <w:t>(一) 应严格遵守国家关于市场准入、项目招标投标、建设和市场活动的有关法律、法规和相关政策，以及廉政建设、廉洁从业的各项规定。</w:t>
      </w:r>
    </w:p>
    <w:p w14:paraId="33E1082E">
      <w:pPr>
        <w:spacing w:line="430" w:lineRule="exact"/>
        <w:ind w:firstLine="420" w:firstLineChars="200"/>
        <w:rPr>
          <w:rFonts w:eastAsia="宋体"/>
          <w:color w:val="000000"/>
        </w:rPr>
      </w:pPr>
      <w:r>
        <w:rPr>
          <w:rFonts w:hint="eastAsia" w:eastAsia="宋体"/>
          <w:color w:val="000000"/>
        </w:rPr>
        <w:t>(二)严格执行本合同文件，自觉按合同办事。</w:t>
      </w:r>
    </w:p>
    <w:p w14:paraId="6B7663DE">
      <w:pPr>
        <w:spacing w:line="430" w:lineRule="exact"/>
        <w:ind w:firstLine="420" w:firstLineChars="200"/>
        <w:rPr>
          <w:rFonts w:eastAsia="宋体"/>
          <w:color w:val="000000"/>
        </w:rPr>
      </w:pPr>
      <w:r>
        <w:rPr>
          <w:rFonts w:hint="eastAsia" w:eastAsia="宋体"/>
          <w:color w:val="000000"/>
        </w:rPr>
        <w:t>(三)双方的业务活动开展，应坚持公开、公正、诚信、透明(除法律认定的商业秘密和合同文件另有规定之外)的原则，不得损害国家和集体利益，不得违反建设管理的规章制度。</w:t>
      </w:r>
    </w:p>
    <w:p w14:paraId="6CE86B9D">
      <w:pPr>
        <w:spacing w:line="430" w:lineRule="exact"/>
        <w:ind w:firstLine="420" w:firstLineChars="200"/>
        <w:rPr>
          <w:rFonts w:eastAsia="宋体"/>
          <w:color w:val="000000"/>
        </w:rPr>
      </w:pPr>
      <w:r>
        <w:rPr>
          <w:rFonts w:hint="eastAsia" w:eastAsia="宋体"/>
          <w:color w:val="000000"/>
        </w:rPr>
        <w:t>(四)发现对方在业务活动中有违反廉政规定的行为，均有及时提醒对方纠正的权利和义务。</w:t>
      </w:r>
    </w:p>
    <w:p w14:paraId="0252B7A8">
      <w:pPr>
        <w:spacing w:line="430" w:lineRule="exact"/>
        <w:ind w:firstLine="420" w:firstLineChars="200"/>
        <w:rPr>
          <w:rFonts w:eastAsia="宋体"/>
          <w:color w:val="000000"/>
        </w:rPr>
      </w:pPr>
      <w:r>
        <w:rPr>
          <w:rFonts w:hint="eastAsia" w:eastAsia="宋体"/>
          <w:color w:val="000000"/>
        </w:rPr>
        <w:t>(五)发现对方严重违反本协议义务条款的行为，均有向其上级部门举报、建议给予处理并要求告知处理结果的权利。</w:t>
      </w:r>
    </w:p>
    <w:p w14:paraId="2371C544">
      <w:pPr>
        <w:spacing w:line="430" w:lineRule="exact"/>
        <w:ind w:firstLine="420" w:firstLineChars="200"/>
        <w:rPr>
          <w:rFonts w:eastAsia="宋体"/>
          <w:color w:val="000000"/>
        </w:rPr>
      </w:pPr>
      <w:r>
        <w:rPr>
          <w:rFonts w:hint="eastAsia" w:eastAsia="宋体"/>
          <w:color w:val="000000"/>
        </w:rPr>
        <w:t>(六)发承包双方除须遵守本条基本要求的内容外，还须履行本《廉洁从业协议书》第二条、第三条规定的权利和义务。</w:t>
      </w:r>
    </w:p>
    <w:p w14:paraId="3ADB6FE0">
      <w:pPr>
        <w:spacing w:line="430" w:lineRule="exact"/>
        <w:ind w:firstLine="422" w:firstLineChars="200"/>
        <w:rPr>
          <w:rFonts w:eastAsia="宋体"/>
          <w:b/>
          <w:bCs/>
          <w:color w:val="000000"/>
        </w:rPr>
      </w:pPr>
      <w:r>
        <w:rPr>
          <w:rFonts w:hint="eastAsia" w:eastAsia="宋体"/>
          <w:b/>
          <w:bCs/>
          <w:color w:val="000000"/>
        </w:rPr>
        <w:t>第二条  发包人的权利和义务</w:t>
      </w:r>
    </w:p>
    <w:p w14:paraId="069CC476">
      <w:pPr>
        <w:spacing w:line="430" w:lineRule="exact"/>
        <w:ind w:firstLine="420" w:firstLineChars="200"/>
        <w:rPr>
          <w:rFonts w:eastAsia="宋体"/>
          <w:color w:val="000000"/>
        </w:rPr>
      </w:pPr>
      <w:r>
        <w:rPr>
          <w:rFonts w:hint="eastAsia" w:eastAsia="宋体"/>
          <w:color w:val="000000"/>
        </w:rPr>
        <w:t>(一)不得向承包人和相关单位索要或接受回扣、礼金、有价证券、贵重物品和好处费、感谢费等。</w:t>
      </w:r>
    </w:p>
    <w:p w14:paraId="4DDBC933">
      <w:pPr>
        <w:spacing w:line="430" w:lineRule="exact"/>
        <w:ind w:firstLine="420" w:firstLineChars="200"/>
        <w:rPr>
          <w:rFonts w:eastAsia="宋体"/>
          <w:color w:val="000000"/>
        </w:rPr>
      </w:pPr>
      <w:r>
        <w:rPr>
          <w:rFonts w:hint="eastAsia" w:eastAsia="宋体"/>
          <w:color w:val="000000"/>
        </w:rPr>
        <w:t>(二)不准在承包人和相关单位报销任何应由发包人或个人支付的费用。</w:t>
      </w:r>
    </w:p>
    <w:p w14:paraId="0B9BA152">
      <w:pPr>
        <w:spacing w:line="430" w:lineRule="exact"/>
        <w:ind w:firstLine="420" w:firstLineChars="200"/>
        <w:rPr>
          <w:rFonts w:eastAsia="宋体"/>
          <w:color w:val="000000"/>
        </w:rPr>
      </w:pPr>
      <w:r>
        <w:rPr>
          <w:rFonts w:hint="eastAsia" w:eastAsia="宋体"/>
          <w:color w:val="000000"/>
        </w:rPr>
        <w:t>(三)不准要求、暗示或接受承包人和相关单位为个人装修住房、婚丧嫁娶、配偶子女的工作安排以及出国(境)、旅游等提供方便。</w:t>
      </w:r>
    </w:p>
    <w:p w14:paraId="2F81EF85">
      <w:pPr>
        <w:spacing w:line="430" w:lineRule="exact"/>
        <w:ind w:firstLine="420" w:firstLineChars="200"/>
        <w:rPr>
          <w:rFonts w:eastAsia="宋体"/>
          <w:color w:val="000000"/>
        </w:rPr>
      </w:pPr>
      <w:r>
        <w:rPr>
          <w:rFonts w:hint="eastAsia" w:eastAsia="宋体"/>
          <w:color w:val="000000"/>
        </w:rPr>
        <w:t>(四)不准参加有可能影响公正执行公务的承包人和相关单位的宴请、健身、娱乐等活动。</w:t>
      </w:r>
    </w:p>
    <w:p w14:paraId="7D2C8567">
      <w:pPr>
        <w:spacing w:line="430" w:lineRule="exact"/>
        <w:ind w:firstLine="420" w:firstLineChars="200"/>
        <w:rPr>
          <w:rFonts w:eastAsia="宋体"/>
          <w:color w:val="000000"/>
        </w:rPr>
      </w:pPr>
      <w:r>
        <w:rPr>
          <w:rFonts w:hint="eastAsia" w:eastAsia="宋体"/>
          <w:color w:val="000000"/>
        </w:rPr>
        <w:t>(五)不准向承包人和相关单位介绍或为配偶、子女、亲属参与同发包人项目合同有关的业务等活动。不得以任何理由要求承包人和相关单位在项目中使用某种产品、材料和设备。</w:t>
      </w:r>
    </w:p>
    <w:p w14:paraId="365DD32E">
      <w:pPr>
        <w:spacing w:line="430" w:lineRule="exact"/>
        <w:ind w:firstLine="420" w:firstLineChars="200"/>
        <w:rPr>
          <w:rFonts w:eastAsia="宋体"/>
          <w:color w:val="000000"/>
        </w:rPr>
      </w:pPr>
      <w:r>
        <w:rPr>
          <w:rFonts w:hint="eastAsia" w:eastAsia="宋体"/>
          <w:color w:val="000000"/>
        </w:rPr>
        <w:t>(六)发包人有权对承包人在工程项目建设中廉洁从业的情况实行监督，定期或不定期检查双方履行本协议情况。</w:t>
      </w:r>
    </w:p>
    <w:p w14:paraId="571B9EF7">
      <w:pPr>
        <w:spacing w:line="430" w:lineRule="exact"/>
        <w:ind w:firstLine="422" w:firstLineChars="200"/>
        <w:rPr>
          <w:rFonts w:eastAsia="宋体"/>
          <w:b/>
          <w:bCs/>
          <w:color w:val="000000"/>
        </w:rPr>
      </w:pPr>
      <w:r>
        <w:rPr>
          <w:rFonts w:hint="eastAsia" w:eastAsia="宋体"/>
          <w:b/>
          <w:bCs/>
          <w:color w:val="000000"/>
        </w:rPr>
        <w:t>第三条  承包人的权利和义务</w:t>
      </w:r>
    </w:p>
    <w:p w14:paraId="7C8AF43A">
      <w:pPr>
        <w:spacing w:line="430" w:lineRule="exact"/>
        <w:ind w:firstLine="420" w:firstLineChars="200"/>
        <w:rPr>
          <w:rFonts w:eastAsia="宋体"/>
          <w:color w:val="000000"/>
        </w:rPr>
      </w:pPr>
      <w:r>
        <w:rPr>
          <w:rFonts w:hint="eastAsia" w:eastAsia="宋体"/>
          <w:color w:val="000000"/>
        </w:rPr>
        <w:t>承包人应与发包人保持正常的业务交往，按照有关法律法规和程序开展业务工作，严格执行有关方针、政策，尤其是有关强制性标准，并遵守以下规定：</w:t>
      </w:r>
    </w:p>
    <w:p w14:paraId="263A53A1">
      <w:pPr>
        <w:spacing w:line="430" w:lineRule="exact"/>
        <w:ind w:firstLine="420" w:firstLineChars="200"/>
        <w:rPr>
          <w:rFonts w:eastAsia="宋体"/>
          <w:color w:val="000000"/>
        </w:rPr>
      </w:pPr>
      <w:r>
        <w:rPr>
          <w:rFonts w:hint="eastAsia" w:eastAsia="宋体"/>
          <w:color w:val="000000"/>
        </w:rPr>
        <w:t>(一)承包人有责任对本单位人员进行廉洁教育（教育内容应当包括发包人制定的有关廉政建设方面的规定）；并与发包人共同开展双方人员的联合廉洁教育。</w:t>
      </w:r>
    </w:p>
    <w:p w14:paraId="68695B04">
      <w:pPr>
        <w:spacing w:line="430" w:lineRule="exact"/>
        <w:ind w:firstLine="420" w:firstLineChars="200"/>
        <w:rPr>
          <w:rFonts w:eastAsia="宋体"/>
          <w:color w:val="000000"/>
        </w:rPr>
      </w:pPr>
      <w:r>
        <w:rPr>
          <w:rFonts w:hint="eastAsia" w:eastAsia="宋体"/>
          <w:color w:val="000000"/>
        </w:rPr>
        <w:t>(二)不准以任何理由，向发包人及其工作人员索要、接受或赠送礼金、有价证券、贵重物品及回扣、好处费、感谢费等。</w:t>
      </w:r>
    </w:p>
    <w:p w14:paraId="01841CE4">
      <w:pPr>
        <w:spacing w:line="430" w:lineRule="exact"/>
        <w:ind w:firstLine="420" w:firstLineChars="200"/>
        <w:rPr>
          <w:rFonts w:eastAsia="宋体"/>
          <w:color w:val="000000"/>
        </w:rPr>
      </w:pPr>
      <w:r>
        <w:rPr>
          <w:rFonts w:hint="eastAsia" w:eastAsia="宋体"/>
          <w:color w:val="000000"/>
        </w:rPr>
        <w:t>(三)不准以任何理由，为发包人和相关单位报销应由对方或个人支付的费用。</w:t>
      </w:r>
    </w:p>
    <w:p w14:paraId="344CE6DF">
      <w:pPr>
        <w:spacing w:line="430" w:lineRule="exact"/>
        <w:ind w:firstLine="420" w:firstLineChars="200"/>
        <w:rPr>
          <w:rFonts w:eastAsia="宋体"/>
          <w:color w:val="000000"/>
        </w:rPr>
      </w:pPr>
      <w:r>
        <w:rPr>
          <w:rFonts w:hint="eastAsia" w:eastAsia="宋体"/>
          <w:color w:val="000000"/>
        </w:rPr>
        <w:t>(四)不准接受或隐含为发包人、相关单位或个人装修住房、婚丧嫁娶、配偶子女的工作安排以及出国(境)旅游等提供方便。</w:t>
      </w:r>
    </w:p>
    <w:p w14:paraId="325D7628">
      <w:pPr>
        <w:spacing w:line="430" w:lineRule="exact"/>
        <w:ind w:firstLine="420" w:firstLineChars="200"/>
        <w:rPr>
          <w:rFonts w:eastAsia="宋体"/>
          <w:color w:val="000000"/>
        </w:rPr>
      </w:pPr>
      <w:r>
        <w:rPr>
          <w:rFonts w:hint="eastAsia" w:eastAsia="宋体"/>
          <w:color w:val="000000"/>
        </w:rPr>
        <w:t>(五)不准以任何理由，为发包人、相关单位或个人，组织有可能影响公正执行公务的宴请、健身、娱乐等活动。</w:t>
      </w:r>
    </w:p>
    <w:p w14:paraId="420EAB37">
      <w:pPr>
        <w:spacing w:line="430" w:lineRule="exact"/>
        <w:ind w:firstLine="420" w:firstLineChars="200"/>
        <w:rPr>
          <w:rFonts w:eastAsia="宋体"/>
          <w:color w:val="000000"/>
        </w:rPr>
      </w:pPr>
      <w:r>
        <w:rPr>
          <w:rFonts w:hint="eastAsia" w:eastAsia="宋体"/>
          <w:color w:val="000000"/>
        </w:rPr>
        <w:t>(六)不得为发包人和相关个人购置或提供通讯工具、交通工具和高档办公用品等。</w:t>
      </w:r>
    </w:p>
    <w:p w14:paraId="59EB44D5">
      <w:pPr>
        <w:spacing w:line="430" w:lineRule="exact"/>
        <w:ind w:firstLine="420" w:firstLineChars="200"/>
        <w:rPr>
          <w:rFonts w:eastAsia="宋体"/>
          <w:color w:val="000000"/>
        </w:rPr>
      </w:pPr>
      <w:r>
        <w:rPr>
          <w:rFonts w:hint="eastAsia" w:eastAsia="宋体"/>
          <w:color w:val="000000"/>
        </w:rPr>
        <w:t>(七)承包人发现发包人工作人员有不廉洁行为，应及时采取措施，制止其不廉洁行为的继续发生，并及时告知发包人。</w:t>
      </w:r>
    </w:p>
    <w:p w14:paraId="3243C423">
      <w:pPr>
        <w:spacing w:line="430" w:lineRule="exact"/>
        <w:ind w:firstLine="420" w:firstLineChars="200"/>
        <w:rPr>
          <w:rFonts w:eastAsia="宋体"/>
          <w:color w:val="000000"/>
        </w:rPr>
      </w:pPr>
      <w:r>
        <w:rPr>
          <w:rFonts w:hint="eastAsia" w:eastAsia="宋体"/>
          <w:color w:val="000000"/>
        </w:rPr>
        <w:t>(八)承包人发现分包人、相关管理服务单位人员有不廉洁行为，应及时采取措施，制止其不廉洁行为的继续发生，并及时将处理结果告知发包人。</w:t>
      </w:r>
    </w:p>
    <w:p w14:paraId="26E85969">
      <w:pPr>
        <w:spacing w:line="430" w:lineRule="exact"/>
        <w:ind w:firstLine="420" w:firstLineChars="200"/>
        <w:rPr>
          <w:rFonts w:eastAsia="宋体"/>
          <w:color w:val="000000"/>
        </w:rPr>
      </w:pPr>
      <w:r>
        <w:rPr>
          <w:rFonts w:hint="eastAsia" w:eastAsia="宋体"/>
          <w:color w:val="000000"/>
        </w:rPr>
        <w:t>(九)承包人接到信访、投诉、举报等情况应积极、妥善处理，并将处理结果告知发包人；如因承包人处置不及时、处置不当对发包人造成影响的，对发包人造成的影响和后果由承包人承担。</w:t>
      </w:r>
    </w:p>
    <w:p w14:paraId="236E5244">
      <w:pPr>
        <w:spacing w:line="430" w:lineRule="exact"/>
        <w:ind w:firstLine="422" w:firstLineChars="200"/>
        <w:rPr>
          <w:rFonts w:eastAsia="宋体"/>
          <w:b/>
          <w:bCs/>
          <w:color w:val="000000"/>
        </w:rPr>
      </w:pPr>
      <w:r>
        <w:rPr>
          <w:rFonts w:hint="eastAsia" w:eastAsia="宋体"/>
          <w:b/>
          <w:bCs/>
          <w:color w:val="000000"/>
        </w:rPr>
        <w:t>第四条  违约责任</w:t>
      </w:r>
    </w:p>
    <w:p w14:paraId="5FACFD59">
      <w:pPr>
        <w:spacing w:line="430" w:lineRule="exact"/>
        <w:ind w:firstLine="420" w:firstLineChars="200"/>
        <w:rPr>
          <w:rFonts w:eastAsia="宋体"/>
          <w:color w:val="000000"/>
        </w:rPr>
      </w:pPr>
      <w:r>
        <w:rPr>
          <w:rFonts w:hint="eastAsia" w:eastAsia="宋体"/>
          <w:color w:val="000000"/>
        </w:rPr>
        <w:t>(一)发包人工作人员有违反本协议第一、二条责任行为的，按照管理权限，依据有关法律法规和规定给予党纪、政纪处分或组织处理；涉嫌犯罪的，移交司法机关追究刑事责任；给承包人单位造成经济损失的，应予以赔偿。</w:t>
      </w:r>
    </w:p>
    <w:p w14:paraId="46986A06">
      <w:pPr>
        <w:spacing w:line="430" w:lineRule="exact"/>
        <w:ind w:firstLine="420" w:firstLineChars="200"/>
        <w:rPr>
          <w:rFonts w:eastAsia="宋体"/>
          <w:color w:val="000000"/>
        </w:rPr>
      </w:pPr>
      <w:r>
        <w:rPr>
          <w:rFonts w:hint="eastAsia" w:eastAsia="宋体"/>
          <w:color w:val="000000"/>
        </w:rPr>
        <w:t>(二)承包人工作人员有违反本协议第一、三条责任行为的，按照管理权限，依据有关</w:t>
      </w:r>
    </w:p>
    <w:p w14:paraId="600BF617">
      <w:pPr>
        <w:spacing w:line="430" w:lineRule="exact"/>
        <w:ind w:firstLine="420" w:firstLineChars="200"/>
        <w:rPr>
          <w:rFonts w:eastAsia="宋体"/>
          <w:color w:val="000000"/>
        </w:rPr>
      </w:pPr>
      <w:r>
        <w:rPr>
          <w:rFonts w:hint="eastAsia" w:eastAsia="宋体"/>
          <w:color w:val="000000"/>
        </w:rPr>
        <w:t>法律法规和规定给予党纪、政纪处分或组织处理；涉嫌犯罪的，移交司法机关追究刑事责任；给发包人单位造成经济损失的，应予以赔偿；情节严重的，发包人可以在未来一至三年内拒绝承包人继续承接发包方项目。</w:t>
      </w:r>
    </w:p>
    <w:p w14:paraId="4438ABA7">
      <w:pPr>
        <w:spacing w:line="360" w:lineRule="auto"/>
        <w:ind w:firstLine="422" w:firstLineChars="200"/>
        <w:rPr>
          <w:rFonts w:eastAsia="宋体"/>
          <w:color w:val="000000"/>
        </w:rPr>
      </w:pPr>
      <w:r>
        <w:rPr>
          <w:rFonts w:hint="eastAsia" w:eastAsia="宋体"/>
          <w:b/>
          <w:bCs/>
          <w:color w:val="000000"/>
        </w:rPr>
        <w:t xml:space="preserve">第五条  </w:t>
      </w:r>
      <w:r>
        <w:rPr>
          <w:rFonts w:hint="eastAsia" w:eastAsia="宋体"/>
          <w:color w:val="000000"/>
        </w:rPr>
        <w:t>本协议由双方或双方上级单位的纪检监察机关负责监督。具体可由发包人或发包人上级单位的纪检监察机关约请承包人或承包人上级单位纪检监察机关，对本协议履行情况进行检查，提出在本协议规定范围内的意见。</w:t>
      </w:r>
    </w:p>
    <w:p w14:paraId="504105DC">
      <w:pPr>
        <w:spacing w:line="360" w:lineRule="auto"/>
        <w:ind w:firstLine="422" w:firstLineChars="200"/>
        <w:rPr>
          <w:rFonts w:eastAsia="宋体"/>
          <w:color w:val="000000"/>
        </w:rPr>
      </w:pPr>
      <w:r>
        <w:rPr>
          <w:rFonts w:hint="eastAsia" w:eastAsia="宋体"/>
          <w:b/>
          <w:bCs/>
          <w:color w:val="000000"/>
        </w:rPr>
        <w:t xml:space="preserve">第六条  </w:t>
      </w:r>
      <w:r>
        <w:rPr>
          <w:rFonts w:hint="eastAsia" w:eastAsia="宋体"/>
          <w:color w:val="000000"/>
        </w:rPr>
        <w:t>甲乙双方承诺不另外制订与本合同实质性内容不一致的合同。</w:t>
      </w:r>
    </w:p>
    <w:p w14:paraId="51465CD2">
      <w:pPr>
        <w:spacing w:line="360" w:lineRule="auto"/>
        <w:ind w:firstLine="422" w:firstLineChars="200"/>
        <w:jc w:val="left"/>
        <w:rPr>
          <w:rFonts w:hint="eastAsia" w:ascii="宋体" w:hAnsi="宋体" w:eastAsia="宋体"/>
          <w:b/>
          <w:color w:val="000000"/>
          <w:szCs w:val="21"/>
        </w:rPr>
      </w:pPr>
      <w:r>
        <w:rPr>
          <w:rFonts w:hint="eastAsia" w:ascii="宋体" w:hAnsi="宋体" w:eastAsia="宋体"/>
          <w:b/>
          <w:color w:val="000000"/>
          <w:szCs w:val="21"/>
        </w:rPr>
        <w:t>第七条</w:t>
      </w:r>
      <w:r>
        <w:rPr>
          <w:rFonts w:ascii="宋体" w:hAnsi="宋体" w:eastAsia="宋体"/>
          <w:b/>
          <w:color w:val="000000"/>
          <w:szCs w:val="21"/>
        </w:rPr>
        <w:t xml:space="preserve"> </w:t>
      </w:r>
      <w:r>
        <w:rPr>
          <w:rFonts w:hint="eastAsia" w:ascii="宋体" w:hAnsi="宋体" w:eastAsia="宋体"/>
          <w:b/>
          <w:color w:val="000000"/>
          <w:szCs w:val="21"/>
        </w:rPr>
        <w:t>本协议书作为合同的附件，与合同具有同等法律效力。</w:t>
      </w:r>
    </w:p>
    <w:p w14:paraId="4C63D4F6">
      <w:pPr>
        <w:spacing w:line="360" w:lineRule="auto"/>
        <w:ind w:firstLine="422" w:firstLineChars="200"/>
        <w:jc w:val="left"/>
        <w:rPr>
          <w:rFonts w:hint="eastAsia" w:ascii="宋体" w:hAnsi="宋体" w:eastAsia="宋体"/>
          <w:b/>
          <w:color w:val="000000"/>
          <w:szCs w:val="21"/>
        </w:rPr>
      </w:pPr>
      <w:r>
        <w:rPr>
          <w:rFonts w:hint="eastAsia" w:ascii="宋体" w:hAnsi="宋体" w:eastAsia="宋体"/>
          <w:b/>
          <w:color w:val="000000"/>
          <w:szCs w:val="21"/>
        </w:rPr>
        <w:t>第八条</w:t>
      </w:r>
      <w:r>
        <w:rPr>
          <w:rFonts w:ascii="宋体" w:hAnsi="宋体" w:eastAsia="宋体"/>
          <w:b/>
          <w:color w:val="000000"/>
          <w:szCs w:val="21"/>
        </w:rPr>
        <w:t xml:space="preserve"> </w:t>
      </w:r>
      <w:r>
        <w:rPr>
          <w:rFonts w:hint="eastAsia" w:ascii="宋体" w:hAnsi="宋体" w:eastAsia="宋体"/>
          <w:b/>
          <w:color w:val="000000"/>
          <w:szCs w:val="21"/>
        </w:rPr>
        <w:t>本协议书有效期为双方签署之日起至该合同（项目）质保期满时止。</w:t>
      </w:r>
    </w:p>
    <w:p w14:paraId="6CCF68F1">
      <w:pPr>
        <w:spacing w:line="360" w:lineRule="auto"/>
        <w:ind w:firstLine="422" w:firstLineChars="200"/>
        <w:jc w:val="left"/>
        <w:rPr>
          <w:rFonts w:hint="eastAsia" w:ascii="宋体" w:hAnsi="宋体" w:eastAsia="宋体"/>
          <w:b/>
          <w:color w:val="000000"/>
          <w:szCs w:val="21"/>
        </w:rPr>
      </w:pPr>
      <w:r>
        <w:rPr>
          <w:rFonts w:hint="eastAsia" w:ascii="宋体" w:hAnsi="宋体" w:eastAsia="宋体"/>
          <w:b/>
          <w:color w:val="000000"/>
          <w:szCs w:val="21"/>
        </w:rPr>
        <w:t>第九条</w:t>
      </w:r>
      <w:r>
        <w:rPr>
          <w:rFonts w:ascii="宋体" w:hAnsi="宋体" w:eastAsia="宋体"/>
          <w:b/>
          <w:color w:val="000000"/>
          <w:szCs w:val="21"/>
        </w:rPr>
        <w:t xml:space="preserve"> </w:t>
      </w:r>
      <w:r>
        <w:rPr>
          <w:rFonts w:hint="eastAsia" w:ascii="宋体" w:hAnsi="宋体" w:eastAsia="宋体"/>
          <w:b/>
          <w:color w:val="000000"/>
          <w:szCs w:val="21"/>
        </w:rPr>
        <w:t>未尽事宜，由甲乙双方协商解决。</w:t>
      </w:r>
    </w:p>
    <w:p w14:paraId="57C73DA2">
      <w:pPr>
        <w:widowControl/>
        <w:rPr>
          <w:rFonts w:eastAsia="宋体"/>
          <w:b/>
          <w:color w:val="000000"/>
        </w:rPr>
      </w:pPr>
      <w:r>
        <w:rPr>
          <w:rFonts w:hint="eastAsia" w:eastAsia="宋体"/>
          <w:b/>
          <w:color w:val="000000"/>
        </w:rPr>
        <w:br w:type="page"/>
      </w:r>
    </w:p>
    <w:p w14:paraId="39D00C49">
      <w:pPr>
        <w:widowControl/>
        <w:outlineLvl w:val="2"/>
        <w:rPr>
          <w:rFonts w:eastAsia="宋体"/>
          <w:b/>
          <w:color w:val="000000"/>
        </w:rPr>
      </w:pPr>
      <w:r>
        <w:rPr>
          <w:rFonts w:hint="eastAsia" w:eastAsia="宋体"/>
          <w:b/>
          <w:color w:val="000000"/>
        </w:rPr>
        <w:t>附件3：保密协议</w:t>
      </w:r>
    </w:p>
    <w:p w14:paraId="0BEB21EB">
      <w:pPr>
        <w:jc w:val="center"/>
        <w:rPr>
          <w:rFonts w:hint="eastAsia" w:ascii="宋体" w:hAnsi="宋体" w:eastAsia="宋体"/>
          <w:color w:val="000000"/>
          <w:sz w:val="28"/>
          <w:szCs w:val="28"/>
        </w:rPr>
      </w:pPr>
      <w:r>
        <w:rPr>
          <w:rFonts w:hint="eastAsia" w:ascii="宋体" w:hAnsi="宋体" w:eastAsia="宋体"/>
          <w:b/>
          <w:color w:val="000000"/>
          <w:sz w:val="28"/>
          <w:szCs w:val="28"/>
        </w:rPr>
        <w:t>保密协议</w:t>
      </w:r>
    </w:p>
    <w:p w14:paraId="042489B8">
      <w:pPr>
        <w:adjustRightInd w:val="0"/>
        <w:snapToGrid w:val="0"/>
        <w:spacing w:line="500" w:lineRule="exact"/>
        <w:ind w:firstLine="420" w:firstLineChars="200"/>
        <w:rPr>
          <w:rFonts w:eastAsia="宋体"/>
          <w:color w:val="000000"/>
          <w:u w:val="single"/>
        </w:rPr>
      </w:pPr>
      <w:r>
        <w:rPr>
          <w:rFonts w:hint="eastAsia" w:eastAsia="宋体"/>
          <w:color w:val="000000"/>
        </w:rPr>
        <w:t xml:space="preserve">甲方: </w:t>
      </w:r>
      <w:r>
        <w:rPr>
          <w:rFonts w:hint="eastAsia" w:eastAsia="宋体"/>
          <w:color w:val="000000"/>
          <w:u w:val="single"/>
        </w:rPr>
        <w:t xml:space="preserve"> </w:t>
      </w:r>
      <w:r>
        <w:rPr>
          <w:rFonts w:hint="eastAsia" w:eastAsia="宋体"/>
          <w:i/>
          <w:iCs/>
          <w:color w:val="000000"/>
          <w:u w:val="single"/>
        </w:rPr>
        <w:t xml:space="preserve">            </w:t>
      </w:r>
      <w:r>
        <w:rPr>
          <w:rFonts w:hint="eastAsia" w:eastAsia="宋体"/>
          <w:color w:val="000000"/>
          <w:u w:val="single"/>
        </w:rPr>
        <w:t xml:space="preserve"> </w:t>
      </w:r>
    </w:p>
    <w:p w14:paraId="3606AFAA">
      <w:pPr>
        <w:adjustRightInd w:val="0"/>
        <w:snapToGrid w:val="0"/>
        <w:spacing w:line="500" w:lineRule="exact"/>
        <w:ind w:firstLine="420" w:firstLineChars="200"/>
        <w:rPr>
          <w:rFonts w:eastAsia="宋体"/>
          <w:color w:val="000000"/>
          <w:u w:val="single"/>
        </w:rPr>
      </w:pPr>
      <w:r>
        <w:rPr>
          <w:rFonts w:hint="eastAsia" w:eastAsia="宋体"/>
          <w:color w:val="000000"/>
        </w:rPr>
        <w:t>乙方：</w:t>
      </w:r>
      <w:r>
        <w:rPr>
          <w:rFonts w:hint="eastAsia" w:ascii="宋体" w:hAnsi="宋体" w:eastAsia="宋体"/>
          <w:color w:val="000000"/>
          <w:sz w:val="20"/>
          <w:szCs w:val="21"/>
          <w:u w:val="single"/>
        </w:rPr>
        <w:t xml:space="preserve"> </w:t>
      </w:r>
      <w:r>
        <w:rPr>
          <w:rFonts w:ascii="宋体" w:hAnsi="宋体" w:eastAsia="宋体"/>
          <w:color w:val="000000"/>
          <w:sz w:val="20"/>
          <w:szCs w:val="21"/>
          <w:u w:val="single"/>
        </w:rPr>
        <w:t xml:space="preserve">           </w:t>
      </w:r>
      <w:r>
        <w:rPr>
          <w:rFonts w:hint="eastAsia" w:eastAsia="宋体"/>
          <w:color w:val="000000"/>
          <w:u w:val="single"/>
        </w:rPr>
        <w:t xml:space="preserve">  </w:t>
      </w:r>
    </w:p>
    <w:p w14:paraId="296390D1">
      <w:pPr>
        <w:rPr>
          <w:rFonts w:eastAsia="宋体"/>
          <w:color w:val="000000"/>
        </w:rPr>
      </w:pPr>
    </w:p>
    <w:p w14:paraId="0776F746">
      <w:pPr>
        <w:spacing w:line="360" w:lineRule="auto"/>
        <w:ind w:firstLine="420" w:firstLineChars="200"/>
        <w:rPr>
          <w:rFonts w:eastAsia="宋体"/>
          <w:color w:val="000000"/>
        </w:rPr>
      </w:pPr>
      <w:r>
        <w:rPr>
          <w:rFonts w:hint="eastAsia" w:eastAsia="宋体"/>
          <w:color w:val="000000"/>
        </w:rPr>
        <w:t>鉴于：乙方在</w:t>
      </w:r>
      <w:r>
        <w:rPr>
          <w:rFonts w:hint="eastAsia" w:eastAsia="宋体"/>
          <w:color w:val="000000"/>
          <w:u w:val="single"/>
        </w:rPr>
        <w:t xml:space="preserve"> </w:t>
      </w:r>
      <w:r>
        <w:rPr>
          <w:rFonts w:hint="eastAsia" w:ascii="宋体" w:hAnsi="宋体" w:eastAsia="宋体"/>
          <w:color w:val="000000"/>
          <w:sz w:val="20"/>
          <w:szCs w:val="21"/>
          <w:u w:val="single"/>
        </w:rPr>
        <w:t xml:space="preserve"> </w:t>
      </w:r>
      <w:r>
        <w:rPr>
          <w:rFonts w:ascii="宋体" w:hAnsi="宋体" w:eastAsia="宋体"/>
          <w:color w:val="000000"/>
          <w:sz w:val="20"/>
          <w:szCs w:val="21"/>
          <w:u w:val="single"/>
        </w:rPr>
        <w:t xml:space="preserve">   </w:t>
      </w:r>
      <w:r>
        <w:rPr>
          <w:rFonts w:hint="eastAsia" w:ascii="宋体" w:hAnsi="宋体" w:eastAsia="宋体"/>
          <w:color w:val="000000"/>
          <w:sz w:val="20"/>
          <w:szCs w:val="21"/>
          <w:u w:val="single"/>
        </w:rPr>
        <w:t xml:space="preserve"> </w:t>
      </w:r>
      <w:r>
        <w:rPr>
          <w:rFonts w:hint="eastAsia" w:ascii="黑体" w:hAnsi="黑体" w:eastAsia="黑体"/>
          <w:color w:val="000000"/>
          <w:u w:val="single"/>
        </w:rPr>
        <w:t xml:space="preserve">  </w:t>
      </w:r>
      <w:r>
        <w:rPr>
          <w:rFonts w:hint="eastAsia" w:eastAsia="宋体"/>
          <w:color w:val="000000"/>
        </w:rPr>
        <w:t>（以下简称本项目）过程中，已经或将要接触或获得涉及甲方的保密资料及将在该项目实施过程中形成的资料，且因工程需要，甲方需向乙方披露相关保密资料，乙方承诺按照本协议的约定对甲方披露的保密资料及项目实施过程中形成的资料予以保密。</w:t>
      </w:r>
    </w:p>
    <w:p w14:paraId="429B3C68">
      <w:pPr>
        <w:spacing w:line="360" w:lineRule="auto"/>
        <w:ind w:firstLine="420" w:firstLineChars="200"/>
        <w:rPr>
          <w:rFonts w:eastAsia="宋体"/>
          <w:color w:val="000000"/>
        </w:rPr>
      </w:pPr>
      <w:r>
        <w:rPr>
          <w:rFonts w:hint="eastAsia" w:eastAsia="宋体"/>
          <w:color w:val="000000"/>
        </w:rPr>
        <w:t>为此，双方根据《中华人民共和国保守国家秘密法》及《中华人民共和国民法典》等相关规定，经自愿协商，达成保密协议如下：</w:t>
      </w:r>
    </w:p>
    <w:p w14:paraId="7D69492B">
      <w:pPr>
        <w:snapToGrid w:val="0"/>
        <w:spacing w:line="360" w:lineRule="auto"/>
        <w:ind w:firstLine="420" w:firstLineChars="200"/>
        <w:rPr>
          <w:rFonts w:eastAsia="宋体"/>
          <w:b/>
          <w:color w:val="000000"/>
        </w:rPr>
      </w:pPr>
      <w:r>
        <w:rPr>
          <w:rFonts w:hint="eastAsia" w:eastAsia="宋体"/>
          <w:bCs/>
          <w:color w:val="000000"/>
        </w:rPr>
        <w:t>第一条 保密资料</w:t>
      </w:r>
    </w:p>
    <w:p w14:paraId="3F1CAEDA">
      <w:pPr>
        <w:spacing w:line="360" w:lineRule="auto"/>
        <w:ind w:firstLine="420" w:firstLineChars="200"/>
        <w:rPr>
          <w:rFonts w:eastAsia="宋体"/>
          <w:color w:val="000000"/>
        </w:rPr>
      </w:pPr>
      <w:r>
        <w:rPr>
          <w:rFonts w:hint="eastAsia" w:eastAsia="宋体"/>
          <w:color w:val="000000"/>
        </w:rPr>
        <w:t>（一）甲方向乙方披露或将要披露的与本项目相关的所有商业资料、技术资料、经营信息以及其他甲方尚未公开的资料；</w:t>
      </w:r>
    </w:p>
    <w:p w14:paraId="0BD9D586">
      <w:pPr>
        <w:spacing w:line="360" w:lineRule="auto"/>
        <w:ind w:firstLine="420" w:firstLineChars="200"/>
        <w:rPr>
          <w:rFonts w:eastAsia="宋体"/>
          <w:color w:val="000000"/>
        </w:rPr>
      </w:pPr>
      <w:r>
        <w:rPr>
          <w:rFonts w:hint="eastAsia" w:eastAsia="宋体"/>
          <w:color w:val="000000"/>
        </w:rPr>
        <w:t>（二）在本项目实施过程中形成的任何分析、编辑、研究、咨询成果、技术信息或其他文件资料。</w:t>
      </w:r>
    </w:p>
    <w:p w14:paraId="3B2D03BB">
      <w:pPr>
        <w:spacing w:line="360" w:lineRule="auto"/>
        <w:ind w:firstLine="420" w:firstLineChars="200"/>
        <w:rPr>
          <w:rFonts w:eastAsia="宋体"/>
          <w:color w:val="000000"/>
        </w:rPr>
      </w:pPr>
      <w:r>
        <w:rPr>
          <w:rFonts w:hint="eastAsia" w:eastAsia="宋体"/>
          <w:color w:val="000000"/>
        </w:rPr>
        <w:t>（三）以上资料包括书面的、口头的、图形的或其它任何形式的资料，包括但不限于数据、模型、样品、草案、技术、方法、仪器设备和其它资料。</w:t>
      </w:r>
    </w:p>
    <w:p w14:paraId="5D3DA89A">
      <w:pPr>
        <w:spacing w:line="360" w:lineRule="auto"/>
        <w:ind w:firstLine="420" w:firstLineChars="200"/>
        <w:rPr>
          <w:rFonts w:eastAsia="宋体"/>
          <w:color w:val="000000"/>
        </w:rPr>
      </w:pPr>
      <w:r>
        <w:rPr>
          <w:rFonts w:hint="eastAsia" w:eastAsia="宋体"/>
          <w:color w:val="000000"/>
        </w:rPr>
        <w:t>（四）上述保密资料可以以数据、文字及记载上述内容的光盘、软件、图书等有形媒介体现，也可通过法律法规认可的其他介质形式传递。</w:t>
      </w:r>
    </w:p>
    <w:p w14:paraId="232BB411">
      <w:pPr>
        <w:snapToGrid w:val="0"/>
        <w:spacing w:line="360" w:lineRule="auto"/>
        <w:ind w:firstLine="420" w:firstLineChars="200"/>
        <w:rPr>
          <w:rFonts w:eastAsia="宋体"/>
          <w:color w:val="000000"/>
        </w:rPr>
      </w:pPr>
      <w:r>
        <w:rPr>
          <w:rFonts w:hint="eastAsia" w:eastAsia="宋体"/>
          <w:color w:val="000000"/>
        </w:rPr>
        <w:t xml:space="preserve">第二条 </w:t>
      </w:r>
      <w:r>
        <w:rPr>
          <w:rFonts w:hint="eastAsia" w:eastAsia="宋体"/>
          <w:bCs/>
          <w:color w:val="000000"/>
        </w:rPr>
        <w:t>保密</w:t>
      </w:r>
      <w:r>
        <w:rPr>
          <w:rFonts w:hint="eastAsia" w:eastAsia="宋体"/>
          <w:color w:val="000000"/>
        </w:rPr>
        <w:t>义务</w:t>
      </w:r>
    </w:p>
    <w:p w14:paraId="4AC65963">
      <w:pPr>
        <w:spacing w:line="360" w:lineRule="auto"/>
        <w:ind w:firstLine="420" w:firstLineChars="200"/>
        <w:rPr>
          <w:rFonts w:eastAsia="宋体"/>
          <w:color w:val="000000"/>
        </w:rPr>
      </w:pPr>
      <w:r>
        <w:rPr>
          <w:rFonts w:hint="eastAsia" w:eastAsia="宋体"/>
          <w:color w:val="000000"/>
        </w:rPr>
        <w:t>（一）乙方保证采取所有必要的方法对甲方提供的保密资料进行保密，包括但不限于执行和坚持适当的作业程序来避免非授权透露、使用或复制保密资料，采取至少不低于对自身保密信息之保护手段进行保密。</w:t>
      </w:r>
    </w:p>
    <w:p w14:paraId="73CC1AFE">
      <w:pPr>
        <w:spacing w:line="360" w:lineRule="auto"/>
        <w:ind w:firstLine="420" w:firstLineChars="200"/>
        <w:rPr>
          <w:rFonts w:eastAsia="宋体"/>
          <w:color w:val="000000"/>
        </w:rPr>
      </w:pPr>
      <w:r>
        <w:rPr>
          <w:rFonts w:hint="eastAsia" w:eastAsia="宋体"/>
          <w:color w:val="000000"/>
        </w:rPr>
        <w:t>（二）乙方保证在任何情况下，除依照法律强制性的要求外，不向任何第三方透露或披露甲方的保密资料以及本协议的存在或本协议的任何内容；</w:t>
      </w:r>
    </w:p>
    <w:p w14:paraId="333EBC06">
      <w:pPr>
        <w:spacing w:line="360" w:lineRule="auto"/>
        <w:ind w:firstLine="420" w:firstLineChars="200"/>
        <w:rPr>
          <w:rFonts w:eastAsia="宋体"/>
          <w:color w:val="000000"/>
        </w:rPr>
      </w:pPr>
      <w:r>
        <w:rPr>
          <w:rFonts w:hint="eastAsia" w:eastAsia="宋体"/>
          <w:color w:val="000000"/>
        </w:rPr>
        <w:t>（三）如果乙方基于法律、法规、判决、裁定（包括按照传票、法院或政府处理程序）的要求而必需披露相关的保密资料，乙方应当事先书面通知甲方，同时，乙方应当尽最大的努力帮助甲方有效地防止或限制该保密资料的传播；</w:t>
      </w:r>
    </w:p>
    <w:p w14:paraId="579A0091">
      <w:pPr>
        <w:spacing w:line="360" w:lineRule="auto"/>
        <w:ind w:firstLine="420" w:firstLineChars="200"/>
        <w:rPr>
          <w:rFonts w:eastAsia="宋体"/>
          <w:color w:val="000000"/>
        </w:rPr>
      </w:pPr>
      <w:r>
        <w:rPr>
          <w:rFonts w:hint="eastAsia" w:eastAsia="宋体"/>
          <w:color w:val="000000"/>
        </w:rPr>
        <w:t>（四）乙方不得有损害甲方利益的其他泄密和使用行为；</w:t>
      </w:r>
    </w:p>
    <w:p w14:paraId="302E6B87">
      <w:pPr>
        <w:spacing w:line="360" w:lineRule="auto"/>
        <w:ind w:firstLine="420" w:firstLineChars="200"/>
        <w:rPr>
          <w:rFonts w:eastAsia="宋体"/>
          <w:color w:val="000000"/>
        </w:rPr>
      </w:pPr>
      <w:r>
        <w:rPr>
          <w:rFonts w:hint="eastAsia" w:eastAsia="宋体"/>
          <w:color w:val="000000"/>
        </w:rPr>
        <w:t>（五）乙方只能为完成本项目而使用保密资料；</w:t>
      </w:r>
    </w:p>
    <w:p w14:paraId="535E353B">
      <w:pPr>
        <w:spacing w:line="360" w:lineRule="auto"/>
        <w:ind w:firstLine="420" w:firstLineChars="200"/>
        <w:rPr>
          <w:rFonts w:eastAsia="宋体"/>
          <w:color w:val="000000"/>
        </w:rPr>
      </w:pPr>
      <w:r>
        <w:rPr>
          <w:rFonts w:hint="eastAsia" w:eastAsia="宋体"/>
          <w:color w:val="000000"/>
        </w:rPr>
        <w:t>（六）除乙方为完成本项目需要时而将保密资料披露给必需直接参与本项工作、必需知晓保密资料的职员之外，乙方不能将保密资料透露给其它任何人，包括不能在互联网、局域网公开正在制作参与投标或已经中标的资料；在乙方职员知悉、接触该保密资料前，乙方应向其提示保密信息和保密资料的保密性及应承担的保密义务，并促使该等职员履行与乙方同等的保密义务；</w:t>
      </w:r>
    </w:p>
    <w:p w14:paraId="7D443575">
      <w:pPr>
        <w:spacing w:line="360" w:lineRule="auto"/>
        <w:ind w:firstLine="420" w:firstLineChars="200"/>
        <w:rPr>
          <w:rFonts w:eastAsia="宋体"/>
          <w:color w:val="000000"/>
        </w:rPr>
      </w:pPr>
      <w:r>
        <w:rPr>
          <w:rFonts w:hint="eastAsia" w:eastAsia="宋体"/>
          <w:color w:val="000000"/>
        </w:rPr>
        <w:t>（七）乙方不能将保密资料的全部或部分进行复制或仿造；</w:t>
      </w:r>
    </w:p>
    <w:p w14:paraId="44F649B3">
      <w:pPr>
        <w:spacing w:line="360" w:lineRule="auto"/>
        <w:ind w:firstLine="420" w:firstLineChars="200"/>
        <w:rPr>
          <w:rFonts w:eastAsia="宋体"/>
          <w:color w:val="000000"/>
        </w:rPr>
      </w:pPr>
      <w:r>
        <w:rPr>
          <w:rFonts w:hint="eastAsia" w:eastAsia="宋体"/>
          <w:color w:val="000000"/>
        </w:rPr>
        <w:t>（八）乙方必须给予参与的相关人员进行《中华人民共和国国家秘密法》教育，要求其参与本项工作之雇员严格遵守本协议规定，若参与本项工作之雇员（包括已离职员工）违反本协议规定，均视为乙方违反本协议约定，并乙方应当依照本协议约定承担违约责任。</w:t>
      </w:r>
    </w:p>
    <w:p w14:paraId="62EAE90B">
      <w:pPr>
        <w:spacing w:line="360" w:lineRule="auto"/>
        <w:ind w:firstLine="420" w:firstLineChars="200"/>
        <w:rPr>
          <w:rFonts w:eastAsia="宋体"/>
          <w:color w:val="000000"/>
        </w:rPr>
      </w:pPr>
      <w:r>
        <w:rPr>
          <w:rFonts w:hint="eastAsia" w:eastAsia="宋体"/>
          <w:color w:val="000000"/>
        </w:rPr>
        <w:t>（九）无论甲方在向乙方披露相关信息、资料或乙方接触、知悉相关资料，或在资料形成过程中，是否表明该资料为保密资料，乙方均应依照本协议约定履行保密义务，而无需甲方明确告知。</w:t>
      </w:r>
    </w:p>
    <w:p w14:paraId="762D5E9B">
      <w:pPr>
        <w:spacing w:line="360" w:lineRule="auto"/>
        <w:ind w:firstLine="420" w:firstLineChars="200"/>
        <w:rPr>
          <w:rFonts w:eastAsia="宋体"/>
          <w:color w:val="000000"/>
        </w:rPr>
      </w:pPr>
      <w:r>
        <w:rPr>
          <w:rFonts w:hint="eastAsia" w:eastAsia="宋体"/>
          <w:color w:val="000000"/>
        </w:rPr>
        <w:t>（十）如甲方要求乙方归还或销毁保密资料，乙方应立即归还或销毁保密资料，且有关销毁凭证应同时送交给甲方。</w:t>
      </w:r>
    </w:p>
    <w:p w14:paraId="4BABF0E4">
      <w:pPr>
        <w:spacing w:line="360" w:lineRule="auto"/>
        <w:ind w:firstLine="420" w:firstLineChars="200"/>
        <w:rPr>
          <w:rFonts w:eastAsia="宋体"/>
          <w:color w:val="000000"/>
        </w:rPr>
      </w:pPr>
      <w:r>
        <w:rPr>
          <w:rFonts w:hint="eastAsia" w:eastAsia="宋体"/>
          <w:color w:val="000000"/>
        </w:rPr>
        <w:t>（十一）若乙方与第三方合并、被第三方兼并或被第三方直接或间接控制，乙方不得向该第三方披露任何甲方的保密资料；乙方应立即将甲方的保密资料归还，或根据甲方的要求予以销毁，同时送交甲方有关销毁凭证。除非事先获得甲方的书面同意，乙方不得继续使用该保密资料。</w:t>
      </w:r>
    </w:p>
    <w:p w14:paraId="2594DF7D">
      <w:pPr>
        <w:snapToGrid w:val="0"/>
        <w:spacing w:line="360" w:lineRule="auto"/>
        <w:ind w:firstLine="420" w:firstLineChars="200"/>
        <w:rPr>
          <w:rFonts w:eastAsia="宋体"/>
          <w:color w:val="000000"/>
        </w:rPr>
      </w:pPr>
      <w:r>
        <w:rPr>
          <w:rFonts w:hint="eastAsia" w:eastAsia="宋体"/>
          <w:color w:val="000000"/>
        </w:rPr>
        <w:t>第三条 保密期限</w:t>
      </w:r>
    </w:p>
    <w:p w14:paraId="37D910DE">
      <w:pPr>
        <w:spacing w:line="360" w:lineRule="auto"/>
        <w:ind w:firstLine="420" w:firstLineChars="200"/>
        <w:rPr>
          <w:rFonts w:eastAsia="宋体"/>
          <w:color w:val="000000"/>
        </w:rPr>
      </w:pPr>
      <w:r>
        <w:rPr>
          <w:rFonts w:hint="eastAsia" w:eastAsia="宋体"/>
          <w:color w:val="000000"/>
        </w:rPr>
        <w:t>乙方承担保密义务的期限自本协议签订之日起，至全部保密资料以合法方式为公众知悉之日止；不因项目的中止、终止、解除等而失去对乙方的约束力。</w:t>
      </w:r>
    </w:p>
    <w:p w14:paraId="27180CE8">
      <w:pPr>
        <w:snapToGrid w:val="0"/>
        <w:spacing w:line="360" w:lineRule="auto"/>
        <w:ind w:firstLine="420" w:firstLineChars="200"/>
        <w:rPr>
          <w:rFonts w:eastAsia="宋体"/>
          <w:color w:val="000000"/>
        </w:rPr>
      </w:pPr>
      <w:r>
        <w:rPr>
          <w:rFonts w:hint="eastAsia" w:eastAsia="宋体"/>
          <w:color w:val="000000"/>
        </w:rPr>
        <w:t xml:space="preserve">第四条 </w:t>
      </w:r>
      <w:r>
        <w:rPr>
          <w:rFonts w:hint="eastAsia" w:eastAsia="宋体"/>
          <w:bCs/>
          <w:color w:val="000000"/>
        </w:rPr>
        <w:t>返还</w:t>
      </w:r>
      <w:r>
        <w:rPr>
          <w:rFonts w:hint="eastAsia" w:eastAsia="宋体"/>
          <w:color w:val="000000"/>
        </w:rPr>
        <w:t>信息</w:t>
      </w:r>
    </w:p>
    <w:p w14:paraId="7D7F5754">
      <w:pPr>
        <w:spacing w:line="360" w:lineRule="auto"/>
        <w:ind w:firstLine="420" w:firstLineChars="200"/>
        <w:rPr>
          <w:rFonts w:eastAsia="宋体"/>
          <w:color w:val="000000"/>
        </w:rPr>
      </w:pPr>
      <w:r>
        <w:rPr>
          <w:rFonts w:hint="eastAsia" w:eastAsia="宋体"/>
          <w:color w:val="000000"/>
        </w:rPr>
        <w:t>（一）当甲方以书面形式要求乙方交回保密资料时，乙方应当立即交回所有书面的或其他有形的保密资料以及所有描述和概括该保密资料的文件；</w:t>
      </w:r>
    </w:p>
    <w:p w14:paraId="17E6FC71">
      <w:pPr>
        <w:spacing w:line="360" w:lineRule="auto"/>
        <w:ind w:firstLine="420" w:firstLineChars="200"/>
        <w:rPr>
          <w:rFonts w:eastAsia="宋体"/>
          <w:color w:val="000000"/>
        </w:rPr>
      </w:pPr>
      <w:r>
        <w:rPr>
          <w:rFonts w:hint="eastAsia" w:eastAsia="宋体"/>
          <w:color w:val="000000"/>
        </w:rPr>
        <w:t>（二）没有甲方的书面许可，乙方不得丢弃和处理任何书面的或其他有形的保密资料。</w:t>
      </w:r>
    </w:p>
    <w:p w14:paraId="3718C5F9">
      <w:pPr>
        <w:spacing w:line="360" w:lineRule="auto"/>
        <w:ind w:firstLine="420" w:firstLineChars="200"/>
        <w:rPr>
          <w:rFonts w:eastAsia="宋体"/>
          <w:color w:val="000000"/>
        </w:rPr>
      </w:pPr>
      <w:r>
        <w:rPr>
          <w:rFonts w:hint="eastAsia" w:eastAsia="宋体"/>
          <w:color w:val="000000"/>
        </w:rPr>
        <w:t>（三）甲方有权随时对乙方承诺保密情况进行检查。</w:t>
      </w:r>
    </w:p>
    <w:p w14:paraId="1DDC1BAE">
      <w:pPr>
        <w:snapToGrid w:val="0"/>
        <w:spacing w:line="360" w:lineRule="auto"/>
        <w:ind w:firstLine="420" w:firstLineChars="200"/>
        <w:rPr>
          <w:rFonts w:eastAsia="宋体"/>
          <w:color w:val="000000"/>
        </w:rPr>
      </w:pPr>
      <w:r>
        <w:rPr>
          <w:rFonts w:hint="eastAsia" w:eastAsia="宋体"/>
          <w:color w:val="000000"/>
        </w:rPr>
        <w:t xml:space="preserve">第五条 </w:t>
      </w:r>
      <w:r>
        <w:rPr>
          <w:rFonts w:hint="eastAsia" w:eastAsia="宋体"/>
          <w:bCs/>
          <w:color w:val="000000"/>
        </w:rPr>
        <w:t>知识产权</w:t>
      </w:r>
    </w:p>
    <w:p w14:paraId="606C746E">
      <w:pPr>
        <w:spacing w:line="360" w:lineRule="auto"/>
        <w:ind w:firstLine="420" w:firstLineChars="200"/>
        <w:rPr>
          <w:rFonts w:eastAsia="宋体"/>
          <w:color w:val="000000"/>
        </w:rPr>
      </w:pPr>
      <w:r>
        <w:rPr>
          <w:rFonts w:hint="eastAsia" w:eastAsia="宋体"/>
          <w:color w:val="000000"/>
        </w:rPr>
        <w:t>除非甲方明确地授权，乙方不能认为甲方授予其包含该保密资料的任何专利权、专利申请权、商标权、著作权、商业秘密或其它的知识产权。</w:t>
      </w:r>
    </w:p>
    <w:p w14:paraId="2D4588D6">
      <w:pPr>
        <w:snapToGrid w:val="0"/>
        <w:spacing w:line="360" w:lineRule="auto"/>
        <w:ind w:firstLine="420" w:firstLineChars="200"/>
        <w:rPr>
          <w:rFonts w:eastAsia="宋体"/>
          <w:color w:val="000000"/>
        </w:rPr>
      </w:pPr>
      <w:r>
        <w:rPr>
          <w:rFonts w:hint="eastAsia" w:eastAsia="宋体"/>
          <w:color w:val="000000"/>
        </w:rPr>
        <w:t>第六条 违约</w:t>
      </w:r>
      <w:r>
        <w:rPr>
          <w:rFonts w:hint="eastAsia" w:eastAsia="宋体"/>
          <w:bCs/>
          <w:color w:val="000000"/>
        </w:rPr>
        <w:t>责任</w:t>
      </w:r>
    </w:p>
    <w:p w14:paraId="3AFB9AD0">
      <w:pPr>
        <w:spacing w:line="360" w:lineRule="auto"/>
        <w:ind w:firstLine="420" w:firstLineChars="200"/>
        <w:rPr>
          <w:rFonts w:eastAsia="宋体"/>
          <w:color w:val="000000"/>
        </w:rPr>
      </w:pPr>
      <w:r>
        <w:rPr>
          <w:rFonts w:hint="eastAsia" w:eastAsia="宋体"/>
          <w:color w:val="000000"/>
        </w:rPr>
        <w:t>（一）乙方未履行本协议项下任何条款均将视为违约，应当赔偿甲方的所有损失，并向甲方支付本项目合同总金额一定比例的违约金，具体数额由双方协商确定；</w:t>
      </w:r>
    </w:p>
    <w:p w14:paraId="1053B4A9">
      <w:pPr>
        <w:spacing w:line="360" w:lineRule="auto"/>
        <w:ind w:firstLine="420" w:firstLineChars="200"/>
        <w:rPr>
          <w:rFonts w:eastAsia="宋体"/>
          <w:color w:val="000000"/>
        </w:rPr>
      </w:pPr>
      <w:r>
        <w:rPr>
          <w:rFonts w:hint="eastAsia" w:eastAsia="宋体"/>
          <w:color w:val="000000"/>
        </w:rPr>
        <w:t>（二）投标前后在互联网或局域网公开投标结果的，甲方有权取消乙方中标资格，若已签订合同，甲方有权解除合同，一切损失均由乙方承担；</w:t>
      </w:r>
    </w:p>
    <w:p w14:paraId="3AFD3806">
      <w:pPr>
        <w:spacing w:line="360" w:lineRule="auto"/>
        <w:ind w:firstLine="420" w:firstLineChars="200"/>
        <w:rPr>
          <w:rFonts w:eastAsia="宋体"/>
          <w:color w:val="000000"/>
        </w:rPr>
      </w:pPr>
      <w:r>
        <w:rPr>
          <w:rFonts w:hint="eastAsia" w:eastAsia="宋体"/>
          <w:color w:val="000000"/>
        </w:rPr>
        <w:t>（三）乙方应当尽最大的努力帮助甲方有效地防止或限制该保密资料的传播，所需费用及责任由乙方承担。</w:t>
      </w:r>
    </w:p>
    <w:p w14:paraId="4F1EDD3D">
      <w:pPr>
        <w:spacing w:line="360" w:lineRule="auto"/>
        <w:ind w:firstLine="420" w:firstLineChars="200"/>
        <w:rPr>
          <w:rFonts w:eastAsia="宋体"/>
          <w:color w:val="000000"/>
        </w:rPr>
      </w:pPr>
      <w:r>
        <w:rPr>
          <w:rFonts w:hint="eastAsia" w:eastAsia="宋体"/>
          <w:color w:val="000000"/>
        </w:rPr>
        <w:t>（四）乙方有违反本协议的情形，无论故意与过失，应当立即停止侵害行为，并在第一时间采取一切必要措施防止保密信息的扩散，尽最大可能消除影响。</w:t>
      </w:r>
    </w:p>
    <w:p w14:paraId="530D50AD">
      <w:pPr>
        <w:snapToGrid w:val="0"/>
        <w:spacing w:line="360" w:lineRule="auto"/>
        <w:ind w:firstLine="420" w:firstLineChars="200"/>
        <w:rPr>
          <w:rFonts w:eastAsia="宋体"/>
          <w:color w:val="000000"/>
        </w:rPr>
      </w:pPr>
      <w:r>
        <w:rPr>
          <w:rFonts w:hint="eastAsia" w:eastAsia="宋体"/>
          <w:color w:val="000000"/>
        </w:rPr>
        <w:t xml:space="preserve">第七条 </w:t>
      </w:r>
      <w:r>
        <w:rPr>
          <w:rFonts w:hint="eastAsia" w:eastAsia="宋体"/>
          <w:bCs/>
          <w:color w:val="000000"/>
        </w:rPr>
        <w:t>其他</w:t>
      </w:r>
    </w:p>
    <w:p w14:paraId="34A3CCC9">
      <w:pPr>
        <w:spacing w:line="360" w:lineRule="auto"/>
        <w:ind w:firstLine="420" w:firstLineChars="200"/>
        <w:rPr>
          <w:rFonts w:eastAsia="宋体"/>
          <w:color w:val="000000"/>
        </w:rPr>
      </w:pPr>
      <w:r>
        <w:rPr>
          <w:rFonts w:hint="eastAsia" w:eastAsia="宋体"/>
          <w:color w:val="000000"/>
        </w:rPr>
        <w:t>（一）本协议中标题仅为阅读方便，在任何情况下不得作为对本协议内容的解释。</w:t>
      </w:r>
    </w:p>
    <w:p w14:paraId="3671827E">
      <w:pPr>
        <w:spacing w:line="360" w:lineRule="auto"/>
        <w:ind w:firstLine="420" w:firstLineChars="200"/>
        <w:rPr>
          <w:rFonts w:eastAsia="宋体"/>
          <w:color w:val="000000"/>
        </w:rPr>
      </w:pPr>
      <w:r>
        <w:rPr>
          <w:rFonts w:hint="eastAsia" w:eastAsia="宋体"/>
          <w:color w:val="000000"/>
        </w:rPr>
        <w:t>（二）本协议对双方及其权利义务继承人均有约束力。</w:t>
      </w:r>
    </w:p>
    <w:p w14:paraId="29E11B4B">
      <w:pPr>
        <w:spacing w:line="360" w:lineRule="auto"/>
        <w:ind w:firstLine="420" w:firstLineChars="200"/>
        <w:rPr>
          <w:rFonts w:eastAsia="宋体"/>
          <w:color w:val="000000"/>
        </w:rPr>
      </w:pPr>
      <w:r>
        <w:rPr>
          <w:rFonts w:hint="eastAsia" w:eastAsia="宋体"/>
          <w:color w:val="000000"/>
        </w:rPr>
        <w:t>（三）未经对方书面同意，任何一方不得转让其在本协议中的权利或义务。</w:t>
      </w:r>
    </w:p>
    <w:p w14:paraId="2F23CC61">
      <w:pPr>
        <w:spacing w:line="360" w:lineRule="auto"/>
        <w:rPr>
          <w:rFonts w:eastAsia="宋体"/>
          <w:color w:val="000000"/>
        </w:rPr>
      </w:pPr>
      <w:r>
        <w:rPr>
          <w:rFonts w:hint="eastAsia" w:eastAsia="宋体"/>
          <w:color w:val="000000"/>
        </w:rPr>
        <w:t xml:space="preserve">    （四）本协议中如有一项或多项条款在任何方面根据任何适用法律是不合法、无效或不可执行的，且不影响到本协议整体效力的，则本协议的其它条款仍应完全有效并应被执行。</w:t>
      </w:r>
    </w:p>
    <w:p w14:paraId="1F4282C1">
      <w:pPr>
        <w:spacing w:line="360" w:lineRule="auto"/>
        <w:ind w:firstLine="420" w:firstLineChars="200"/>
        <w:rPr>
          <w:rFonts w:eastAsia="宋体"/>
          <w:color w:val="000000"/>
        </w:rPr>
      </w:pPr>
      <w:r>
        <w:rPr>
          <w:rFonts w:hint="eastAsia" w:eastAsia="宋体"/>
          <w:color w:val="000000"/>
        </w:rPr>
        <w:t>（五）一方当事人没有或延迟行使本协议项下的任何权利不构成对该权利的放弃，任何权利的放弃必须以书面形式正式做出。</w:t>
      </w:r>
    </w:p>
    <w:p w14:paraId="668A746E">
      <w:pPr>
        <w:spacing w:line="360" w:lineRule="auto"/>
        <w:ind w:firstLine="420" w:firstLineChars="200"/>
        <w:rPr>
          <w:rFonts w:eastAsia="宋体"/>
          <w:color w:val="000000"/>
        </w:rPr>
      </w:pPr>
      <w:r>
        <w:rPr>
          <w:rFonts w:hint="eastAsia" w:eastAsia="宋体"/>
          <w:color w:val="000000"/>
        </w:rPr>
        <w:t>（六）双方都承认，如有违本协议，因此而造成的损失将难以估量，并承诺：甲方可以向法院或有关部门申请保护措施，来保护自己的正当权利，该等权利的行使不影响其继续享有和行使其他权利和补偿权。</w:t>
      </w:r>
    </w:p>
    <w:p w14:paraId="6C2F2321">
      <w:pPr>
        <w:spacing w:line="360" w:lineRule="auto"/>
        <w:ind w:firstLine="420" w:firstLineChars="200"/>
        <w:rPr>
          <w:rFonts w:eastAsia="宋体"/>
          <w:color w:val="000000"/>
        </w:rPr>
      </w:pPr>
      <w:r>
        <w:rPr>
          <w:rFonts w:hint="eastAsia" w:eastAsia="宋体"/>
          <w:color w:val="000000"/>
        </w:rPr>
        <w:t>（七）本协议及其附件（如有）构成了甲方和乙方之间就本协议项下相关事宜达成的全部和唯一的协议，并取代了一切先前达成的谅解、安排、约定或通信。</w:t>
      </w:r>
    </w:p>
    <w:p w14:paraId="4294D3A4">
      <w:pPr>
        <w:spacing w:line="360" w:lineRule="auto"/>
        <w:ind w:firstLine="420" w:firstLineChars="200"/>
        <w:rPr>
          <w:rFonts w:eastAsia="宋体"/>
          <w:color w:val="000000"/>
        </w:rPr>
      </w:pPr>
      <w:r>
        <w:rPr>
          <w:rFonts w:hint="eastAsia" w:eastAsia="宋体"/>
          <w:color w:val="000000"/>
        </w:rPr>
        <w:t>（八）本协议作为合同的附件，与合同具有同等法律效力。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8992C6A">
      <w:pPr>
        <w:spacing w:line="360" w:lineRule="auto"/>
        <w:jc w:val="left"/>
        <w:outlineLvl w:val="9"/>
        <w:rPr>
          <w:rFonts w:hint="eastAsia" w:cs="Times New Roman" w:asciiTheme="minorEastAsia" w:hAnsiTheme="minorEastAsia"/>
          <w:szCs w:val="21"/>
        </w:rPr>
      </w:pPr>
    </w:p>
    <w:bookmarkEnd w:id="329"/>
    <w:p w14:paraId="1E19E6BE">
      <w:pPr>
        <w:keepNext/>
        <w:keepLines/>
        <w:wordWrap w:val="0"/>
        <w:jc w:val="center"/>
        <w:outlineLvl w:val="0"/>
        <w:rPr>
          <w:rFonts w:hint="eastAsia" w:ascii="黑体" w:hAnsi="黑体" w:eastAsia="黑体" w:cs="Times New Roman"/>
        </w:rPr>
      </w:pPr>
      <w:r>
        <w:rPr>
          <w:rFonts w:ascii="宋体" w:hAnsi="宋体" w:eastAsia="宋体" w:cs="Times New Roman"/>
          <w:b/>
          <w:sz w:val="28"/>
          <w:szCs w:val="28"/>
        </w:rPr>
        <w:br w:type="page"/>
      </w:r>
      <w:bookmarkStart w:id="510" w:name="_Toc9555"/>
      <w:bookmarkStart w:id="511" w:name="_Toc19342"/>
      <w:bookmarkStart w:id="512" w:name="_Toc13802"/>
      <w:r>
        <w:rPr>
          <w:rFonts w:hint="eastAsia" w:ascii="Times New Roman" w:hAnsi="Times New Roman" w:eastAsia="黑体" w:cs="Times New Roman"/>
          <w:b/>
          <w:bCs/>
          <w:kern w:val="0"/>
          <w:sz w:val="32"/>
          <w:szCs w:val="32"/>
        </w:rPr>
        <w:t xml:space="preserve">第五章 </w:t>
      </w:r>
      <w:bookmarkEnd w:id="314"/>
      <w:bookmarkEnd w:id="315"/>
      <w:r>
        <w:rPr>
          <w:rFonts w:hint="eastAsia" w:ascii="Times New Roman" w:hAnsi="Times New Roman" w:eastAsia="黑体" w:cs="Times New Roman"/>
          <w:b/>
          <w:bCs/>
          <w:kern w:val="0"/>
          <w:sz w:val="32"/>
          <w:szCs w:val="32"/>
        </w:rPr>
        <w:t xml:space="preserve"> </w:t>
      </w:r>
      <w:bookmarkEnd w:id="316"/>
      <w:bookmarkEnd w:id="317"/>
      <w:bookmarkEnd w:id="318"/>
      <w:bookmarkEnd w:id="319"/>
      <w:bookmarkEnd w:id="510"/>
      <w:bookmarkStart w:id="513" w:name="_7维修工艺及标准"/>
      <w:bookmarkEnd w:id="513"/>
      <w:bookmarkStart w:id="514" w:name="_5.2维修作业管理标准及技术要求"/>
      <w:bookmarkEnd w:id="514"/>
      <w:bookmarkStart w:id="515" w:name="_6维修工艺及标准"/>
      <w:bookmarkEnd w:id="515"/>
      <w:bookmarkStart w:id="516" w:name="_Toc4680"/>
      <w:bookmarkStart w:id="517" w:name="_Toc18654"/>
      <w:bookmarkStart w:id="518" w:name="_Toc530736603"/>
      <w:bookmarkStart w:id="519" w:name="_Toc7509"/>
      <w:r>
        <w:rPr>
          <w:rFonts w:hint="eastAsia" w:ascii="Times New Roman" w:hAnsi="Times New Roman" w:eastAsia="黑体" w:cs="Times New Roman"/>
          <w:b/>
          <w:bCs/>
          <w:kern w:val="0"/>
          <w:sz w:val="32"/>
          <w:szCs w:val="32"/>
        </w:rPr>
        <w:t>用户需求书</w:t>
      </w:r>
      <w:bookmarkEnd w:id="511"/>
      <w:bookmarkEnd w:id="512"/>
      <w:bookmarkStart w:id="520" w:name="_Toc30044"/>
      <w:bookmarkStart w:id="521" w:name="_Toc10919"/>
    </w:p>
    <w:p w14:paraId="2A79D360">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总则</w:t>
      </w:r>
    </w:p>
    <w:p w14:paraId="1FBF634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1)本《用户需求书》是对“</w:t>
      </w:r>
      <w:r>
        <w:rPr>
          <w:rFonts w:hint="eastAsia" w:ascii="Times New Roman" w:hAnsi="Times New Roman" w:eastAsia="宋体" w:cs="Times New Roman"/>
          <w:kern w:val="2"/>
          <w:sz w:val="24"/>
          <w:szCs w:val="20"/>
          <w:lang w:val="en-US" w:eastAsia="zh-CN" w:bidi="ar-SA"/>
        </w:rPr>
        <w:t>南宁市智慧出行信息化工程二期项目-公共交通协同调度系统升级项目”</w:t>
      </w:r>
      <w:r>
        <w:rPr>
          <w:rFonts w:ascii="Times New Roman" w:hAnsi="Times New Roman" w:eastAsia="宋体" w:cs="Times New Roman"/>
          <w:kern w:val="2"/>
          <w:sz w:val="24"/>
          <w:szCs w:val="20"/>
          <w:lang w:val="en-US" w:eastAsia="zh-CN" w:bidi="ar-SA"/>
        </w:rPr>
        <w:t xml:space="preserve">系统功能、系统性能、系统接口、供货范围、责任范围、技术服务、项目管理、质量控制、安装、试验和验收等的具体规定和要求。 </w:t>
      </w:r>
    </w:p>
    <w:p w14:paraId="73E925C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2)本《用户需求书》是投标人编制《技术建议书》的依据，同时也是本工程合同签订的基础。</w:t>
      </w:r>
    </w:p>
    <w:p w14:paraId="70D3D8A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 xml:space="preserve">3)投标人应仔细阅读本招标文件中的所有条款，包括各项技术规格，逐条明确答复、实质性响应和提出详细的技术建议书，在技术建议书及技术表格中不得出现“近似”、“大约” 等用词。对于每条要求详细写出参数、规格或方案。其中投标人提供的技术建议书应包括但不限于：系统构成、系统功能、系统及设备的各项技术指标、与各系统接口需求及对招标文件其它要求的响应。 </w:t>
      </w:r>
    </w:p>
    <w:p w14:paraId="1E33805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4)投标人应有针对性地提供适用于</w:t>
      </w:r>
      <w:r>
        <w:rPr>
          <w:rFonts w:hint="eastAsia" w:ascii="Times New Roman" w:hAnsi="Times New Roman" w:eastAsia="宋体" w:cs="Times New Roman"/>
          <w:kern w:val="2"/>
          <w:sz w:val="24"/>
          <w:szCs w:val="20"/>
          <w:lang w:val="en-US" w:eastAsia="zh-CN" w:bidi="ar-SA"/>
        </w:rPr>
        <w:t>“南宁市智慧出行信息化工程二期项目-公共交通协同调度系统升级项目</w:t>
      </w:r>
      <w:r>
        <w:rPr>
          <w:rFonts w:ascii="Times New Roman" w:hAnsi="Times New Roman" w:eastAsia="宋体" w:cs="Times New Roman"/>
          <w:kern w:val="2"/>
          <w:sz w:val="24"/>
          <w:szCs w:val="20"/>
          <w:lang w:val="en-US" w:eastAsia="zh-CN" w:bidi="ar-SA"/>
        </w:rPr>
        <w:t>”的解决方案、产品及服务。投标人提供的系统应是一个全面满足招标人需求的、完整的系统，投标人对本次建设系统的完整性、可靠性、稳定性、适用性、安全性承担完全责任。</w:t>
      </w:r>
    </w:p>
    <w:p w14:paraId="1312E83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5</w:t>
      </w:r>
      <w:r>
        <w:rPr>
          <w:rFonts w:ascii="Times New Roman" w:hAnsi="Times New Roman" w:eastAsia="宋体" w:cs="Times New Roman"/>
          <w:kern w:val="2"/>
          <w:sz w:val="24"/>
          <w:szCs w:val="20"/>
          <w:lang w:val="en-US" w:eastAsia="zh-CN" w:bidi="ar-SA"/>
        </w:rPr>
        <w:t>)对工作站</w:t>
      </w:r>
      <w:r>
        <w:rPr>
          <w:rFonts w:hint="eastAsia" w:ascii="Times New Roman" w:hAnsi="Times New Roman" w:eastAsia="宋体" w:cs="Times New Roman"/>
          <w:kern w:val="2"/>
          <w:sz w:val="24"/>
          <w:szCs w:val="20"/>
          <w:lang w:val="en-US" w:eastAsia="zh-CN" w:bidi="ar-SA"/>
        </w:rPr>
        <w:t>、采集终端</w:t>
      </w:r>
      <w:r>
        <w:rPr>
          <w:rFonts w:ascii="Times New Roman" w:hAnsi="Times New Roman" w:eastAsia="宋体" w:cs="Times New Roman"/>
          <w:kern w:val="2"/>
          <w:sz w:val="24"/>
          <w:szCs w:val="20"/>
          <w:lang w:val="en-US" w:eastAsia="zh-CN" w:bidi="ar-SA"/>
        </w:rPr>
        <w:t xml:space="preserve">等更新换代迅速的通用设备，在工程供货时，应按照合同价格采购市场主流设备，并经招标人审核确认。投标人的责任并不因此而减少。对于投标人选择的关键设备及主要器材的品牌、型号和数量，招标人经市场调研后认为可行的给予认同，否则招标人可行使否决权，投标人的责任并不因此而减少。 </w:t>
      </w:r>
    </w:p>
    <w:p w14:paraId="3CA4BB3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6</w:t>
      </w:r>
      <w:r>
        <w:rPr>
          <w:rFonts w:ascii="Times New Roman" w:hAnsi="Times New Roman" w:eastAsia="宋体" w:cs="Times New Roman"/>
          <w:kern w:val="2"/>
          <w:sz w:val="24"/>
          <w:szCs w:val="20"/>
          <w:lang w:val="en-US" w:eastAsia="zh-CN" w:bidi="ar-SA"/>
        </w:rPr>
        <w:t>)投标人应提供完善的设备</w:t>
      </w:r>
      <w:r>
        <w:rPr>
          <w:rFonts w:hint="eastAsia" w:ascii="Times New Roman" w:hAnsi="Times New Roman" w:eastAsia="宋体" w:cs="Times New Roman"/>
          <w:kern w:val="2"/>
          <w:sz w:val="24"/>
          <w:szCs w:val="20"/>
          <w:lang w:val="en-US" w:eastAsia="zh-CN" w:bidi="ar-SA"/>
        </w:rPr>
        <w:t>、系统</w:t>
      </w:r>
      <w:r>
        <w:rPr>
          <w:rFonts w:ascii="Times New Roman" w:hAnsi="Times New Roman" w:eastAsia="宋体" w:cs="Times New Roman"/>
          <w:kern w:val="2"/>
          <w:sz w:val="24"/>
          <w:szCs w:val="20"/>
          <w:lang w:val="en-US" w:eastAsia="zh-CN" w:bidi="ar-SA"/>
        </w:rPr>
        <w:t>维护方案、措施及质保服务以确保系统正常运行，并对质量保证期后的运行维护提供技术支持和对在系统生命周期内的终身维修服务</w:t>
      </w: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 xml:space="preserve"> </w:t>
      </w:r>
    </w:p>
    <w:p w14:paraId="3BEDCCE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7</w:t>
      </w:r>
      <w:r>
        <w:rPr>
          <w:rFonts w:ascii="Times New Roman" w:hAnsi="Times New Roman" w:eastAsia="宋体" w:cs="Times New Roman"/>
          <w:kern w:val="2"/>
          <w:sz w:val="24"/>
          <w:szCs w:val="20"/>
          <w:lang w:val="en-US" w:eastAsia="zh-CN" w:bidi="ar-SA"/>
        </w:rPr>
        <w:t xml:space="preserve">)投标人应保证整个工程项目的技术服务质量，并按招标人规定的工程进度完成各阶段的工作，服从招标人对整个工程实施和协调管理。 </w:t>
      </w:r>
    </w:p>
    <w:p w14:paraId="30FBDB9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8</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投标人承诺为本项目定义或定制开发的相关协议、数据接口、应用软件，其知识产权归招标人所有。</w:t>
      </w:r>
      <w:r>
        <w:rPr>
          <w:rFonts w:ascii="Times New Roman" w:hAnsi="Times New Roman" w:eastAsia="宋体" w:cs="Times New Roman"/>
          <w:kern w:val="2"/>
          <w:sz w:val="24"/>
          <w:szCs w:val="20"/>
          <w:lang w:val="en-US" w:eastAsia="zh-CN" w:bidi="ar-SA"/>
        </w:rPr>
        <w:t>投标人按招标人所需及时向招标人提供包括应用软件源代码、伪代码，以及接口协议、软件使用手册、维修手册、维护手册以及包括数据结构、流程等软件详细设计在内的完整的技术文件，满足招标人对软件、硬件功能的维护、修改、更新等的使用要求。</w:t>
      </w:r>
    </w:p>
    <w:p w14:paraId="2D26D34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9</w:t>
      </w:r>
      <w:r>
        <w:rPr>
          <w:rFonts w:ascii="Times New Roman" w:hAnsi="Times New Roman" w:eastAsia="宋体" w:cs="Times New Roman"/>
          <w:kern w:val="2"/>
          <w:sz w:val="24"/>
          <w:szCs w:val="20"/>
          <w:lang w:val="en-US" w:eastAsia="zh-CN" w:bidi="ar-SA"/>
        </w:rPr>
        <w:t>)投标人承诺对本工程负总责，</w:t>
      </w:r>
      <w:bookmarkStart w:id="522" w:name="_Hlk60736529"/>
      <w:r>
        <w:rPr>
          <w:rFonts w:ascii="Times New Roman" w:hAnsi="Times New Roman" w:eastAsia="宋体" w:cs="Times New Roman"/>
          <w:kern w:val="2"/>
          <w:sz w:val="24"/>
          <w:szCs w:val="20"/>
          <w:lang w:val="en-US" w:eastAsia="zh-CN" w:bidi="ar-SA"/>
        </w:rPr>
        <w:t>为本工程提供一个完整的系统，按照招标人的要求，履行工程中项目管理、系统设计、业务流程设计、接口设计、软件开发、设计联络、接口服务、设备供货、包装、运输、仓储、设备安装、系统调试、联调、测试与检验、培训、文件提供、质保服务等工作</w:t>
      </w:r>
      <w:bookmarkEnd w:id="522"/>
      <w:r>
        <w:rPr>
          <w:rFonts w:ascii="Times New Roman" w:hAnsi="Times New Roman" w:eastAsia="宋体" w:cs="Times New Roman"/>
          <w:kern w:val="2"/>
          <w:sz w:val="24"/>
          <w:szCs w:val="20"/>
          <w:lang w:val="en-US" w:eastAsia="zh-CN" w:bidi="ar-SA"/>
        </w:rPr>
        <w:t xml:space="preserve">，提供后续工程服务以及招标人要求的其他技术服务。 </w:t>
      </w:r>
    </w:p>
    <w:p w14:paraId="41B1226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0</w:t>
      </w: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对于招标人向投标人提供的任何资料文件以及投标人为提供的资料文件，投标人都应承诺仅限本项目使用，不得以任何形式外传。</w:t>
      </w:r>
    </w:p>
    <w:p w14:paraId="299A069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1</w:t>
      </w:r>
      <w:r>
        <w:rPr>
          <w:rFonts w:ascii="Times New Roman" w:hAnsi="Times New Roman" w:eastAsia="宋体" w:cs="Times New Roman"/>
          <w:kern w:val="2"/>
          <w:sz w:val="24"/>
          <w:szCs w:val="20"/>
          <w:lang w:val="en-US" w:eastAsia="zh-CN" w:bidi="ar-SA"/>
        </w:rPr>
        <w:t>)投标人承诺在系统全寿命周期内提供备品备件。</w:t>
      </w:r>
    </w:p>
    <w:p w14:paraId="3DD357E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2</w:t>
      </w:r>
      <w:r>
        <w:rPr>
          <w:rFonts w:ascii="Times New Roman" w:hAnsi="Times New Roman" w:eastAsia="宋体" w:cs="Times New Roman"/>
          <w:kern w:val="2"/>
          <w:sz w:val="24"/>
          <w:szCs w:val="20"/>
          <w:lang w:val="en-US" w:eastAsia="zh-CN" w:bidi="ar-SA"/>
        </w:rPr>
        <w:t>)投标人提供的系统和设备符合相关法律法规，由于投标人违反相关法律法规而造成招标人的损失，投标人承担全部责任。</w:t>
      </w:r>
    </w:p>
    <w:p w14:paraId="5DFE964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3</w:t>
      </w:r>
      <w:r>
        <w:rPr>
          <w:rFonts w:ascii="Times New Roman" w:hAnsi="Times New Roman" w:eastAsia="宋体" w:cs="Times New Roman"/>
          <w:kern w:val="2"/>
          <w:sz w:val="24"/>
          <w:szCs w:val="20"/>
          <w:lang w:val="en-US" w:eastAsia="zh-CN" w:bidi="ar-SA"/>
        </w:rPr>
        <w:t>)投标人应提供足够的质保服务确保系统正常运行，并承诺对质保期后的运营维护、系统扩容升级以及后续其他应用系统及设备的接入、预留接口与预留功能的实施等提供长期技术支持和服务。</w:t>
      </w:r>
    </w:p>
    <w:p w14:paraId="41B1C20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4</w:t>
      </w:r>
      <w:r>
        <w:rPr>
          <w:rFonts w:ascii="Times New Roman" w:hAnsi="Times New Roman" w:eastAsia="宋体" w:cs="Times New Roman"/>
          <w:kern w:val="2"/>
          <w:sz w:val="24"/>
          <w:szCs w:val="20"/>
          <w:lang w:val="en-US" w:eastAsia="zh-CN" w:bidi="ar-SA"/>
        </w:rPr>
        <w:t>)为确保系统的整体性能，招标人有权调整系统中各类设备的配置和数量。</w:t>
      </w:r>
    </w:p>
    <w:p w14:paraId="4511C1F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5</w:t>
      </w:r>
      <w:r>
        <w:rPr>
          <w:rFonts w:ascii="Times New Roman" w:hAnsi="Times New Roman" w:eastAsia="宋体" w:cs="Times New Roman"/>
          <w:kern w:val="2"/>
          <w:sz w:val="24"/>
          <w:szCs w:val="20"/>
          <w:lang w:val="en-US" w:eastAsia="zh-CN" w:bidi="ar-SA"/>
        </w:rPr>
        <w:t xml:space="preserve">)在本工程系统建设和使用中，由于投标人技术失误、系统缺陷等原因给招标人造成经济、社会形象等方面的损失，投标人应负全部责任。 </w:t>
      </w:r>
    </w:p>
    <w:p w14:paraId="4FB921F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6</w:t>
      </w:r>
      <w:r>
        <w:rPr>
          <w:rFonts w:ascii="Times New Roman" w:hAnsi="Times New Roman" w:eastAsia="宋体" w:cs="Times New Roman"/>
          <w:kern w:val="2"/>
          <w:sz w:val="24"/>
          <w:szCs w:val="20"/>
          <w:lang w:val="en-US" w:eastAsia="zh-CN" w:bidi="ar-SA"/>
        </w:rPr>
        <w:t xml:space="preserve">)本次工程项目系统与其他系统的接口需严格按照本招标文件规定执行。如果部分工作在本文件中未描述或工作责任方未明确，双方互相推托、敷衍时，由招标人指定工作责任方完成相关工作，本工程投标人需无条件服从，不得增加任何费用。 </w:t>
      </w:r>
    </w:p>
    <w:p w14:paraId="1DFCBA8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7</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预中标投标人在获取中标通知书之前，甲方有权要求对功能进行逐项测试，对虚假的投标方及产品制造商保留法律追究的权力。</w:t>
      </w:r>
    </w:p>
    <w:p w14:paraId="02F0814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18</w:t>
      </w:r>
      <w:r>
        <w:rPr>
          <w:rFonts w:ascii="Times New Roman" w:hAnsi="Times New Roman" w:eastAsia="宋体" w:cs="Times New Roman"/>
          <w:kern w:val="2"/>
          <w:sz w:val="24"/>
          <w:szCs w:val="20"/>
          <w:lang w:val="en-US" w:eastAsia="zh-CN" w:bidi="ar-SA"/>
        </w:rPr>
        <w:t>)本需求书的最终解释权归招标人。</w:t>
      </w:r>
    </w:p>
    <w:p w14:paraId="5CFB9B7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p>
    <w:p w14:paraId="1A74A999">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项目概况</w:t>
      </w:r>
    </w:p>
    <w:p w14:paraId="10F886AD">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项目名称</w:t>
      </w:r>
    </w:p>
    <w:p w14:paraId="2B58A8E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南宁市智慧出行信息化工程二期项目-公共交通协同调度系统升级项目</w:t>
      </w:r>
    </w:p>
    <w:p w14:paraId="450F4DFE">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建设背景</w:t>
      </w:r>
    </w:p>
    <w:p w14:paraId="6D4BDC7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近年来，南宁市深入贯彻落实国家“一带一路”发展战略以及国家关于《促进大数据发展行动纲要》、《国家信息化发展战略纲要》、《交通强国建设纲要》、《“十四五”现代综合交通运输体系发展规划》、《推进综合交通运输大数据发展行动纲要（2020—2025年）》等文件精神，已主动融入中国-东盟信息港的重大战略部署，按照“政府主导、共建共享、开放创新”原则，构建“1中心1平台3系统”智慧交通体系，重点以交通数据的整合和开放共享为抓手，基于移动互联网、大数据、云计算、物联网等新一代信息技术，大力推进智慧出行信息化系统建设，努力实现“智慧南宁”建设新突破。</w:t>
      </w:r>
    </w:p>
    <w:p w14:paraId="784FF03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为继续贯彻落实国家对于综合交通体系数字化、高效化、融合化的指导要求，以及《广西综合交通运输发展“十四五”规划》中“推进智慧交通发展，建立和完善广西出行综合信息服务系统，推行出行信息服务‘一站式’查询”的部署，特别是《南宁市综合交通运输发展“十四五”规划》明确提出要“升级智慧交通平台系统，打造智慧交通”并建设MaaS一体化出行服务系统的目标，南宁市亟需开展智慧出行信息化工程，通过整合多方式交通资源和数据资源，打破信息孤岛，将各种交通模式整合在统一的服务体系与平台上，提供全过程出行服务。平台将利用大数据进行交通供需的优化配合和运营决策，致力于建立无缝衔接的、以出行者为核心的交通一体化出行服务系统，从而为城市出行者打造一站式、无缝化的出行体验，提供更为灵活、高效、经济的“一站式”出行服务，最终推进南宁智慧交通和交通数字化转型，扎实支撑“智慧南宁”建设目标的实现。本项目为公共交通协同调度系统升级，</w:t>
      </w:r>
      <w:r>
        <w:rPr>
          <w:rFonts w:hint="eastAsia" w:ascii="宋体" w:hAnsi="宋体" w:eastAsia="宋体" w:cs="宋体"/>
          <w:kern w:val="2"/>
          <w:sz w:val="24"/>
          <w:szCs w:val="21"/>
          <w:lang w:val="en-US" w:eastAsia="zh-CN" w:bidi="ar-SA"/>
        </w:rPr>
        <w:t>作为公共交通协同监控中心（PIMC）一期的子项目</w:t>
      </w:r>
      <w:r>
        <w:rPr>
          <w:rFonts w:hint="eastAsia" w:ascii="Times New Roman" w:hAnsi="Times New Roman" w:eastAsia="宋体" w:cs="Times New Roman"/>
          <w:kern w:val="2"/>
          <w:sz w:val="24"/>
          <w:szCs w:val="20"/>
          <w:lang w:val="en-US" w:eastAsia="zh-CN" w:bidi="ar-SA"/>
        </w:rPr>
        <w:t>，聚焦完善新型基础设施、夯实统一数据底座、推动公交与轨道两网协同调度优化三项重点任务开展建设。</w:t>
      </w:r>
    </w:p>
    <w:p w14:paraId="4F6A48C6">
      <w:pPr>
        <w:widowControl w:val="0"/>
        <w:numPr>
          <w:ilvl w:val="1"/>
          <w:numId w:val="30"/>
        </w:numPr>
        <w:tabs>
          <w:tab w:val="left" w:pos="618"/>
        </w:tabs>
        <w:spacing w:line="360" w:lineRule="auto"/>
        <w:ind w:left="0" w:firstLine="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建设依据</w:t>
      </w:r>
    </w:p>
    <w:p w14:paraId="2A826607">
      <w:pPr>
        <w:widowControl w:val="0"/>
        <w:numPr>
          <w:ilvl w:val="2"/>
          <w:numId w:val="29"/>
        </w:numPr>
        <w:spacing w:line="360" w:lineRule="auto"/>
        <w:ind w:firstLine="56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政策依据</w:t>
      </w:r>
    </w:p>
    <w:p w14:paraId="169A9575">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（1）《交通强国建设纲要》</w:t>
      </w:r>
    </w:p>
    <w:p w14:paraId="46DA334A">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（2）《“十四五”现代综合交通运输体系发展规划》</w:t>
      </w:r>
    </w:p>
    <w:p w14:paraId="22D26945">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（3）《绿色交通“十四五”发展规划》</w:t>
      </w:r>
    </w:p>
    <w:p w14:paraId="00E41C4D">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（4）《“十四五”大数据产业发展规划》</w:t>
      </w:r>
    </w:p>
    <w:p w14:paraId="2E914F66">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（5）《“十四五”节能减排综合工作方案》</w:t>
      </w:r>
    </w:p>
    <w:p w14:paraId="48D91AB3">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（6）《推进综合交通运输大数据发展行动纲要（2020—2025年）》</w:t>
      </w:r>
    </w:p>
    <w:p w14:paraId="54224441">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（7）《大数据驱动的管理与决策研究重大研究计划2021年度项目指南》</w:t>
      </w:r>
    </w:p>
    <w:p w14:paraId="5FFD0C12">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（8）《关键信息基础设施安全保护条例》</w:t>
      </w:r>
    </w:p>
    <w:p w14:paraId="34C1995A">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 xml:space="preserve">（9）《关于推进交通运输行业数据资源开放共享的实施意见》 </w:t>
      </w:r>
    </w:p>
    <w:p w14:paraId="24E1EC65">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（10）《广西壮族自治区国民经济和社会发展第十四个五年规划和2035年远景目标纲要》</w:t>
      </w:r>
    </w:p>
    <w:p w14:paraId="5D8D8AB4">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（11）《广西综合交通运输发展“十四五”规划》</w:t>
      </w:r>
    </w:p>
    <w:p w14:paraId="1D72C5B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（12）《广西绿色交通“十四五”发展规划》</w:t>
      </w:r>
    </w:p>
    <w:p w14:paraId="3652884F">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（13）《南宁市综合交通运输发展“十四五”规划》</w:t>
      </w:r>
    </w:p>
    <w:p w14:paraId="286B53DA">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（14）《南宁市国土空间总体规划（2021-2035年）》</w:t>
      </w:r>
    </w:p>
    <w:p w14:paraId="170BD14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（15）《南宁市轨道交通线网智慧城轨总体规划》</w:t>
      </w:r>
    </w:p>
    <w:p w14:paraId="4079CB35">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ascii="Times New Roman" w:hAnsi="Times New Roman" w:eastAsia="黑体" w:cs="Times New Roman"/>
          <w:bCs/>
          <w:kern w:val="2"/>
          <w:sz w:val="28"/>
          <w:szCs w:val="28"/>
          <w:lang w:val="en-US" w:eastAsia="zh-CN" w:bidi="ar-SA"/>
        </w:rPr>
        <w:t>技术标准</w:t>
      </w:r>
    </w:p>
    <w:p w14:paraId="243EA147">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（1）《计算机软件需求说明编制指南》（GB/T 9385-2008）</w:t>
      </w:r>
    </w:p>
    <w:p w14:paraId="40C7B109">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（2）《信息安全技术网络安全等级保护测评要求》（GBT28448-2019）</w:t>
      </w:r>
    </w:p>
    <w:p w14:paraId="2F85A9A1">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（3）《信息安全技术 网络安全等级保护基本要求》（GB-T 22239-2019）</w:t>
      </w:r>
    </w:p>
    <w:p w14:paraId="6BF1F029">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（4）《信息技术开放系统互连网络层安全协议》（GB/T 17963）</w:t>
      </w:r>
    </w:p>
    <w:p w14:paraId="75263931">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（5）《信息安全技术信息系统通用安全技术要求》（GB/T20271-2006）</w:t>
      </w:r>
    </w:p>
    <w:p w14:paraId="344FA9BF">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（6）《计算机信息系统安全》（GA 216.1－1999）</w:t>
      </w:r>
    </w:p>
    <w:p w14:paraId="3F07653D">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（7）《信息技术设备的安全》GB4943-2011</w:t>
      </w:r>
    </w:p>
    <w:p w14:paraId="49358C87">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（8）《城市公共交通发展水平评价指标体系》GB T 35654-2017</w:t>
      </w:r>
    </w:p>
    <w:p w14:paraId="112FA161">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（9）《城市交通运行状况评价规范》GB/T 33171-2016</w:t>
      </w:r>
    </w:p>
    <w:p w14:paraId="4759FCB3">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（10）《城市公共汽电车客流调查方法》JT/T935-2014</w:t>
      </w:r>
    </w:p>
    <w:p w14:paraId="30DB01B0">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（11）《交通运输数据中心互联技术规范》（JT∕T 1224.3-2018）</w:t>
      </w:r>
    </w:p>
    <w:p w14:paraId="66A37CB7">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（12）《道路运输车辆卫星定位系统 车载视频终端技术要求》（JT T 1076—2016）</w:t>
      </w:r>
    </w:p>
    <w:p w14:paraId="07526BAA">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（13）《道路运输车辆卫星定位系统终端通讯协议及数据格式》（JT/T 808-2019）</w:t>
      </w:r>
    </w:p>
    <w:p w14:paraId="6F98E6BD">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（14）《道路运输车辆卫星定位系统 车载终端技术要求》（JT／T 794-2019）</w:t>
      </w:r>
    </w:p>
    <w:p w14:paraId="654B41C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（15）《地理信息分类与编码规则》（GB/T 25529-2010）</w:t>
      </w:r>
    </w:p>
    <w:p w14:paraId="2AB988DB">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建设原则</w:t>
      </w:r>
    </w:p>
    <w:p w14:paraId="641ACCD8">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23" w:name="_Toc18422892"/>
      <w:bookmarkStart w:id="524" w:name="_Toc18424176"/>
      <w:bookmarkStart w:id="525" w:name="_Toc17299083"/>
      <w:r>
        <w:rPr>
          <w:rFonts w:hint="eastAsia" w:ascii="Times New Roman" w:hAnsi="Times New Roman" w:eastAsia="宋体" w:cs="Times New Roman"/>
          <w:bCs/>
          <w:kern w:val="2"/>
          <w:sz w:val="24"/>
          <w:szCs w:val="24"/>
          <w:lang w:val="en-US" w:eastAsia="zh-CN" w:bidi="ar-SA"/>
        </w:rPr>
        <w:t>经济性</w:t>
      </w:r>
      <w:bookmarkEnd w:id="523"/>
      <w:bookmarkEnd w:id="524"/>
      <w:bookmarkEnd w:id="525"/>
    </w:p>
    <w:p w14:paraId="7ADA1D4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系统建设时尽可能利用现有的软硬件资源和网络资源，充分发挥前期工程设备的价值，减少不必要的设备投资。</w:t>
      </w:r>
    </w:p>
    <w:p w14:paraId="297C1EA5">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26" w:name="_Toc18424177"/>
      <w:bookmarkStart w:id="527" w:name="_Toc17299084"/>
      <w:bookmarkStart w:id="528" w:name="_Toc18422893"/>
      <w:r>
        <w:rPr>
          <w:rFonts w:hint="eastAsia" w:ascii="Times New Roman" w:hAnsi="Times New Roman" w:eastAsia="宋体" w:cs="Times New Roman"/>
          <w:bCs/>
          <w:kern w:val="2"/>
          <w:sz w:val="24"/>
          <w:szCs w:val="24"/>
          <w:lang w:val="en-US" w:eastAsia="zh-CN" w:bidi="ar-SA"/>
        </w:rPr>
        <w:t>规范性和统一性</w:t>
      </w:r>
      <w:bookmarkEnd w:id="526"/>
      <w:bookmarkEnd w:id="527"/>
      <w:bookmarkEnd w:id="528"/>
    </w:p>
    <w:p w14:paraId="19C0519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系统的软件、硬件均应符合相关的国际、国内标准，不同厂商开发的系统应保持统一的业务功能、统一衡量标准。</w:t>
      </w:r>
    </w:p>
    <w:p w14:paraId="0FD4C5AF">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29" w:name="_Toc17299085"/>
      <w:bookmarkStart w:id="530" w:name="_Toc18422894"/>
      <w:bookmarkStart w:id="531" w:name="_Toc18424178"/>
      <w:r>
        <w:rPr>
          <w:rFonts w:hint="eastAsia" w:ascii="Times New Roman" w:hAnsi="Times New Roman" w:eastAsia="宋体" w:cs="Times New Roman"/>
          <w:bCs/>
          <w:kern w:val="2"/>
          <w:sz w:val="24"/>
          <w:szCs w:val="24"/>
          <w:lang w:val="en-US" w:eastAsia="zh-CN" w:bidi="ar-SA"/>
        </w:rPr>
        <w:t>开放性</w:t>
      </w:r>
      <w:bookmarkEnd w:id="529"/>
      <w:bookmarkEnd w:id="530"/>
      <w:bookmarkEnd w:id="531"/>
    </w:p>
    <w:p w14:paraId="40AD892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系统支持各个层次的多种协议，支持与其他系统的互通、互联；向不同业务管理部门提供所需资源和分析结果；支持多种软件、硬件平台。</w:t>
      </w:r>
    </w:p>
    <w:p w14:paraId="0EC930D8">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32" w:name="_Toc17299086"/>
      <w:bookmarkStart w:id="533" w:name="_Toc18424179"/>
      <w:bookmarkStart w:id="534" w:name="_Toc18422895"/>
      <w:r>
        <w:rPr>
          <w:rFonts w:hint="eastAsia" w:ascii="Times New Roman" w:hAnsi="Times New Roman" w:eastAsia="宋体" w:cs="Times New Roman"/>
          <w:bCs/>
          <w:kern w:val="2"/>
          <w:sz w:val="24"/>
          <w:szCs w:val="24"/>
          <w:lang w:val="en-US" w:eastAsia="zh-CN" w:bidi="ar-SA"/>
        </w:rPr>
        <w:t>准确性与实时性</w:t>
      </w:r>
      <w:bookmarkEnd w:id="532"/>
      <w:bookmarkEnd w:id="533"/>
      <w:bookmarkEnd w:id="534"/>
    </w:p>
    <w:p w14:paraId="6B83490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系统应采用可靠的设计，保障数据处理的准确性和实时性，并提供多种检索核查手段。</w:t>
      </w:r>
    </w:p>
    <w:p w14:paraId="4C05F270">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35" w:name="_Toc18424180"/>
      <w:bookmarkStart w:id="536" w:name="_Toc17299087"/>
      <w:bookmarkStart w:id="537" w:name="_Toc18422896"/>
      <w:r>
        <w:rPr>
          <w:rFonts w:hint="eastAsia" w:ascii="Times New Roman" w:hAnsi="Times New Roman" w:eastAsia="宋体" w:cs="Times New Roman"/>
          <w:bCs/>
          <w:kern w:val="2"/>
          <w:sz w:val="24"/>
          <w:szCs w:val="24"/>
          <w:lang w:val="en-US" w:eastAsia="zh-CN" w:bidi="ar-SA"/>
        </w:rPr>
        <w:t>安全性与可靠性</w:t>
      </w:r>
      <w:bookmarkEnd w:id="535"/>
      <w:bookmarkEnd w:id="536"/>
      <w:bookmarkEnd w:id="537"/>
    </w:p>
    <w:p w14:paraId="525F78A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系统应提供良好的安全可靠性策略，支持多种安全可靠性技术手段，制定严格的安全可靠性管理措施。</w:t>
      </w:r>
    </w:p>
    <w:p w14:paraId="02455CF7">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38" w:name="_Toc18424181"/>
      <w:bookmarkStart w:id="539" w:name="_Toc17299088"/>
      <w:bookmarkStart w:id="540" w:name="_Toc18422897"/>
      <w:r>
        <w:rPr>
          <w:rFonts w:hint="eastAsia" w:ascii="Times New Roman" w:hAnsi="Times New Roman" w:eastAsia="宋体" w:cs="Times New Roman"/>
          <w:bCs/>
          <w:kern w:val="2"/>
          <w:sz w:val="24"/>
          <w:szCs w:val="24"/>
          <w:lang w:val="en-US" w:eastAsia="zh-CN" w:bidi="ar-SA"/>
        </w:rPr>
        <w:t>易操作、易管理</w:t>
      </w:r>
      <w:bookmarkEnd w:id="538"/>
      <w:bookmarkEnd w:id="539"/>
      <w:bookmarkEnd w:id="540"/>
    </w:p>
    <w:p w14:paraId="0D84892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应保证用户可以方便、快捷的使用业务，操作人员可以准确获取用户信息。平台本身应具有良好的操作界面、详细的帮助信息，系统参数的维护与管理通过操作界面完成。系统应具有良好的管理手段，可管理安全设备、网络设备、服务器设备、操作系统、数据库、外场前端设备及应用等。</w:t>
      </w:r>
    </w:p>
    <w:p w14:paraId="74C0910E">
      <w:pPr>
        <w:widowControl w:val="0"/>
        <w:numPr>
          <w:ilvl w:val="4"/>
          <w:numId w:val="29"/>
        </w:numPr>
        <w:spacing w:line="360" w:lineRule="auto"/>
        <w:ind w:left="100" w:right="100" w:firstLine="113" w:firstLineChars="0"/>
        <w:jc w:val="both"/>
        <w:outlineLvl w:val="4"/>
        <w:rPr>
          <w:rFonts w:ascii="Times New Roman" w:hAnsi="Times New Roman" w:eastAsia="宋体" w:cs="Times New Roman"/>
          <w:bCs/>
          <w:kern w:val="2"/>
          <w:sz w:val="24"/>
          <w:szCs w:val="24"/>
          <w:lang w:val="en-US" w:eastAsia="zh-CN" w:bidi="ar-SA"/>
        </w:rPr>
      </w:pPr>
      <w:bookmarkStart w:id="541" w:name="_Toc17299089"/>
      <w:bookmarkStart w:id="542" w:name="_Toc18422898"/>
      <w:bookmarkStart w:id="543" w:name="_Toc18424182"/>
      <w:r>
        <w:rPr>
          <w:rFonts w:hint="eastAsia" w:ascii="Times New Roman" w:hAnsi="Times New Roman" w:eastAsia="宋体" w:cs="Times New Roman"/>
          <w:bCs/>
          <w:kern w:val="2"/>
          <w:sz w:val="24"/>
          <w:szCs w:val="24"/>
          <w:lang w:val="en-US" w:eastAsia="zh-CN" w:bidi="ar-SA"/>
        </w:rPr>
        <w:t>可扩展性</w:t>
      </w:r>
      <w:bookmarkEnd w:id="541"/>
      <w:bookmarkEnd w:id="542"/>
      <w:bookmarkEnd w:id="543"/>
    </w:p>
    <w:p w14:paraId="7E1C7C2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硬件上应具有高扩展性，主要服务器可以通过纵向增加</w:t>
      </w:r>
      <w:r>
        <w:rPr>
          <w:rFonts w:ascii="Times New Roman" w:hAnsi="Times New Roman" w:eastAsia="宋体" w:cs="Times New Roman"/>
          <w:kern w:val="2"/>
          <w:sz w:val="24"/>
          <w:szCs w:val="20"/>
          <w:lang w:val="en-US" w:eastAsia="zh-CN" w:bidi="ar-SA"/>
        </w:rPr>
        <w:t>CPU</w:t>
      </w:r>
      <w:r>
        <w:rPr>
          <w:rFonts w:hint="eastAsia" w:ascii="Times New Roman" w:hAnsi="Times New Roman" w:eastAsia="宋体" w:cs="Times New Roman"/>
          <w:kern w:val="2"/>
          <w:sz w:val="24"/>
          <w:szCs w:val="20"/>
          <w:lang w:val="en-US" w:eastAsia="zh-CN" w:bidi="ar-SA"/>
        </w:rPr>
        <w:t>、内存和横向增加主机数量来灵活地扩展处理能力，网络设备扩容板卡就可以满足用户增长需求。软件采用模块化、组件化设计原则，软件设计采用分层的面向对象的方法，软件模块可以做到热插拔，可以灵活的在线新增软件功能模块而不影响现有业务的运行。</w:t>
      </w:r>
    </w:p>
    <w:p w14:paraId="1D32A6D5">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建设目标</w:t>
      </w:r>
    </w:p>
    <w:p w14:paraId="172D56D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以“完善新型基础设施，夯实统一数据底座，推动公交与轨道两网协同调度优化”为核心目标，开展 MaaS核心平台业务一期工程建设，具体目标为：</w:t>
      </w:r>
    </w:p>
    <w:p w14:paraId="75CB9DA1">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（1）完成城市级空间数据底座平台建设，实现与公交、轨道运营数据的对接渠道；</w:t>
      </w:r>
    </w:p>
    <w:p w14:paraId="0126D087">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（2）完成城轨与公交协同调度指挥系统建设及公交智能调度系统升级改造，实现公交与地铁在融合调度、联合指挥等功能的深度融合与协同运作；</w:t>
      </w:r>
    </w:p>
    <w:p w14:paraId="15B51395">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（3）完成共享（电）单车智慧监管系统建设，实现互联网租赁自行车运营调度及运营情况的可视化展示。</w:t>
      </w:r>
    </w:p>
    <w:p w14:paraId="34E536B8">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bookmarkStart w:id="544" w:name="_Hlk23271559"/>
      <w:r>
        <w:rPr>
          <w:rFonts w:hint="eastAsia" w:ascii="Times New Roman" w:hAnsi="Times New Roman" w:eastAsia="黑体" w:cs="Times New Roman"/>
          <w:bCs/>
          <w:kern w:val="2"/>
          <w:sz w:val="28"/>
          <w:szCs w:val="28"/>
          <w:lang w:val="en-US" w:eastAsia="zh-CN" w:bidi="ar-SA"/>
        </w:rPr>
        <w:t>建设内容</w:t>
      </w:r>
    </w:p>
    <w:p w14:paraId="24CBA275">
      <w:pPr>
        <w:widowControl w:val="0"/>
        <w:spacing w:line="48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（1）公共交通大数据资源中台一期建设，实现公交、轨道、城市交通等多源数据对接渠道打通；</w:t>
      </w:r>
    </w:p>
    <w:p w14:paraId="427778CC">
      <w:pPr>
        <w:widowControl w:val="0"/>
        <w:spacing w:line="48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（2）城轨与公交协同调度指挥系统一期建设，包括实时运行监测、协同调度管控、信息管理、协同调度优化模块；</w:t>
      </w:r>
    </w:p>
    <w:p w14:paraId="4B63E793">
      <w:pPr>
        <w:widowControl w:val="0"/>
        <w:spacing w:line="48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（3）公交智能调度系统升级（含客流仿真统计预测、线网实时运行监测与分析、协同地铁调度及车辆运行监控与分析模块）；</w:t>
      </w:r>
    </w:p>
    <w:p w14:paraId="67CEEFB4">
      <w:pPr>
        <w:widowControl w:val="0"/>
        <w:spacing w:line="48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（4）共享（电）单车智慧监管系统</w:t>
      </w:r>
      <w:r>
        <w:rPr>
          <w:rFonts w:ascii="宋体" w:hAnsi="宋体" w:eastAsia="宋体" w:cs="宋体"/>
          <w:kern w:val="2"/>
          <w:sz w:val="24"/>
          <w:szCs w:val="22"/>
          <w:lang w:val="en-US" w:eastAsia="zh-CN" w:bidi="ar-SA"/>
        </w:rPr>
        <w:t>一期建设；</w:t>
      </w:r>
    </w:p>
    <w:bookmarkEnd w:id="544"/>
    <w:p w14:paraId="2BE15975">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系统总体架构</w:t>
      </w:r>
    </w:p>
    <w:p w14:paraId="1BBE88D8">
      <w:pPr>
        <w:widowControl w:val="0"/>
        <w:spacing w:line="480" w:lineRule="exact"/>
        <w:ind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系统分为基础层、数据资源层、应用层，辅以保障体系。以完善新型基础设施，夯实统一数据底座，推动两网协同调度优化为目标，融合超过20类城市及交通多源数据，集成客流分析、运行监测、调度优化等核心应用，构建MaaS一期业务体系，驱动协同调度智能升级。</w:t>
      </w:r>
    </w:p>
    <w:p w14:paraId="60F90109">
      <w:pPr>
        <w:spacing w:line="360" w:lineRule="auto"/>
        <w:ind w:firstLine="0" w:firstLineChars="0"/>
        <w:jc w:val="center"/>
        <w:rPr>
          <w:rFonts w:hint="eastAsia" w:ascii="等线" w:hAnsi="等线" w:eastAsia="宋体" w:cs="Times New Roman"/>
          <w:sz w:val="20"/>
          <w:szCs w:val="18"/>
        </w:rPr>
      </w:pPr>
      <w:r>
        <w:rPr>
          <w:rFonts w:ascii="等线" w:hAnsi="等线" w:eastAsia="宋体" w:cs="Times New Roman"/>
          <w:sz w:val="24"/>
        </w:rPr>
        <w:drawing>
          <wp:inline distT="0" distB="0" distL="114300" distR="114300">
            <wp:extent cx="5269230" cy="3465195"/>
            <wp:effectExtent l="0" t="0" r="762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5269230" cy="3465195"/>
                    </a:xfrm>
                    <a:prstGeom prst="rect">
                      <a:avLst/>
                    </a:prstGeom>
                    <a:noFill/>
                    <a:ln>
                      <a:noFill/>
                    </a:ln>
                  </pic:spPr>
                </pic:pic>
              </a:graphicData>
            </a:graphic>
          </wp:inline>
        </w:drawing>
      </w:r>
    </w:p>
    <w:p w14:paraId="65BEC795">
      <w:pPr>
        <w:widowControl w:val="0"/>
        <w:spacing w:line="360" w:lineRule="auto"/>
        <w:ind w:firstLine="400" w:firstLineChars="200"/>
        <w:jc w:val="center"/>
        <w:rPr>
          <w:rFonts w:hint="eastAsia" w:ascii="等线 Light" w:hAnsi="等线 Light" w:eastAsia="黑体" w:cs="Times New Roman"/>
          <w:kern w:val="2"/>
          <w:sz w:val="20"/>
          <w:szCs w:val="18"/>
          <w:lang w:val="en-US" w:eastAsia="zh-CN" w:bidi="ar-SA"/>
        </w:rPr>
      </w:pPr>
      <w:r>
        <w:rPr>
          <w:rFonts w:hint="eastAsia" w:ascii="等线 Light" w:hAnsi="等线 Light" w:eastAsia="黑体" w:cs="Times New Roman"/>
          <w:kern w:val="2"/>
          <w:sz w:val="20"/>
          <w:szCs w:val="20"/>
          <w:lang w:val="en-US" w:eastAsia="zh-CN" w:bidi="ar-SA"/>
        </w:rPr>
        <w:t xml:space="preserve">图 </w:t>
      </w:r>
      <w:r>
        <w:rPr>
          <w:rFonts w:hint="eastAsia" w:ascii="等线 Light" w:hAnsi="等线 Light" w:eastAsia="黑体" w:cs="Times New Roman"/>
          <w:kern w:val="2"/>
          <w:sz w:val="20"/>
          <w:szCs w:val="20"/>
          <w:lang w:val="en-US" w:eastAsia="zh-CN" w:bidi="ar-SA"/>
        </w:rPr>
        <w:fldChar w:fldCharType="begin"/>
      </w:r>
      <w:r>
        <w:rPr>
          <w:rFonts w:hint="eastAsia" w:ascii="等线 Light" w:hAnsi="等线 Light" w:eastAsia="黑体" w:cs="Times New Roman"/>
          <w:kern w:val="2"/>
          <w:sz w:val="20"/>
          <w:szCs w:val="20"/>
          <w:lang w:val="en-US" w:eastAsia="zh-CN" w:bidi="ar-SA"/>
        </w:rPr>
        <w:instrText xml:space="preserve"> SEQ 图表 \* ARABIC </w:instrText>
      </w:r>
      <w:r>
        <w:rPr>
          <w:rFonts w:hint="eastAsia" w:ascii="等线 Light" w:hAnsi="等线 Light" w:eastAsia="黑体" w:cs="Times New Roman"/>
          <w:kern w:val="2"/>
          <w:sz w:val="20"/>
          <w:szCs w:val="20"/>
          <w:lang w:val="en-US" w:eastAsia="zh-CN" w:bidi="ar-SA"/>
        </w:rPr>
        <w:fldChar w:fldCharType="separate"/>
      </w:r>
      <w:r>
        <w:rPr>
          <w:rFonts w:hint="eastAsia" w:ascii="等线 Light" w:hAnsi="等线 Light" w:eastAsia="黑体" w:cs="Times New Roman"/>
          <w:kern w:val="2"/>
          <w:sz w:val="20"/>
          <w:szCs w:val="20"/>
          <w:lang w:val="en-US" w:eastAsia="zh-CN" w:bidi="ar-SA"/>
        </w:rPr>
        <w:t>1</w:t>
      </w:r>
      <w:r>
        <w:rPr>
          <w:rFonts w:hint="eastAsia" w:ascii="等线 Light" w:hAnsi="等线 Light" w:eastAsia="黑体" w:cs="Times New Roman"/>
          <w:kern w:val="2"/>
          <w:sz w:val="20"/>
          <w:szCs w:val="20"/>
          <w:lang w:val="en-US" w:eastAsia="zh-CN" w:bidi="ar-SA"/>
        </w:rPr>
        <w:fldChar w:fldCharType="end"/>
      </w:r>
      <w:r>
        <w:rPr>
          <w:rFonts w:hint="eastAsia" w:ascii="等线 Light" w:hAnsi="等线 Light" w:eastAsia="黑体" w:cs="Times New Roman"/>
          <w:kern w:val="2"/>
          <w:sz w:val="20"/>
          <w:szCs w:val="20"/>
          <w:lang w:val="en-US" w:eastAsia="zh-CN" w:bidi="ar-SA"/>
        </w:rPr>
        <w:t>总体业务</w:t>
      </w:r>
      <w:r>
        <w:rPr>
          <w:rFonts w:hint="eastAsia" w:ascii="等线 Light" w:hAnsi="等线 Light" w:eastAsia="黑体" w:cs="Times New Roman"/>
          <w:kern w:val="2"/>
          <w:sz w:val="20"/>
          <w:szCs w:val="18"/>
          <w:lang w:val="en-US" w:eastAsia="zh-CN" w:bidi="ar-SA"/>
        </w:rPr>
        <w:t>架构图</w:t>
      </w:r>
    </w:p>
    <w:p w14:paraId="21DE66D6">
      <w:pPr>
        <w:spacing w:line="360" w:lineRule="auto"/>
        <w:ind w:firstLine="0" w:firstLineChars="0"/>
        <w:rPr>
          <w:rFonts w:ascii="等线" w:hAnsi="等线" w:eastAsia="宋体" w:cs="Times New Roman"/>
          <w:sz w:val="24"/>
        </w:rPr>
      </w:pPr>
      <w:r>
        <w:rPr>
          <w:rFonts w:ascii="等线" w:hAnsi="等线" w:eastAsia="宋体" w:cs="Times New Roman"/>
          <w:sz w:val="24"/>
        </w:rPr>
        <w:drawing>
          <wp:inline distT="0" distB="0" distL="114300" distR="114300">
            <wp:extent cx="5269230" cy="3025140"/>
            <wp:effectExtent l="0" t="0" r="762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6"/>
                    <a:stretch>
                      <a:fillRect/>
                    </a:stretch>
                  </pic:blipFill>
                  <pic:spPr>
                    <a:xfrm>
                      <a:off x="0" y="0"/>
                      <a:ext cx="5269230" cy="3025140"/>
                    </a:xfrm>
                    <a:prstGeom prst="rect">
                      <a:avLst/>
                    </a:prstGeom>
                    <a:noFill/>
                    <a:ln>
                      <a:noFill/>
                    </a:ln>
                  </pic:spPr>
                </pic:pic>
              </a:graphicData>
            </a:graphic>
          </wp:inline>
        </w:drawing>
      </w:r>
    </w:p>
    <w:p w14:paraId="752311CF">
      <w:pPr>
        <w:widowControl w:val="0"/>
        <w:spacing w:line="360" w:lineRule="auto"/>
        <w:ind w:firstLine="400" w:firstLineChars="200"/>
        <w:jc w:val="center"/>
        <w:rPr>
          <w:rFonts w:hint="eastAsia" w:ascii="等线 Light" w:hAnsi="等线 Light" w:eastAsia="黑体" w:cs="Times New Roman"/>
          <w:kern w:val="2"/>
          <w:sz w:val="20"/>
          <w:szCs w:val="20"/>
          <w:lang w:val="en-US" w:eastAsia="zh-CN" w:bidi="ar-SA"/>
        </w:rPr>
      </w:pPr>
      <w:r>
        <w:rPr>
          <w:rFonts w:hint="eastAsia" w:ascii="等线 Light" w:hAnsi="等线 Light" w:eastAsia="黑体" w:cs="Times New Roman"/>
          <w:kern w:val="2"/>
          <w:sz w:val="20"/>
          <w:szCs w:val="20"/>
          <w:lang w:val="en-US" w:eastAsia="zh-CN" w:bidi="ar-SA"/>
        </w:rPr>
        <w:t>图 2总体系统</w:t>
      </w:r>
      <w:r>
        <w:rPr>
          <w:rFonts w:hint="eastAsia" w:ascii="等线 Light" w:hAnsi="等线 Light" w:eastAsia="黑体" w:cs="Times New Roman"/>
          <w:kern w:val="2"/>
          <w:sz w:val="20"/>
          <w:szCs w:val="18"/>
          <w:lang w:val="en-US" w:eastAsia="zh-CN" w:bidi="ar-SA"/>
        </w:rPr>
        <w:t>架构图</w:t>
      </w:r>
    </w:p>
    <w:p w14:paraId="55DE7713">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系统建设需求</w:t>
      </w:r>
    </w:p>
    <w:p w14:paraId="4B0C7D60">
      <w:pPr>
        <w:widowControl w:val="0"/>
        <w:numPr>
          <w:ilvl w:val="1"/>
          <w:numId w:val="29"/>
        </w:numPr>
        <w:spacing w:line="360" w:lineRule="auto"/>
        <w:ind w:firstLine="200" w:firstLineChars="0"/>
        <w:jc w:val="both"/>
        <w:outlineLvl w:val="1"/>
        <w:rPr>
          <w:rFonts w:ascii="Times New Roman" w:hAnsi="Times New Roman" w:eastAsia="黑体" w:cs="Times New Roman"/>
          <w:b/>
          <w:bCs w:val="0"/>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公共交通大数据资源中台一期建设需求</w:t>
      </w:r>
    </w:p>
    <w:p w14:paraId="2FA84D12">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城市多源数据中台</w:t>
      </w:r>
    </w:p>
    <w:p w14:paraId="2B3E8D83">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城市多源数据接入</w:t>
      </w:r>
    </w:p>
    <w:p w14:paraId="041EF56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对各类城市多源大数据（包括结构化和非结构化数据）按照统一规范和标准进行采集存储。采集存储范围包括但不限于南宁市范围内市、区、街道的各类最新数据。数据采集的内容包括：人口岗位数据、基础设施数据、出行特征数据、社会经济数据等，这些数据应为基于多源大数据处理及综合扩样校核后得到的数据，多源大数据应包括但不限于手机信令数据、基础设施数据、互联网地图数据、轨道交通线路车站数据、人口普查数据、统计年鉴数据等。</w:t>
      </w:r>
    </w:p>
    <w:p w14:paraId="4DE8CAAA">
      <w:pPr>
        <w:widowControl w:val="0"/>
        <w:numPr>
          <w:ilvl w:val="0"/>
          <w:numId w:val="31"/>
        </w:numPr>
        <w:spacing w:line="480" w:lineRule="exact"/>
        <w:ind w:left="0" w:right="0" w:firstLine="480" w:firstLineChars="200"/>
        <w:jc w:val="both"/>
        <w:outlineLvl w:val="4"/>
        <w:rPr>
          <w:rFonts w:ascii="Times New Roman" w:hAnsi="Times New Roman" w:eastAsia="宋体" w:cs="Times New Roman"/>
          <w:bCs/>
          <w:color w:val="auto"/>
          <w:kern w:val="2"/>
          <w:sz w:val="24"/>
          <w:szCs w:val="28"/>
          <w:lang w:val="en-US" w:eastAsia="zh-CN" w:bidi="ar-SA"/>
        </w:rPr>
      </w:pPr>
      <w:r>
        <w:rPr>
          <w:rFonts w:hint="eastAsia" w:ascii="Times New Roman" w:hAnsi="Times New Roman" w:eastAsia="宋体" w:cs="Times New Roman"/>
          <w:bCs/>
          <w:color w:val="auto"/>
          <w:kern w:val="2"/>
          <w:sz w:val="24"/>
          <w:szCs w:val="28"/>
          <w:lang w:val="en-US" w:eastAsia="zh-CN" w:bidi="ar-SA"/>
        </w:rPr>
        <w:t>人口岗位数据</w:t>
      </w:r>
    </w:p>
    <w:p w14:paraId="388AA23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城市人口岗位数据是衡量城市内覆盖居民居住所在地、就业所在地、不同时段的空间位置的数据集，需要支撑后续城市人口分析等诸多业务。</w:t>
      </w:r>
    </w:p>
    <w:p w14:paraId="725D309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数据内容应包括常住人口数据、就业岗位数据、分时段人口数据、流动人口数据等。</w:t>
      </w:r>
    </w:p>
    <w:p w14:paraId="425640E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常住人口数据需要支撑系统对常住人口数量、密度的统计分析。数据属性需要包括常住人口数量、常住人口密度字段，还需要附带具体时空信息，包括地理经纬度坐标、数据更新时间、数据版本号。所有数据均分为城市、区县、街道、栅格等多个尺度。</w:t>
      </w:r>
    </w:p>
    <w:p w14:paraId="0133A7B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就业岗位数据需要支撑就业岗位数量、密度的统计分析。数据属性需要包括就业岗位数量、就业岗位密度字段，还需要附带具体时空信息，包括地理经纬度坐标、数据更新时间、数据版本号。所有数据均分为城市、区县、街道、栅格等多个尺度。</w:t>
      </w:r>
    </w:p>
    <w:p w14:paraId="1D85F8F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分时段人口数据支撑不同尺度范围、全天不同时段的驻留人口数量及活跃人口数据分析。数据属性需要包括分时段人口数量、活跃人口数量字段，空间信息包括地理经纬度坐标、数据时间戳、数据更新时间、数据版本号。所有数据均分为城市、区县、街道、不同尺寸栅格等多个尺度。</w:t>
      </w:r>
    </w:p>
    <w:p w14:paraId="3A343127">
      <w:pPr>
        <w:widowControl w:val="0"/>
        <w:numPr>
          <w:ilvl w:val="0"/>
          <w:numId w:val="31"/>
        </w:numPr>
        <w:spacing w:line="480" w:lineRule="exact"/>
        <w:ind w:left="0" w:right="0" w:firstLine="480" w:firstLineChars="200"/>
        <w:jc w:val="both"/>
        <w:outlineLvl w:val="4"/>
        <w:rPr>
          <w:rFonts w:ascii="Times New Roman" w:hAnsi="Times New Roman" w:eastAsia="宋体" w:cs="Times New Roman"/>
          <w:bCs/>
          <w:color w:val="auto"/>
          <w:kern w:val="2"/>
          <w:sz w:val="24"/>
          <w:szCs w:val="28"/>
          <w:lang w:val="en-US" w:eastAsia="zh-CN" w:bidi="ar-SA"/>
        </w:rPr>
      </w:pPr>
      <w:r>
        <w:rPr>
          <w:rFonts w:hint="eastAsia" w:ascii="Times New Roman" w:hAnsi="Times New Roman" w:eastAsia="宋体" w:cs="Times New Roman"/>
          <w:bCs/>
          <w:color w:val="auto"/>
          <w:kern w:val="2"/>
          <w:sz w:val="24"/>
          <w:szCs w:val="28"/>
          <w:lang w:val="en-US" w:eastAsia="zh-CN" w:bidi="ar-SA"/>
        </w:rPr>
        <w:t>基础设施数据</w:t>
      </w:r>
    </w:p>
    <w:p w14:paraId="651B0D51">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支撑城市不同尺度范围公共设施覆盖及服务水平分析。数据属性需要包括设施名称、设施类型，空间信息包括地理经纬度坐标、数据更新时间、数据版本号。</w:t>
      </w:r>
    </w:p>
    <w:p w14:paraId="5BBDAA9E">
      <w:pPr>
        <w:widowControl w:val="0"/>
        <w:numPr>
          <w:ilvl w:val="0"/>
          <w:numId w:val="31"/>
        </w:numPr>
        <w:spacing w:line="480" w:lineRule="exact"/>
        <w:ind w:left="0" w:right="0" w:firstLine="480" w:firstLineChars="200"/>
        <w:jc w:val="both"/>
        <w:outlineLvl w:val="4"/>
        <w:rPr>
          <w:rFonts w:ascii="Times New Roman" w:hAnsi="Times New Roman" w:eastAsia="宋体" w:cs="Times New Roman"/>
          <w:bCs/>
          <w:color w:val="auto"/>
          <w:kern w:val="2"/>
          <w:sz w:val="24"/>
          <w:szCs w:val="28"/>
          <w:lang w:val="en-US" w:eastAsia="zh-CN" w:bidi="ar-SA"/>
        </w:rPr>
      </w:pPr>
      <w:r>
        <w:rPr>
          <w:rFonts w:hint="eastAsia" w:ascii="Times New Roman" w:hAnsi="Times New Roman" w:eastAsia="宋体" w:cs="Times New Roman"/>
          <w:bCs/>
          <w:color w:val="auto"/>
          <w:kern w:val="2"/>
          <w:sz w:val="24"/>
          <w:szCs w:val="28"/>
          <w:lang w:val="en-US" w:eastAsia="zh-CN" w:bidi="ar-SA"/>
        </w:rPr>
        <w:t>出行特征数据</w:t>
      </w:r>
    </w:p>
    <w:p w14:paraId="3D197CB2">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出行量数据。支撑城市不同尺度范围、全天不同时段的出行量分析等。数据属性需要包括出行量（分为发生量、吸引量），空间信息包括地理经纬度、网络空间字段、数据更新时间、数据时间戳、数据版本号、数据特征日标签。其中时间粒度以半小时为间隔，覆盖全天</w:t>
      </w:r>
      <w:r>
        <w:rPr>
          <w:rFonts w:ascii="等线" w:hAnsi="等线" w:eastAsia="宋体" w:cs="Times New Roman"/>
          <w:sz w:val="24"/>
        </w:rPr>
        <w:t>24小时。数据特征日标签包括工作日/周末划分。所有数据均分为城市、区县、街道、栅格等多个尺度</w:t>
      </w:r>
      <w:r>
        <w:rPr>
          <w:rFonts w:hint="eastAsia" w:ascii="等线" w:hAnsi="等线" w:eastAsia="宋体" w:cs="Times New Roman"/>
          <w:sz w:val="24"/>
        </w:rPr>
        <w:t>。</w:t>
      </w:r>
    </w:p>
    <w:p w14:paraId="2FB4BAF5">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出行OD数据。支撑城市不同尺度范围、全天不同时段的客流来源</w:t>
      </w:r>
      <w:r>
        <w:rPr>
          <w:rFonts w:ascii="等线" w:hAnsi="等线" w:eastAsia="宋体" w:cs="Times New Roman"/>
          <w:sz w:val="24"/>
        </w:rPr>
        <w:t>/去向分析、主要出行走廊及出行联系强度分析等。数据属性需要包括出行OD量，空间信息包括起点地理经纬度坐标、终点经纬度坐标、起终点网络空间字段、数据更新时间、数据时间戳、数据版本号、数据特征日标签。其中时间粒度以半小时为间隔，覆盖全天24小时。数据特征日标签包括工作日/周末划分。所有数据均分为城市、区县、街道、不同尺寸栅格等多个尺度</w:t>
      </w:r>
      <w:r>
        <w:rPr>
          <w:rFonts w:hint="eastAsia" w:ascii="等线" w:hAnsi="等线" w:eastAsia="宋体" w:cs="Times New Roman"/>
          <w:sz w:val="24"/>
        </w:rPr>
        <w:t>。</w:t>
      </w:r>
    </w:p>
    <w:p w14:paraId="2097BA6B">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数据扩样校核</w:t>
      </w:r>
    </w:p>
    <w:p w14:paraId="6F0A8B5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应针对数据源的原始偏差，将数据扩样校核至合理误差范围内。所提供的数据经过交通专业算法扩样校核得到，满足专业性和准确性要求。</w:t>
      </w:r>
    </w:p>
    <w:p w14:paraId="210DD52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扩样校核数据项包括但不限于：</w:t>
      </w:r>
    </w:p>
    <w:p w14:paraId="01170A6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常住人口数据按照第七次全国人口普查结果扩样，保证街道人口偏差±</w:t>
      </w:r>
      <w:r>
        <w:rPr>
          <w:rFonts w:ascii="Times New Roman" w:hAnsi="Times New Roman" w:eastAsia="宋体" w:cs="Times New Roman"/>
          <w:kern w:val="2"/>
          <w:sz w:val="24"/>
          <w:szCs w:val="20"/>
          <w:lang w:val="en-US" w:eastAsia="zh-CN" w:bidi="ar-SA"/>
        </w:rPr>
        <w:t>5%</w:t>
      </w:r>
      <w:r>
        <w:rPr>
          <w:rFonts w:hint="eastAsia" w:ascii="Times New Roman" w:hAnsi="Times New Roman" w:eastAsia="宋体" w:cs="Times New Roman"/>
          <w:kern w:val="2"/>
          <w:sz w:val="24"/>
          <w:szCs w:val="20"/>
          <w:lang w:val="en-US" w:eastAsia="zh-CN" w:bidi="ar-SA"/>
        </w:rPr>
        <w:t>，后续服务期需满足与统计年鉴公布数据人口偏差</w:t>
      </w:r>
      <w:r>
        <w:rPr>
          <w:rFonts w:ascii="Times New Roman" w:hAnsi="Times New Roman" w:eastAsia="宋体" w:cs="Times New Roman"/>
          <w:kern w:val="2"/>
          <w:sz w:val="24"/>
          <w:szCs w:val="20"/>
          <w:lang w:val="en-US" w:eastAsia="zh-CN" w:bidi="ar-SA"/>
        </w:rPr>
        <w:t>±15%</w:t>
      </w:r>
      <w:r>
        <w:rPr>
          <w:rFonts w:hint="eastAsia" w:ascii="Times New Roman" w:hAnsi="Times New Roman" w:eastAsia="宋体" w:cs="Times New Roman"/>
          <w:kern w:val="2"/>
          <w:sz w:val="24"/>
          <w:szCs w:val="20"/>
          <w:lang w:val="en-US" w:eastAsia="zh-CN" w:bidi="ar-SA"/>
        </w:rPr>
        <w:t>。就业岗位数据按照城市交通调查最新公布的职住比扩样校核，保证街道岗位偏差</w:t>
      </w:r>
      <w:r>
        <w:rPr>
          <w:rFonts w:ascii="Times New Roman" w:hAnsi="Times New Roman" w:eastAsia="宋体" w:cs="Times New Roman"/>
          <w:kern w:val="2"/>
          <w:sz w:val="24"/>
          <w:szCs w:val="20"/>
          <w:lang w:val="en-US" w:eastAsia="zh-CN" w:bidi="ar-SA"/>
        </w:rPr>
        <w:t>±5%</w:t>
      </w:r>
      <w:r>
        <w:rPr>
          <w:rFonts w:hint="eastAsia" w:ascii="Times New Roman" w:hAnsi="Times New Roman" w:eastAsia="宋体" w:cs="Times New Roman"/>
          <w:kern w:val="2"/>
          <w:sz w:val="24"/>
          <w:szCs w:val="20"/>
          <w:lang w:val="en-US" w:eastAsia="zh-CN" w:bidi="ar-SA"/>
        </w:rPr>
        <w:t>。</w:t>
      </w:r>
    </w:p>
    <w:p w14:paraId="0D30EB5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出行量及出行</w:t>
      </w:r>
      <w:r>
        <w:rPr>
          <w:rFonts w:ascii="Times New Roman" w:hAnsi="Times New Roman" w:eastAsia="宋体" w:cs="Times New Roman"/>
          <w:kern w:val="2"/>
          <w:sz w:val="24"/>
          <w:szCs w:val="20"/>
          <w:lang w:val="en-US" w:eastAsia="zh-CN" w:bidi="ar-SA"/>
        </w:rPr>
        <w:t>OD</w:t>
      </w:r>
      <w:r>
        <w:rPr>
          <w:rFonts w:hint="eastAsia" w:ascii="Times New Roman" w:hAnsi="Times New Roman" w:eastAsia="宋体" w:cs="Times New Roman"/>
          <w:kern w:val="2"/>
          <w:sz w:val="24"/>
          <w:szCs w:val="20"/>
          <w:lang w:val="en-US" w:eastAsia="zh-CN" w:bidi="ar-SA"/>
        </w:rPr>
        <w:t>数据按照城市交通调查最新公布的出行率进行扩样校核，保证数据误差</w:t>
      </w:r>
      <w:r>
        <w:rPr>
          <w:rFonts w:ascii="Times New Roman" w:hAnsi="Times New Roman" w:eastAsia="宋体" w:cs="Times New Roman"/>
          <w:kern w:val="2"/>
          <w:sz w:val="24"/>
          <w:szCs w:val="20"/>
          <w:lang w:val="en-US" w:eastAsia="zh-CN" w:bidi="ar-SA"/>
        </w:rPr>
        <w:t>±20%</w:t>
      </w:r>
      <w:r>
        <w:rPr>
          <w:rFonts w:hint="eastAsia" w:ascii="Times New Roman" w:hAnsi="Times New Roman" w:eastAsia="宋体" w:cs="Times New Roman"/>
          <w:kern w:val="2"/>
          <w:sz w:val="24"/>
          <w:szCs w:val="20"/>
          <w:lang w:val="en-US" w:eastAsia="zh-CN" w:bidi="ar-SA"/>
        </w:rPr>
        <w:t>。</w:t>
      </w:r>
    </w:p>
    <w:p w14:paraId="021E873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公共服务设施数据包含近年历史数据，中心城数据时间范围不超过五年，外围组团数据时间范围不超过十年。</w:t>
      </w:r>
    </w:p>
    <w:p w14:paraId="0D037934">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数据标准构建</w:t>
      </w:r>
    </w:p>
    <w:p w14:paraId="7CF9674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为了建立统一数据视图、统一数据认知，针对基础数据构建数据标准。需要结合基础数据明确编号、主题、标准中英文名称、业务依据、值域、数据格式、代码规则、标准单位、行业标准等多种数据指标。结合指标定义与数据基础，指导基础数据落标。</w:t>
      </w:r>
    </w:p>
    <w:p w14:paraId="20082EFB">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ascii="Times New Roman" w:hAnsi="Times New Roman" w:eastAsia="黑体" w:cs="Times New Roman"/>
          <w:bCs/>
          <w:kern w:val="2"/>
          <w:sz w:val="28"/>
          <w:szCs w:val="28"/>
          <w:lang w:val="en-US" w:eastAsia="zh-CN" w:bidi="ar-SA"/>
        </w:rPr>
        <w:t>人口岗位数量及分布分析展现模块</w:t>
      </w:r>
    </w:p>
    <w:p w14:paraId="2AFD222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需包含常住人口分布分析、就业岗位分布分析功能。</w:t>
      </w:r>
    </w:p>
    <w:p w14:paraId="292AE56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常住人口分布分析、就业岗位分布分析功能需支持分行政边界、自定义绘制范围查询城市范围内的人口、岗位、流动人口数据，选择范围可支持单选、多选，并进行分级渲染，可支持分级渲染色系调整。</w:t>
      </w:r>
    </w:p>
    <w:p w14:paraId="2A0D943B">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ascii="Times New Roman" w:hAnsi="Times New Roman" w:eastAsia="黑体" w:cs="Times New Roman"/>
          <w:bCs/>
          <w:kern w:val="2"/>
          <w:sz w:val="28"/>
          <w:szCs w:val="28"/>
          <w:lang w:val="en-US" w:eastAsia="zh-CN" w:bidi="ar-SA"/>
        </w:rPr>
        <w:t>人口特征分析展现模块</w:t>
      </w:r>
    </w:p>
    <w:p w14:paraId="35670BA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人口特征分析展现</w:t>
      </w:r>
      <w:r>
        <w:rPr>
          <w:rFonts w:hint="eastAsia" w:ascii="Times New Roman" w:hAnsi="Times New Roman" w:eastAsia="宋体" w:cs="Times New Roman"/>
          <w:kern w:val="2"/>
          <w:sz w:val="24"/>
          <w:szCs w:val="20"/>
          <w:lang w:val="en-US" w:eastAsia="zh-CN" w:bidi="ar-SA"/>
        </w:rPr>
        <w:t>实现分时段人口分析功能。该功能需支持分行政区、绘制范围、自定义范围查询城市范围每小时的人口数据，最细颗粒度能达到</w:t>
      </w:r>
      <w:r>
        <w:rPr>
          <w:rFonts w:ascii="Times New Roman" w:hAnsi="Times New Roman" w:eastAsia="宋体" w:cs="Times New Roman"/>
          <w:kern w:val="2"/>
          <w:sz w:val="24"/>
          <w:szCs w:val="20"/>
          <w:lang w:val="en-US" w:eastAsia="zh-CN" w:bidi="ar-SA"/>
        </w:rPr>
        <w:t>栅格，并进行分级渲染以及动态播放</w:t>
      </w:r>
      <w:r>
        <w:rPr>
          <w:rFonts w:hint="eastAsia" w:ascii="Times New Roman" w:hAnsi="Times New Roman" w:eastAsia="宋体" w:cs="Times New Roman"/>
          <w:kern w:val="2"/>
          <w:sz w:val="24"/>
          <w:szCs w:val="20"/>
          <w:lang w:val="en-US" w:eastAsia="zh-CN" w:bidi="ar-SA"/>
        </w:rPr>
        <w:t>。</w:t>
      </w:r>
    </w:p>
    <w:p w14:paraId="46DEBE28">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ascii="Times New Roman" w:hAnsi="Times New Roman" w:eastAsia="黑体" w:cs="Times New Roman"/>
          <w:bCs/>
          <w:kern w:val="2"/>
          <w:sz w:val="28"/>
          <w:szCs w:val="28"/>
          <w:lang w:val="en-US" w:eastAsia="zh-CN" w:bidi="ar-SA"/>
        </w:rPr>
        <w:t>公共设施分析与展现模块</w:t>
      </w:r>
    </w:p>
    <w:p w14:paraId="0C199A79">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基础设施分析包括城市分类型的兴趣点数据，兴趣点以点进行分级渲染。</w:t>
      </w:r>
    </w:p>
    <w:p w14:paraId="5E4040D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需支持分行政区、绘制范围、自定义范围查询城市范围内的兴趣点、建筑体，兴趣点可划分为居住、商业、办公、科教文化、风景名胜、医疗保健、交通设施等类别，选中区域可统计分不同类型的兴趣点数量信息。</w:t>
      </w:r>
    </w:p>
    <w:p w14:paraId="775B9894">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需根据</w:t>
      </w:r>
      <w:r>
        <w:rPr>
          <w:rFonts w:ascii="等线" w:hAnsi="等线" w:eastAsia="宋体" w:cs="Times New Roman"/>
          <w:sz w:val="24"/>
        </w:rPr>
        <w:t>兴趣点类别，将设施分为：大类、小类，两组分类之间需相互包含，且与用地规划分类对应，需提供两组色系的分级渲染以及统计查询功能。</w:t>
      </w:r>
    </w:p>
    <w:p w14:paraId="0C4D451C">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ascii="Times New Roman" w:hAnsi="Times New Roman" w:eastAsia="黑体" w:cs="Times New Roman"/>
          <w:bCs/>
          <w:kern w:val="2"/>
          <w:sz w:val="28"/>
          <w:szCs w:val="28"/>
          <w:lang w:val="en-US" w:eastAsia="zh-CN" w:bidi="ar-SA"/>
        </w:rPr>
        <w:t>交通接驳分析与展现模块</w:t>
      </w:r>
    </w:p>
    <w:p w14:paraId="3CC3F136">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支持对研究范围（点位）的步行可达性、接驳公交站点数量、接驳公交线路数量等指标的分析并进行可视化展示。</w:t>
      </w:r>
    </w:p>
    <w:p w14:paraId="2329A4B3">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支持对于研究范围内的公交车站分布、公交站点数量、公交线路数量、站点途径公交线路等指标的分析并进行可视化展示。</w:t>
      </w:r>
    </w:p>
    <w:p w14:paraId="30A61145">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出行量</w:t>
      </w:r>
      <w:r>
        <w:rPr>
          <w:rFonts w:ascii="Times New Roman" w:hAnsi="Times New Roman" w:eastAsia="黑体" w:cs="Times New Roman"/>
          <w:bCs/>
          <w:kern w:val="2"/>
          <w:sz w:val="28"/>
          <w:szCs w:val="28"/>
          <w:lang w:val="en-US" w:eastAsia="zh-CN" w:bidi="ar-SA"/>
        </w:rPr>
        <w:t>分析与展现模块</w:t>
      </w:r>
    </w:p>
    <w:p w14:paraId="724C69B0">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出行量分析功能实现任意区域、时间范围的出行发生量、吸引量查询分析及可视化展示。</w:t>
      </w:r>
    </w:p>
    <w:p w14:paraId="6B71CAC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支持分行政区、绘制范围、自定义范围进行空间筛选，支持选定工作日</w:t>
      </w:r>
      <w:r>
        <w:rPr>
          <w:rFonts w:ascii="等线" w:hAnsi="等线" w:eastAsia="宋体" w:cs="Times New Roman"/>
          <w:sz w:val="24"/>
        </w:rPr>
        <w:t>/周末不同时间段（时间粒度不大于30分钟）</w:t>
      </w:r>
      <w:r>
        <w:rPr>
          <w:rFonts w:hint="eastAsia" w:ascii="等线" w:hAnsi="等线" w:eastAsia="宋体" w:cs="Times New Roman"/>
          <w:sz w:val="24"/>
        </w:rPr>
        <w:t>进行时间筛选，支持查询指标包括出行</w:t>
      </w:r>
      <w:r>
        <w:rPr>
          <w:rFonts w:ascii="等线" w:hAnsi="等线" w:eastAsia="宋体" w:cs="Times New Roman"/>
          <w:sz w:val="24"/>
        </w:rPr>
        <w:t>发生</w:t>
      </w:r>
      <w:r>
        <w:rPr>
          <w:rFonts w:hint="eastAsia" w:ascii="等线" w:hAnsi="等线" w:eastAsia="宋体" w:cs="Times New Roman"/>
          <w:sz w:val="24"/>
        </w:rPr>
        <w:t>量</w:t>
      </w:r>
      <w:r>
        <w:rPr>
          <w:rFonts w:ascii="等线" w:hAnsi="等线" w:eastAsia="宋体" w:cs="Times New Roman"/>
          <w:sz w:val="24"/>
        </w:rPr>
        <w:t>、吸引量，</w:t>
      </w:r>
      <w:r>
        <w:rPr>
          <w:rFonts w:hint="eastAsia" w:ascii="等线" w:hAnsi="等线" w:eastAsia="宋体" w:cs="Times New Roman"/>
          <w:sz w:val="24"/>
        </w:rPr>
        <w:t>支持基于地图的网格可视化渲染，支持对出行量进行</w:t>
      </w:r>
      <w:r>
        <w:rPr>
          <w:rFonts w:ascii="等线" w:hAnsi="等线" w:eastAsia="宋体" w:cs="Times New Roman"/>
          <w:sz w:val="24"/>
        </w:rPr>
        <w:t>分级渲染</w:t>
      </w:r>
      <w:r>
        <w:rPr>
          <w:rFonts w:hint="eastAsia" w:ascii="等线" w:hAnsi="等线" w:eastAsia="宋体" w:cs="Times New Roman"/>
          <w:sz w:val="24"/>
        </w:rPr>
        <w:t>。</w:t>
      </w:r>
    </w:p>
    <w:p w14:paraId="74242F99">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出行量分析可支持对所选不同区域的快速统计分析。</w:t>
      </w:r>
    </w:p>
    <w:p w14:paraId="200BBC79">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ascii="Times New Roman" w:hAnsi="Times New Roman" w:eastAsia="黑体" w:cs="Times New Roman"/>
          <w:bCs/>
          <w:kern w:val="2"/>
          <w:sz w:val="28"/>
          <w:szCs w:val="28"/>
          <w:lang w:val="en-US" w:eastAsia="zh-CN" w:bidi="ar-SA"/>
        </w:rPr>
        <w:t>出行OD分析</w:t>
      </w:r>
      <w:r>
        <w:rPr>
          <w:rFonts w:hint="eastAsia" w:ascii="Times New Roman" w:hAnsi="Times New Roman" w:eastAsia="黑体" w:cs="Times New Roman"/>
          <w:bCs/>
          <w:kern w:val="2"/>
          <w:sz w:val="28"/>
          <w:szCs w:val="28"/>
          <w:lang w:val="en-US" w:eastAsia="zh-CN" w:bidi="ar-SA"/>
        </w:rPr>
        <w:t>与</w:t>
      </w:r>
      <w:r>
        <w:rPr>
          <w:rFonts w:ascii="Times New Roman" w:hAnsi="Times New Roman" w:eastAsia="黑体" w:cs="Times New Roman"/>
          <w:bCs/>
          <w:kern w:val="2"/>
          <w:sz w:val="28"/>
          <w:szCs w:val="28"/>
          <w:lang w:val="en-US" w:eastAsia="zh-CN" w:bidi="ar-SA"/>
        </w:rPr>
        <w:t>展现模块</w:t>
      </w:r>
    </w:p>
    <w:p w14:paraId="43C095D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出行OD分析功能实现任意区域范围间的出行OD量分析及可视化。</w:t>
      </w:r>
    </w:p>
    <w:p w14:paraId="24EB4BF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支持分别分</w:t>
      </w:r>
      <w:r>
        <w:rPr>
          <w:rFonts w:ascii="Times New Roman" w:hAnsi="Times New Roman" w:eastAsia="宋体" w:cs="Times New Roman"/>
          <w:kern w:val="2"/>
          <w:sz w:val="24"/>
          <w:szCs w:val="20"/>
          <w:lang w:val="en-US" w:eastAsia="zh-CN" w:bidi="ar-SA"/>
        </w:rPr>
        <w:t>O端、D端对行政区、绘制范围、自定义范围查询城市范围内工作日/周末不同时间段的出行量</w:t>
      </w:r>
      <w:r>
        <w:rPr>
          <w:rFonts w:hint="eastAsia" w:ascii="Times New Roman" w:hAnsi="Times New Roman" w:eastAsia="宋体" w:cs="Times New Roman"/>
          <w:kern w:val="2"/>
          <w:sz w:val="24"/>
          <w:szCs w:val="20"/>
          <w:lang w:val="en-US" w:eastAsia="zh-CN" w:bidi="ar-SA"/>
        </w:rPr>
        <w:t>；支持基于地图的出行期望线可视化及分级渲染。出行</w:t>
      </w:r>
      <w:r>
        <w:rPr>
          <w:rFonts w:ascii="Times New Roman" w:hAnsi="Times New Roman" w:eastAsia="宋体" w:cs="Times New Roman"/>
          <w:kern w:val="2"/>
          <w:sz w:val="24"/>
          <w:szCs w:val="20"/>
          <w:lang w:val="en-US" w:eastAsia="zh-CN" w:bidi="ar-SA"/>
        </w:rPr>
        <w:t>OD空间范围可支持</w:t>
      </w:r>
      <w:r>
        <w:rPr>
          <w:rFonts w:hint="eastAsia" w:ascii="Times New Roman" w:hAnsi="Times New Roman" w:eastAsia="宋体" w:cs="Times New Roman"/>
          <w:kern w:val="2"/>
          <w:sz w:val="24"/>
          <w:szCs w:val="20"/>
          <w:lang w:val="en-US" w:eastAsia="zh-CN" w:bidi="ar-SA"/>
        </w:rPr>
        <w:t>不同</w:t>
      </w:r>
      <w:r>
        <w:rPr>
          <w:rFonts w:ascii="Times New Roman" w:hAnsi="Times New Roman" w:eastAsia="宋体" w:cs="Times New Roman"/>
          <w:kern w:val="2"/>
          <w:sz w:val="24"/>
          <w:szCs w:val="20"/>
          <w:lang w:val="en-US" w:eastAsia="zh-CN" w:bidi="ar-SA"/>
        </w:rPr>
        <w:t>空间粒度的组合查询。</w:t>
      </w:r>
    </w:p>
    <w:p w14:paraId="4B87965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支持对于研究区域的客流来源分布、客流去向分布、区域间</w:t>
      </w:r>
      <w:r>
        <w:rPr>
          <w:rFonts w:ascii="Times New Roman" w:hAnsi="Times New Roman" w:eastAsia="宋体" w:cs="Times New Roman"/>
          <w:kern w:val="2"/>
          <w:sz w:val="24"/>
          <w:szCs w:val="20"/>
          <w:lang w:val="en-US" w:eastAsia="zh-CN" w:bidi="ar-SA"/>
        </w:rPr>
        <w:t>OD量等指标的分析并进行可视化展示。</w:t>
      </w:r>
    </w:p>
    <w:p w14:paraId="568380D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需根据</w:t>
      </w:r>
      <w:r>
        <w:rPr>
          <w:rFonts w:ascii="Times New Roman" w:hAnsi="Times New Roman" w:eastAsia="宋体" w:cs="Times New Roman"/>
          <w:kern w:val="2"/>
          <w:sz w:val="24"/>
          <w:szCs w:val="20"/>
          <w:lang w:val="en-US" w:eastAsia="zh-CN" w:bidi="ar-SA"/>
        </w:rPr>
        <w:t>OD排名的百分比对OD期望线进行筛选，可支持0-100%，分多档筛选。可对O点D点内生OD（O点与D点相同）的OD期望线进行筛选，可选择其是否展示并纳入统计。</w:t>
      </w:r>
    </w:p>
    <w:p w14:paraId="211E38F0">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轨道公交数据接入及治理</w:t>
      </w:r>
    </w:p>
    <w:p w14:paraId="489F3316">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交通运行数据接入</w:t>
      </w:r>
    </w:p>
    <w:p w14:paraId="3209CD7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投标人需提供交通运行数据的接入服务，接入数据包括城轨数据、外部数据、公交数据。系统应通过对内、对外接口服务器获取实时、历史数据信息，经过接口服务器接入后按数据治理的规则及要求，进行数据处理，分类分别存储到既有NOCC系统的大数据一体机或历史服务器中，经数据层处理完成后为城轨与公交协同调度的实时监测、智能调度、共享（电）单车监管等业务，提供数据服务。</w:t>
      </w:r>
    </w:p>
    <w:p w14:paraId="5F6D93A8">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交通运行数据治理</w:t>
      </w:r>
    </w:p>
    <w:p w14:paraId="3EB30F3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投标人需依托既有大数据平台构建数据支撑体系，以交通运行数据采集为基础，开展全面交通运行数据治理工作。在数据治理与管理环节，需考虑主数据、元数据、数据标准，建立数据质量管控机制，保障数据精准可靠；同时构建数据安全防护体系，通过加密存储、访问权限管控等，防止数据泄露与篡改，确保数据全生命周期安全。经治理后的数据，应实现结构化、非结构化、时序数据的适配存储，应能通过应用支撑及数据设计与研发，为城轨与公交协同调度指挥系统提供数据服务调用，保障系统数据驱动的智能化调度、监测等功能有效运行，支撑城市交通资源优化配置与高效协同。</w:t>
      </w:r>
    </w:p>
    <w:p w14:paraId="4BA52E9E">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数据管理中心</w:t>
      </w:r>
    </w:p>
    <w:p w14:paraId="685FA0C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投标人提供的系统应能通过数据任务调度统筹数据采集、数据处理、数据存储各项服务的执行，采用数据抽取搭建全方位数据采集网络，包括源自城轨系统、公交系统、外部系统的结构化数据及非结构数据，并对各项历史运营数据进行存储，为数据分析与策略优化提供数据积累。</w:t>
      </w:r>
    </w:p>
    <w:p w14:paraId="6D9A5E74">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多源数据采集</w:t>
      </w:r>
    </w:p>
    <w:p w14:paraId="05A02528">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城轨数据</w:t>
      </w:r>
    </w:p>
    <w:p w14:paraId="0235BB2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投标人提供的系统需采集但不限于以下信息：</w:t>
      </w:r>
    </w:p>
    <w:p w14:paraId="503CCFD7">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城轨线网列车到发时间；</w:t>
      </w:r>
    </w:p>
    <w:p w14:paraId="2A37E710">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城轨线网客流预测数据；</w:t>
      </w:r>
    </w:p>
    <w:p w14:paraId="1204D0BC">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城轨线网运行状态信息；</w:t>
      </w:r>
    </w:p>
    <w:p w14:paraId="7FD5ECE2">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城轨关键设备状态信息；</w:t>
      </w:r>
    </w:p>
    <w:p w14:paraId="6A3FD9CE">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城轨关联事件信息；</w:t>
      </w:r>
    </w:p>
    <w:p w14:paraId="7130B4E7">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公交数据</w:t>
      </w:r>
    </w:p>
    <w:p w14:paraId="22A0E6E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投标人提供的系统需采集但不限于以下信息：</w:t>
      </w:r>
    </w:p>
    <w:p w14:paraId="5C1CEE73">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公交车辆定位信息；</w:t>
      </w:r>
    </w:p>
    <w:p w14:paraId="60FF3F49">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公交车辆设备状态信息；</w:t>
      </w:r>
    </w:p>
    <w:p w14:paraId="26EC83A4">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公交预测客流信息；</w:t>
      </w:r>
    </w:p>
    <w:p w14:paraId="4808A15F">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公交线网实时运行图信息；</w:t>
      </w:r>
    </w:p>
    <w:p w14:paraId="20DAB8DD">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公交排班信息；</w:t>
      </w:r>
    </w:p>
    <w:p w14:paraId="7587A729">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公交运力资源池信息；</w:t>
      </w:r>
    </w:p>
    <w:p w14:paraId="3CD073D4">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共享（电）单车数据</w:t>
      </w:r>
    </w:p>
    <w:p w14:paraId="5B014842">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基础信息；</w:t>
      </w:r>
    </w:p>
    <w:p w14:paraId="5D62B663">
      <w:pPr>
        <w:numPr>
          <w:ilvl w:val="0"/>
          <w:numId w:val="32"/>
        </w:numPr>
        <w:spacing w:line="360" w:lineRule="auto"/>
        <w:ind w:left="0" w:firstLine="42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车辆信息</w:t>
      </w:r>
      <w:r>
        <w:rPr>
          <w:rFonts w:hint="eastAsia" w:ascii="Times New Roman" w:hAnsi="Times New Roman" w:eastAsia="宋体" w:cs="Times New Roman"/>
          <w:sz w:val="24"/>
          <w:szCs w:val="24"/>
          <w:lang w:eastAsia="zh-CN"/>
        </w:rPr>
        <w:t>；</w:t>
      </w:r>
    </w:p>
    <w:p w14:paraId="3ABFCCB0">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车辆位置</w:t>
      </w:r>
      <w:r>
        <w:rPr>
          <w:rFonts w:hint="eastAsia" w:ascii="Times New Roman" w:hAnsi="Times New Roman" w:eastAsia="宋体" w:cs="Times New Roman"/>
          <w:sz w:val="24"/>
          <w:szCs w:val="24"/>
          <w:lang w:val="en-US" w:eastAsia="zh-CN"/>
        </w:rPr>
        <w:t>信息；</w:t>
      </w:r>
    </w:p>
    <w:p w14:paraId="0B2A7869">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车辆轨迹</w:t>
      </w:r>
      <w:r>
        <w:rPr>
          <w:rFonts w:hint="eastAsia" w:ascii="Times New Roman" w:hAnsi="Times New Roman" w:eastAsia="宋体" w:cs="Times New Roman"/>
          <w:sz w:val="24"/>
          <w:szCs w:val="24"/>
          <w:lang w:val="en-US" w:eastAsia="zh-CN"/>
        </w:rPr>
        <w:t>信息；</w:t>
      </w:r>
    </w:p>
    <w:p w14:paraId="063D08BE">
      <w:pPr>
        <w:numPr>
          <w:ilvl w:val="0"/>
          <w:numId w:val="32"/>
        </w:numPr>
        <w:spacing w:line="360" w:lineRule="auto"/>
        <w:ind w:left="0" w:firstLine="480" w:firstLineChars="200"/>
        <w:rPr>
          <w:rFonts w:ascii="等线" w:hAnsi="等线" w:eastAsia="宋体" w:cs="Times New Roman"/>
          <w:sz w:val="24"/>
        </w:rPr>
      </w:pPr>
      <w:r>
        <w:rPr>
          <w:rFonts w:hint="eastAsia" w:ascii="Times New Roman" w:hAnsi="Times New Roman" w:eastAsia="宋体" w:cs="Times New Roman"/>
          <w:sz w:val="24"/>
          <w:szCs w:val="24"/>
        </w:rPr>
        <w:t>订单</w:t>
      </w:r>
      <w:r>
        <w:rPr>
          <w:rFonts w:hint="eastAsia" w:ascii="Times New Roman" w:hAnsi="Times New Roman" w:eastAsia="宋体" w:cs="Times New Roman"/>
          <w:sz w:val="24"/>
          <w:szCs w:val="24"/>
          <w:lang w:val="en-US" w:eastAsia="zh-CN"/>
        </w:rPr>
        <w:t>信息；</w:t>
      </w:r>
    </w:p>
    <w:p w14:paraId="43889FBF">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外部数据</w:t>
      </w:r>
    </w:p>
    <w:p w14:paraId="4279A5A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投标人提供的系统以系统采集为主，人工录入作为补充，采集但不限于以下信息：</w:t>
      </w:r>
    </w:p>
    <w:p w14:paraId="77FC45EE">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气象数据；</w:t>
      </w:r>
    </w:p>
    <w:p w14:paraId="7A6D6D86">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大型活动数据；</w:t>
      </w:r>
    </w:p>
    <w:p w14:paraId="168A0BCE">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历史数据</w:t>
      </w:r>
    </w:p>
    <w:p w14:paraId="29E6AED3">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投标人提供的系统需采集及管理以下历史数据：</w:t>
      </w:r>
    </w:p>
    <w:p w14:paraId="22D12AF5">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城轨历史运营数据；</w:t>
      </w:r>
    </w:p>
    <w:p w14:paraId="4B7E2328">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公交历史运营数据；</w:t>
      </w:r>
    </w:p>
    <w:p w14:paraId="39B5B476">
      <w:pPr>
        <w:numPr>
          <w:ilvl w:val="0"/>
          <w:numId w:val="32"/>
        </w:numPr>
        <w:spacing w:line="360" w:lineRule="auto"/>
        <w:ind w:left="0" w:firstLine="42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外部关联系统历史数据；</w:t>
      </w:r>
    </w:p>
    <w:p w14:paraId="47E68904">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数据标准化处理</w:t>
      </w:r>
    </w:p>
    <w:p w14:paraId="27825ECD">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统一时间、空间基准</w:t>
      </w:r>
    </w:p>
    <w:p w14:paraId="31BD12B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投标人提供的系统需将采集</w:t>
      </w:r>
      <w:r>
        <w:rPr>
          <w:rFonts w:hint="eastAsia" w:ascii="等线" w:hAnsi="等线" w:eastAsia="宋体" w:cs="Times New Roman"/>
          <w:sz w:val="24"/>
        </w:rPr>
        <w:t>数据</w:t>
      </w:r>
      <w:r>
        <w:rPr>
          <w:rFonts w:hint="eastAsia" w:ascii="Times New Roman" w:hAnsi="Times New Roman" w:eastAsia="宋体" w:cs="Times New Roman"/>
          <w:sz w:val="24"/>
          <w:szCs w:val="24"/>
        </w:rPr>
        <w:t>转换为统一的地理坐标系，实现两种交通方式的站点、线路等数据在地图上匹配，为实时运行监测中的动态地图展示、接驳线路规划提供空间数据基础；同时提供系统级校时机制，保证调度人员基于准确时间信息开展协同调度管理。</w:t>
      </w:r>
    </w:p>
    <w:p w14:paraId="4E0F4A69">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数据格式转换</w:t>
      </w:r>
    </w:p>
    <w:p w14:paraId="2E23AB6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投标人提供的系统需通过数据格式转换工具，自动将原始数据转换为标准格式，实现不同系统数据的高效整合与交互，确保数据的完整性和可用性。</w:t>
      </w:r>
    </w:p>
    <w:p w14:paraId="30A58552">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数据存储</w:t>
      </w:r>
    </w:p>
    <w:p w14:paraId="47806CA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投标人提供的系统需采用适配的存储方式，保障实时运行数据的快速读写，满足实时运行监测功能中动态运行看板、异常事件联动等实时性业务场景需求，确保调度人员获取最新运营信息。</w:t>
      </w:r>
    </w:p>
    <w:p w14:paraId="1FEDECF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投标人提供的系统对历史运营数据、调度记录等重要数据进行长期归档存储，为协同调度优化功能提供数据资源，为通过数据分析挖掘客流规律、评估调度策略效果提供支撑。</w:t>
      </w:r>
    </w:p>
    <w:p w14:paraId="78CA31AC">
      <w:pPr>
        <w:widowControl w:val="0"/>
        <w:numPr>
          <w:ilvl w:val="1"/>
          <w:numId w:val="29"/>
        </w:numPr>
        <w:spacing w:line="360" w:lineRule="auto"/>
        <w:ind w:firstLine="200" w:firstLineChars="0"/>
        <w:jc w:val="both"/>
        <w:outlineLvl w:val="1"/>
        <w:rPr>
          <w:rFonts w:ascii="Times New Roman" w:hAnsi="Times New Roman" w:eastAsia="黑体" w:cs="Times New Roman"/>
          <w:b/>
          <w:bCs w:val="0"/>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城轨与公交协同调度指挥系统一期</w:t>
      </w:r>
    </w:p>
    <w:p w14:paraId="0C497489">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工程概况</w:t>
      </w:r>
    </w:p>
    <w:p w14:paraId="5EA6DE86">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工程既有条件</w:t>
      </w:r>
    </w:p>
    <w:p w14:paraId="784165BF">
      <w:pPr>
        <w:widowControl/>
        <w:numPr>
          <w:ilvl w:val="0"/>
          <w:numId w:val="33"/>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本项目城轨与公交协同调度指挥系统设置于南宁轨道交通运营控制中心。</w:t>
      </w:r>
    </w:p>
    <w:p w14:paraId="294AB45A">
      <w:pPr>
        <w:widowControl/>
        <w:numPr>
          <w:ilvl w:val="0"/>
          <w:numId w:val="33"/>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控制中心既有系统及各设备房附属配套设备均已投入运营使用。</w:t>
      </w:r>
    </w:p>
    <w:p w14:paraId="5CE92243">
      <w:pPr>
        <w:widowControl/>
        <w:numPr>
          <w:ilvl w:val="0"/>
          <w:numId w:val="33"/>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本项目城轨与公交协同调度指挥系统将利用控制中心的设备机房、调度大厅及配套管理设施。</w:t>
      </w:r>
    </w:p>
    <w:p w14:paraId="07AF285F">
      <w:pPr>
        <w:widowControl/>
        <w:numPr>
          <w:ilvl w:val="0"/>
          <w:numId w:val="33"/>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南宁轨道交通线网（应急）指挥中心（</w:t>
      </w:r>
      <w:r>
        <w:rPr>
          <w:rFonts w:ascii="Times New Roman" w:hAnsi="Times New Roman" w:eastAsia="宋体" w:cs="Times New Roman"/>
          <w:kern w:val="2"/>
          <w:sz w:val="24"/>
          <w:szCs w:val="20"/>
          <w:lang w:val="en-US" w:eastAsia="zh-CN" w:bidi="ar-SA"/>
        </w:rPr>
        <w:t>NOCC</w:t>
      </w:r>
      <w:r>
        <w:rPr>
          <w:rFonts w:hint="eastAsia" w:ascii="Times New Roman" w:hAnsi="Times New Roman" w:eastAsia="宋体" w:cs="Times New Roman"/>
          <w:kern w:val="2"/>
          <w:sz w:val="24"/>
          <w:szCs w:val="20"/>
          <w:lang w:val="en-US" w:eastAsia="zh-CN" w:bidi="ar-SA"/>
        </w:rPr>
        <w:t>）系统集成商为上海宝信软件股份有限公司，从构成方面划分为两大子系统，线网监控及应用系统和线网通信系统。线网监控及应用系统范围包括：接入平台、数据处理平台（云平台</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大数据平台）、人机交互平台、综合管理系统、测试及培训系统、大屏幕系统、应急指挥室系统、信息门户系统、信息安全系统、数据备份系统和电源系统等；线网通信系统范围包括：线网专用电话系统、线网专用无线通信系统、线网视频监控系统、线网公务电话系统、视频会议系统。</w:t>
      </w:r>
    </w:p>
    <w:p w14:paraId="76304A4F">
      <w:pPr>
        <w:widowControl/>
        <w:numPr>
          <w:ilvl w:val="0"/>
          <w:numId w:val="33"/>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南宁邕城公共交通有限公司智能调度系统由广州通达汽车电气股份有限公司承建。该系统将云计算技术、大数据技术、通信技术与传统的公交系统相融合，通过实现公交信息化云平台建设，对公交终端系统进行有效的数据采集和海量数据处理，实现车辆的自动排班、实时运行监控，实时动态调度，提高企业运营调度效率。调度平台将标准调度功能与邕城实际业务相结合，主要包含权限模块、运营管控模块、运营结算模块、运营图表模块、运营排班模块、信息屏管理模块、客流统计模块、统计报表模块及租包车管理模块等。</w:t>
      </w:r>
    </w:p>
    <w:p w14:paraId="5938275C">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工程范围</w:t>
      </w:r>
    </w:p>
    <w:p w14:paraId="2A720F76">
      <w:pPr>
        <w:widowControl/>
        <w:numPr>
          <w:ilvl w:val="0"/>
          <w:numId w:val="34"/>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本项目城轨与公交协同调度指挥系统需实现南宁轨道交通</w:t>
      </w: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号线（火车东站</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石埠）、</w:t>
      </w:r>
      <w:r>
        <w:rPr>
          <w:rFonts w:ascii="Times New Roman" w:hAnsi="Times New Roman" w:eastAsia="宋体" w:cs="Times New Roman"/>
          <w:kern w:val="2"/>
          <w:sz w:val="24"/>
          <w:szCs w:val="20"/>
          <w:lang w:val="en-US" w:eastAsia="zh-CN" w:bidi="ar-SA"/>
        </w:rPr>
        <w:t>2</w:t>
      </w:r>
      <w:r>
        <w:rPr>
          <w:rFonts w:hint="eastAsia" w:ascii="Times New Roman" w:hAnsi="Times New Roman" w:eastAsia="宋体" w:cs="Times New Roman"/>
          <w:kern w:val="2"/>
          <w:sz w:val="24"/>
          <w:szCs w:val="20"/>
          <w:lang w:val="en-US" w:eastAsia="zh-CN" w:bidi="ar-SA"/>
        </w:rPr>
        <w:t>号线（坛泽</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西津）、</w:t>
      </w:r>
      <w:r>
        <w:rPr>
          <w:rFonts w:ascii="Times New Roman" w:hAnsi="Times New Roman" w:eastAsia="宋体" w:cs="Times New Roman"/>
          <w:kern w:val="2"/>
          <w:sz w:val="24"/>
          <w:szCs w:val="20"/>
          <w:lang w:val="en-US" w:eastAsia="zh-CN" w:bidi="ar-SA"/>
        </w:rPr>
        <w:t>3</w:t>
      </w:r>
      <w:r>
        <w:rPr>
          <w:rFonts w:hint="eastAsia" w:ascii="Times New Roman" w:hAnsi="Times New Roman" w:eastAsia="宋体" w:cs="Times New Roman"/>
          <w:kern w:val="2"/>
          <w:sz w:val="24"/>
          <w:szCs w:val="20"/>
          <w:lang w:val="en-US" w:eastAsia="zh-CN" w:bidi="ar-SA"/>
        </w:rPr>
        <w:t>号线（科园大道</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平良立交）、</w:t>
      </w:r>
      <w:r>
        <w:rPr>
          <w:rFonts w:ascii="Times New Roman" w:hAnsi="Times New Roman" w:eastAsia="宋体" w:cs="Times New Roman"/>
          <w:kern w:val="2"/>
          <w:sz w:val="24"/>
          <w:szCs w:val="20"/>
          <w:lang w:val="en-US" w:eastAsia="zh-CN" w:bidi="ar-SA"/>
        </w:rPr>
        <w:t>4</w:t>
      </w:r>
      <w:r>
        <w:rPr>
          <w:rFonts w:hint="eastAsia" w:ascii="Times New Roman" w:hAnsi="Times New Roman" w:eastAsia="宋体" w:cs="Times New Roman"/>
          <w:kern w:val="2"/>
          <w:sz w:val="24"/>
          <w:szCs w:val="20"/>
          <w:lang w:val="en-US" w:eastAsia="zh-CN" w:bidi="ar-SA"/>
        </w:rPr>
        <w:t>号线（洪运路</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龙岗）、</w:t>
      </w:r>
      <w:r>
        <w:rPr>
          <w:rFonts w:ascii="Times New Roman" w:hAnsi="Times New Roman" w:eastAsia="宋体" w:cs="Times New Roman"/>
          <w:kern w:val="2"/>
          <w:sz w:val="24"/>
          <w:szCs w:val="20"/>
          <w:lang w:val="en-US" w:eastAsia="zh-CN" w:bidi="ar-SA"/>
        </w:rPr>
        <w:t>5</w:t>
      </w:r>
      <w:r>
        <w:rPr>
          <w:rFonts w:hint="eastAsia" w:ascii="Times New Roman" w:hAnsi="Times New Roman" w:eastAsia="宋体" w:cs="Times New Roman"/>
          <w:kern w:val="2"/>
          <w:sz w:val="24"/>
          <w:szCs w:val="20"/>
          <w:lang w:val="en-US" w:eastAsia="zh-CN" w:bidi="ar-SA"/>
        </w:rPr>
        <w:t>号线（国凯大道</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金桥客运站）号线，共</w:t>
      </w:r>
      <w:r>
        <w:rPr>
          <w:rFonts w:ascii="Times New Roman" w:hAnsi="Times New Roman" w:eastAsia="宋体" w:cs="Times New Roman"/>
          <w:kern w:val="2"/>
          <w:sz w:val="24"/>
          <w:szCs w:val="20"/>
          <w:lang w:val="en-US" w:eastAsia="zh-CN" w:bidi="ar-SA"/>
        </w:rPr>
        <w:t>5</w:t>
      </w:r>
      <w:r>
        <w:rPr>
          <w:rFonts w:hint="eastAsia" w:ascii="Times New Roman" w:hAnsi="Times New Roman" w:eastAsia="宋体" w:cs="Times New Roman"/>
          <w:kern w:val="2"/>
          <w:sz w:val="24"/>
          <w:szCs w:val="20"/>
          <w:lang w:val="en-US" w:eastAsia="zh-CN" w:bidi="ar-SA"/>
        </w:rPr>
        <w:t>条城轨数据的接入。</w:t>
      </w:r>
    </w:p>
    <w:p w14:paraId="6D074158">
      <w:pPr>
        <w:widowControl/>
        <w:numPr>
          <w:ilvl w:val="0"/>
          <w:numId w:val="34"/>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本项目城轨与公交协同调度指挥系统需实现南宁公共交通集团有限公司辖下所有公交线路、公交车辆数据的接入。</w:t>
      </w:r>
    </w:p>
    <w:p w14:paraId="62A51C2C">
      <w:pPr>
        <w:widowControl/>
        <w:numPr>
          <w:ilvl w:val="0"/>
          <w:numId w:val="34"/>
        </w:numPr>
        <w:spacing w:line="360" w:lineRule="auto"/>
        <w:ind w:left="845" w:hanging="425"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本项目城轨与公交协同调度指挥系统需选取</w:t>
      </w:r>
      <w:r>
        <w:rPr>
          <w:rFonts w:ascii="Times New Roman" w:hAnsi="Times New Roman" w:eastAsia="宋体" w:cs="Times New Roman"/>
          <w:kern w:val="2"/>
          <w:sz w:val="24"/>
          <w:szCs w:val="20"/>
          <w:lang w:val="en-US" w:eastAsia="zh-CN" w:bidi="ar-SA"/>
        </w:rPr>
        <w:t>2</w:t>
      </w:r>
      <w:r>
        <w:rPr>
          <w:rFonts w:hint="eastAsia" w:ascii="Times New Roman" w:hAnsi="Times New Roman" w:eastAsia="宋体" w:cs="Times New Roman"/>
          <w:kern w:val="2"/>
          <w:sz w:val="24"/>
          <w:szCs w:val="20"/>
          <w:lang w:val="en-US" w:eastAsia="zh-CN" w:bidi="ar-SA"/>
        </w:rPr>
        <w:t>个典型场景在</w:t>
      </w: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至</w:t>
      </w:r>
      <w:r>
        <w:rPr>
          <w:rFonts w:ascii="Times New Roman" w:hAnsi="Times New Roman" w:eastAsia="宋体" w:cs="Times New Roman"/>
          <w:kern w:val="2"/>
          <w:sz w:val="24"/>
          <w:szCs w:val="20"/>
          <w:lang w:val="en-US" w:eastAsia="zh-CN" w:bidi="ar-SA"/>
        </w:rPr>
        <w:t>2</w:t>
      </w:r>
      <w:r>
        <w:rPr>
          <w:rFonts w:hint="eastAsia" w:ascii="Times New Roman" w:hAnsi="Times New Roman" w:eastAsia="宋体" w:cs="Times New Roman"/>
          <w:kern w:val="2"/>
          <w:sz w:val="24"/>
          <w:szCs w:val="20"/>
          <w:lang w:val="en-US" w:eastAsia="zh-CN" w:bidi="ar-SA"/>
        </w:rPr>
        <w:t>条关键公交线路上应用（具体场景及公交线路在设计联络会阶段明确）。</w:t>
      </w:r>
    </w:p>
    <w:p w14:paraId="554EA605">
      <w:pPr>
        <w:widowControl/>
        <w:numPr>
          <w:ilvl w:val="0"/>
          <w:numId w:val="34"/>
        </w:numPr>
        <w:spacing w:line="360" w:lineRule="auto"/>
        <w:ind w:left="845" w:hanging="425" w:firstLineChars="0"/>
        <w:jc w:val="both"/>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本项目城轨与公交协同调度指挥系统在接入5条城轨数据的基础上，具备不少于2条城轨数据的扩展能力。</w:t>
      </w:r>
    </w:p>
    <w:p w14:paraId="53B2FE12">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系统架构</w:t>
      </w:r>
    </w:p>
    <w:p w14:paraId="60D47C9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城轨与公交协同调度指挥系统作为城市智慧交通核心枢纽，需依托分层式技术架构与模块化功能设计，构建高度集成的智能化管理体系。系统应实现城市公交调度系统与城市地铁系统的深度融合，基于集团公共交通大数据平台，搭建城市轨道协同数据底座。系统应实现公交与城市轨道业务数据的高效融合，具备全面分析、安全存储、快速提取及可视化呈现功能，提升城市交通资源配置效率与公众出行服务品质。</w:t>
      </w:r>
    </w:p>
    <w:p w14:paraId="110293B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城轨与公交协同调度指挥系统一期，从系统规划与建设出发，聚焦于城轨与公交协同调度指挥系统建设，纳入城市</w:t>
      </w:r>
      <w:r>
        <w:rPr>
          <w:rFonts w:hint="default" w:ascii="Times New Roman" w:hAnsi="Times New Roman" w:eastAsia="宋体" w:cs="Times New Roman"/>
          <w:kern w:val="2"/>
          <w:sz w:val="24"/>
          <w:szCs w:val="20"/>
          <w:lang w:val="en-US" w:eastAsia="zh-CN" w:bidi="ar-SA"/>
        </w:rPr>
        <w:t>交通时空数据分析平</w:t>
      </w:r>
      <w:r>
        <w:rPr>
          <w:rFonts w:hint="eastAsia" w:ascii="Times New Roman" w:hAnsi="Times New Roman" w:eastAsia="宋体" w:cs="Times New Roman"/>
          <w:kern w:val="2"/>
          <w:sz w:val="24"/>
          <w:szCs w:val="20"/>
          <w:lang w:val="en-US" w:eastAsia="zh-CN" w:bidi="ar-SA"/>
        </w:rPr>
        <w:t>台，基于集团公共交通大数据基础，构建大数据平台，覆盖城市多源数据、城轨数据、公交数据接入，须实现与轨道交通</w:t>
      </w:r>
      <w:r>
        <w:rPr>
          <w:rFonts w:ascii="Times New Roman" w:hAnsi="Times New Roman" w:eastAsia="宋体" w:cs="Times New Roman"/>
          <w:kern w:val="2"/>
          <w:sz w:val="24"/>
          <w:szCs w:val="20"/>
          <w:lang w:val="en-US" w:eastAsia="zh-CN" w:bidi="ar-SA"/>
        </w:rPr>
        <w:t>NOCC</w:t>
      </w:r>
      <w:r>
        <w:rPr>
          <w:rFonts w:hint="eastAsia" w:ascii="Times New Roman" w:hAnsi="Times New Roman" w:eastAsia="宋体" w:cs="Times New Roman"/>
          <w:kern w:val="2"/>
          <w:sz w:val="24"/>
          <w:szCs w:val="20"/>
          <w:lang w:val="en-US" w:eastAsia="zh-CN" w:bidi="ar-SA"/>
        </w:rPr>
        <w:t>系统、公交智能调度系统的数据及业务交互。形成一套集融合分析和智能应用的一体化交通调度体系，推动公交与城轨业务深度协同，提升城市交通治理与服务水平。</w:t>
      </w:r>
    </w:p>
    <w:p w14:paraId="7AABD57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城轨与公交协同调度指挥系统需采用分层架构设计，涵盖用户层、应用层、数据资源层、基础资源层。其中，基础资源层需提供稳定运行环境，实现硬件设施（服务器、网络设备等）、基础软件（操作系统、数据库等）的可靠支撑，保障系统底层资源适配；数据资源层依托大数据平台，整合城市轨道与公交全量业务数据，达成标准化存储、高效分析及安全管理，为上层应用提供数据底座；应用层聚焦业务功能实现，部署实时动态监测、智能调度、协同应急响应等核心模块，支持多维度交通运行状态感知、智能算法驱动的运力调配及突发事件协同处置；用户层面向公共交通协同调度指挥相关用户，提供可视化操作界面与精准数据服务。各层级模块需协同运作，打通数据与业务流程，实现城市轨道与公交调度指挥系统的实时动态监测、智能调度及协同应急响应，最终达成提升城市交通资源配置效率、优化公众出行服务品质的建设目标，满足城市智慧交通精细化管理与高效运营需求。</w:t>
      </w:r>
    </w:p>
    <w:p w14:paraId="2E21AC2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城轨与公交协同调度指挥系统总体架构图如下：</w:t>
      </w:r>
    </w:p>
    <w:p w14:paraId="23D76F33">
      <w:pPr>
        <w:spacing w:line="360" w:lineRule="auto"/>
        <w:ind w:firstLine="480" w:firstLineChars="200"/>
        <w:jc w:val="center"/>
        <w:rPr>
          <w:rFonts w:hint="eastAsia" w:ascii="等线" w:hAnsi="等线" w:eastAsia="宋体" w:cs="Times New Roman"/>
          <w:sz w:val="24"/>
        </w:rPr>
      </w:pPr>
      <w:r>
        <w:rPr>
          <w:rFonts w:hint="eastAsia" w:ascii="等线" w:hAnsi="等线" w:eastAsia="宋体" w:cs="Times New Roman"/>
          <w:sz w:val="24"/>
        </w:rPr>
        <w:drawing>
          <wp:inline distT="0" distB="0" distL="0" distR="0">
            <wp:extent cx="4572000" cy="3535680"/>
            <wp:effectExtent l="0" t="0" r="0" b="7620"/>
            <wp:docPr id="2058946149" name="图片 1" descr="4c5e341a829140020dd6c151d2ae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46149" name="图片 1" descr="4c5e341a829140020dd6c151d2ae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72000" cy="3535680"/>
                    </a:xfrm>
                    <a:prstGeom prst="rect">
                      <a:avLst/>
                    </a:prstGeom>
                    <a:noFill/>
                    <a:ln>
                      <a:noFill/>
                    </a:ln>
                  </pic:spPr>
                </pic:pic>
              </a:graphicData>
            </a:graphic>
          </wp:inline>
        </w:drawing>
      </w:r>
    </w:p>
    <w:p w14:paraId="48085D9F">
      <w:pPr>
        <w:widowControl w:val="0"/>
        <w:spacing w:line="360" w:lineRule="auto"/>
        <w:ind w:firstLine="400" w:firstLineChars="200"/>
        <w:jc w:val="center"/>
        <w:rPr>
          <w:rFonts w:hint="eastAsia" w:ascii="等线 Light" w:hAnsi="等线 Light" w:eastAsia="黑体" w:cs="Times New Roman"/>
          <w:kern w:val="2"/>
          <w:sz w:val="20"/>
          <w:szCs w:val="20"/>
          <w:lang w:val="en-US" w:eastAsia="zh-CN" w:bidi="ar-SA"/>
        </w:rPr>
      </w:pPr>
      <w:r>
        <w:rPr>
          <w:rFonts w:hint="eastAsia" w:ascii="等线 Light" w:hAnsi="等线 Light" w:eastAsia="黑体" w:cs="Times New Roman"/>
          <w:kern w:val="2"/>
          <w:sz w:val="20"/>
          <w:szCs w:val="20"/>
          <w:lang w:val="en-US" w:eastAsia="zh-CN" w:bidi="ar-SA"/>
        </w:rPr>
        <w:t xml:space="preserve">图 </w:t>
      </w:r>
      <w:r>
        <w:rPr>
          <w:rFonts w:hint="eastAsia" w:ascii="等线 Light" w:hAnsi="等线 Light" w:eastAsia="黑体" w:cs="Times New Roman"/>
          <w:kern w:val="2"/>
          <w:sz w:val="20"/>
          <w:szCs w:val="20"/>
          <w:lang w:val="en-US" w:eastAsia="zh-CN" w:bidi="ar-SA"/>
        </w:rPr>
        <w:fldChar w:fldCharType="begin"/>
      </w:r>
      <w:r>
        <w:rPr>
          <w:rFonts w:hint="eastAsia" w:ascii="等线 Light" w:hAnsi="等线 Light" w:eastAsia="黑体" w:cs="Times New Roman"/>
          <w:kern w:val="2"/>
          <w:sz w:val="20"/>
          <w:szCs w:val="20"/>
          <w:lang w:val="en-US" w:eastAsia="zh-CN" w:bidi="ar-SA"/>
        </w:rPr>
        <w:instrText xml:space="preserve"> SEQ 图表 \* ARABIC </w:instrText>
      </w:r>
      <w:r>
        <w:rPr>
          <w:rFonts w:hint="eastAsia" w:ascii="等线 Light" w:hAnsi="等线 Light" w:eastAsia="黑体" w:cs="Times New Roman"/>
          <w:kern w:val="2"/>
          <w:sz w:val="20"/>
          <w:szCs w:val="20"/>
          <w:lang w:val="en-US" w:eastAsia="zh-CN" w:bidi="ar-SA"/>
        </w:rPr>
        <w:fldChar w:fldCharType="separate"/>
      </w:r>
      <w:r>
        <w:rPr>
          <w:rFonts w:hint="eastAsia" w:ascii="等线 Light" w:hAnsi="等线 Light" w:eastAsia="黑体" w:cs="Times New Roman"/>
          <w:kern w:val="2"/>
          <w:sz w:val="20"/>
          <w:szCs w:val="20"/>
          <w:lang w:val="en-US" w:eastAsia="zh-CN" w:bidi="ar-SA"/>
        </w:rPr>
        <w:t>2</w:t>
      </w:r>
      <w:r>
        <w:rPr>
          <w:rFonts w:hint="eastAsia" w:ascii="等线 Light" w:hAnsi="等线 Light" w:eastAsia="黑体" w:cs="Times New Roman"/>
          <w:kern w:val="2"/>
          <w:sz w:val="20"/>
          <w:szCs w:val="20"/>
          <w:lang w:val="en-US" w:eastAsia="zh-CN" w:bidi="ar-SA"/>
        </w:rPr>
        <w:fldChar w:fldCharType="end"/>
      </w:r>
      <w:r>
        <w:rPr>
          <w:rFonts w:hint="eastAsia" w:ascii="等线 Light" w:hAnsi="等线 Light" w:eastAsia="黑体" w:cs="Times New Roman"/>
          <w:kern w:val="2"/>
          <w:sz w:val="20"/>
          <w:szCs w:val="20"/>
          <w:lang w:val="en-US" w:eastAsia="zh-CN" w:bidi="ar-SA"/>
        </w:rPr>
        <w:t>城轨与公交协同调度指挥系统总体架构图</w:t>
      </w:r>
    </w:p>
    <w:p w14:paraId="3010FCE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w:t>
      </w:r>
      <w:r>
        <w:rPr>
          <w:rFonts w:hint="eastAsia" w:ascii="Times New Roman" w:hAnsi="Times New Roman" w:eastAsia="宋体" w:cs="Times New Roman"/>
          <w:kern w:val="2"/>
          <w:sz w:val="24"/>
          <w:szCs w:val="20"/>
          <w:lang w:val="en-US" w:eastAsia="zh-CN" w:bidi="ar-SA"/>
        </w:rPr>
        <w:t>）用户层：用户可通过可视化操作界面与应用层的交互来执行日常的调度任务，用户层应提供包括工作站可视化操作界面和大屏幕可视化展示界面。</w:t>
      </w:r>
    </w:p>
    <w:p w14:paraId="426ECA6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w:t>
      </w:r>
      <w:r>
        <w:rPr>
          <w:rFonts w:hint="eastAsia" w:ascii="Times New Roman" w:hAnsi="Times New Roman" w:eastAsia="宋体" w:cs="Times New Roman"/>
          <w:kern w:val="2"/>
          <w:sz w:val="24"/>
          <w:szCs w:val="20"/>
          <w:lang w:val="en-US" w:eastAsia="zh-CN" w:bidi="ar-SA"/>
        </w:rPr>
        <w:t>）应用层：应提供多种功能，包括实时运行监测、协同调度管控、信息发布管理、协同调度优化。实时运行监测模块，应具备可视化动态看板，能整合城市轨道与公交的运行数据，实现线路状态、车辆位置及客流变化的全时段监控；应具备异常事件可视化功能，可实现快速识别突发状况，并触发应急预案。协同调度管控模块应能构建标准化应急机制、智能资源调配体系和高效信息交互网络，具备应急接驳响应和特殊事件协同功能，可实现运营数据统计分析及公交运力动态调配等功能，跨系统资源的高效整合。信息发布管理模块应实现运营协同需求、协同服务通知及协同应急处置信息的实时往来交互，建立高效的信息沟渠道。协同调度优化模块应能利用大数据分析，为协同调度指挥优化提供运营指标分析、公交常态化运营、接驳服务优化建议，为用户提供协同优化决策辅助，通过系统推动协同调度效率。</w:t>
      </w:r>
    </w:p>
    <w:p w14:paraId="146C0CA5">
      <w:pPr>
        <w:widowControl/>
        <w:spacing w:line="360" w:lineRule="auto"/>
        <w:ind w:firstLine="480" w:firstLineChars="200"/>
        <w:jc w:val="both"/>
        <w:rPr>
          <w:rFonts w:ascii="Times New Roman" w:hAnsi="Times New Roman" w:eastAsia="宋体" w:cs="Times New Roman"/>
          <w:color w:val="FF0000"/>
          <w:kern w:val="2"/>
          <w:sz w:val="24"/>
          <w:szCs w:val="20"/>
          <w:lang w:val="en-US" w:eastAsia="zh-CN" w:bidi="ar-SA"/>
        </w:rPr>
      </w:pPr>
      <w:r>
        <w:rPr>
          <w:rFonts w:hint="eastAsia" w:ascii="Times New Roman" w:hAnsi="Times New Roman" w:eastAsia="宋体" w:cs="Times New Roman"/>
          <w:color w:val="FF0000"/>
          <w:kern w:val="2"/>
          <w:sz w:val="24"/>
          <w:szCs w:val="20"/>
          <w:lang w:val="en-US" w:eastAsia="zh-CN" w:bidi="ar-SA"/>
        </w:rPr>
        <w:t>（</w:t>
      </w:r>
      <w:r>
        <w:rPr>
          <w:rFonts w:ascii="Times New Roman" w:hAnsi="Times New Roman" w:eastAsia="宋体" w:cs="Times New Roman"/>
          <w:color w:val="FF0000"/>
          <w:kern w:val="2"/>
          <w:sz w:val="24"/>
          <w:szCs w:val="20"/>
          <w:lang w:val="en-US" w:eastAsia="zh-CN" w:bidi="ar-SA"/>
        </w:rPr>
        <w:t>3</w:t>
      </w:r>
      <w:r>
        <w:rPr>
          <w:rFonts w:hint="eastAsia" w:ascii="Times New Roman" w:hAnsi="Times New Roman" w:eastAsia="宋体" w:cs="Times New Roman"/>
          <w:color w:val="FF0000"/>
          <w:kern w:val="2"/>
          <w:sz w:val="24"/>
          <w:szCs w:val="20"/>
          <w:lang w:val="en-US" w:eastAsia="zh-CN" w:bidi="ar-SA"/>
        </w:rPr>
        <w:t>）数据资源层：作为系统的“数字底座”，应能通过大数据平台实现城轨与公交数据的深度融合。数据资源层还应具备接口服务的功能，接口服务作为系统与公交智能调度系统、集团公共大数据平台的交互桥梁，构建起灵活的数据交换通道。大数据平台应能将接入的城市多源数据、城轨数据、公交数据进行统一管理。接入数据包括但不限于：人口岗位、基础设施、出行特征、社会经济数据；城轨行车、客流视频、气象数据和应急事件信息；公交基础、行车、定位、视频、客流、排班数据。大数据平台能为本系统的数据采集、存储、备份、应用奠定基础，通过标准化接口输出数据，为应用层的实时监测、协同调度等功能提供数据支撑。</w:t>
      </w:r>
    </w:p>
    <w:p w14:paraId="73CB799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4</w:t>
      </w:r>
      <w:r>
        <w:rPr>
          <w:rFonts w:hint="eastAsia" w:ascii="Times New Roman" w:hAnsi="Times New Roman" w:eastAsia="宋体" w:cs="Times New Roman"/>
          <w:kern w:val="2"/>
          <w:sz w:val="24"/>
          <w:szCs w:val="20"/>
          <w:lang w:val="en-US" w:eastAsia="zh-CN" w:bidi="ar-SA"/>
        </w:rPr>
        <w:t>）基础资源层：作为城轨与公交协同调度指挥系统的根基，为本系统提供所需的计算、存储、网络资源。本系统将基于既有</w:t>
      </w:r>
      <w:r>
        <w:rPr>
          <w:rFonts w:ascii="Times New Roman" w:hAnsi="Times New Roman" w:eastAsia="宋体" w:cs="Times New Roman"/>
          <w:kern w:val="2"/>
          <w:sz w:val="24"/>
          <w:szCs w:val="20"/>
          <w:lang w:val="en-US" w:eastAsia="zh-CN" w:bidi="ar-SA"/>
        </w:rPr>
        <w:t>NOCC</w:t>
      </w:r>
      <w:r>
        <w:rPr>
          <w:rFonts w:hint="eastAsia" w:ascii="Times New Roman" w:hAnsi="Times New Roman" w:eastAsia="宋体" w:cs="Times New Roman"/>
          <w:kern w:val="2"/>
          <w:sz w:val="24"/>
          <w:szCs w:val="20"/>
          <w:lang w:val="en-US" w:eastAsia="zh-CN" w:bidi="ar-SA"/>
        </w:rPr>
        <w:t>云平台，为本系统划分出独立的资源池，专用于本系统。对于本次新增的硬件资源，应纳入</w:t>
      </w:r>
      <w:r>
        <w:rPr>
          <w:rFonts w:ascii="Times New Roman" w:hAnsi="Times New Roman" w:eastAsia="宋体" w:cs="Times New Roman"/>
          <w:kern w:val="2"/>
          <w:sz w:val="24"/>
          <w:szCs w:val="20"/>
          <w:lang w:val="en-US" w:eastAsia="zh-CN" w:bidi="ar-SA"/>
        </w:rPr>
        <w:t>NOCC</w:t>
      </w:r>
      <w:r>
        <w:rPr>
          <w:rFonts w:hint="eastAsia" w:ascii="Times New Roman" w:hAnsi="Times New Roman" w:eastAsia="宋体" w:cs="Times New Roman"/>
          <w:kern w:val="2"/>
          <w:sz w:val="24"/>
          <w:szCs w:val="20"/>
          <w:lang w:val="en-US" w:eastAsia="zh-CN" w:bidi="ar-SA"/>
        </w:rPr>
        <w:t>云平台进行统一管理，充分利用既有以及新增资源。</w:t>
      </w:r>
    </w:p>
    <w:p w14:paraId="020065A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5</w:t>
      </w:r>
      <w:r>
        <w:rPr>
          <w:rFonts w:hint="eastAsia" w:ascii="Times New Roman" w:hAnsi="Times New Roman" w:eastAsia="宋体" w:cs="Times New Roman"/>
          <w:kern w:val="2"/>
          <w:sz w:val="24"/>
          <w:szCs w:val="20"/>
          <w:lang w:val="en-US" w:eastAsia="zh-CN" w:bidi="ar-SA"/>
        </w:rPr>
        <w:t>）标准规范与运行管理是确保平台运行符合既定标准和规范的关键。通过制定和遵循一系列运维管理的标准和规范，以及实现对平台运行状态的监控和控制，这一层确保平台的高效、稳定运维管理。</w:t>
      </w:r>
    </w:p>
    <w:p w14:paraId="793236D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6</w:t>
      </w:r>
      <w:r>
        <w:rPr>
          <w:rFonts w:hint="eastAsia" w:ascii="Times New Roman" w:hAnsi="Times New Roman" w:eastAsia="宋体" w:cs="Times New Roman"/>
          <w:kern w:val="2"/>
          <w:sz w:val="24"/>
          <w:szCs w:val="20"/>
          <w:lang w:val="en-US" w:eastAsia="zh-CN" w:bidi="ar-SA"/>
        </w:rPr>
        <w:t>）信息安全与保障体系是数据管理的重要组成部分，它确保数据的安全性和系统的可靠性。通过数据保护、网络安全和访问控制等手段，这一层保障平台的数据不被非法访问和丢失，网络不受外部威胁，用户对系统的访问得到有效控制。</w:t>
      </w:r>
    </w:p>
    <w:p w14:paraId="73A3D410">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系统功能</w:t>
      </w:r>
    </w:p>
    <w:p w14:paraId="6929EF5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投标人提供的城轨与公交协同调度指挥系统，需以业务协同为导向，深度融合多源数据与跨系统资源，整合运营、环境等多维度信息，为实时监测、调度决策搭建数据底座。投标人应构建运行监测体系，便于调度人员实时掌握全局态势；搭建标准化协同调度机制，实现日常运营调配与突发事件的高效响应；基于公交智能调度系统，深度分析运营数据，持续提升运力匹配与服务衔接效率。系统需采用数据驱动、智能协同的业务模式，推动城轨与公交从独立运营迈向深度融合，全面提升城市公共交通的运营效率、服务品质与应急保障能力。</w:t>
      </w:r>
    </w:p>
    <w:p w14:paraId="2A2289B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投标人所提供的城轨与公交协同调度指挥系统，须包含城轨与公交实时运行监测、协同调度管理、信息管理、协同调度优化功能。</w:t>
      </w:r>
    </w:p>
    <w:p w14:paraId="633485AA">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bookmarkStart w:id="545" w:name="_Toc198732488"/>
      <w:bookmarkStart w:id="546" w:name="_Toc1211"/>
      <w:bookmarkStart w:id="547" w:name="_Toc201000241"/>
      <w:r>
        <w:rPr>
          <w:rFonts w:hint="eastAsia" w:ascii="Times New Roman" w:hAnsi="Times New Roman" w:eastAsia="黑体" w:cs="Times New Roman"/>
          <w:bCs/>
          <w:kern w:val="2"/>
          <w:sz w:val="28"/>
          <w:szCs w:val="28"/>
          <w:lang w:val="en-US" w:eastAsia="zh-CN" w:bidi="ar-SA"/>
        </w:rPr>
        <w:t>实时运行监测</w:t>
      </w:r>
      <w:bookmarkEnd w:id="545"/>
      <w:bookmarkEnd w:id="546"/>
      <w:bookmarkEnd w:id="547"/>
    </w:p>
    <w:p w14:paraId="6BDF2389">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投标人须构建一套高度集成、智能化的城轨与公交实时运行监测系统，该体系需深度整合多源数据资源，通过精准、实时的数据采集与分析，为城轨与公交协同调度提供全面、直观的运行态势展示与异常监测能力。此监测体系是实现高效协同调度、保障城市公共交通平稳运行的核心支撑，投标人应确保系统具备高可靠性、强交互性与灵活扩展性，满足城轨与公交日常运营管理及应急处置的各类业务场景需求。</w:t>
      </w:r>
    </w:p>
    <w:p w14:paraId="4660F0AC">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动态运行看板</w:t>
      </w:r>
    </w:p>
    <w:p w14:paraId="52D8E7F5">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城轨线网车辆实时监察：需展示城轨线网图及车辆分布，辅助调度人员把控城轨整体运行情况；</w:t>
      </w:r>
      <w:r>
        <w:rPr>
          <w:rFonts w:ascii="等线" w:hAnsi="等线" w:eastAsia="宋体" w:cs="Times New Roman"/>
          <w:sz w:val="24"/>
        </w:rPr>
        <w:t>​</w:t>
      </w:r>
    </w:p>
    <w:p w14:paraId="18D0E53F">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公交线网车辆实时监察：需将公交车辆的 GPS 实时轨迹叠加在地图上，标注车牌号、预计到站时间，支持按线路、车队等维度筛选查看；</w:t>
      </w:r>
      <w:r>
        <w:rPr>
          <w:rFonts w:ascii="等线" w:hAnsi="等线" w:eastAsia="宋体" w:cs="Times New Roman"/>
          <w:sz w:val="24"/>
        </w:rPr>
        <w:t>​</w:t>
      </w:r>
    </w:p>
    <w:p w14:paraId="1FBA445D">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客流热力图展示：需生成线网热力图，直观呈现各站点客流密度，便于快速识别高峰区域；</w:t>
      </w:r>
      <w:r>
        <w:rPr>
          <w:rFonts w:ascii="等线" w:hAnsi="等线" w:eastAsia="宋体" w:cs="Times New Roman"/>
          <w:sz w:val="24"/>
        </w:rPr>
        <w:t>​</w:t>
      </w:r>
    </w:p>
    <w:p w14:paraId="4714BEF8">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城轨站点客流监察：需支持实时监控城轨各站点的客流情况，为运力调配提供数据支持；</w:t>
      </w:r>
    </w:p>
    <w:p w14:paraId="408ACBED">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实时运力监测：需支持计算并展示线路运力状态，包括在线公交数量、备用车数量、荷载量等实时运行数据；</w:t>
      </w:r>
    </w:p>
    <w:p w14:paraId="38850662">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到站时间预测：需计算并标注城轨、公交预计到站时间，为调度决策提供时间参考；</w:t>
      </w:r>
    </w:p>
    <w:p w14:paraId="5B7EB164">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线路/站点信息呈现：支持点击地图上的城轨线路或公交站点，弹出详细数据窗口，展示线路或站点的完整运行数据；</w:t>
      </w:r>
    </w:p>
    <w:p w14:paraId="765F5934">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城轨公交融合展示：需将城轨与公交数据在统一地图上呈现，实现两种交通方式运行状态的融合展示；展示轨道交通与公交系统的实时关键运行状态，支持调度中心快速掌握全局信息。</w:t>
      </w:r>
    </w:p>
    <w:p w14:paraId="4A52AA01">
      <w:pPr>
        <w:numPr>
          <w:ilvl w:val="0"/>
          <w:numId w:val="35"/>
        </w:numPr>
        <w:spacing w:line="360" w:lineRule="auto"/>
        <w:ind w:left="845" w:hanging="425" w:firstLineChars="0"/>
        <w:rPr>
          <w:rFonts w:hint="eastAsia" w:ascii="等线" w:hAnsi="等线" w:eastAsia="宋体" w:cs="Times New Roman"/>
          <w:sz w:val="24"/>
        </w:rPr>
      </w:pPr>
      <w:r>
        <w:rPr>
          <w:rFonts w:hint="eastAsia" w:ascii="等线" w:hAnsi="等线" w:eastAsia="宋体" w:cs="Times New Roman"/>
          <w:sz w:val="24"/>
        </w:rPr>
        <w:t>地图可视化：需提供直观的地图界面，支持各类交通数据的可视化展示与交互操作。</w:t>
      </w:r>
    </w:p>
    <w:p w14:paraId="42C97D8E">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异常事件可视化</w:t>
      </w:r>
    </w:p>
    <w:p w14:paraId="5A99CFA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针对城轨列车晚点、公交车辆故障、线路中断等异常事件，投标人提供的系统采用分级预警机制进行可视化呈现：</w:t>
      </w:r>
    </w:p>
    <w:p w14:paraId="74A31C26">
      <w:pPr>
        <w:numPr>
          <w:ilvl w:val="0"/>
          <w:numId w:val="36"/>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异常事件监察：需实时监测各类异常事件，建立事件数据库并进行分类管理；当出现轻微异常时，系统应以黄色闪烁图标（具体颜色要求在设计联络阶段确定）提示，提醒调度人员关注潜在风险。</w:t>
      </w:r>
    </w:p>
    <w:p w14:paraId="25E6DF20">
      <w:pPr>
        <w:numPr>
          <w:ilvl w:val="0"/>
          <w:numId w:val="36"/>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异常标注：需在地图上高亮标注异常位置，直观展示异常事件发生地点；</w:t>
      </w:r>
    </w:p>
    <w:p w14:paraId="0D906953">
      <w:pPr>
        <w:numPr>
          <w:ilvl w:val="0"/>
          <w:numId w:val="36"/>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事件弹窗提示：当出现严重异常时，系统应通过红色弹窗告警（具体颜色、样式要求在设计联络阶段确定），展示异常详情；</w:t>
      </w:r>
    </w:p>
    <w:p w14:paraId="76D65D53">
      <w:pPr>
        <w:numPr>
          <w:ilvl w:val="0"/>
          <w:numId w:val="36"/>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报警管理：系统应统一管理各类报警信息，包括报警接收、处理、归档等流程。</w:t>
      </w:r>
    </w:p>
    <w:p w14:paraId="19B35D15">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大屏总览</w:t>
      </w:r>
    </w:p>
    <w:p w14:paraId="28ACC048">
      <w:pPr>
        <w:spacing w:line="360" w:lineRule="auto"/>
        <w:ind w:firstLine="480" w:firstLineChars="200"/>
        <w:rPr>
          <w:rFonts w:ascii="Times New Roman" w:hAnsi="Times New Roman" w:eastAsia="宋体" w:cs="Times New Roman"/>
          <w:sz w:val="24"/>
          <w:szCs w:val="24"/>
        </w:rPr>
      </w:pPr>
      <w:bookmarkStart w:id="548" w:name="_Toc14345"/>
      <w:bookmarkStart w:id="549" w:name="_Toc198732489"/>
      <w:r>
        <w:rPr>
          <w:rFonts w:hint="eastAsia" w:ascii="Times New Roman" w:hAnsi="Times New Roman" w:eastAsia="宋体" w:cs="Times New Roman"/>
          <w:sz w:val="24"/>
          <w:szCs w:val="24"/>
        </w:rPr>
        <w:t>投标人应通过与NOCC系统的接口，在大屏实时滚动展示城轨与公交的关键运营指标。</w:t>
      </w:r>
    </w:p>
    <w:p w14:paraId="7F34BD1F">
      <w:pPr>
        <w:numPr>
          <w:ilvl w:val="0"/>
          <w:numId w:val="37"/>
        </w:numPr>
        <w:spacing w:line="360" w:lineRule="auto"/>
        <w:ind w:left="845" w:hanging="425" w:firstLineChars="0"/>
        <w:rPr>
          <w:rFonts w:ascii="Times New Roman" w:hAnsi="Times New Roman" w:eastAsia="宋体" w:cs="Times New Roman"/>
          <w:sz w:val="24"/>
          <w:szCs w:val="24"/>
        </w:rPr>
      </w:pPr>
      <w:bookmarkStart w:id="550" w:name="_Toc201000242"/>
      <w:r>
        <w:rPr>
          <w:rFonts w:hint="eastAsia" w:ascii="Times New Roman" w:hAnsi="Times New Roman" w:eastAsia="宋体" w:cs="Times New Roman"/>
          <w:sz w:val="24"/>
          <w:szCs w:val="24"/>
        </w:rPr>
        <w:t>大屏可视化交通运行实时监察：提供城轨与公交全局运行状态概览，展示整体运营态势；</w:t>
      </w:r>
    </w:p>
    <w:p w14:paraId="1BF9E1A3">
      <w:pPr>
        <w:numPr>
          <w:ilvl w:val="0"/>
          <w:numId w:val="37"/>
        </w:numPr>
        <w:spacing w:line="360" w:lineRule="auto"/>
        <w:ind w:left="845" w:hanging="425"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大屏运营态势应实现城轨、公交、共享电单车等多种交通工具的融合展示，确保样式统一，并支持多图层管理功能；</w:t>
      </w:r>
    </w:p>
    <w:p w14:paraId="2A990B57">
      <w:pPr>
        <w:numPr>
          <w:ilvl w:val="0"/>
          <w:numId w:val="37"/>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大屏可视化指标展示：系统应滚动展示全网列车准点率、公交发车准点率、当前总客流、换乘量等核心指标，并与历史同期数据进行对比标识，具体展示指标内容、样式在设计联络阶段确定；</w:t>
      </w:r>
    </w:p>
    <w:p w14:paraId="13699000">
      <w:pPr>
        <w:numPr>
          <w:ilvl w:val="0"/>
          <w:numId w:val="37"/>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大屏可视化客流实时监察：需展示客流相关核心数据，包括客流趋势、高峰时段等；</w:t>
      </w:r>
    </w:p>
    <w:p w14:paraId="3F1B0A0B">
      <w:pPr>
        <w:numPr>
          <w:ilvl w:val="0"/>
          <w:numId w:val="37"/>
        </w:numPr>
        <w:spacing w:line="360" w:lineRule="auto"/>
        <w:ind w:left="845" w:hanging="425"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大屏可视化协同调度模式管理：系统需支持多种调度模式的切换与管理，适应不同运营场景需求。</w:t>
      </w:r>
    </w:p>
    <w:p w14:paraId="3E056640">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协同调度管控</w:t>
      </w:r>
      <w:bookmarkEnd w:id="548"/>
      <w:bookmarkEnd w:id="549"/>
      <w:bookmarkEnd w:id="550"/>
    </w:p>
    <w:p w14:paraId="5BE1450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投标人提供的系统中，协同调度管控模块应作为应对突发事件和非常规客流的核心模块，通过构建标准化应急机制、智能资源调配体系和高效信息交互网络，实现城轨与公交的一体化调度指挥，以最大限度降低运营风险，保障乘客安全与出行效率。</w:t>
      </w:r>
    </w:p>
    <w:p w14:paraId="6107DCE3">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应急接驳响应</w:t>
      </w:r>
    </w:p>
    <w:p w14:paraId="438FA821">
      <w:pPr>
        <w:widowControl/>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城市轨道交通线路发生事故、故障等突发事件，包括但不限于大面积信号故障、牵引</w:t>
      </w:r>
      <w:r>
        <w:rPr>
          <w:rFonts w:hint="eastAsia" w:ascii="Times New Roman" w:hAnsi="Times New Roman" w:eastAsia="宋体" w:cs="Times New Roman"/>
          <w:kern w:val="2"/>
          <w:sz w:val="24"/>
          <w:szCs w:val="20"/>
          <w:lang w:val="en-US" w:eastAsia="zh-CN" w:bidi="ar-SA"/>
        </w:rPr>
        <w:t>供电系统</w:t>
      </w:r>
      <w:r>
        <w:rPr>
          <w:rFonts w:hint="eastAsia" w:ascii="Times New Roman" w:hAnsi="Times New Roman" w:eastAsia="宋体" w:cs="Times New Roman"/>
          <w:kern w:val="2"/>
          <w:sz w:val="24"/>
          <w:szCs w:val="24"/>
          <w:lang w:val="en-US" w:eastAsia="zh-CN" w:bidi="ar-SA"/>
        </w:rPr>
        <w:t>故障、列车挤岔脱轨、火灾、侵限、设备故障影响列车不能通行导致较长时间线路中断行车或出现列车大面积晚点时，列车将会在正常区域内降级为小交路运行，列车运输能力大幅度降低，乘客滞留车站，对地铁的运营服务、社会效益和经济效益造成较大的影响，为此投标人提供的系统需要需要支撑地面公交接驳车对滞留乘客进行疏送。</w:t>
      </w:r>
    </w:p>
    <w:p w14:paraId="519BA7A1">
      <w:pPr>
        <w:widowControl/>
        <w:numPr>
          <w:ilvl w:val="0"/>
          <w:numId w:val="38"/>
        </w:numPr>
        <w:spacing w:line="360" w:lineRule="auto"/>
        <w:ind w:left="845" w:hanging="425"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应急事件响应：当突发事件发生时，投标人提供的系统应立即启动应急响应流程，触发预警并进入应急处置状态，保障后续调度工作迅速开展。</w:t>
      </w:r>
    </w:p>
    <w:p w14:paraId="5CBD8C8B">
      <w:pPr>
        <w:widowControl/>
        <w:numPr>
          <w:ilvl w:val="0"/>
          <w:numId w:val="38"/>
        </w:numPr>
        <w:spacing w:line="360" w:lineRule="auto"/>
        <w:ind w:left="845" w:hanging="425"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故障区域识别：投标人提供的系统需通过对城轨线路运行数据的实时分析，精准定位受影响的车站及区段，明确故障区域范围，为后续调度决策提供基础。</w:t>
      </w:r>
    </w:p>
    <w:p w14:paraId="24C64A5C">
      <w:pPr>
        <w:widowControl/>
        <w:numPr>
          <w:ilvl w:val="0"/>
          <w:numId w:val="38"/>
        </w:numPr>
        <w:spacing w:line="360" w:lineRule="auto"/>
        <w:ind w:left="845" w:hanging="425"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构建应急场景处置标准化预案：当部分地铁线路中断运营时，将对列车运行模式进行调整，届时将对相应区域的车站临时关站或部分方向行车中断，从而形成故障区段。投标人提供的系统需根据城轨线路运营中断情况，匹配多种预案并经调度人员确认后下发，包含接驳起止站点、初始需求车辆数量、路线、停靠站点等信息。</w:t>
      </w:r>
    </w:p>
    <w:p w14:paraId="56B3C566">
      <w:pPr>
        <w:widowControl/>
        <w:numPr>
          <w:ilvl w:val="0"/>
          <w:numId w:val="38"/>
        </w:numPr>
        <w:spacing w:line="360" w:lineRule="auto"/>
        <w:ind w:left="845" w:hanging="425"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公交接驳管理：系统须统筹公交应急接驳的全流程工作，包括对接驳车辆的调度安排、行驶路线规划、站点停靠管理等，确保接驳服务有序开展。</w:t>
      </w:r>
    </w:p>
    <w:p w14:paraId="76C9358B">
      <w:pPr>
        <w:widowControl/>
        <w:numPr>
          <w:ilvl w:val="0"/>
          <w:numId w:val="38"/>
        </w:numPr>
        <w:spacing w:line="360" w:lineRule="auto"/>
        <w:ind w:left="845" w:hanging="425"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应急资源管理：系统应对公交应急运力池进行管理，实时监测全市可调度的接驳应急公交数量，精确到车辆位置、荷载量，保障应急资源的有效调配。</w:t>
      </w:r>
    </w:p>
    <w:p w14:paraId="1EDD239B">
      <w:pPr>
        <w:widowControl/>
        <w:numPr>
          <w:ilvl w:val="0"/>
          <w:numId w:val="38"/>
        </w:numPr>
        <w:spacing w:line="360" w:lineRule="auto"/>
        <w:ind w:left="845" w:hanging="425"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接驳预案可视化：系统应支持将应急接驳预案中的各项信息，如接驳路线、车辆分布、站点安排等，通过可视化界面进行展示，便于调度人员直观掌握预案内容和执行情况。</w:t>
      </w:r>
    </w:p>
    <w:p w14:paraId="7D4DA7D8">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特殊事件协同</w:t>
      </w:r>
    </w:p>
    <w:p w14:paraId="7486E5C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针对大型活动、节假日等非常规客流，提供专项调度方案。通过协同客流分析，基于活动规模、时间、预计离场人数等参数，计算城轨、公交运力需求，支撑城轨、公交调度系统调整运营计划。通过接驳预案可视化展示调度方案，确保特殊事件期间客流有序疏散。</w:t>
      </w:r>
    </w:p>
    <w:p w14:paraId="49A96367">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bookmarkStart w:id="551" w:name="_Toc201000243"/>
      <w:r>
        <w:rPr>
          <w:rFonts w:hint="eastAsia" w:ascii="Times New Roman" w:hAnsi="Times New Roman" w:eastAsia="黑体" w:cs="Times New Roman"/>
          <w:bCs/>
          <w:kern w:val="2"/>
          <w:sz w:val="28"/>
          <w:szCs w:val="28"/>
          <w:lang w:val="en-US" w:eastAsia="zh-CN" w:bidi="ar-SA"/>
        </w:rPr>
        <w:t>信息管理</w:t>
      </w:r>
      <w:bookmarkEnd w:id="551"/>
    </w:p>
    <w:p w14:paraId="6937AA1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投标人所提供的系统需实现调度信息的高效流转与流程的信息化，保障城轨与公交协同调度工作规范、有序开展，确保调度指令高效传递与执行。</w:t>
      </w:r>
    </w:p>
    <w:p w14:paraId="2EDC79A3">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实时信息共享通道</w:t>
      </w:r>
    </w:p>
    <w:p w14:paraId="408F78E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需建立城轨与公交的实时信息共享通道。通过配备信息编辑管理功能，实现应急和突发状况下文字指令、图表等多样化调度信息的编辑与整合；同时，借助信息发布模块，以多种形式将信息快速传递至相关部门与人员，确保调度指令能够及时触达。</w:t>
      </w:r>
    </w:p>
    <w:p w14:paraId="5D57E2DC">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固化处置流程模板</w:t>
      </w:r>
    </w:p>
    <w:p w14:paraId="02B4DD6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针对日常及应急协同调度场景，投标人需在系统中预设标准化的处置信息模板。通过设置信息预录入模块，辅助调度人员在应急事件发生时，按照模板要求快速录入事件类型、发生时间、影响范围等基础信息；利用关键信息匹配生成模块，基于预设规则和录入信息，自动生成完整的调度信息内容。模板需涵盖信息录入、查询、发布等环节，并明确各流程节点的操作规范和责任分工，以此确保信息完整、格式统一。</w:t>
      </w:r>
    </w:p>
    <w:p w14:paraId="68A976F8">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信息流程管控</w:t>
      </w:r>
    </w:p>
    <w:p w14:paraId="6DFD260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提供的系统应自动记录操作时间、操作人员等信息，实现信息流转的全程留痕。信息发布后，利用信息发布模块的统计分析功能，对信息发布的时间、对象、效果进行统计，为后续优化信息流转流程提供数据支持。</w:t>
      </w:r>
    </w:p>
    <w:p w14:paraId="09E800DD">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bookmarkStart w:id="552" w:name="_Toc201000244"/>
      <w:r>
        <w:rPr>
          <w:rFonts w:hint="eastAsia" w:ascii="Times New Roman" w:hAnsi="Times New Roman" w:eastAsia="黑体" w:cs="Times New Roman"/>
          <w:bCs/>
          <w:kern w:val="2"/>
          <w:sz w:val="28"/>
          <w:szCs w:val="28"/>
          <w:lang w:val="en-US" w:eastAsia="zh-CN" w:bidi="ar-SA"/>
        </w:rPr>
        <w:t>协同调度优化</w:t>
      </w:r>
      <w:bookmarkEnd w:id="552"/>
    </w:p>
    <w:p w14:paraId="39C2C2B1">
      <w:pPr>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投标人提供的系统中，协同调度优化模块需基于公交调度系统提供的多维度分析数据，实现对公交系统的动态资源调配，支撑城轨与公交系统的协同运作，以提升整体协同效率与服务质量。</w:t>
      </w:r>
    </w:p>
    <w:p w14:paraId="6AB7D6BD">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线路间横向对比</w:t>
      </w:r>
    </w:p>
    <w:p w14:paraId="3E8C4388">
      <w:pPr>
        <w:numPr>
          <w:ilvl w:val="0"/>
          <w:numId w:val="39"/>
        </w:numPr>
        <w:spacing w:line="360" w:lineRule="auto"/>
        <w:ind w:left="845" w:hanging="425" w:firstLineChars="0"/>
        <w:rPr>
          <w:rFonts w:hint="eastAsia" w:ascii="宋体" w:hAnsi="宋体" w:eastAsia="宋体" w:cs="宋体"/>
          <w:sz w:val="24"/>
          <w:szCs w:val="24"/>
        </w:rPr>
      </w:pPr>
      <w:r>
        <w:rPr>
          <w:rFonts w:ascii="宋体" w:hAnsi="宋体" w:eastAsia="宋体" w:cs="宋体"/>
          <w:sz w:val="24"/>
          <w:szCs w:val="24"/>
        </w:rPr>
        <w:t>指标管理：系统需提供城轨各线路、公交各线路之间的运行数据对比功能，构建涵盖发车间隔、准点率、客流量等指标管理体系，为线路对比提供数据基础；</w:t>
      </w:r>
    </w:p>
    <w:p w14:paraId="59E521C0">
      <w:pPr>
        <w:numPr>
          <w:ilvl w:val="0"/>
          <w:numId w:val="39"/>
        </w:numPr>
        <w:spacing w:line="360" w:lineRule="auto"/>
        <w:ind w:left="845" w:hanging="425" w:firstLineChars="0"/>
        <w:rPr>
          <w:rFonts w:hint="eastAsia" w:ascii="宋体" w:hAnsi="宋体" w:eastAsia="宋体" w:cs="宋体"/>
          <w:sz w:val="24"/>
          <w:szCs w:val="24"/>
        </w:rPr>
      </w:pPr>
      <w:r>
        <w:rPr>
          <w:rFonts w:ascii="宋体" w:hAnsi="宋体" w:eastAsia="宋体" w:cs="宋体"/>
          <w:sz w:val="24"/>
          <w:szCs w:val="24"/>
        </w:rPr>
        <w:t>运力资源分析：投标人提供的系统需基于指标对比结果，分析各线路运力资源配置合理性，为调度策略优化提供依据。</w:t>
      </w:r>
    </w:p>
    <w:p w14:paraId="29EED7BF">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历史同期纵向对比</w:t>
      </w:r>
    </w:p>
    <w:p w14:paraId="123BC8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客流趋势分析：投标人提供的系统需支持选择历史日期，将当前实时运行数据与历史同期数据进行纵向对比分析，通过折线图、柱状图等形式展示，提供小时级、日级、周级等多粒度分析，展示公交客流波动规律与趋势变化。在纵向对比中对各类运营指标进行持续跟踪与评估，可叠加特殊事件标签，分析外部因素对运营的影响程度，为规律总结提供量化支持。</w:t>
      </w:r>
    </w:p>
    <w:p w14:paraId="4309558F">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接驳服务优化</w:t>
      </w:r>
    </w:p>
    <w:p w14:paraId="565741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末班车衔接时间管理：投标人提供的系统需实时比对轨道末班到站时间与公交末班发车时间，预留安全窗口时间。</w:t>
      </w:r>
    </w:p>
    <w:p w14:paraId="64863D20">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接口要求</w:t>
      </w:r>
    </w:p>
    <w:p w14:paraId="68F1BC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本项目实施涉及与南宁轨道交通线网（应急）指挥中心（NOCC）系统、南宁公交智能调度系统对接开展接口对接、软件修改及施工调试工作。</w:t>
      </w:r>
    </w:p>
    <w:p w14:paraId="62F2AF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为保证项目顺利实施，投标人须提供南宁轨道交通线网（应急）指挥中心（NOCC）系统建设厂商、南宁公交智能调度系统建设厂商提供的相关授权书或接口开放承诺书。</w:t>
      </w:r>
    </w:p>
    <w:p w14:paraId="3FE9FCE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本系统</w:t>
      </w:r>
      <w:r>
        <w:rPr>
          <w:rFonts w:hint="eastAsia" w:ascii="宋体" w:hAnsi="宋体" w:eastAsia="宋体" w:cs="宋体"/>
          <w:sz w:val="24"/>
          <w:szCs w:val="24"/>
        </w:rPr>
        <w:t>实施涉及</w:t>
      </w:r>
      <w:r>
        <w:rPr>
          <w:rFonts w:hint="eastAsia" w:ascii="宋体" w:hAnsi="宋体" w:eastAsia="宋体" w:cs="宋体"/>
          <w:sz w:val="24"/>
          <w:szCs w:val="24"/>
          <w:lang w:val="en-US" w:eastAsia="zh-CN"/>
        </w:rPr>
        <w:t>与既有系统的接口对接，均不得影响既有系统的业务正常使用和网络信息安全。</w:t>
      </w:r>
    </w:p>
    <w:p w14:paraId="70AD0F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本系统相关接口分界、数据、协议等具体要求在设计联络阶段确定。</w:t>
      </w:r>
    </w:p>
    <w:p w14:paraId="4A97265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本系统</w:t>
      </w:r>
      <w:r>
        <w:rPr>
          <w:rFonts w:hint="eastAsia" w:ascii="宋体" w:hAnsi="宋体" w:eastAsia="宋体" w:cs="宋体"/>
          <w:sz w:val="24"/>
          <w:szCs w:val="24"/>
          <w:lang w:val="en-US" w:eastAsia="zh-CN"/>
        </w:rPr>
        <w:t>需要</w:t>
      </w:r>
      <w:r>
        <w:rPr>
          <w:rFonts w:hint="eastAsia" w:ascii="宋体" w:hAnsi="宋体" w:eastAsia="宋体" w:cs="宋体"/>
          <w:sz w:val="24"/>
          <w:szCs w:val="24"/>
        </w:rPr>
        <w:t>预留标准数据接口，提供</w:t>
      </w:r>
      <w:r>
        <w:rPr>
          <w:rFonts w:hint="eastAsia" w:ascii="宋体" w:hAnsi="宋体" w:eastAsia="宋体" w:cs="宋体"/>
          <w:sz w:val="24"/>
          <w:szCs w:val="24"/>
          <w:lang w:val="en-US" w:eastAsia="zh-CN"/>
        </w:rPr>
        <w:t>与南宁轨道集团智能运营中心（</w:t>
      </w:r>
      <w:r>
        <w:rPr>
          <w:rFonts w:hint="eastAsia" w:ascii="宋体" w:hAnsi="宋体" w:eastAsia="宋体" w:cs="宋体"/>
          <w:sz w:val="24"/>
          <w:szCs w:val="24"/>
        </w:rPr>
        <w:t>IOC</w:t>
      </w:r>
      <w:r>
        <w:rPr>
          <w:rFonts w:hint="eastAsia" w:ascii="宋体" w:hAnsi="宋体" w:eastAsia="宋体" w:cs="宋体"/>
          <w:sz w:val="24"/>
          <w:szCs w:val="24"/>
          <w:lang w:eastAsia="zh-CN"/>
        </w:rPr>
        <w:t>）</w:t>
      </w:r>
      <w:r>
        <w:rPr>
          <w:rFonts w:hint="eastAsia" w:ascii="宋体" w:hAnsi="宋体" w:eastAsia="宋体" w:cs="宋体"/>
          <w:sz w:val="24"/>
          <w:szCs w:val="24"/>
        </w:rPr>
        <w:t>建设所需的数据资源接口服务</w:t>
      </w:r>
      <w:r>
        <w:rPr>
          <w:rFonts w:hint="eastAsia" w:ascii="宋体" w:hAnsi="宋体" w:eastAsia="宋体" w:cs="宋体"/>
          <w:sz w:val="24"/>
          <w:szCs w:val="24"/>
          <w:lang w:eastAsia="zh-CN"/>
        </w:rPr>
        <w:t>。</w:t>
      </w:r>
    </w:p>
    <w:p w14:paraId="422599A1">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城轨与公交协同调度指挥系统与大数据平台接口</w:t>
      </w:r>
    </w:p>
    <w:p w14:paraId="15D46BEA">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接口分界</w:t>
      </w:r>
    </w:p>
    <w:p w14:paraId="2A6C957B">
      <w:pPr>
        <w:spacing w:line="240" w:lineRule="auto"/>
        <w:ind w:firstLine="0" w:firstLineChars="0"/>
        <w:jc w:val="center"/>
        <w:rPr>
          <w:rFonts w:hint="eastAsia" w:ascii="等线" w:hAnsi="等线" w:eastAsia="等线" w:cs="Times New Roman"/>
          <w:sz w:val="21"/>
        </w:rPr>
      </w:pPr>
      <w:r>
        <w:rPr>
          <w:rFonts w:ascii="等线" w:hAnsi="等线" w:eastAsia="等线" w:cs="Times New Roman"/>
          <w:sz w:val="21"/>
        </w:rPr>
        <w:drawing>
          <wp:inline distT="0" distB="0" distL="0" distR="0">
            <wp:extent cx="5274310" cy="2209800"/>
            <wp:effectExtent l="0" t="0" r="2540" b="0"/>
            <wp:docPr id="20046629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6292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2209800"/>
                    </a:xfrm>
                    <a:prstGeom prst="rect">
                      <a:avLst/>
                    </a:prstGeom>
                    <a:noFill/>
                    <a:ln>
                      <a:noFill/>
                    </a:ln>
                  </pic:spPr>
                </pic:pic>
              </a:graphicData>
            </a:graphic>
          </wp:inline>
        </w:drawing>
      </w:r>
    </w:p>
    <w:p w14:paraId="2EB34F16">
      <w:pPr>
        <w:spacing w:line="360" w:lineRule="auto"/>
        <w:ind w:firstLine="0" w:firstLineChars="0"/>
        <w:jc w:val="center"/>
        <w:rPr>
          <w:rFonts w:hint="eastAsia" w:ascii="等线" w:hAnsi="等线" w:eastAsia="宋体" w:cs="Times New Roman"/>
          <w:sz w:val="21"/>
          <w:szCs w:val="20"/>
        </w:rPr>
      </w:pPr>
      <w:r>
        <w:rPr>
          <w:rFonts w:hint="eastAsia" w:ascii="等线" w:hAnsi="等线" w:eastAsia="宋体" w:cs="Times New Roman"/>
          <w:sz w:val="21"/>
          <w:szCs w:val="20"/>
        </w:rPr>
        <w:t>城轨与公交协同调度指挥系统与</w:t>
      </w:r>
      <w:r>
        <w:rPr>
          <w:rFonts w:hint="eastAsia" w:ascii="等线" w:hAnsi="等线" w:eastAsia="宋体" w:cs="Times New Roman"/>
          <w:sz w:val="21"/>
          <w:szCs w:val="20"/>
          <w:lang w:val="en-US" w:eastAsia="zh-CN"/>
        </w:rPr>
        <w:t>大数据平台</w:t>
      </w:r>
      <w:r>
        <w:rPr>
          <w:rFonts w:hint="eastAsia" w:ascii="等线" w:hAnsi="等线" w:eastAsia="宋体" w:cs="Times New Roman"/>
          <w:sz w:val="21"/>
          <w:szCs w:val="20"/>
        </w:rPr>
        <w:t>接口</w:t>
      </w:r>
    </w:p>
    <w:p w14:paraId="065AB3E7">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接口数据</w:t>
      </w:r>
    </w:p>
    <w:tbl>
      <w:tblPr>
        <w:tblStyle w:val="90"/>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3107"/>
        <w:gridCol w:w="3350"/>
      </w:tblGrid>
      <w:tr w14:paraId="23A9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33" w:type="dxa"/>
          </w:tcPr>
          <w:p w14:paraId="36059014">
            <w:pPr>
              <w:spacing w:line="36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数据分类</w:t>
            </w:r>
          </w:p>
        </w:tc>
        <w:tc>
          <w:tcPr>
            <w:tcW w:w="3107" w:type="dxa"/>
          </w:tcPr>
          <w:p w14:paraId="7FBDABDA">
            <w:pPr>
              <w:spacing w:line="36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城轨与公交协同调度指挥系统</w:t>
            </w:r>
          </w:p>
        </w:tc>
        <w:tc>
          <w:tcPr>
            <w:tcW w:w="3350" w:type="dxa"/>
          </w:tcPr>
          <w:p w14:paraId="53A2684D">
            <w:pPr>
              <w:spacing w:line="360" w:lineRule="auto"/>
              <w:ind w:firstLine="0" w:firstLineChars="0"/>
              <w:jc w:val="center"/>
              <w:rPr>
                <w:rFonts w:hint="default" w:ascii="宋体" w:hAnsi="宋体" w:eastAsia="宋体" w:cs="宋体"/>
                <w:b/>
                <w:sz w:val="21"/>
                <w:szCs w:val="21"/>
                <w:lang w:val="en-US" w:eastAsia="zh-CN"/>
              </w:rPr>
            </w:pPr>
            <w:r>
              <w:rPr>
                <w:rFonts w:hint="default" w:ascii="宋体" w:hAnsi="宋体" w:eastAsia="宋体" w:cs="宋体"/>
                <w:b/>
                <w:sz w:val="21"/>
                <w:szCs w:val="21"/>
                <w:lang w:val="en-US"/>
              </w:rPr>
              <w:t>大数据平台</w:t>
            </w:r>
          </w:p>
        </w:tc>
      </w:tr>
      <w:tr w14:paraId="078D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33" w:type="dxa"/>
          </w:tcPr>
          <w:p w14:paraId="775EB17D">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轨道交通线路数据</w:t>
            </w:r>
          </w:p>
        </w:tc>
        <w:tc>
          <w:tcPr>
            <w:tcW w:w="3107" w:type="dxa"/>
          </w:tcPr>
          <w:p w14:paraId="49A1DEA0">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采集地铁的线网配置数据</w:t>
            </w:r>
          </w:p>
        </w:tc>
        <w:tc>
          <w:tcPr>
            <w:tcW w:w="3350" w:type="dxa"/>
          </w:tcPr>
          <w:p w14:paraId="7F7FE519">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提供地铁的线网配置数据</w:t>
            </w:r>
          </w:p>
        </w:tc>
      </w:tr>
      <w:tr w14:paraId="60ED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33" w:type="dxa"/>
          </w:tcPr>
          <w:p w14:paraId="13F70C15">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行车数据</w:t>
            </w:r>
          </w:p>
        </w:tc>
        <w:tc>
          <w:tcPr>
            <w:tcW w:w="3107" w:type="dxa"/>
          </w:tcPr>
          <w:p w14:paraId="3A6C2579">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采集实时车辆行车信息</w:t>
            </w:r>
          </w:p>
        </w:tc>
        <w:tc>
          <w:tcPr>
            <w:tcW w:w="3350" w:type="dxa"/>
          </w:tcPr>
          <w:p w14:paraId="03E0A6B0">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提供实时车辆行车信息</w:t>
            </w:r>
          </w:p>
        </w:tc>
      </w:tr>
      <w:tr w14:paraId="2050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33" w:type="dxa"/>
          </w:tcPr>
          <w:p w14:paraId="6553F3F4">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站点客流数据</w:t>
            </w:r>
          </w:p>
        </w:tc>
        <w:tc>
          <w:tcPr>
            <w:tcW w:w="3107" w:type="dxa"/>
          </w:tcPr>
          <w:p w14:paraId="51C2C5EC">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采集各个站点客流信息</w:t>
            </w:r>
          </w:p>
        </w:tc>
        <w:tc>
          <w:tcPr>
            <w:tcW w:w="3350" w:type="dxa"/>
          </w:tcPr>
          <w:p w14:paraId="7881B66E">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提供各个站点客流信息</w:t>
            </w:r>
          </w:p>
        </w:tc>
      </w:tr>
      <w:tr w14:paraId="4B2B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33" w:type="dxa"/>
          </w:tcPr>
          <w:p w14:paraId="7E6B8279">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断面客流数据</w:t>
            </w:r>
          </w:p>
        </w:tc>
        <w:tc>
          <w:tcPr>
            <w:tcW w:w="3107" w:type="dxa"/>
          </w:tcPr>
          <w:p w14:paraId="0C72C6AA">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采集各个线路断面客流信息</w:t>
            </w:r>
          </w:p>
        </w:tc>
        <w:tc>
          <w:tcPr>
            <w:tcW w:w="3350" w:type="dxa"/>
          </w:tcPr>
          <w:p w14:paraId="6EB211CD">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提供各个线路断面客流信息</w:t>
            </w:r>
          </w:p>
        </w:tc>
      </w:tr>
      <w:tr w14:paraId="49C1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33" w:type="dxa"/>
          </w:tcPr>
          <w:p w14:paraId="007DB38B">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OD客流</w:t>
            </w:r>
          </w:p>
        </w:tc>
        <w:tc>
          <w:tcPr>
            <w:tcW w:w="3107" w:type="dxa"/>
          </w:tcPr>
          <w:p w14:paraId="69302F22">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采集线网、线路OD客流信息</w:t>
            </w:r>
          </w:p>
        </w:tc>
        <w:tc>
          <w:tcPr>
            <w:tcW w:w="3350" w:type="dxa"/>
          </w:tcPr>
          <w:p w14:paraId="1B4D9C9C">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提供线网、线路OD客流信息</w:t>
            </w:r>
          </w:p>
        </w:tc>
      </w:tr>
      <w:tr w14:paraId="5946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33" w:type="dxa"/>
          </w:tcPr>
          <w:p w14:paraId="169C734E">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气象数据</w:t>
            </w:r>
          </w:p>
        </w:tc>
        <w:tc>
          <w:tcPr>
            <w:tcW w:w="3107" w:type="dxa"/>
          </w:tcPr>
          <w:p w14:paraId="680C916E">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采集城市气象数据</w:t>
            </w:r>
          </w:p>
        </w:tc>
        <w:tc>
          <w:tcPr>
            <w:tcW w:w="3350" w:type="dxa"/>
          </w:tcPr>
          <w:p w14:paraId="187EBCD9">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提供城市气象数据</w:t>
            </w:r>
          </w:p>
        </w:tc>
      </w:tr>
      <w:tr w14:paraId="7145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33" w:type="dxa"/>
          </w:tcPr>
          <w:p w14:paraId="1892B856">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应急事件信息</w:t>
            </w:r>
          </w:p>
        </w:tc>
        <w:tc>
          <w:tcPr>
            <w:tcW w:w="3107" w:type="dxa"/>
          </w:tcPr>
          <w:p w14:paraId="695863AB">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采集城市轨道应急事件，并响应应急事件，发布信息</w:t>
            </w:r>
          </w:p>
        </w:tc>
        <w:tc>
          <w:tcPr>
            <w:tcW w:w="3350" w:type="dxa"/>
          </w:tcPr>
          <w:p w14:paraId="09D9BB5B">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提供城市轨道应急事件接口信息</w:t>
            </w:r>
          </w:p>
        </w:tc>
      </w:tr>
      <w:tr w14:paraId="4CDF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33" w:type="dxa"/>
          </w:tcPr>
          <w:p w14:paraId="31091CF1">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客流预测数据</w:t>
            </w:r>
          </w:p>
        </w:tc>
        <w:tc>
          <w:tcPr>
            <w:tcW w:w="3107" w:type="dxa"/>
          </w:tcPr>
          <w:p w14:paraId="5F8914AC">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采集城市轨道客流预测信息</w:t>
            </w:r>
          </w:p>
        </w:tc>
        <w:tc>
          <w:tcPr>
            <w:tcW w:w="3350" w:type="dxa"/>
          </w:tcPr>
          <w:p w14:paraId="742234DB">
            <w:pPr>
              <w:spacing w:line="36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提供城市轨道客流预测的信息</w:t>
            </w:r>
          </w:p>
        </w:tc>
      </w:tr>
    </w:tbl>
    <w:p w14:paraId="69B9EB4D">
      <w:pPr>
        <w:spacing w:line="360" w:lineRule="auto"/>
        <w:ind w:left="860" w:firstLine="0" w:firstLineChars="0"/>
        <w:rPr>
          <w:rFonts w:hint="eastAsia" w:ascii="等线" w:hAnsi="等线" w:eastAsia="等线" w:cs="Times New Roman"/>
          <w:sz w:val="21"/>
        </w:rPr>
      </w:pPr>
    </w:p>
    <w:p w14:paraId="3DBD9927">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城市多源数据中台与大数据平台接口</w:t>
      </w:r>
    </w:p>
    <w:p w14:paraId="0EE98061">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接口分界</w:t>
      </w:r>
    </w:p>
    <w:p w14:paraId="1E954A25">
      <w:pPr>
        <w:spacing w:line="240" w:lineRule="auto"/>
        <w:ind w:firstLine="0" w:firstLineChars="0"/>
        <w:jc w:val="center"/>
        <w:rPr>
          <w:rFonts w:hint="eastAsia" w:ascii="等线" w:hAnsi="等线" w:eastAsia="等线" w:cs="Times New Roman"/>
          <w:sz w:val="21"/>
        </w:rPr>
      </w:pPr>
      <w:r>
        <w:rPr>
          <w:rFonts w:ascii="等线" w:hAnsi="等线" w:eastAsia="等线" w:cs="Times New Roman"/>
          <w:sz w:val="21"/>
        </w:rPr>
        <w:object>
          <v:shape id="_x0000_i1025" o:spt="75" type="#_x0000_t75" style="height:156.75pt;width:414.3pt;" o:ole="t" filled="f" o:preferrelative="t" stroked="f" coordsize="21600,21600">
            <v:path/>
            <v:fill on="f" focussize="0,0"/>
            <v:stroke on="f" joinstyle="miter"/>
            <v:imagedata r:id="rId20" o:title=""/>
            <o:lock v:ext="edit" aspectratio="f"/>
            <w10:wrap type="none"/>
            <w10:anchorlock/>
          </v:shape>
          <o:OLEObject Type="Embed" ProgID="Visio.Drawing.15" ShapeID="_x0000_i1025" DrawAspect="Content" ObjectID="_1468075725" r:id="rId19">
            <o:LockedField>false</o:LockedField>
          </o:OLEObject>
        </w:object>
      </w:r>
    </w:p>
    <w:p w14:paraId="262C13B5">
      <w:pPr>
        <w:spacing w:line="360" w:lineRule="auto"/>
        <w:ind w:firstLine="420" w:firstLineChars="200"/>
        <w:jc w:val="center"/>
        <w:rPr>
          <w:rFonts w:hint="eastAsia" w:ascii="等线" w:hAnsi="等线" w:eastAsia="宋体" w:cs="Times New Roman"/>
          <w:sz w:val="21"/>
          <w:szCs w:val="20"/>
        </w:rPr>
      </w:pPr>
      <w:r>
        <w:rPr>
          <w:rFonts w:hint="eastAsia" w:ascii="等线" w:hAnsi="等线" w:eastAsia="宋体" w:cs="Times New Roman"/>
          <w:sz w:val="21"/>
          <w:szCs w:val="20"/>
        </w:rPr>
        <w:t>城市多源数据中台与大数据平台接口</w:t>
      </w:r>
    </w:p>
    <w:p w14:paraId="5423B378">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接口数据</w:t>
      </w:r>
    </w:p>
    <w:tbl>
      <w:tblPr>
        <w:tblStyle w:val="90"/>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685"/>
        <w:gridCol w:w="2649"/>
      </w:tblGrid>
      <w:tr w14:paraId="105D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BD54E5F">
            <w:pPr>
              <w:spacing w:line="36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数据分类</w:t>
            </w:r>
          </w:p>
        </w:tc>
        <w:tc>
          <w:tcPr>
            <w:tcW w:w="3685" w:type="dxa"/>
          </w:tcPr>
          <w:p w14:paraId="6F982DDD">
            <w:pPr>
              <w:spacing w:line="36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城市多源数据中台</w:t>
            </w:r>
          </w:p>
        </w:tc>
        <w:tc>
          <w:tcPr>
            <w:tcW w:w="2649" w:type="dxa"/>
          </w:tcPr>
          <w:p w14:paraId="1AD2EEE6">
            <w:pPr>
              <w:spacing w:line="36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大数据平台</w:t>
            </w:r>
          </w:p>
        </w:tc>
      </w:tr>
      <w:tr w14:paraId="3707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DB2082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城市常住人口分布</w:t>
            </w:r>
          </w:p>
        </w:tc>
        <w:tc>
          <w:tcPr>
            <w:tcW w:w="3685" w:type="dxa"/>
          </w:tcPr>
          <w:p w14:paraId="244F8CC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城市常住人口分布</w:t>
            </w:r>
          </w:p>
        </w:tc>
        <w:tc>
          <w:tcPr>
            <w:tcW w:w="2649" w:type="dxa"/>
          </w:tcPr>
          <w:p w14:paraId="75CF98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采集</w:t>
            </w:r>
            <w:r>
              <w:rPr>
                <w:rFonts w:hint="eastAsia" w:ascii="宋体" w:hAnsi="宋体" w:eastAsia="宋体" w:cs="宋体"/>
                <w:sz w:val="21"/>
                <w:szCs w:val="21"/>
              </w:rPr>
              <w:t>城市常住人口分布</w:t>
            </w:r>
          </w:p>
        </w:tc>
      </w:tr>
      <w:tr w14:paraId="605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1DBCAB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就业岗位分布</w:t>
            </w:r>
          </w:p>
        </w:tc>
        <w:tc>
          <w:tcPr>
            <w:tcW w:w="3685" w:type="dxa"/>
          </w:tcPr>
          <w:p w14:paraId="3C123D4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就业岗位分布</w:t>
            </w:r>
          </w:p>
        </w:tc>
        <w:tc>
          <w:tcPr>
            <w:tcW w:w="2649" w:type="dxa"/>
          </w:tcPr>
          <w:p w14:paraId="245E09C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采集</w:t>
            </w:r>
            <w:r>
              <w:rPr>
                <w:rFonts w:hint="eastAsia" w:ascii="宋体" w:hAnsi="宋体" w:eastAsia="宋体" w:cs="宋体"/>
                <w:sz w:val="21"/>
                <w:szCs w:val="21"/>
              </w:rPr>
              <w:t>就业岗位分布</w:t>
            </w:r>
          </w:p>
        </w:tc>
      </w:tr>
      <w:tr w14:paraId="3D9A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82FD4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出行需求分布</w:t>
            </w:r>
          </w:p>
        </w:tc>
        <w:tc>
          <w:tcPr>
            <w:tcW w:w="3685" w:type="dxa"/>
          </w:tcPr>
          <w:p w14:paraId="7B608C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出行需求分布</w:t>
            </w:r>
          </w:p>
        </w:tc>
        <w:tc>
          <w:tcPr>
            <w:tcW w:w="2649" w:type="dxa"/>
          </w:tcPr>
          <w:p w14:paraId="351B46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采集</w:t>
            </w:r>
            <w:r>
              <w:rPr>
                <w:rFonts w:hint="eastAsia" w:ascii="宋体" w:hAnsi="宋体" w:eastAsia="宋体" w:cs="宋体"/>
                <w:sz w:val="21"/>
                <w:szCs w:val="21"/>
              </w:rPr>
              <w:t>出行需求分布</w:t>
            </w:r>
          </w:p>
        </w:tc>
      </w:tr>
      <w:tr w14:paraId="767A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ABEC5C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基础设施分布</w:t>
            </w:r>
          </w:p>
        </w:tc>
        <w:tc>
          <w:tcPr>
            <w:tcW w:w="3685" w:type="dxa"/>
          </w:tcPr>
          <w:p w14:paraId="4ACDE20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基础设施分布</w:t>
            </w:r>
          </w:p>
        </w:tc>
        <w:tc>
          <w:tcPr>
            <w:tcW w:w="2649" w:type="dxa"/>
          </w:tcPr>
          <w:p w14:paraId="0B0C661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采集</w:t>
            </w:r>
            <w:r>
              <w:rPr>
                <w:rFonts w:hint="eastAsia" w:ascii="宋体" w:hAnsi="宋体" w:eastAsia="宋体" w:cs="宋体"/>
                <w:sz w:val="21"/>
                <w:szCs w:val="21"/>
              </w:rPr>
              <w:t>基础设施分布</w:t>
            </w:r>
          </w:p>
        </w:tc>
      </w:tr>
    </w:tbl>
    <w:p w14:paraId="5D418A40">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城轨与公交协同调度指挥系统与公交智能调度系统接口</w:t>
      </w:r>
    </w:p>
    <w:p w14:paraId="2E351609">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接口分界</w:t>
      </w:r>
    </w:p>
    <w:p w14:paraId="75083C1B">
      <w:pPr>
        <w:spacing w:line="240" w:lineRule="auto"/>
        <w:ind w:firstLine="0" w:firstLineChars="0"/>
        <w:jc w:val="center"/>
        <w:rPr>
          <w:rFonts w:ascii="等线" w:hAnsi="等线" w:eastAsia="等线" w:cs="Times New Roman"/>
          <w:sz w:val="21"/>
        </w:rPr>
      </w:pPr>
    </w:p>
    <w:p w14:paraId="3C8A9E6A">
      <w:pPr>
        <w:spacing w:line="240" w:lineRule="auto"/>
        <w:ind w:firstLine="0" w:firstLineChars="0"/>
        <w:jc w:val="center"/>
        <w:rPr>
          <w:rFonts w:hint="eastAsia" w:ascii="等线" w:hAnsi="等线" w:eastAsia="等线" w:cs="Times New Roman"/>
          <w:sz w:val="21"/>
        </w:rPr>
      </w:pPr>
      <w:r>
        <w:rPr>
          <w:rFonts w:ascii="等线" w:hAnsi="等线" w:eastAsia="等线" w:cs="Times New Roman"/>
          <w:sz w:val="21"/>
        </w:rPr>
        <w:object>
          <v:shape id="_x0000_i1026" o:spt="75" type="#_x0000_t75" style="height:181.75pt;width:421.6pt;" o:ole="t" filled="f" o:preferrelative="t" stroked="f" coordsize="21600,21600">
            <v:path/>
            <v:fill on="f" focussize="0,0"/>
            <v:stroke on="f"/>
            <v:imagedata r:id="rId22" o:title=""/>
            <o:lock v:ext="edit" aspectratio="f"/>
            <w10:wrap type="none"/>
            <w10:anchorlock/>
          </v:shape>
          <o:OLEObject Type="Embed" ProgID="Visio.Drawing.15" ShapeID="_x0000_i1026" DrawAspect="Content" ObjectID="_1468075726" r:id="rId21">
            <o:LockedField>false</o:LockedField>
          </o:OLEObject>
        </w:object>
      </w:r>
    </w:p>
    <w:p w14:paraId="6309A20B">
      <w:pPr>
        <w:spacing w:line="360" w:lineRule="auto"/>
        <w:ind w:firstLine="420" w:firstLineChars="200"/>
        <w:jc w:val="center"/>
        <w:rPr>
          <w:rFonts w:hint="eastAsia" w:ascii="等线" w:hAnsi="等线" w:eastAsia="宋体" w:cs="Times New Roman"/>
          <w:sz w:val="21"/>
          <w:szCs w:val="20"/>
        </w:rPr>
      </w:pPr>
      <w:r>
        <w:rPr>
          <w:rFonts w:hint="eastAsia" w:ascii="等线" w:hAnsi="等线" w:eastAsia="宋体" w:cs="Times New Roman"/>
          <w:sz w:val="21"/>
          <w:szCs w:val="20"/>
        </w:rPr>
        <w:t>城轨与公交协同调度指挥系统与公交智能调度系统接口</w:t>
      </w:r>
    </w:p>
    <w:p w14:paraId="2FCD6972">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接口数据</w:t>
      </w:r>
    </w:p>
    <w:tbl>
      <w:tblPr>
        <w:tblStyle w:val="90"/>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3827"/>
        <w:gridCol w:w="2897"/>
      </w:tblGrid>
      <w:tr w14:paraId="7E30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15B4615">
            <w:pPr>
              <w:spacing w:line="240" w:lineRule="auto"/>
              <w:ind w:firstLine="0" w:firstLineChars="0"/>
              <w:jc w:val="center"/>
              <w:rPr>
                <w:rFonts w:hint="eastAsia" w:ascii="宋体" w:hAnsi="宋体" w:eastAsia="宋体" w:cs="宋体"/>
                <w:b/>
                <w:bCs/>
                <w:kern w:val="44"/>
                <w:sz w:val="21"/>
                <w:szCs w:val="21"/>
              </w:rPr>
            </w:pPr>
            <w:r>
              <w:rPr>
                <w:rFonts w:hint="eastAsia" w:ascii="宋体" w:hAnsi="宋体" w:eastAsia="宋体" w:cs="宋体"/>
                <w:b/>
                <w:bCs/>
                <w:kern w:val="44"/>
                <w:sz w:val="21"/>
                <w:szCs w:val="21"/>
              </w:rPr>
              <w:t>数据分类</w:t>
            </w:r>
          </w:p>
        </w:tc>
        <w:tc>
          <w:tcPr>
            <w:tcW w:w="3827" w:type="dxa"/>
          </w:tcPr>
          <w:p w14:paraId="1D5A87AA">
            <w:pPr>
              <w:spacing w:line="240" w:lineRule="auto"/>
              <w:ind w:firstLine="0" w:firstLineChars="0"/>
              <w:jc w:val="center"/>
              <w:rPr>
                <w:rFonts w:hint="eastAsia" w:ascii="宋体" w:hAnsi="宋体" w:eastAsia="宋体" w:cs="宋体"/>
                <w:b/>
                <w:bCs/>
                <w:kern w:val="44"/>
                <w:sz w:val="21"/>
                <w:szCs w:val="21"/>
              </w:rPr>
            </w:pPr>
            <w:r>
              <w:rPr>
                <w:rFonts w:hint="eastAsia" w:ascii="宋体" w:hAnsi="宋体" w:eastAsia="宋体" w:cs="宋体"/>
                <w:b/>
                <w:bCs/>
                <w:kern w:val="44"/>
                <w:sz w:val="21"/>
                <w:szCs w:val="21"/>
              </w:rPr>
              <w:t>城轨与公交协同调度指挥系统</w:t>
            </w:r>
          </w:p>
        </w:tc>
        <w:tc>
          <w:tcPr>
            <w:tcW w:w="2897" w:type="dxa"/>
          </w:tcPr>
          <w:p w14:paraId="2F341B7E">
            <w:pPr>
              <w:spacing w:line="240" w:lineRule="auto"/>
              <w:ind w:firstLine="0" w:firstLineChars="0"/>
              <w:jc w:val="center"/>
              <w:rPr>
                <w:rFonts w:hint="eastAsia" w:ascii="宋体" w:hAnsi="宋体" w:eastAsia="宋体" w:cs="宋体"/>
                <w:b/>
                <w:bCs/>
                <w:kern w:val="44"/>
                <w:sz w:val="21"/>
                <w:szCs w:val="21"/>
              </w:rPr>
            </w:pPr>
            <w:r>
              <w:rPr>
                <w:rFonts w:hint="eastAsia" w:ascii="宋体" w:hAnsi="宋体" w:eastAsia="宋体" w:cs="宋体"/>
                <w:b/>
                <w:bCs/>
                <w:kern w:val="44"/>
                <w:sz w:val="21"/>
                <w:szCs w:val="21"/>
              </w:rPr>
              <w:t>公交调度系统</w:t>
            </w:r>
          </w:p>
        </w:tc>
      </w:tr>
      <w:tr w14:paraId="3FEF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2531432">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公交基础数据</w:t>
            </w:r>
          </w:p>
        </w:tc>
        <w:tc>
          <w:tcPr>
            <w:tcW w:w="3827" w:type="dxa"/>
          </w:tcPr>
          <w:p w14:paraId="47D3FAED">
            <w:pPr>
              <w:spacing w:line="240" w:lineRule="auto"/>
              <w:ind w:firstLine="0" w:firstLineChars="0"/>
              <w:rPr>
                <w:rFonts w:hint="eastAsia" w:ascii="宋体" w:hAnsi="宋体" w:eastAsia="宋体" w:cs="宋体"/>
                <w:kern w:val="44"/>
                <w:sz w:val="21"/>
                <w:szCs w:val="21"/>
              </w:rPr>
            </w:pPr>
            <w:bookmarkStart w:id="553" w:name="OLE_LINK4"/>
            <w:r>
              <w:rPr>
                <w:rFonts w:hint="eastAsia" w:ascii="宋体" w:hAnsi="宋体" w:eastAsia="宋体" w:cs="宋体"/>
                <w:kern w:val="44"/>
                <w:sz w:val="21"/>
                <w:szCs w:val="21"/>
              </w:rPr>
              <w:t>采集城市公交的基本业务配置数据，如公交数量、投入公交数量、车队等基本信息</w:t>
            </w:r>
            <w:bookmarkEnd w:id="553"/>
          </w:p>
        </w:tc>
        <w:tc>
          <w:tcPr>
            <w:tcW w:w="2897" w:type="dxa"/>
          </w:tcPr>
          <w:p w14:paraId="1B175CB6">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提供城市公交的基本业务配置数据，如公交数量、投入公交数量、车队等基本信息</w:t>
            </w:r>
          </w:p>
        </w:tc>
      </w:tr>
      <w:tr w14:paraId="4C9B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FB5B7DE">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行车数据</w:t>
            </w:r>
          </w:p>
        </w:tc>
        <w:tc>
          <w:tcPr>
            <w:tcW w:w="3827" w:type="dxa"/>
          </w:tcPr>
          <w:p w14:paraId="0B31F951">
            <w:pPr>
              <w:spacing w:line="240" w:lineRule="auto"/>
              <w:ind w:firstLine="0" w:firstLineChars="0"/>
              <w:rPr>
                <w:rFonts w:hint="eastAsia" w:ascii="宋体" w:hAnsi="宋体" w:eastAsia="宋体" w:cs="宋体"/>
                <w:kern w:val="44"/>
                <w:sz w:val="21"/>
                <w:szCs w:val="21"/>
              </w:rPr>
            </w:pPr>
            <w:bookmarkStart w:id="554" w:name="OLE_LINK5"/>
            <w:r>
              <w:rPr>
                <w:rFonts w:hint="eastAsia" w:ascii="宋体" w:hAnsi="宋体" w:eastAsia="宋体" w:cs="宋体"/>
                <w:kern w:val="44"/>
                <w:sz w:val="21"/>
                <w:szCs w:val="21"/>
              </w:rPr>
              <w:t>采集实时行车路线、到站时间</w:t>
            </w:r>
            <w:bookmarkEnd w:id="554"/>
            <w:r>
              <w:rPr>
                <w:rFonts w:hint="eastAsia" w:ascii="宋体" w:hAnsi="宋体" w:eastAsia="宋体" w:cs="宋体"/>
                <w:kern w:val="44"/>
                <w:sz w:val="21"/>
                <w:szCs w:val="21"/>
              </w:rPr>
              <w:t>，运行时间、出发站点、终点站、人员配置等</w:t>
            </w:r>
          </w:p>
        </w:tc>
        <w:tc>
          <w:tcPr>
            <w:tcW w:w="2897" w:type="dxa"/>
          </w:tcPr>
          <w:p w14:paraId="56DF5B50">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提供实时行车路线、到站时间，运行时间、出发站点、终点站、人员配置等</w:t>
            </w:r>
          </w:p>
        </w:tc>
      </w:tr>
      <w:tr w14:paraId="448B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4C09AD8">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客流数据</w:t>
            </w:r>
          </w:p>
        </w:tc>
        <w:tc>
          <w:tcPr>
            <w:tcW w:w="3827" w:type="dxa"/>
          </w:tcPr>
          <w:p w14:paraId="1E1E2233">
            <w:pPr>
              <w:spacing w:line="240" w:lineRule="auto"/>
              <w:ind w:firstLine="0" w:firstLineChars="0"/>
              <w:rPr>
                <w:rFonts w:hint="eastAsia" w:ascii="宋体" w:hAnsi="宋体" w:eastAsia="宋体" w:cs="宋体"/>
                <w:kern w:val="44"/>
                <w:sz w:val="21"/>
                <w:szCs w:val="21"/>
              </w:rPr>
            </w:pPr>
            <w:bookmarkStart w:id="555" w:name="OLE_LINK6"/>
            <w:r>
              <w:rPr>
                <w:rFonts w:hint="eastAsia" w:ascii="宋体" w:hAnsi="宋体" w:eastAsia="宋体" w:cs="宋体"/>
                <w:kern w:val="44"/>
                <w:sz w:val="21"/>
                <w:szCs w:val="21"/>
              </w:rPr>
              <w:t>采集线网、线路、车辆的客流信息</w:t>
            </w:r>
            <w:bookmarkEnd w:id="555"/>
          </w:p>
        </w:tc>
        <w:tc>
          <w:tcPr>
            <w:tcW w:w="2897" w:type="dxa"/>
          </w:tcPr>
          <w:p w14:paraId="47EF4F83">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提供线网、线路、车辆的客流信息</w:t>
            </w:r>
          </w:p>
        </w:tc>
      </w:tr>
      <w:tr w14:paraId="60C1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FA8A4FC">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排班数据</w:t>
            </w:r>
          </w:p>
        </w:tc>
        <w:tc>
          <w:tcPr>
            <w:tcW w:w="3827" w:type="dxa"/>
          </w:tcPr>
          <w:p w14:paraId="575BAC7C">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采集排班信息、实时排班调整信息</w:t>
            </w:r>
          </w:p>
        </w:tc>
        <w:tc>
          <w:tcPr>
            <w:tcW w:w="2897" w:type="dxa"/>
          </w:tcPr>
          <w:p w14:paraId="10330B3B">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提供排班信息、实时排班调整信息</w:t>
            </w:r>
          </w:p>
        </w:tc>
      </w:tr>
      <w:tr w14:paraId="4C56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19B71D8">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车辆定位</w:t>
            </w:r>
          </w:p>
        </w:tc>
        <w:tc>
          <w:tcPr>
            <w:tcW w:w="3827" w:type="dxa"/>
          </w:tcPr>
          <w:p w14:paraId="3786C8BA">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采集线路车辆的实时定位信息</w:t>
            </w:r>
          </w:p>
        </w:tc>
        <w:tc>
          <w:tcPr>
            <w:tcW w:w="2897" w:type="dxa"/>
          </w:tcPr>
          <w:p w14:paraId="2A824A66">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提供线路车辆的实时定位信息</w:t>
            </w:r>
          </w:p>
        </w:tc>
      </w:tr>
      <w:tr w14:paraId="02A8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42C18578">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车辆状态数据</w:t>
            </w:r>
          </w:p>
        </w:tc>
        <w:tc>
          <w:tcPr>
            <w:tcW w:w="3827" w:type="dxa"/>
          </w:tcPr>
          <w:p w14:paraId="71650439">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采集车辆的各项设备状态</w:t>
            </w:r>
          </w:p>
        </w:tc>
        <w:tc>
          <w:tcPr>
            <w:tcW w:w="2897" w:type="dxa"/>
          </w:tcPr>
          <w:p w14:paraId="72A6E66F">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提供车辆的各项设备状态</w:t>
            </w:r>
          </w:p>
        </w:tc>
      </w:tr>
      <w:tr w14:paraId="30EF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2F8DC7D">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客流预测数据</w:t>
            </w:r>
          </w:p>
        </w:tc>
        <w:tc>
          <w:tcPr>
            <w:tcW w:w="3827" w:type="dxa"/>
          </w:tcPr>
          <w:p w14:paraId="0E0861EB">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采集公交客流预测信息</w:t>
            </w:r>
          </w:p>
        </w:tc>
        <w:tc>
          <w:tcPr>
            <w:tcW w:w="2897" w:type="dxa"/>
          </w:tcPr>
          <w:p w14:paraId="1846634A">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提供公交客流预测信息</w:t>
            </w:r>
          </w:p>
        </w:tc>
      </w:tr>
    </w:tbl>
    <w:p w14:paraId="09010541">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城轨与公交协同调度指挥系统与共享（电）单车智慧监管系统接口</w:t>
      </w:r>
    </w:p>
    <w:p w14:paraId="0C1FEA7B">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接口分界</w:t>
      </w:r>
    </w:p>
    <w:p w14:paraId="1C22FFFD">
      <w:pPr>
        <w:widowControl/>
        <w:spacing w:before="100" w:beforeAutospacing="1" w:after="100" w:afterAutospacing="1" w:line="360" w:lineRule="auto"/>
        <w:ind w:firstLine="0" w:firstLineChars="0"/>
        <w:jc w:val="both"/>
        <w:rPr>
          <w:rFonts w:hint="eastAsia" w:ascii="宋体" w:hAnsi="宋体" w:eastAsia="宋体" w:cs="宋体"/>
          <w:kern w:val="0"/>
          <w:sz w:val="24"/>
          <w:szCs w:val="24"/>
        </w:rPr>
      </w:pPr>
    </w:p>
    <w:p w14:paraId="27731382">
      <w:pPr>
        <w:widowControl/>
        <w:spacing w:before="100" w:beforeAutospacing="1" w:after="100" w:afterAutospacing="1" w:line="360" w:lineRule="auto"/>
        <w:ind w:firstLine="0" w:firstLineChars="0"/>
        <w:jc w:val="both"/>
        <w:rPr>
          <w:rFonts w:hint="eastAsia" w:ascii="宋体" w:hAnsi="宋体" w:eastAsia="宋体" w:cs="宋体"/>
          <w:kern w:val="0"/>
          <w:sz w:val="24"/>
          <w:szCs w:val="24"/>
        </w:rPr>
      </w:pPr>
      <w:r>
        <w:rPr>
          <w:rFonts w:ascii="等线" w:hAnsi="等线" w:eastAsia="等线" w:cs="Times New Roman"/>
          <w:sz w:val="21"/>
        </w:rPr>
        <w:object>
          <v:shape id="_x0000_i1027" o:spt="75" type="#_x0000_t75" style="height:181.75pt;width:421.6pt;" o:ole="t" filled="f" o:preferrelative="t" stroked="f" coordsize="21600,21600">
            <v:path/>
            <v:fill on="f" focussize="0,0"/>
            <v:stroke on="f"/>
            <v:imagedata r:id="rId24" o:title=""/>
            <o:lock v:ext="edit" aspectratio="f"/>
            <w10:wrap type="none"/>
            <w10:anchorlock/>
          </v:shape>
          <o:OLEObject Type="Embed" ProgID="Visio.Drawing.15" ShapeID="_x0000_i1027" DrawAspect="Content" ObjectID="_1468075727" r:id="rId23">
            <o:LockedField>false</o:LockedField>
          </o:OLEObject>
        </w:object>
      </w:r>
    </w:p>
    <w:p w14:paraId="71A8CA3E">
      <w:pPr>
        <w:spacing w:line="360" w:lineRule="auto"/>
        <w:ind w:firstLine="420" w:firstLineChars="200"/>
        <w:jc w:val="center"/>
        <w:rPr>
          <w:rFonts w:hint="eastAsia" w:ascii="等线" w:hAnsi="等线" w:eastAsia="宋体" w:cs="Times New Roman"/>
          <w:sz w:val="21"/>
          <w:szCs w:val="20"/>
        </w:rPr>
      </w:pPr>
      <w:r>
        <w:rPr>
          <w:rFonts w:hint="eastAsia" w:ascii="等线" w:hAnsi="等线" w:eastAsia="宋体" w:cs="Times New Roman"/>
          <w:sz w:val="21"/>
          <w:szCs w:val="20"/>
        </w:rPr>
        <w:t>城轨与公交协同调度指挥系统与共享（电）单车智慧监管系统接口</w:t>
      </w:r>
    </w:p>
    <w:p w14:paraId="2759DF44">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接口数据</w:t>
      </w:r>
    </w:p>
    <w:tbl>
      <w:tblPr>
        <w:tblStyle w:val="90"/>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3585"/>
        <w:gridCol w:w="3677"/>
      </w:tblGrid>
      <w:tr w14:paraId="1E7C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tcPr>
          <w:p w14:paraId="2C12D978">
            <w:pPr>
              <w:spacing w:line="240" w:lineRule="auto"/>
              <w:ind w:firstLine="0" w:firstLineChars="0"/>
              <w:rPr>
                <w:rFonts w:hint="eastAsia" w:ascii="宋体" w:hAnsi="宋体" w:eastAsia="宋体" w:cs="宋体"/>
                <w:b/>
                <w:bCs/>
                <w:kern w:val="44"/>
                <w:sz w:val="21"/>
                <w:szCs w:val="21"/>
              </w:rPr>
            </w:pPr>
            <w:r>
              <w:rPr>
                <w:rFonts w:hint="eastAsia" w:ascii="宋体" w:hAnsi="宋体" w:eastAsia="宋体" w:cs="宋体"/>
                <w:b/>
                <w:bCs/>
                <w:kern w:val="44"/>
                <w:sz w:val="21"/>
                <w:szCs w:val="21"/>
              </w:rPr>
              <w:t>数据分类</w:t>
            </w:r>
          </w:p>
        </w:tc>
        <w:tc>
          <w:tcPr>
            <w:tcW w:w="3585" w:type="dxa"/>
          </w:tcPr>
          <w:p w14:paraId="79F0C5EA">
            <w:pPr>
              <w:spacing w:line="240" w:lineRule="auto"/>
              <w:ind w:firstLine="0" w:firstLineChars="0"/>
              <w:rPr>
                <w:rFonts w:hint="eastAsia" w:ascii="宋体" w:hAnsi="宋体" w:eastAsia="宋体" w:cs="宋体"/>
                <w:b/>
                <w:bCs/>
                <w:kern w:val="44"/>
                <w:sz w:val="21"/>
                <w:szCs w:val="21"/>
              </w:rPr>
            </w:pPr>
            <w:r>
              <w:rPr>
                <w:rFonts w:hint="eastAsia" w:ascii="宋体" w:hAnsi="宋体" w:eastAsia="宋体" w:cs="宋体"/>
                <w:b/>
                <w:bCs/>
                <w:kern w:val="44"/>
                <w:sz w:val="21"/>
                <w:szCs w:val="21"/>
              </w:rPr>
              <w:t>城轨与公交协同调度指挥系统</w:t>
            </w:r>
          </w:p>
        </w:tc>
        <w:tc>
          <w:tcPr>
            <w:tcW w:w="3677" w:type="dxa"/>
          </w:tcPr>
          <w:p w14:paraId="34B5280C">
            <w:pPr>
              <w:spacing w:line="240" w:lineRule="auto"/>
              <w:ind w:firstLine="0" w:firstLineChars="0"/>
              <w:rPr>
                <w:rFonts w:hint="eastAsia" w:ascii="宋体" w:hAnsi="宋体" w:eastAsia="宋体" w:cs="宋体"/>
                <w:b/>
                <w:bCs/>
                <w:kern w:val="44"/>
                <w:sz w:val="21"/>
                <w:szCs w:val="21"/>
              </w:rPr>
            </w:pPr>
            <w:r>
              <w:rPr>
                <w:rFonts w:hint="eastAsia" w:ascii="宋体" w:hAnsi="宋体" w:eastAsia="宋体" w:cs="宋体"/>
                <w:b/>
                <w:bCs/>
                <w:kern w:val="44"/>
                <w:sz w:val="21"/>
                <w:szCs w:val="21"/>
              </w:rPr>
              <w:t>共享（电）单车智慧监管系统</w:t>
            </w:r>
          </w:p>
        </w:tc>
      </w:tr>
      <w:tr w14:paraId="1F71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5" w:type="dxa"/>
          </w:tcPr>
          <w:p w14:paraId="092F5256">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车辆</w:t>
            </w:r>
            <w:r>
              <w:rPr>
                <w:rFonts w:hint="eastAsia" w:ascii="宋体" w:hAnsi="宋体" w:eastAsia="宋体" w:cs="宋体"/>
                <w:kern w:val="44"/>
                <w:sz w:val="21"/>
                <w:szCs w:val="21"/>
                <w:lang w:val="en-US" w:eastAsia="zh-CN"/>
              </w:rPr>
              <w:t>基础</w:t>
            </w:r>
            <w:r>
              <w:rPr>
                <w:rFonts w:hint="eastAsia" w:ascii="宋体" w:hAnsi="宋体" w:eastAsia="宋体" w:cs="宋体"/>
                <w:kern w:val="44"/>
                <w:sz w:val="21"/>
                <w:szCs w:val="21"/>
              </w:rPr>
              <w:t>数据</w:t>
            </w:r>
          </w:p>
        </w:tc>
        <w:tc>
          <w:tcPr>
            <w:tcW w:w="3585" w:type="dxa"/>
          </w:tcPr>
          <w:p w14:paraId="6895ED78">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采集</w:t>
            </w:r>
            <w:r>
              <w:rPr>
                <w:rFonts w:hint="eastAsia" w:ascii="宋体" w:hAnsi="宋体" w:eastAsia="宋体" w:cs="宋体"/>
                <w:sz w:val="21"/>
                <w:szCs w:val="21"/>
              </w:rPr>
              <w:t>共享（电）单车</w:t>
            </w:r>
            <w:r>
              <w:rPr>
                <w:rFonts w:hint="eastAsia" w:ascii="宋体" w:hAnsi="宋体" w:eastAsia="宋体" w:cs="宋体"/>
                <w:kern w:val="44"/>
                <w:sz w:val="21"/>
                <w:szCs w:val="21"/>
              </w:rPr>
              <w:t>的车辆</w:t>
            </w:r>
            <w:r>
              <w:rPr>
                <w:rFonts w:hint="eastAsia" w:ascii="宋体" w:hAnsi="宋体" w:eastAsia="宋体" w:cs="宋体"/>
                <w:kern w:val="44"/>
                <w:sz w:val="21"/>
                <w:szCs w:val="21"/>
                <w:lang w:val="en-US" w:eastAsia="zh-CN"/>
              </w:rPr>
              <w:t>基础</w:t>
            </w:r>
            <w:r>
              <w:rPr>
                <w:rFonts w:hint="eastAsia" w:ascii="宋体" w:hAnsi="宋体" w:eastAsia="宋体" w:cs="宋体"/>
                <w:kern w:val="44"/>
                <w:sz w:val="21"/>
                <w:szCs w:val="21"/>
              </w:rPr>
              <w:t>数据</w:t>
            </w:r>
          </w:p>
        </w:tc>
        <w:tc>
          <w:tcPr>
            <w:tcW w:w="3677" w:type="dxa"/>
          </w:tcPr>
          <w:p w14:paraId="3881CC56">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w:t>
            </w:r>
            <w:r>
              <w:rPr>
                <w:rFonts w:hint="eastAsia" w:ascii="宋体" w:hAnsi="宋体" w:eastAsia="宋体" w:cs="宋体"/>
                <w:sz w:val="21"/>
                <w:szCs w:val="21"/>
              </w:rPr>
              <w:t>共享（电）单车</w:t>
            </w:r>
            <w:r>
              <w:rPr>
                <w:rFonts w:hint="eastAsia" w:ascii="宋体" w:hAnsi="宋体" w:eastAsia="宋体" w:cs="宋体"/>
                <w:kern w:val="44"/>
                <w:sz w:val="21"/>
                <w:szCs w:val="21"/>
              </w:rPr>
              <w:t>的车辆</w:t>
            </w:r>
            <w:r>
              <w:rPr>
                <w:rFonts w:hint="eastAsia" w:ascii="宋体" w:hAnsi="宋体" w:eastAsia="宋体" w:cs="宋体"/>
                <w:kern w:val="44"/>
                <w:sz w:val="21"/>
                <w:szCs w:val="21"/>
                <w:lang w:val="en-US" w:eastAsia="zh-CN"/>
              </w:rPr>
              <w:t>基础</w:t>
            </w:r>
            <w:r>
              <w:rPr>
                <w:rFonts w:hint="eastAsia" w:ascii="宋体" w:hAnsi="宋体" w:eastAsia="宋体" w:cs="宋体"/>
                <w:kern w:val="44"/>
                <w:sz w:val="21"/>
                <w:szCs w:val="21"/>
              </w:rPr>
              <w:t>数据</w:t>
            </w:r>
          </w:p>
        </w:tc>
      </w:tr>
      <w:tr w14:paraId="1126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5" w:type="dxa"/>
            <w:shd w:val="clear" w:color="auto" w:fill="auto"/>
            <w:vAlign w:val="top"/>
          </w:tcPr>
          <w:p w14:paraId="5FC19FD1">
            <w:pPr>
              <w:spacing w:line="240" w:lineRule="auto"/>
              <w:ind w:firstLine="0" w:firstLineChars="0"/>
              <w:rPr>
                <w:rFonts w:hint="eastAsia" w:ascii="宋体" w:hAnsi="宋体" w:eastAsia="宋体" w:cs="宋体"/>
                <w:kern w:val="44"/>
                <w:sz w:val="21"/>
                <w:szCs w:val="21"/>
                <w:lang w:val="en-US" w:eastAsia="zh-CN" w:bidi="ar-SA"/>
              </w:rPr>
            </w:pPr>
            <w:r>
              <w:rPr>
                <w:rFonts w:hint="eastAsia" w:ascii="宋体" w:hAnsi="宋体" w:eastAsia="宋体" w:cs="宋体"/>
                <w:kern w:val="44"/>
                <w:sz w:val="21"/>
                <w:szCs w:val="21"/>
              </w:rPr>
              <w:t>车辆位置数据</w:t>
            </w:r>
          </w:p>
        </w:tc>
        <w:tc>
          <w:tcPr>
            <w:tcW w:w="3585" w:type="dxa"/>
            <w:shd w:val="clear" w:color="auto" w:fill="auto"/>
            <w:vAlign w:val="top"/>
          </w:tcPr>
          <w:p w14:paraId="2F9737ED">
            <w:pPr>
              <w:spacing w:line="240" w:lineRule="auto"/>
              <w:ind w:firstLine="0" w:firstLineChars="0"/>
              <w:rPr>
                <w:rFonts w:hint="eastAsia" w:ascii="宋体" w:hAnsi="宋体" w:eastAsia="宋体" w:cs="宋体"/>
                <w:kern w:val="44"/>
                <w:sz w:val="21"/>
                <w:szCs w:val="21"/>
                <w:lang w:val="en-US" w:eastAsia="zh-CN" w:bidi="ar-SA"/>
              </w:rPr>
            </w:pPr>
            <w:r>
              <w:rPr>
                <w:rFonts w:hint="eastAsia" w:ascii="宋体" w:hAnsi="宋体" w:eastAsia="宋体" w:cs="宋体"/>
                <w:kern w:val="44"/>
                <w:sz w:val="21"/>
                <w:szCs w:val="21"/>
              </w:rPr>
              <w:t>采集</w:t>
            </w:r>
            <w:r>
              <w:rPr>
                <w:rFonts w:hint="eastAsia" w:ascii="宋体" w:hAnsi="宋体" w:eastAsia="宋体" w:cs="宋体"/>
                <w:sz w:val="21"/>
                <w:szCs w:val="21"/>
              </w:rPr>
              <w:t>共享（电）单车</w:t>
            </w:r>
            <w:r>
              <w:rPr>
                <w:rFonts w:hint="eastAsia" w:ascii="宋体" w:hAnsi="宋体" w:eastAsia="宋体" w:cs="宋体"/>
                <w:kern w:val="44"/>
                <w:sz w:val="21"/>
                <w:szCs w:val="21"/>
              </w:rPr>
              <w:t>的车辆位置数据</w:t>
            </w:r>
          </w:p>
        </w:tc>
        <w:tc>
          <w:tcPr>
            <w:tcW w:w="3677" w:type="dxa"/>
            <w:shd w:val="clear" w:color="auto" w:fill="auto"/>
            <w:vAlign w:val="top"/>
          </w:tcPr>
          <w:p w14:paraId="680F6C99">
            <w:pPr>
              <w:spacing w:line="240" w:lineRule="auto"/>
              <w:ind w:firstLine="0" w:firstLineChars="0"/>
              <w:rPr>
                <w:rFonts w:hint="eastAsia" w:ascii="宋体" w:hAnsi="宋体" w:eastAsia="宋体" w:cs="宋体"/>
                <w:kern w:val="44"/>
                <w:sz w:val="21"/>
                <w:szCs w:val="21"/>
                <w:lang w:val="en-US" w:eastAsia="zh-CN" w:bidi="ar-SA"/>
              </w:rPr>
            </w:pPr>
            <w:r>
              <w:rPr>
                <w:rFonts w:hint="eastAsia" w:ascii="宋体" w:hAnsi="宋体" w:eastAsia="宋体" w:cs="宋体"/>
                <w:kern w:val="44"/>
                <w:sz w:val="21"/>
                <w:szCs w:val="21"/>
              </w:rPr>
              <w:t>提供</w:t>
            </w:r>
            <w:r>
              <w:rPr>
                <w:rFonts w:hint="eastAsia" w:ascii="宋体" w:hAnsi="宋体" w:eastAsia="宋体" w:cs="宋体"/>
                <w:sz w:val="21"/>
                <w:szCs w:val="21"/>
              </w:rPr>
              <w:t>共享（电）单车</w:t>
            </w:r>
            <w:r>
              <w:rPr>
                <w:rFonts w:hint="eastAsia" w:ascii="宋体" w:hAnsi="宋体" w:eastAsia="宋体" w:cs="宋体"/>
                <w:kern w:val="44"/>
                <w:sz w:val="21"/>
                <w:szCs w:val="21"/>
              </w:rPr>
              <w:t>的车辆位置数据</w:t>
            </w:r>
          </w:p>
        </w:tc>
      </w:tr>
      <w:tr w14:paraId="429B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tcPr>
          <w:p w14:paraId="501F0619">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车辆状态数据</w:t>
            </w:r>
          </w:p>
        </w:tc>
        <w:tc>
          <w:tcPr>
            <w:tcW w:w="3585" w:type="dxa"/>
          </w:tcPr>
          <w:p w14:paraId="23823568">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采集</w:t>
            </w:r>
            <w:r>
              <w:rPr>
                <w:rFonts w:hint="eastAsia" w:ascii="宋体" w:hAnsi="宋体" w:eastAsia="宋体" w:cs="宋体"/>
                <w:sz w:val="21"/>
                <w:szCs w:val="21"/>
              </w:rPr>
              <w:t>共享（电）单车</w:t>
            </w:r>
            <w:r>
              <w:rPr>
                <w:rFonts w:hint="eastAsia" w:ascii="宋体" w:hAnsi="宋体" w:eastAsia="宋体" w:cs="宋体"/>
                <w:kern w:val="44"/>
                <w:sz w:val="21"/>
                <w:szCs w:val="21"/>
              </w:rPr>
              <w:t>的车辆状态数据</w:t>
            </w:r>
          </w:p>
        </w:tc>
        <w:tc>
          <w:tcPr>
            <w:tcW w:w="3677" w:type="dxa"/>
          </w:tcPr>
          <w:p w14:paraId="4F600BDB">
            <w:pPr>
              <w:spacing w:line="240" w:lineRule="auto"/>
              <w:ind w:firstLine="0" w:firstLineChars="0"/>
              <w:rPr>
                <w:rFonts w:hint="eastAsia" w:ascii="宋体" w:hAnsi="宋体" w:eastAsia="宋体" w:cs="宋体"/>
                <w:kern w:val="44"/>
                <w:sz w:val="21"/>
                <w:szCs w:val="21"/>
              </w:rPr>
            </w:pPr>
            <w:r>
              <w:rPr>
                <w:rFonts w:hint="eastAsia" w:ascii="宋体" w:hAnsi="宋体" w:eastAsia="宋体" w:cs="宋体"/>
                <w:kern w:val="44"/>
                <w:sz w:val="21"/>
                <w:szCs w:val="21"/>
              </w:rPr>
              <w:t>提供</w:t>
            </w:r>
            <w:r>
              <w:rPr>
                <w:rFonts w:hint="eastAsia" w:ascii="宋体" w:hAnsi="宋体" w:eastAsia="宋体" w:cs="宋体"/>
                <w:sz w:val="21"/>
                <w:szCs w:val="21"/>
              </w:rPr>
              <w:t>共享（电）单车</w:t>
            </w:r>
            <w:r>
              <w:rPr>
                <w:rFonts w:hint="eastAsia" w:ascii="宋体" w:hAnsi="宋体" w:eastAsia="宋体" w:cs="宋体"/>
                <w:kern w:val="44"/>
                <w:sz w:val="21"/>
                <w:szCs w:val="21"/>
              </w:rPr>
              <w:t>的车辆状态数据</w:t>
            </w:r>
          </w:p>
        </w:tc>
      </w:tr>
    </w:tbl>
    <w:p w14:paraId="0C249979">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硬件支撑</w:t>
      </w:r>
    </w:p>
    <w:p w14:paraId="2A590ABA">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系统硬件构成</w:t>
      </w:r>
    </w:p>
    <w:p w14:paraId="7F96EF13">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城轨与公交协同调度指挥系统</w:t>
      </w:r>
    </w:p>
    <w:p w14:paraId="01A7FA9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城轨与公交协同调度指挥系统，将充分利用既有云平台资源，在NOCC云平台上划分一块独立的城轨与公交协同调度指挥系统区域，</w:t>
      </w:r>
      <w:r>
        <w:rPr>
          <w:rFonts w:hint="eastAsia" w:ascii="Times New Roman" w:hAnsi="Times New Roman" w:eastAsia="宋体" w:cs="Times New Roman"/>
          <w:sz w:val="24"/>
          <w:szCs w:val="24"/>
          <w:lang w:val="en-US" w:eastAsia="zh-CN"/>
        </w:rPr>
        <w:t>并由NOCC提供本系统所需的服务器计算资源</w:t>
      </w:r>
      <w:r>
        <w:rPr>
          <w:rFonts w:hint="eastAsia" w:ascii="Times New Roman" w:hAnsi="Times New Roman" w:eastAsia="宋体" w:cs="Times New Roman"/>
          <w:sz w:val="24"/>
          <w:szCs w:val="24"/>
        </w:rPr>
        <w:t>，考虑到系统区域的独立性，将增加冗余交换机，物理网络上进行隔断，同时增加防火墙、入侵检查对系统进行信息安全防护。</w:t>
      </w:r>
    </w:p>
    <w:p w14:paraId="45AC9BC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确保NOCC系统云平台上既有业务的正常运行，需要增加一套云平台存储服务器，对既有云平台存储资源进行扩容，满足本项目系统的存储需求。新增的云平台存储服务器需纳入NOCC数据处理平台区域中进行统一管理。</w:t>
      </w:r>
    </w:p>
    <w:p w14:paraId="171D90F8">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人机交互平台</w:t>
      </w:r>
    </w:p>
    <w:p w14:paraId="33DB23E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既有NOCC人机交互平台主要实现了将相关页面及数据信息在工作站显示终端和大屏幕系统上进行展示。本项目充分利用既有NOCC系统人机交互平台的软硬件功能，通过增加少量的硬件以及软件功能对接，实现人机交互。</w:t>
      </w:r>
    </w:p>
    <w:p w14:paraId="3B7D71C2">
      <w:pPr>
        <w:widowControl w:val="0"/>
        <w:numPr>
          <w:ilvl w:val="5"/>
          <w:numId w:val="29"/>
        </w:numPr>
        <w:spacing w:line="360" w:lineRule="auto"/>
        <w:ind w:firstLine="0" w:firstLineChars="0"/>
        <w:jc w:val="both"/>
        <w:outlineLvl w:val="5"/>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工作站显示终端</w:t>
      </w:r>
    </w:p>
    <w:p w14:paraId="3A270B5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宁轨道交通调度大厅工作站显示终端展示功能是通过智能KVM实现全区域终端电脑的人机分离和键盘鼠标的整合以及灵活的页面数据展示、信息共享推送，优化调度大厅环境，减少电磁辐射、噪音。本项目系统建设需要依循南宁轨道交通调度大厅的建设思路，与既有现状保持一致，工作站设置在远端机房，通过智能KVM实现系统内容显示。</w:t>
      </w:r>
    </w:p>
    <w:p w14:paraId="4B5DF96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既有NOCC系统已建设一套智能KVM，为保持与调度大厅整体方案统一，本项目增加智能KVM输入输出节点接入既有NOCC智能KVM系统，实现新增工作站的人机分离和远端显示功能。</w:t>
      </w:r>
    </w:p>
    <w:p w14:paraId="7640A64F">
      <w:pPr>
        <w:widowControl w:val="0"/>
        <w:numPr>
          <w:ilvl w:val="5"/>
          <w:numId w:val="29"/>
        </w:numPr>
        <w:spacing w:line="360" w:lineRule="auto"/>
        <w:ind w:firstLine="0" w:firstLineChars="0"/>
        <w:jc w:val="both"/>
        <w:outlineLvl w:val="5"/>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大屏幕</w:t>
      </w:r>
    </w:p>
    <w:p w14:paraId="7A6BD4B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南宁轨道交通调度大厅已完成统一的大屏幕系统规划管理及功能应用，该系统由一套3×24的80寸DLP显示单元构成，可满足线网、线路运营管理的大屏展示需求，且由NOCC调度进行统一管理。</w:t>
      </w:r>
    </w:p>
    <w:p w14:paraId="5346F92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不单独设置大屏幕系统，通过既有大屏幕系统开发软件接口实现接入展示，同时需依据现有大屏幕系统的尺寸和展示风格，设计开发协同调度的大屏可视化模式，以将城轨与公交协同调度指挥相关内容在大屏幕系统上进行展示，为协同调度指挥工作的开展提供有力支撑。</w:t>
      </w:r>
    </w:p>
    <w:p w14:paraId="4E679E1E">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信息门户平台</w:t>
      </w:r>
    </w:p>
    <w:p w14:paraId="6B24FBD2">
      <w:pPr>
        <w:spacing w:line="360" w:lineRule="auto"/>
        <w:ind w:firstLine="480" w:firstLineChars="200"/>
        <w:rPr>
          <w:rFonts w:hint="eastAsia" w:ascii="等线" w:hAnsi="等线" w:eastAsia="宋体" w:cs="Times New Roman"/>
          <w:sz w:val="24"/>
        </w:rPr>
      </w:pPr>
      <w:r>
        <w:rPr>
          <w:rFonts w:hint="eastAsia" w:ascii="Times New Roman" w:hAnsi="Times New Roman" w:eastAsia="宋体" w:cs="Times New Roman"/>
          <w:sz w:val="24"/>
          <w:szCs w:val="24"/>
        </w:rPr>
        <w:t>既有NOCC信息门户系统平台分别与NOCC数据处理平台和互联网相连，以实现外部数据的接入及外部数据的信息互联互通。本项目依托既有信息门户系统建设，NOCC云平台在本区域设置对外交互的对外数据接口服务器，专用于实现与公交智能调度系统的数据交互。此外，本项目涉及的与信息化系统或互联网对接的系统接口，全部在本区域内统一对外；为提高系统信息安全程度，所有外部系统或数据的交互，必须先在信息门户系统进行对接处理，之后再与数据处理平台交互，不允许直接与数据处理平台进行数据交互。</w:t>
      </w:r>
    </w:p>
    <w:p w14:paraId="51F7F667">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硬件资源需求</w:t>
      </w:r>
    </w:p>
    <w:p w14:paraId="1DC4555E">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服务器</w:t>
      </w:r>
    </w:p>
    <w:p w14:paraId="7E67EE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由既有NOCC云平台资源池为城轨与公交协同调度指挥系统提供相关资源需求，投标人需详细测算并提供合理的具体资源需求，须包括CPU、内存、存储。</w:t>
      </w:r>
    </w:p>
    <w:p w14:paraId="1D4275A1">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存储服务器</w:t>
      </w:r>
    </w:p>
    <w:p w14:paraId="61F62A76">
      <w:pPr>
        <w:spacing w:line="360" w:lineRule="auto"/>
        <w:ind w:firstLine="480" w:firstLineChars="200"/>
        <w:rPr>
          <w:rFonts w:hint="eastAsia" w:ascii="宋体" w:hAnsi="宋体" w:eastAsia="宋体" w:cs="宋体"/>
          <w:sz w:val="24"/>
          <w:szCs w:val="24"/>
          <w:lang w:eastAsia="zh-CN"/>
        </w:rPr>
      </w:pPr>
      <w:r>
        <w:rPr>
          <w:rFonts w:hint="eastAsia" w:ascii="等线" w:hAnsi="等线" w:eastAsia="宋体" w:cs="Times New Roman"/>
          <w:sz w:val="24"/>
        </w:rPr>
        <w:t>本次新增一套存储服务器，</w:t>
      </w:r>
      <w:r>
        <w:rPr>
          <w:rFonts w:hint="eastAsia" w:ascii="宋体" w:hAnsi="宋体" w:eastAsia="宋体" w:cs="宋体"/>
          <w:sz w:val="24"/>
          <w:szCs w:val="24"/>
        </w:rPr>
        <w:t>该存储服务器可适配既有云平台系统，接入并由既有云平台纳入存储池进行统一管理</w:t>
      </w:r>
      <w:r>
        <w:rPr>
          <w:rFonts w:hint="eastAsia" w:ascii="宋体" w:hAnsi="宋体" w:eastAsia="宋体" w:cs="宋体"/>
          <w:sz w:val="24"/>
          <w:szCs w:val="24"/>
          <w:lang w:eastAsia="zh-CN"/>
        </w:rPr>
        <w:t>。</w:t>
      </w:r>
    </w:p>
    <w:p w14:paraId="17D5F5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CPU：≥2.4GHz，≥12核，配置数量≥2；</w:t>
      </w:r>
    </w:p>
    <w:p w14:paraId="4724FD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内存：DDR4，≥32GB，配置数量≥8；</w:t>
      </w:r>
    </w:p>
    <w:p w14:paraId="15776B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硬盘：硬盘类型SAS，≥12TB 6G SATA，配置数量≥10；硬盘类型SSD，≥960G，配置数量≥2；硬盘类型NVMe SSD，≥</w:t>
      </w:r>
      <w:r>
        <w:rPr>
          <w:rFonts w:hint="eastAsia" w:ascii="宋体" w:hAnsi="宋体" w:eastAsia="宋体" w:cs="宋体"/>
          <w:sz w:val="24"/>
          <w:szCs w:val="24"/>
          <w:lang w:val="en-US" w:eastAsia="zh-CN"/>
        </w:rPr>
        <w:t>1.</w:t>
      </w:r>
      <w:r>
        <w:rPr>
          <w:rFonts w:hint="eastAsia" w:ascii="宋体" w:hAnsi="宋体" w:eastAsia="宋体" w:cs="宋体"/>
          <w:sz w:val="24"/>
          <w:szCs w:val="24"/>
        </w:rPr>
        <w:t>9</w:t>
      </w:r>
      <w:r>
        <w:rPr>
          <w:rFonts w:hint="eastAsia" w:ascii="宋体" w:hAnsi="宋体" w:eastAsia="宋体" w:cs="宋体"/>
          <w:sz w:val="24"/>
          <w:szCs w:val="24"/>
          <w:lang w:val="en-US" w:eastAsia="zh-CN"/>
        </w:rPr>
        <w:t>2</w:t>
      </w:r>
      <w:r>
        <w:rPr>
          <w:rFonts w:hint="eastAsia" w:ascii="宋体" w:hAnsi="宋体" w:eastAsia="宋体" w:cs="宋体"/>
          <w:sz w:val="24"/>
          <w:szCs w:val="24"/>
        </w:rPr>
        <w:t>TB，配置数量≥</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硬盘类型NVMe SSD，≥</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68</w:t>
      </w:r>
      <w:r>
        <w:rPr>
          <w:rFonts w:hint="eastAsia" w:ascii="宋体" w:hAnsi="宋体" w:eastAsia="宋体" w:cs="宋体"/>
          <w:sz w:val="24"/>
          <w:szCs w:val="24"/>
        </w:rPr>
        <w:t>TB，配置数量≥</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14:paraId="4C1481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其它：系统盘支持配置raid 0/1功能；端口不少于8个SFP+ 万兆模块(850nm,300m,LC)端口，含光模块。</w:t>
      </w:r>
    </w:p>
    <w:p w14:paraId="6375000B">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工作站</w:t>
      </w:r>
    </w:p>
    <w:p w14:paraId="1FCE1C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操作员工作站配置2套不小于24寸16：9显示器。</w:t>
      </w:r>
    </w:p>
    <w:p w14:paraId="0B4123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报送终端工作站应采用基于Windows或linux操作系统的高性能、高速度和高可靠性的工业级控制计算机，操作界面为简体中文界面。</w:t>
      </w:r>
    </w:p>
    <w:p w14:paraId="711F24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工作站的DDR4内存容量不低于16GB，并可扩展至32GB。</w:t>
      </w:r>
    </w:p>
    <w:p w14:paraId="29565A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每台工作站应配置容量至少为512GB的SSD硬盘，HDD不低于7200转，总容量不低于1TB。</w:t>
      </w:r>
    </w:p>
    <w:p w14:paraId="302CBC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每台工作站应配置不低于Intel Core i7 3.4 GHz四核级别或以上的CPU，CPU含L3Cache不少于8MB。</w:t>
      </w:r>
    </w:p>
    <w:p w14:paraId="61612E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每台工作站配置喇叭，工作站通过声卡输出音响信号到喇叭发出声音。</w:t>
      </w:r>
    </w:p>
    <w:p w14:paraId="5820B3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工作站应配有一个105键键盘。一个分辨率在1000DPI以上的名牌光电鼠标器，还应配置写入速度在16X以上的DVD-RW。(鼠标、键盘宜采用USB接口)。</w:t>
      </w:r>
    </w:p>
    <w:p w14:paraId="3E4ED6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工作站应配置至少2个10/100/1000Mbit/s自适应以太网卡， 6个USB，2个串口，等接口。</w:t>
      </w:r>
    </w:p>
    <w:p w14:paraId="358B05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显卡：独立显卡，4GB以上显存；至少支持HDMI、DP、MiniDP接口中的2种。</w:t>
      </w:r>
    </w:p>
    <w:p w14:paraId="4AF772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工作站的主机应该具有3个以上PCI或PCI-E扩展插槽。</w:t>
      </w:r>
    </w:p>
    <w:p w14:paraId="01F624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每个操作员工作站的MTBF应不低于50,000小时。</w:t>
      </w:r>
    </w:p>
    <w:p w14:paraId="002702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要求各类工作站USB口可进行锁闭。</w:t>
      </w:r>
    </w:p>
    <w:p w14:paraId="208E5C5D">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交换机</w:t>
      </w:r>
    </w:p>
    <w:p w14:paraId="2310AF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投标人提供的交换机须能适配并接入既有NOCC系统，且不得对既有NOCC网络造成影响；</w:t>
      </w:r>
    </w:p>
    <w:p w14:paraId="0F9324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应采用技术成熟的高性能和高可靠性的三层以太网交换机；</w:t>
      </w:r>
    </w:p>
    <w:p w14:paraId="65936A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支持Vxlan技术；支持堆叠技术；</w:t>
      </w:r>
    </w:p>
    <w:p w14:paraId="2C5490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交换机交换能力不低于1.28Tbps，包转发能力不低于252Mpps； </w:t>
      </w:r>
    </w:p>
    <w:p w14:paraId="2EF855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台交换机配置千兆电口数量不少于48个，万兆端口不少于4个，40G端口不少于2个，考虑未来端口扩展跟冗余，满足上述端口后需提供不少于1个端口扩展槽位，配置与实际配置端口匹配的光模块，设备光口槽位上的sfp模块必须满配；电源冗余配置。</w:t>
      </w:r>
    </w:p>
    <w:p w14:paraId="128631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交换机支持速率自动检测，提供管理软件，方便管理和配置；</w:t>
      </w:r>
    </w:p>
    <w:p w14:paraId="1C1673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网管功能，支持VLAN，可以通过MAC地址和IP地址来划分VLAN，遵循IEEE802.1q或者CGMP标准；符合SNMP协议并可远程监控；各端口支持警报、事件、历史、主机等集成远程监控功能，支持安全防护配置和控制功能。支持SNMP完成基本的网络管理任务，可对流量进行管理、监视、分析；</w:t>
      </w:r>
    </w:p>
    <w:p w14:paraId="026969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支持：802.1d,802.1p/q,802.1s,802.1w,802.1x, 802.3ad，802.3ab，802.3ae，802.3u，802.3x，802.3z等交换协议；</w:t>
      </w:r>
    </w:p>
    <w:p w14:paraId="5DC55E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支持RIP、OSPF、BGP-4、策略路由和VRRP等路由功能；</w:t>
      </w:r>
    </w:p>
    <w:p w14:paraId="3AC0DC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支持PIM-DM、PIM-SM、IGMP、IGMP Snooping等组播协议；</w:t>
      </w:r>
    </w:p>
    <w:p w14:paraId="79260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具有处理数据冲突及超时传输功能；</w:t>
      </w:r>
    </w:p>
    <w:p w14:paraId="41271A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具备流量控制方法，能有效地防止包的丢失；</w:t>
      </w:r>
    </w:p>
    <w:p w14:paraId="4D361E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支持访问列表控制功能，可用来禁止非法访问；</w:t>
      </w:r>
    </w:p>
    <w:p w14:paraId="67B56C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具有高可靠性，核心组件（如电源、风扇等）采用冗余设计，可扩展模块支持热插拔；</w:t>
      </w:r>
    </w:p>
    <w:p w14:paraId="2B6DF6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具有强大的网络控制能力，提供QoS和网络安全，支持RADIUS，TACACS+等认证机制,支持基于策略的应用级QoS。</w:t>
      </w:r>
    </w:p>
    <w:p w14:paraId="328B93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支持虚拟化技术，将两台物理设备虚拟为一台逻辑设备，实现一致的转发表项，统一的管理，跨物理设备的链路聚合。</w:t>
      </w:r>
    </w:p>
    <w:p w14:paraId="71E5D349">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千兆防火墙</w:t>
      </w:r>
    </w:p>
    <w:p w14:paraId="1F5781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吞吐量≧10Gbps；</w:t>
      </w:r>
    </w:p>
    <w:p w14:paraId="1056C1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最大并发连接数≧220万；</w:t>
      </w:r>
    </w:p>
    <w:p w14:paraId="6F2A86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每秒新建连接数≧12万；</w:t>
      </w:r>
    </w:p>
    <w:p w14:paraId="5864FC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设备标配100/1000M电口≧16；千兆光口≥2（含光模块）；</w:t>
      </w:r>
    </w:p>
    <w:p w14:paraId="2E348D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各通道之间不能有任何干扰和影响；</w:t>
      </w:r>
    </w:p>
    <w:p w14:paraId="603F07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防火墙可通过源地址过滤，拒绝外部非法 IP 地址，有效地避免了外部网络上与业务无关的主机的越权访问；</w:t>
      </w:r>
    </w:p>
    <w:p w14:paraId="61FAA3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防火墙可支持基于策略的入侵检测与防护，可针对不同的源目IP地址、源MAC地址、服务、时间、安全域、用户等，采用不同的入侵防护策略；</w:t>
      </w:r>
    </w:p>
    <w:p w14:paraId="098703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防火墙可支持基于IPv6下的路由，包括：直连路由、静态路由、动态路由（OSPF、BGP等）等。</w:t>
      </w:r>
    </w:p>
    <w:p w14:paraId="36E1D830">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入侵检测</w:t>
      </w:r>
    </w:p>
    <w:p w14:paraId="6C4E1A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标准机架安装；</w:t>
      </w:r>
    </w:p>
    <w:p w14:paraId="5E7AD3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设备标配千兆电接口≧8个，万兆光接口≧2个；</w:t>
      </w:r>
    </w:p>
    <w:p w14:paraId="0EBE9A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最大网络吞吐量≧10Gbps；</w:t>
      </w:r>
    </w:p>
    <w:p w14:paraId="4168DB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功能：监视、分析用户及系统活动，系统构造变化和弱点的审计，识别反映已知进攻的活动模式并向相关人员报警，威胁的自动分析，系统需提供设置用户关注事件的能力，至少包含40种以上协议分析能力，支持将日志存储在本地，标配1T日志存储硬盘，满足公安部对用户行为日志存储的要求。</w:t>
      </w:r>
    </w:p>
    <w:p w14:paraId="4308875A">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智能KVM输入终端</w:t>
      </w:r>
    </w:p>
    <w:p w14:paraId="712BCF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支持4K分辨率，并向下任意兼容，支持同步编码为4K H.265、2K H.264及标清预览码流；</w:t>
      </w:r>
    </w:p>
    <w:p w14:paraId="4D6962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输入信号预览：支持实时输入信号预览，自定义回显画面分辨率；</w:t>
      </w:r>
    </w:p>
    <w:p w14:paraId="7948AB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支持1路HDMI输入；支持1路DP输入，且与HDMI形成备份，1路HDMI跟随环出；</w:t>
      </w:r>
    </w:p>
    <w:p w14:paraId="231E7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支持1路数字音频；1路模拟音频输入；1路模拟音频输出；1路MIC，音频支持同步、异步和混音三种方式；</w:t>
      </w:r>
    </w:p>
    <w:p w14:paraId="75BC58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支持1路SFP端口，1路RJ45接口；</w:t>
      </w:r>
    </w:p>
    <w:p w14:paraId="040428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支持以太网供电；</w:t>
      </w:r>
    </w:p>
    <w:p w14:paraId="7DCE46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具备1路232，1路485，3路IR/ I/O信号接口，支持中控功能；</w:t>
      </w:r>
    </w:p>
    <w:p w14:paraId="7ACB28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具备2路USB接口，以远程KVM控制:鼠标光标进行多屏间跨屏、漫游时无延时,支持多屏间放大缩小;支持多权限管理;支持快捷键隐藏/显示OSD 菜单;支持把本地坐席列表中的任意视频源推送到本地或者远端的显示器显示；</w:t>
      </w:r>
    </w:p>
    <w:p w14:paraId="14D71F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采用完全IP化分布式架构；</w:t>
      </w:r>
    </w:p>
    <w:p w14:paraId="78825D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设备支持4：4：4高色度分辨率计算机屏幕编码，且满足单路动态高清视频传输码率≤40Mbps；</w:t>
      </w:r>
    </w:p>
    <w:p w14:paraId="10CAC9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为了保证信号传输的即时性，端对端延时不高于20ms；</w:t>
      </w:r>
    </w:p>
    <w:p w14:paraId="4A3D4B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采用无风扇静音设计，支持7x24h全天候运行；</w:t>
      </w:r>
    </w:p>
    <w:p w14:paraId="264C13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需能接入并适配既有智能KVM系统。</w:t>
      </w:r>
    </w:p>
    <w:p w14:paraId="43EEBC44">
      <w:pPr>
        <w:widowControl w:val="0"/>
        <w:numPr>
          <w:ilvl w:val="4"/>
          <w:numId w:val="29"/>
        </w:numPr>
        <w:spacing w:line="360" w:lineRule="auto"/>
        <w:ind w:left="-425" w:right="100" w:firstLine="480" w:firstLineChars="0"/>
        <w:jc w:val="both"/>
        <w:outlineLvl w:val="4"/>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智能KVM输出终端</w:t>
      </w:r>
    </w:p>
    <w:p w14:paraId="4F816B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支持4K分辨率输出，并支持向下任意兼容，支持4K H.265/H.264解码；</w:t>
      </w:r>
    </w:p>
    <w:p w14:paraId="0BF657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支持1路HDMI输出；</w:t>
      </w:r>
    </w:p>
    <w:p w14:paraId="5889C6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支持1路数字音频，1路MIC接口；</w:t>
      </w:r>
    </w:p>
    <w:p w14:paraId="44E1CC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支持1路SFP端口，1路RJ45接口，支持组成通讯双备份结构；</w:t>
      </w:r>
    </w:p>
    <w:p w14:paraId="7071F4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支持以太网供电(Power over Ethernet）；</w:t>
      </w:r>
    </w:p>
    <w:p w14:paraId="3A43D7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具备2路232，4路IR，5路 I/O，1路IR Learning接口，2路Relay 接口，支持中控功能；</w:t>
      </w:r>
    </w:p>
    <w:p w14:paraId="4B6CA0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采用完全IP化分布式架构；</w:t>
      </w:r>
    </w:p>
    <w:p w14:paraId="34D2E6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设备支持4：4：4高色度图像输出，且满足单路动态高清视频传输码率≦40Mbps；</w:t>
      </w:r>
    </w:p>
    <w:p w14:paraId="77B762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为了保证信号传输的即时性，端对端延时不高于20ms；</w:t>
      </w:r>
    </w:p>
    <w:p w14:paraId="0E6083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具备2路USB接口，支持一人多机、一人多屏、人机分离、鼠标跨屏漫游等场景，鼠标光标可在多屏间跨屏、漫游时无延时,支持多屏间放大缩小;支持多权限管理;支持快捷键隐藏/显示OSD 菜单;支持把本地坐席列表中的任意视频源推送到本地或者远端的显示器显示；</w:t>
      </w:r>
    </w:p>
    <w:p w14:paraId="04C20C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支持在不同坐席终端使用本地键盘，实现任意可定义热键一键进入OSD菜单，同时支持在无需键盘热键条件下，使用鼠标悬停进入OSD菜单，实时调取数据并实时极速操作；</w:t>
      </w:r>
    </w:p>
    <w:p w14:paraId="357D6C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支持中英文定制化菜单，坐席本地操作人员通过OSD菜单进行本地信号切换调用，且OSD菜单可显示各信号源在线状态；</w:t>
      </w:r>
    </w:p>
    <w:p w14:paraId="3E180B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支持网络休眠和唤醒；</w:t>
      </w:r>
    </w:p>
    <w:p w14:paraId="6AABC9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支持OSD接管前预览功能，同时支持可视化推送以将信号推送给到其他操作员；</w:t>
      </w:r>
    </w:p>
    <w:p w14:paraId="377E5C3A">
      <w:pPr>
        <w:spacing w:line="360" w:lineRule="auto"/>
        <w:ind w:firstLine="480" w:firstLineChars="200"/>
        <w:rPr>
          <w:rFonts w:hint="eastAsia" w:ascii="等线" w:hAnsi="等线" w:eastAsia="宋体" w:cs="Times New Roman"/>
          <w:sz w:val="24"/>
        </w:rPr>
      </w:pPr>
      <w:r>
        <w:rPr>
          <w:rFonts w:hint="eastAsia" w:ascii="宋体" w:hAnsi="宋体" w:eastAsia="宋体" w:cs="宋体"/>
          <w:sz w:val="24"/>
          <w:szCs w:val="24"/>
        </w:rPr>
        <w:t>需能接入并适配既有智能KVM系统。</w:t>
      </w:r>
    </w:p>
    <w:p w14:paraId="3F002A47">
      <w:pPr>
        <w:widowControl w:val="0"/>
        <w:numPr>
          <w:ilvl w:val="1"/>
          <w:numId w:val="29"/>
        </w:numPr>
        <w:spacing w:line="360" w:lineRule="auto"/>
        <w:ind w:firstLine="200" w:firstLineChars="0"/>
        <w:jc w:val="both"/>
        <w:outlineLvl w:val="1"/>
        <w:rPr>
          <w:rFonts w:ascii="Times New Roman" w:hAnsi="Times New Roman" w:eastAsia="黑体" w:cs="Times New Roman"/>
          <w:b/>
          <w:bCs w:val="0"/>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公交智能调度系统升级</w:t>
      </w:r>
    </w:p>
    <w:p w14:paraId="5831D99F">
      <w:pPr>
        <w:widowControl/>
        <w:spacing w:after="120" w:line="360" w:lineRule="auto"/>
        <w:ind w:firstLine="480" w:firstLineChars="200"/>
        <w:jc w:val="both"/>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引入AI算法、大数据分析及物联网技术，深度整合</w:t>
      </w:r>
      <w:r>
        <w:rPr>
          <w:rFonts w:hint="eastAsia" w:ascii="宋体" w:hAnsi="宋体" w:eastAsia="宋体" w:cs="宋体"/>
          <w:kern w:val="2"/>
          <w:sz w:val="24"/>
          <w:szCs w:val="24"/>
          <w:lang w:val="en-US" w:eastAsia="zh-CN" w:bidi="ar-SA"/>
        </w:rPr>
        <w:t>客流仿真统计预测、线网实时运行监测与分析、协同地铁调度、车辆运行监控与分析四</w:t>
      </w:r>
      <w:r>
        <w:rPr>
          <w:rFonts w:ascii="宋体" w:hAnsi="宋体" w:eastAsia="宋体" w:cs="宋体"/>
          <w:kern w:val="2"/>
          <w:sz w:val="24"/>
          <w:szCs w:val="24"/>
          <w:lang w:val="en-US" w:eastAsia="zh-CN" w:bidi="ar-SA"/>
        </w:rPr>
        <w:t>大核心功能模块，推动南宁公交服务实现从传统经验型管理向数据驱动、智能决策、多网协同的精准化运营模式转型，最终为市民提供更高效、便捷、可靠、舒适的公共交通服务。</w:t>
      </w:r>
    </w:p>
    <w:p w14:paraId="2DA51353">
      <w:pPr>
        <w:widowControl w:val="0"/>
        <w:numPr>
          <w:ilvl w:val="2"/>
          <w:numId w:val="29"/>
        </w:numPr>
        <w:spacing w:line="360" w:lineRule="auto"/>
        <w:ind w:firstLine="200" w:firstLineChars="0"/>
        <w:jc w:val="both"/>
        <w:outlineLvl w:val="2"/>
        <w:rPr>
          <w:rFonts w:ascii="Times New Roman" w:hAnsi="Times New Roman" w:eastAsia="黑体" w:cs="Times New Roman"/>
          <w:b/>
          <w:bCs w:val="0"/>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客流仿真统计预测模块</w:t>
      </w:r>
    </w:p>
    <w:p w14:paraId="1BA9EC9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通过安装配置车载客流设备或公交</w:t>
      </w:r>
      <w:r>
        <w:rPr>
          <w:rFonts w:ascii="Times New Roman" w:hAnsi="Times New Roman" w:eastAsia="宋体" w:cs="Times New Roman"/>
          <w:kern w:val="2"/>
          <w:sz w:val="24"/>
          <w:szCs w:val="20"/>
          <w:lang w:val="en-US" w:eastAsia="zh-CN" w:bidi="ar-SA"/>
        </w:rPr>
        <w:t>IC</w:t>
      </w:r>
      <w:r>
        <w:rPr>
          <w:rFonts w:hint="eastAsia" w:ascii="Times New Roman" w:hAnsi="Times New Roman" w:eastAsia="宋体" w:cs="Times New Roman"/>
          <w:kern w:val="2"/>
          <w:sz w:val="24"/>
          <w:szCs w:val="20"/>
          <w:lang w:val="en-US" w:eastAsia="zh-CN" w:bidi="ar-SA"/>
        </w:rPr>
        <w:t>卡平台与智能调度系统对接，实现客流数据采集，实时统计营运公交车辆上下车乘客数量，掌握线路各站点的实时和历史客流分布。</w:t>
      </w:r>
    </w:p>
    <w:tbl>
      <w:tblPr>
        <w:tblStyle w:val="90"/>
        <w:tblW w:w="8217" w:type="dxa"/>
        <w:jc w:val="center"/>
        <w:tblLayout w:type="autofit"/>
        <w:tblCellMar>
          <w:top w:w="0" w:type="dxa"/>
          <w:left w:w="108" w:type="dxa"/>
          <w:bottom w:w="0" w:type="dxa"/>
          <w:right w:w="108" w:type="dxa"/>
        </w:tblCellMar>
      </w:tblPr>
      <w:tblGrid>
        <w:gridCol w:w="1696"/>
        <w:gridCol w:w="1701"/>
        <w:gridCol w:w="4820"/>
      </w:tblGrid>
      <w:tr w14:paraId="4C9C302C">
        <w:tblPrEx>
          <w:tblCellMar>
            <w:top w:w="0" w:type="dxa"/>
            <w:left w:w="108" w:type="dxa"/>
            <w:bottom w:w="0" w:type="dxa"/>
            <w:right w:w="108" w:type="dxa"/>
          </w:tblCellMar>
        </w:tblPrEx>
        <w:trPr>
          <w:trHeight w:val="540" w:hRule="atLeast"/>
          <w:tblHeader/>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13FF392">
            <w:pPr>
              <w:widowControl w:val="0"/>
              <w:spacing w:line="36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Times New Roman"/>
                <w:b/>
                <w:bCs/>
                <w:kern w:val="2"/>
                <w:sz w:val="21"/>
                <w:szCs w:val="21"/>
                <w:lang w:val="en-US" w:eastAsia="zh-CN" w:bidi="ar-SA"/>
              </w:rPr>
              <w:t>一级功能</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6AA4BD">
            <w:pPr>
              <w:widowControl w:val="0"/>
              <w:spacing w:line="36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Times New Roman"/>
                <w:b/>
                <w:bCs/>
                <w:kern w:val="2"/>
                <w:sz w:val="21"/>
                <w:szCs w:val="21"/>
                <w:lang w:val="en-US" w:eastAsia="zh-CN" w:bidi="ar-SA"/>
              </w:rPr>
              <w:t>二级功能</w:t>
            </w:r>
          </w:p>
        </w:tc>
        <w:tc>
          <w:tcPr>
            <w:tcW w:w="4820" w:type="dxa"/>
            <w:tcBorders>
              <w:top w:val="single" w:color="auto" w:sz="4" w:space="0"/>
              <w:left w:val="nil"/>
              <w:bottom w:val="single" w:color="auto" w:sz="4" w:space="0"/>
              <w:right w:val="single" w:color="auto" w:sz="4" w:space="0"/>
            </w:tcBorders>
            <w:shd w:val="clear" w:color="auto" w:fill="auto"/>
            <w:vAlign w:val="center"/>
          </w:tcPr>
          <w:p w14:paraId="15045927">
            <w:pPr>
              <w:widowControl w:val="0"/>
              <w:spacing w:line="36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hAnsi="宋体" w:eastAsia="宋体" w:cs="Times New Roman"/>
                <w:b/>
                <w:bCs/>
                <w:kern w:val="2"/>
                <w:sz w:val="21"/>
                <w:szCs w:val="21"/>
                <w:lang w:val="en-US" w:eastAsia="zh-CN" w:bidi="ar-SA"/>
              </w:rPr>
              <w:t>功能描述</w:t>
            </w:r>
          </w:p>
        </w:tc>
      </w:tr>
      <w:tr w14:paraId="2139896C">
        <w:tblPrEx>
          <w:tblCellMar>
            <w:top w:w="0" w:type="dxa"/>
            <w:left w:w="108" w:type="dxa"/>
            <w:bottom w:w="0" w:type="dxa"/>
            <w:right w:w="108" w:type="dxa"/>
          </w:tblCellMar>
        </w:tblPrEx>
        <w:trPr>
          <w:trHeight w:val="5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279476C">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实时客流分析</w:t>
            </w:r>
          </w:p>
        </w:tc>
        <w:tc>
          <w:tcPr>
            <w:tcW w:w="1701" w:type="dxa"/>
            <w:tcBorders>
              <w:top w:val="single" w:color="auto" w:sz="4" w:space="0"/>
              <w:left w:val="nil"/>
              <w:bottom w:val="single" w:color="auto" w:sz="4" w:space="0"/>
              <w:right w:val="single" w:color="auto" w:sz="4" w:space="0"/>
            </w:tcBorders>
            <w:shd w:val="clear" w:color="auto" w:fill="auto"/>
            <w:vAlign w:val="center"/>
          </w:tcPr>
          <w:p w14:paraId="429D6DB3">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820" w:type="dxa"/>
            <w:tcBorders>
              <w:top w:val="single" w:color="auto" w:sz="4" w:space="0"/>
              <w:left w:val="nil"/>
              <w:bottom w:val="single" w:color="auto" w:sz="4" w:space="0"/>
              <w:right w:val="single" w:color="auto" w:sz="4" w:space="0"/>
            </w:tcBorders>
            <w:shd w:val="clear" w:color="auto" w:fill="auto"/>
            <w:vAlign w:val="center"/>
          </w:tcPr>
          <w:p w14:paraId="05491221">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与调度系统简图结合，展示车辆信息，其中包括当前人数或满载率。</w:t>
            </w:r>
          </w:p>
        </w:tc>
      </w:tr>
      <w:tr w14:paraId="569E1345">
        <w:tblPrEx>
          <w:tblCellMar>
            <w:top w:w="0" w:type="dxa"/>
            <w:left w:w="108" w:type="dxa"/>
            <w:bottom w:w="0" w:type="dxa"/>
            <w:right w:w="108" w:type="dxa"/>
          </w:tblCellMar>
        </w:tblPrEx>
        <w:trPr>
          <w:trHeight w:val="864"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1049DD8C">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空间客流分析</w:t>
            </w:r>
          </w:p>
        </w:tc>
        <w:tc>
          <w:tcPr>
            <w:tcW w:w="1701" w:type="dxa"/>
            <w:tcBorders>
              <w:top w:val="nil"/>
              <w:left w:val="nil"/>
              <w:bottom w:val="single" w:color="auto" w:sz="4" w:space="0"/>
              <w:right w:val="single" w:color="auto" w:sz="4" w:space="0"/>
            </w:tcBorders>
            <w:shd w:val="clear" w:color="auto" w:fill="auto"/>
            <w:vAlign w:val="center"/>
          </w:tcPr>
          <w:p w14:paraId="41D5CEC0">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行政区域客流分析</w:t>
            </w:r>
          </w:p>
        </w:tc>
        <w:tc>
          <w:tcPr>
            <w:tcW w:w="4820" w:type="dxa"/>
            <w:tcBorders>
              <w:top w:val="nil"/>
              <w:left w:val="nil"/>
              <w:bottom w:val="single" w:color="auto" w:sz="4" w:space="0"/>
              <w:right w:val="single" w:color="auto" w:sz="4" w:space="0"/>
            </w:tcBorders>
            <w:shd w:val="clear" w:color="auto" w:fill="auto"/>
            <w:vAlign w:val="center"/>
          </w:tcPr>
          <w:p w14:paraId="38A3DD85">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展示南宁城市每个行政区域的客流量，查询历史日期范围、时段的客流数据。</w:t>
            </w:r>
          </w:p>
        </w:tc>
      </w:tr>
      <w:tr w14:paraId="1D53705B">
        <w:tblPrEx>
          <w:tblCellMar>
            <w:top w:w="0" w:type="dxa"/>
            <w:left w:w="108" w:type="dxa"/>
            <w:bottom w:w="0" w:type="dxa"/>
            <w:right w:w="108" w:type="dxa"/>
          </w:tblCellMar>
        </w:tblPrEx>
        <w:trPr>
          <w:trHeight w:val="576"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35A2B4F5">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273ED90E">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线路客流分析</w:t>
            </w:r>
          </w:p>
        </w:tc>
        <w:tc>
          <w:tcPr>
            <w:tcW w:w="4820" w:type="dxa"/>
            <w:tcBorders>
              <w:top w:val="nil"/>
              <w:left w:val="nil"/>
              <w:bottom w:val="single" w:color="auto" w:sz="4" w:space="0"/>
              <w:right w:val="single" w:color="auto" w:sz="4" w:space="0"/>
            </w:tcBorders>
            <w:shd w:val="clear" w:color="auto" w:fill="auto"/>
            <w:vAlign w:val="center"/>
          </w:tcPr>
          <w:p w14:paraId="0D1B4BD9">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按总客流量生成线路排行列表，并展示该线路不同方向的客流数据。</w:t>
            </w:r>
          </w:p>
        </w:tc>
      </w:tr>
      <w:tr w14:paraId="01A5CBB9">
        <w:tblPrEx>
          <w:tblCellMar>
            <w:top w:w="0" w:type="dxa"/>
            <w:left w:w="108" w:type="dxa"/>
            <w:bottom w:w="0" w:type="dxa"/>
            <w:right w:w="108" w:type="dxa"/>
          </w:tblCellMar>
        </w:tblPrEx>
        <w:trPr>
          <w:trHeight w:val="420"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1218CDD2">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60700A73">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站点客流分析</w:t>
            </w:r>
          </w:p>
        </w:tc>
        <w:tc>
          <w:tcPr>
            <w:tcW w:w="4820" w:type="dxa"/>
            <w:tcBorders>
              <w:top w:val="nil"/>
              <w:left w:val="nil"/>
              <w:bottom w:val="single" w:color="auto" w:sz="4" w:space="0"/>
              <w:right w:val="single" w:color="auto" w:sz="4" w:space="0"/>
            </w:tcBorders>
            <w:shd w:val="clear" w:color="auto" w:fill="auto"/>
            <w:vAlign w:val="center"/>
          </w:tcPr>
          <w:p w14:paraId="1791E446">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按总客流量生成站点排行列表，并展示该站点所有途径线路的客流数据。</w:t>
            </w:r>
          </w:p>
        </w:tc>
      </w:tr>
      <w:tr w14:paraId="51BAC410">
        <w:tblPrEx>
          <w:tblCellMar>
            <w:top w:w="0" w:type="dxa"/>
            <w:left w:w="108" w:type="dxa"/>
            <w:bottom w:w="0" w:type="dxa"/>
            <w:right w:w="108" w:type="dxa"/>
          </w:tblCellMar>
        </w:tblPrEx>
        <w:trPr>
          <w:trHeight w:val="696"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10E055F1">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时间客流分析</w:t>
            </w:r>
          </w:p>
        </w:tc>
        <w:tc>
          <w:tcPr>
            <w:tcW w:w="1701" w:type="dxa"/>
            <w:tcBorders>
              <w:top w:val="nil"/>
              <w:left w:val="nil"/>
              <w:bottom w:val="single" w:color="auto" w:sz="4" w:space="0"/>
              <w:right w:val="single" w:color="auto" w:sz="4" w:space="0"/>
            </w:tcBorders>
            <w:shd w:val="clear" w:color="auto" w:fill="auto"/>
            <w:vAlign w:val="center"/>
          </w:tcPr>
          <w:p w14:paraId="2DE7A5BF">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线路客流日规律报表</w:t>
            </w:r>
          </w:p>
        </w:tc>
        <w:tc>
          <w:tcPr>
            <w:tcW w:w="4820" w:type="dxa"/>
            <w:tcBorders>
              <w:top w:val="nil"/>
              <w:left w:val="nil"/>
              <w:bottom w:val="single" w:color="auto" w:sz="4" w:space="0"/>
              <w:right w:val="single" w:color="auto" w:sz="4" w:space="0"/>
            </w:tcBorders>
            <w:shd w:val="clear" w:color="auto" w:fill="auto"/>
            <w:vAlign w:val="center"/>
          </w:tcPr>
          <w:p w14:paraId="49FFF07F">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支持统计多条线路在某天的各个时刻的客流数据，并计算出高峰期时段时间范围，以此来分析对比线路日客流情况。</w:t>
            </w:r>
          </w:p>
        </w:tc>
      </w:tr>
      <w:tr w14:paraId="3A5B7B62">
        <w:tblPrEx>
          <w:tblCellMar>
            <w:top w:w="0" w:type="dxa"/>
            <w:left w:w="108" w:type="dxa"/>
            <w:bottom w:w="0" w:type="dxa"/>
            <w:right w:w="108" w:type="dxa"/>
          </w:tblCellMar>
        </w:tblPrEx>
        <w:trPr>
          <w:trHeight w:val="636"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0CB484F2">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1581E33E">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时空客流分析</w:t>
            </w:r>
          </w:p>
        </w:tc>
        <w:tc>
          <w:tcPr>
            <w:tcW w:w="4820" w:type="dxa"/>
            <w:tcBorders>
              <w:top w:val="nil"/>
              <w:left w:val="nil"/>
              <w:bottom w:val="single" w:color="auto" w:sz="4" w:space="0"/>
              <w:right w:val="single" w:color="auto" w:sz="4" w:space="0"/>
            </w:tcBorders>
            <w:shd w:val="clear" w:color="auto" w:fill="auto"/>
            <w:vAlign w:val="center"/>
          </w:tcPr>
          <w:p w14:paraId="38B271F1">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呈现线路，在不同方向站点、不同时间段上的时空客流分布，并用颜色标注等级，可分析线路的高平峰时段、客流聚集站点。</w:t>
            </w:r>
          </w:p>
        </w:tc>
      </w:tr>
      <w:tr w14:paraId="7C1B90C1">
        <w:tblPrEx>
          <w:tblCellMar>
            <w:top w:w="0" w:type="dxa"/>
            <w:left w:w="108" w:type="dxa"/>
            <w:bottom w:w="0" w:type="dxa"/>
            <w:right w:w="108" w:type="dxa"/>
          </w:tblCellMar>
        </w:tblPrEx>
        <w:trPr>
          <w:trHeight w:val="42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0E637A38">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客流特征分析</w:t>
            </w:r>
          </w:p>
        </w:tc>
        <w:tc>
          <w:tcPr>
            <w:tcW w:w="1701" w:type="dxa"/>
            <w:tcBorders>
              <w:top w:val="nil"/>
              <w:left w:val="nil"/>
              <w:bottom w:val="single" w:color="auto" w:sz="4" w:space="0"/>
              <w:right w:val="single" w:color="auto" w:sz="4" w:space="0"/>
            </w:tcBorders>
            <w:shd w:val="clear" w:color="auto" w:fill="auto"/>
            <w:vAlign w:val="center"/>
          </w:tcPr>
          <w:p w14:paraId="3411C01E">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客流与运力分析</w:t>
            </w:r>
          </w:p>
        </w:tc>
        <w:tc>
          <w:tcPr>
            <w:tcW w:w="4820" w:type="dxa"/>
            <w:tcBorders>
              <w:top w:val="nil"/>
              <w:left w:val="nil"/>
              <w:bottom w:val="single" w:color="auto" w:sz="4" w:space="0"/>
              <w:right w:val="single" w:color="auto" w:sz="4" w:space="0"/>
            </w:tcBorders>
            <w:shd w:val="clear" w:color="auto" w:fill="auto"/>
            <w:vAlign w:val="center"/>
          </w:tcPr>
          <w:p w14:paraId="22766689">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以线路为单位，将单位时间内的客流量与投入的趟次数资源进行量化对比。</w:t>
            </w:r>
          </w:p>
        </w:tc>
      </w:tr>
      <w:tr w14:paraId="64845224">
        <w:tblPrEx>
          <w:tblCellMar>
            <w:top w:w="0" w:type="dxa"/>
            <w:left w:w="108" w:type="dxa"/>
            <w:bottom w:w="0" w:type="dxa"/>
            <w:right w:w="108" w:type="dxa"/>
          </w:tblCellMar>
        </w:tblPrEx>
        <w:trPr>
          <w:trHeight w:val="420"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4BA6C376">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59187BDE">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客流热力图</w:t>
            </w:r>
          </w:p>
        </w:tc>
        <w:tc>
          <w:tcPr>
            <w:tcW w:w="4820" w:type="dxa"/>
            <w:tcBorders>
              <w:top w:val="nil"/>
              <w:left w:val="nil"/>
              <w:bottom w:val="single" w:color="auto" w:sz="4" w:space="0"/>
              <w:right w:val="single" w:color="auto" w:sz="4" w:space="0"/>
            </w:tcBorders>
            <w:shd w:val="clear" w:color="auto" w:fill="auto"/>
            <w:vAlign w:val="center"/>
          </w:tcPr>
          <w:p w14:paraId="0340D0B3">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将客流数据进行空间化映射，通过颜色梯度直观展现客流密度，并支持回放。</w:t>
            </w:r>
          </w:p>
        </w:tc>
      </w:tr>
      <w:tr w14:paraId="7B1A024A">
        <w:tblPrEx>
          <w:tblCellMar>
            <w:top w:w="0" w:type="dxa"/>
            <w:left w:w="108" w:type="dxa"/>
            <w:bottom w:w="0" w:type="dxa"/>
            <w:right w:w="108" w:type="dxa"/>
          </w:tblCellMar>
        </w:tblPrEx>
        <w:trPr>
          <w:trHeight w:val="420"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7B5793D6">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540D819D">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特征客流分析</w:t>
            </w:r>
          </w:p>
        </w:tc>
        <w:tc>
          <w:tcPr>
            <w:tcW w:w="4820" w:type="dxa"/>
            <w:tcBorders>
              <w:top w:val="nil"/>
              <w:left w:val="nil"/>
              <w:bottom w:val="single" w:color="auto" w:sz="4" w:space="0"/>
              <w:right w:val="single" w:color="auto" w:sz="4" w:space="0"/>
            </w:tcBorders>
            <w:shd w:val="clear" w:color="auto" w:fill="auto"/>
            <w:vAlign w:val="center"/>
          </w:tcPr>
          <w:p w14:paraId="260B7CF2">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基于公交 IC 卡数据，对普通 IC 卡、实名卡、老年卡、学生卡、特种卡等的使用情况进行深度剖析。</w:t>
            </w:r>
          </w:p>
        </w:tc>
      </w:tr>
      <w:tr w14:paraId="58BC9E82">
        <w:tblPrEx>
          <w:tblCellMar>
            <w:top w:w="0" w:type="dxa"/>
            <w:left w:w="108" w:type="dxa"/>
            <w:bottom w:w="0" w:type="dxa"/>
            <w:right w:w="108" w:type="dxa"/>
          </w:tblCellMar>
        </w:tblPrEx>
        <w:trPr>
          <w:trHeight w:val="672"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noWrap/>
            <w:vAlign w:val="center"/>
          </w:tcPr>
          <w:p w14:paraId="291B0557">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客流排班</w:t>
            </w:r>
          </w:p>
        </w:tc>
        <w:tc>
          <w:tcPr>
            <w:tcW w:w="1701" w:type="dxa"/>
            <w:tcBorders>
              <w:top w:val="nil"/>
              <w:left w:val="nil"/>
              <w:bottom w:val="single" w:color="auto" w:sz="4" w:space="0"/>
              <w:right w:val="single" w:color="auto" w:sz="4" w:space="0"/>
            </w:tcBorders>
            <w:shd w:val="clear" w:color="auto" w:fill="auto"/>
            <w:vAlign w:val="center"/>
          </w:tcPr>
          <w:p w14:paraId="1B392052">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客流分析</w:t>
            </w:r>
          </w:p>
        </w:tc>
        <w:tc>
          <w:tcPr>
            <w:tcW w:w="4820" w:type="dxa"/>
            <w:tcBorders>
              <w:top w:val="nil"/>
              <w:left w:val="nil"/>
              <w:bottom w:val="single" w:color="auto" w:sz="4" w:space="0"/>
              <w:right w:val="single" w:color="auto" w:sz="4" w:space="0"/>
            </w:tcBorders>
            <w:shd w:val="clear" w:color="auto" w:fill="auto"/>
            <w:vAlign w:val="center"/>
          </w:tcPr>
          <w:p w14:paraId="44A47A71">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支持选择历史某段日期范围的客流值作为客流输入值，其中可选择工作日期类型、方向、班次类型，引入AI模型预测客流分析结果，支持人工调整。</w:t>
            </w:r>
          </w:p>
        </w:tc>
      </w:tr>
      <w:tr w14:paraId="29A5D6C6">
        <w:tblPrEx>
          <w:tblCellMar>
            <w:top w:w="0" w:type="dxa"/>
            <w:left w:w="108" w:type="dxa"/>
            <w:bottom w:w="0" w:type="dxa"/>
            <w:right w:w="108" w:type="dxa"/>
          </w:tblCellMar>
        </w:tblPrEx>
        <w:trPr>
          <w:trHeight w:val="504"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7B1ADF23">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0CD110B7">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客流OD</w:t>
            </w:r>
          </w:p>
        </w:tc>
        <w:tc>
          <w:tcPr>
            <w:tcW w:w="4820" w:type="dxa"/>
            <w:tcBorders>
              <w:top w:val="nil"/>
              <w:left w:val="nil"/>
              <w:bottom w:val="single" w:color="auto" w:sz="4" w:space="0"/>
              <w:right w:val="single" w:color="auto" w:sz="4" w:space="0"/>
            </w:tcBorders>
            <w:shd w:val="clear" w:color="auto" w:fill="auto"/>
            <w:vAlign w:val="center"/>
          </w:tcPr>
          <w:p w14:paraId="568C2E2E">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以AI预测模型预测出客流OD模板，支持人工调整，作为排班输入参数。</w:t>
            </w:r>
          </w:p>
        </w:tc>
      </w:tr>
      <w:tr w14:paraId="2FF6BF95">
        <w:tblPrEx>
          <w:tblCellMar>
            <w:top w:w="0" w:type="dxa"/>
            <w:left w:w="108" w:type="dxa"/>
            <w:bottom w:w="0" w:type="dxa"/>
            <w:right w:w="108" w:type="dxa"/>
          </w:tblCellMar>
        </w:tblPrEx>
        <w:trPr>
          <w:trHeight w:val="576"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5844A982">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32779B44">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周转时长</w:t>
            </w:r>
          </w:p>
        </w:tc>
        <w:tc>
          <w:tcPr>
            <w:tcW w:w="4820" w:type="dxa"/>
            <w:tcBorders>
              <w:top w:val="nil"/>
              <w:left w:val="nil"/>
              <w:bottom w:val="single" w:color="auto" w:sz="4" w:space="0"/>
              <w:right w:val="single" w:color="auto" w:sz="4" w:space="0"/>
            </w:tcBorders>
            <w:shd w:val="clear" w:color="auto" w:fill="auto"/>
            <w:vAlign w:val="center"/>
          </w:tcPr>
          <w:p w14:paraId="3386A0F4">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支持选择历史某段日期范围的行车记录、到离站数据作为周转时长的输入值，其中可选择工作日期类型、方向、班次类型，引入AI模型预测出周转时长分析结果，支持人工调整，作为排班输入参数。</w:t>
            </w:r>
          </w:p>
        </w:tc>
      </w:tr>
      <w:tr w14:paraId="5D37653E">
        <w:tblPrEx>
          <w:tblCellMar>
            <w:top w:w="0" w:type="dxa"/>
            <w:left w:w="108" w:type="dxa"/>
            <w:bottom w:w="0" w:type="dxa"/>
            <w:right w:w="108" w:type="dxa"/>
          </w:tblCellMar>
        </w:tblPrEx>
        <w:trPr>
          <w:trHeight w:val="420"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402A2257">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40558B37">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排班参数</w:t>
            </w:r>
          </w:p>
        </w:tc>
        <w:tc>
          <w:tcPr>
            <w:tcW w:w="4820" w:type="dxa"/>
            <w:tcBorders>
              <w:top w:val="nil"/>
              <w:left w:val="nil"/>
              <w:bottom w:val="single" w:color="auto" w:sz="4" w:space="0"/>
              <w:right w:val="single" w:color="auto" w:sz="4" w:space="0"/>
            </w:tcBorders>
            <w:shd w:val="clear" w:color="auto" w:fill="auto"/>
            <w:vAlign w:val="center"/>
          </w:tcPr>
          <w:p w14:paraId="35AFF870">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支持设置线路排班参数值，如首末班时间、配车数、计划趟次数、停站时间、间隔范围等。</w:t>
            </w:r>
          </w:p>
        </w:tc>
      </w:tr>
      <w:tr w14:paraId="64F6A5F0">
        <w:tblPrEx>
          <w:tblCellMar>
            <w:top w:w="0" w:type="dxa"/>
            <w:left w:w="108" w:type="dxa"/>
            <w:bottom w:w="0" w:type="dxa"/>
            <w:right w:w="108" w:type="dxa"/>
          </w:tblCellMar>
        </w:tblPrEx>
        <w:trPr>
          <w:trHeight w:val="948"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135B9823">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7B50EA03">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预测排班</w:t>
            </w:r>
          </w:p>
        </w:tc>
        <w:tc>
          <w:tcPr>
            <w:tcW w:w="4820" w:type="dxa"/>
            <w:tcBorders>
              <w:top w:val="nil"/>
              <w:left w:val="nil"/>
              <w:bottom w:val="single" w:color="auto" w:sz="4" w:space="0"/>
              <w:right w:val="single" w:color="auto" w:sz="4" w:space="0"/>
            </w:tcBorders>
            <w:shd w:val="clear" w:color="auto" w:fill="auto"/>
            <w:vAlign w:val="center"/>
          </w:tcPr>
          <w:p w14:paraId="3E49EC89">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引入客流仿真模型，预测线路排班计划，并给出推荐的车辆数、总趟次数、司机数，其中排班计划需要精确到每一趟的发车时间、预计到达时间，以甘特图、表格形式，支持人工调整。也可对比该线路某日的历史计划值/实际值进行对比（仅限甘特图模式），方便进行调整。</w:t>
            </w:r>
          </w:p>
        </w:tc>
      </w:tr>
      <w:tr w14:paraId="38B4A7BB">
        <w:tblPrEx>
          <w:tblCellMar>
            <w:top w:w="0" w:type="dxa"/>
            <w:left w:w="108" w:type="dxa"/>
            <w:bottom w:w="0" w:type="dxa"/>
            <w:right w:w="108" w:type="dxa"/>
          </w:tblCellMar>
        </w:tblPrEx>
        <w:trPr>
          <w:trHeight w:val="1008" w:hRule="atLeast"/>
          <w:jc w:val="center"/>
        </w:trPr>
        <w:tc>
          <w:tcPr>
            <w:tcW w:w="1696" w:type="dxa"/>
            <w:vMerge w:val="continue"/>
            <w:tcBorders>
              <w:top w:val="nil"/>
              <w:left w:val="single" w:color="auto" w:sz="4" w:space="0"/>
              <w:bottom w:val="single" w:color="auto" w:sz="4" w:space="0"/>
              <w:right w:val="single" w:color="auto" w:sz="4" w:space="0"/>
            </w:tcBorders>
            <w:shd w:val="clear" w:color="auto" w:fill="auto"/>
            <w:vAlign w:val="center"/>
          </w:tcPr>
          <w:p w14:paraId="22B1E056">
            <w:pPr>
              <w:widowControl/>
              <w:spacing w:line="360" w:lineRule="auto"/>
              <w:ind w:firstLine="0" w:firstLineChars="0"/>
              <w:jc w:val="left"/>
              <w:rPr>
                <w:rFonts w:hint="eastAsia" w:ascii="宋体" w:hAnsi="宋体" w:eastAsia="宋体" w:cs="宋体"/>
                <w:kern w:val="0"/>
                <w:sz w:val="21"/>
                <w:szCs w:val="21"/>
              </w:rPr>
            </w:pPr>
          </w:p>
        </w:tc>
        <w:tc>
          <w:tcPr>
            <w:tcW w:w="1701" w:type="dxa"/>
            <w:tcBorders>
              <w:top w:val="nil"/>
              <w:left w:val="nil"/>
              <w:bottom w:val="single" w:color="auto" w:sz="4" w:space="0"/>
              <w:right w:val="single" w:color="auto" w:sz="4" w:space="0"/>
            </w:tcBorders>
            <w:shd w:val="clear" w:color="auto" w:fill="auto"/>
            <w:vAlign w:val="center"/>
          </w:tcPr>
          <w:p w14:paraId="1F64CB4D">
            <w:pPr>
              <w:widowControl/>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结果分析</w:t>
            </w:r>
          </w:p>
        </w:tc>
        <w:tc>
          <w:tcPr>
            <w:tcW w:w="4820" w:type="dxa"/>
            <w:tcBorders>
              <w:top w:val="nil"/>
              <w:left w:val="nil"/>
              <w:bottom w:val="single" w:color="auto" w:sz="4" w:space="0"/>
              <w:right w:val="single" w:color="auto" w:sz="4" w:space="0"/>
            </w:tcBorders>
            <w:shd w:val="clear" w:color="auto" w:fill="auto"/>
            <w:vAlign w:val="center"/>
          </w:tcPr>
          <w:p w14:paraId="3034454A">
            <w:pPr>
              <w:widowControl/>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针对预测的排班结果进行间隔分析，每个时间段的间隔分布情况，以评估排班结果合理性。也可针对预测的排班结果进行运力客流匹配分析，每个时间段，预测的运力和第一步客流分析结果或者选定某天（含未来预测）进行客流运力匹配度对比分析，给出运力客流匹配系数。排班结果可以推送至调度系统中每日排班计划中。</w:t>
            </w:r>
          </w:p>
        </w:tc>
      </w:tr>
    </w:tbl>
    <w:p w14:paraId="17AA6026">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线网实时运行监测与分析模块</w:t>
      </w:r>
    </w:p>
    <w:p w14:paraId="1B4FE92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基于车联网、大数据、GIS地理信息等技术，实时监测车辆运行环境，分析路况对营运的影响，优化调度策略，提升公交准点率、安全性和运营效率。</w:t>
      </w:r>
    </w:p>
    <w:tbl>
      <w:tblPr>
        <w:tblStyle w:val="90"/>
        <w:tblW w:w="8359" w:type="dxa"/>
        <w:jc w:val="center"/>
        <w:tblLayout w:type="autofit"/>
        <w:tblCellMar>
          <w:top w:w="0" w:type="dxa"/>
          <w:left w:w="108" w:type="dxa"/>
          <w:bottom w:w="0" w:type="dxa"/>
          <w:right w:w="108" w:type="dxa"/>
        </w:tblCellMar>
      </w:tblPr>
      <w:tblGrid>
        <w:gridCol w:w="1838"/>
        <w:gridCol w:w="2126"/>
        <w:gridCol w:w="4395"/>
      </w:tblGrid>
      <w:tr w14:paraId="0A5D89CF">
        <w:tblPrEx>
          <w:tblCellMar>
            <w:top w:w="0" w:type="dxa"/>
            <w:left w:w="108" w:type="dxa"/>
            <w:bottom w:w="0" w:type="dxa"/>
            <w:right w:w="108" w:type="dxa"/>
          </w:tblCellMar>
        </w:tblPrEx>
        <w:trPr>
          <w:trHeight w:val="576" w:hRule="atLeast"/>
          <w:tblHeader/>
          <w:jc w:val="center"/>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546C9">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bookmarkStart w:id="556" w:name="_Hlk201422786"/>
            <w:r>
              <w:rPr>
                <w:rFonts w:hint="eastAsia" w:ascii="宋体" w:hAnsi="宋体" w:eastAsia="宋体" w:cs="Times New Roman"/>
                <w:b/>
                <w:bCs/>
                <w:kern w:val="2"/>
                <w:sz w:val="21"/>
                <w:szCs w:val="21"/>
                <w:lang w:val="en-US" w:eastAsia="zh-CN" w:bidi="ar-SA"/>
              </w:rPr>
              <w:t>一级功能</w:t>
            </w:r>
          </w:p>
        </w:tc>
        <w:tc>
          <w:tcPr>
            <w:tcW w:w="2126" w:type="dxa"/>
            <w:tcBorders>
              <w:top w:val="single" w:color="auto" w:sz="4" w:space="0"/>
              <w:left w:val="nil"/>
              <w:bottom w:val="single" w:color="auto" w:sz="4" w:space="0"/>
              <w:right w:val="single" w:color="auto" w:sz="4" w:space="0"/>
            </w:tcBorders>
            <w:shd w:val="clear" w:color="auto" w:fill="auto"/>
            <w:vAlign w:val="center"/>
          </w:tcPr>
          <w:p w14:paraId="030F8945">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二级功能</w:t>
            </w:r>
          </w:p>
        </w:tc>
        <w:tc>
          <w:tcPr>
            <w:tcW w:w="4395" w:type="dxa"/>
            <w:tcBorders>
              <w:top w:val="single" w:color="auto" w:sz="4" w:space="0"/>
              <w:left w:val="nil"/>
              <w:bottom w:val="single" w:color="auto" w:sz="4" w:space="0"/>
              <w:right w:val="single" w:color="auto" w:sz="4" w:space="0"/>
            </w:tcBorders>
            <w:shd w:val="clear" w:color="auto" w:fill="auto"/>
            <w:vAlign w:val="center"/>
          </w:tcPr>
          <w:p w14:paraId="5F693CE1">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功能描述</w:t>
            </w:r>
          </w:p>
        </w:tc>
      </w:tr>
      <w:bookmarkEnd w:id="556"/>
      <w:tr w14:paraId="3DC14E94">
        <w:tblPrEx>
          <w:tblCellMar>
            <w:top w:w="0" w:type="dxa"/>
            <w:left w:w="108" w:type="dxa"/>
            <w:bottom w:w="0" w:type="dxa"/>
            <w:right w:w="108" w:type="dxa"/>
          </w:tblCellMar>
        </w:tblPrEx>
        <w:trPr>
          <w:trHeight w:val="576"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2C5CE">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实时路况分析</w:t>
            </w:r>
          </w:p>
        </w:tc>
        <w:tc>
          <w:tcPr>
            <w:tcW w:w="2126" w:type="dxa"/>
            <w:tcBorders>
              <w:top w:val="single" w:color="auto" w:sz="4" w:space="0"/>
              <w:left w:val="nil"/>
              <w:bottom w:val="single" w:color="auto" w:sz="4" w:space="0"/>
              <w:right w:val="single" w:color="auto" w:sz="4" w:space="0"/>
            </w:tcBorders>
            <w:shd w:val="clear" w:color="auto" w:fill="auto"/>
            <w:vAlign w:val="center"/>
          </w:tcPr>
          <w:p w14:paraId="2FC58549">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4395" w:type="dxa"/>
            <w:tcBorders>
              <w:top w:val="single" w:color="auto" w:sz="4" w:space="0"/>
              <w:left w:val="nil"/>
              <w:bottom w:val="single" w:color="auto" w:sz="4" w:space="0"/>
              <w:right w:val="single" w:color="auto" w:sz="4" w:space="0"/>
            </w:tcBorders>
            <w:shd w:val="clear" w:color="auto" w:fill="auto"/>
            <w:vAlign w:val="center"/>
          </w:tcPr>
          <w:p w14:paraId="3184517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直观展示在地图实时路况数据，标记拥堵等级。</w:t>
            </w:r>
          </w:p>
        </w:tc>
      </w:tr>
      <w:tr w14:paraId="5D646750">
        <w:tblPrEx>
          <w:tblCellMar>
            <w:top w:w="0" w:type="dxa"/>
            <w:left w:w="108" w:type="dxa"/>
            <w:bottom w:w="0" w:type="dxa"/>
            <w:right w:w="108" w:type="dxa"/>
          </w:tblCellMar>
        </w:tblPrEx>
        <w:trPr>
          <w:trHeight w:val="924" w:hRule="atLeast"/>
          <w:jc w:val="center"/>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2FCFF268">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预测到站时间</w:t>
            </w:r>
          </w:p>
        </w:tc>
        <w:tc>
          <w:tcPr>
            <w:tcW w:w="2126" w:type="dxa"/>
            <w:tcBorders>
              <w:top w:val="nil"/>
              <w:left w:val="nil"/>
              <w:bottom w:val="single" w:color="auto" w:sz="4" w:space="0"/>
              <w:right w:val="single" w:color="auto" w:sz="4" w:space="0"/>
            </w:tcBorders>
            <w:shd w:val="clear" w:color="auto" w:fill="auto"/>
            <w:vAlign w:val="center"/>
          </w:tcPr>
          <w:p w14:paraId="31E437B2">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4395" w:type="dxa"/>
            <w:tcBorders>
              <w:top w:val="nil"/>
              <w:left w:val="nil"/>
              <w:bottom w:val="single" w:color="auto" w:sz="4" w:space="0"/>
              <w:right w:val="single" w:color="auto" w:sz="4" w:space="0"/>
            </w:tcBorders>
            <w:shd w:val="clear" w:color="auto" w:fill="auto"/>
            <w:vAlign w:val="center"/>
          </w:tcPr>
          <w:p w14:paraId="5A6BD67A">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根据车辆实时定位及运营状态，预测车辆到达每个站点的时间，支持推送至乘客端及公交电子站牌，实现公交线路车辆预计到站时间的精准推算，为乘客提供更可靠的出行信息，助力公交运营调度优化。</w:t>
            </w:r>
          </w:p>
        </w:tc>
      </w:tr>
      <w:tr w14:paraId="2FCEBE44">
        <w:tblPrEx>
          <w:tblCellMar>
            <w:top w:w="0" w:type="dxa"/>
            <w:left w:w="108" w:type="dxa"/>
            <w:bottom w:w="0" w:type="dxa"/>
            <w:right w:w="108" w:type="dxa"/>
          </w:tblCellMar>
        </w:tblPrEx>
        <w:trPr>
          <w:trHeight w:val="444"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noWrap/>
            <w:vAlign w:val="center"/>
          </w:tcPr>
          <w:p w14:paraId="150E7F78">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动态调度优化</w:t>
            </w:r>
          </w:p>
        </w:tc>
        <w:tc>
          <w:tcPr>
            <w:tcW w:w="2126" w:type="dxa"/>
            <w:tcBorders>
              <w:top w:val="nil"/>
              <w:left w:val="nil"/>
              <w:bottom w:val="single" w:color="auto" w:sz="4" w:space="0"/>
              <w:right w:val="single" w:color="auto" w:sz="4" w:space="0"/>
            </w:tcBorders>
            <w:shd w:val="clear" w:color="auto" w:fill="auto"/>
            <w:vAlign w:val="center"/>
          </w:tcPr>
          <w:p w14:paraId="38BB7EDA">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自适应调整发车间隔</w:t>
            </w:r>
          </w:p>
        </w:tc>
        <w:tc>
          <w:tcPr>
            <w:tcW w:w="4395" w:type="dxa"/>
            <w:tcBorders>
              <w:top w:val="nil"/>
              <w:left w:val="nil"/>
              <w:bottom w:val="single" w:color="auto" w:sz="4" w:space="0"/>
              <w:right w:val="single" w:color="auto" w:sz="4" w:space="0"/>
            </w:tcBorders>
            <w:shd w:val="clear" w:color="auto" w:fill="auto"/>
            <w:vAlign w:val="center"/>
          </w:tcPr>
          <w:p w14:paraId="0C0D8116">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实时预测每辆车到下一站的时间，支持显示在简图调度中，系统自动调整后车延迟还是提前发车。</w:t>
            </w:r>
          </w:p>
        </w:tc>
      </w:tr>
      <w:tr w14:paraId="40CDD055">
        <w:tblPrEx>
          <w:tblCellMar>
            <w:top w:w="0" w:type="dxa"/>
            <w:left w:w="108" w:type="dxa"/>
            <w:bottom w:w="0" w:type="dxa"/>
            <w:right w:w="108" w:type="dxa"/>
          </w:tblCellMar>
        </w:tblPrEx>
        <w:trPr>
          <w:trHeight w:val="816"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1D6E43A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0F3D22BF">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线路绕行推荐</w:t>
            </w:r>
          </w:p>
        </w:tc>
        <w:tc>
          <w:tcPr>
            <w:tcW w:w="4395" w:type="dxa"/>
            <w:tcBorders>
              <w:top w:val="nil"/>
              <w:left w:val="nil"/>
              <w:bottom w:val="single" w:color="auto" w:sz="4" w:space="0"/>
              <w:right w:val="single" w:color="auto" w:sz="4" w:space="0"/>
            </w:tcBorders>
            <w:shd w:val="clear" w:color="auto" w:fill="auto"/>
            <w:vAlign w:val="center"/>
          </w:tcPr>
          <w:p w14:paraId="33805502">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支持人工及时录入调度系统，确保第一时间获取事故封路信息，包括事故发生地点、封路范围（封锁涉及的站点）、预计封路时长等关键数据；人工预设好需要绕行的路径，以文本形式，下发通知至该线路所有车载终端及司机移动端。</w:t>
            </w:r>
          </w:p>
        </w:tc>
      </w:tr>
      <w:tr w14:paraId="71D008E9">
        <w:tblPrEx>
          <w:tblCellMar>
            <w:top w:w="0" w:type="dxa"/>
            <w:left w:w="108" w:type="dxa"/>
            <w:bottom w:w="0" w:type="dxa"/>
            <w:right w:w="108" w:type="dxa"/>
          </w:tblCellMar>
        </w:tblPrEx>
        <w:trPr>
          <w:trHeight w:val="624" w:hRule="atLeast"/>
          <w:jc w:val="center"/>
        </w:trPr>
        <w:tc>
          <w:tcPr>
            <w:tcW w:w="1838" w:type="dxa"/>
            <w:vMerge w:val="continue"/>
            <w:tcBorders>
              <w:top w:val="nil"/>
              <w:left w:val="single" w:color="auto" w:sz="4" w:space="0"/>
              <w:bottom w:val="single" w:color="auto" w:sz="4" w:space="0"/>
              <w:right w:val="single" w:color="auto" w:sz="4" w:space="0"/>
            </w:tcBorders>
            <w:shd w:val="clear" w:color="auto" w:fill="auto"/>
            <w:vAlign w:val="center"/>
          </w:tcPr>
          <w:p w14:paraId="0C3FEC13">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14:paraId="7281B243">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4395" w:type="dxa"/>
            <w:tcBorders>
              <w:top w:val="nil"/>
              <w:left w:val="nil"/>
              <w:bottom w:val="single" w:color="auto" w:sz="4" w:space="0"/>
              <w:right w:val="single" w:color="auto" w:sz="4" w:space="0"/>
            </w:tcBorders>
            <w:shd w:val="clear" w:color="auto" w:fill="auto"/>
            <w:vAlign w:val="center"/>
          </w:tcPr>
          <w:p w14:paraId="35F59122">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支持引入地图服务商动态交通事件，动态感知封路信息，并自动记录在系统中，系统自动匹配需要封锁的站点，预计封路时长，系统自动推荐出绕行路径。</w:t>
            </w:r>
          </w:p>
        </w:tc>
      </w:tr>
      <w:tr w14:paraId="3BFC7D2E">
        <w:tblPrEx>
          <w:tblCellMar>
            <w:top w:w="0" w:type="dxa"/>
            <w:left w:w="108" w:type="dxa"/>
            <w:bottom w:w="0" w:type="dxa"/>
            <w:right w:w="108" w:type="dxa"/>
          </w:tblCellMar>
        </w:tblPrEx>
        <w:trPr>
          <w:trHeight w:val="576" w:hRule="atLeast"/>
          <w:jc w:val="center"/>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0D388A09">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线路路况大屏</w:t>
            </w:r>
          </w:p>
        </w:tc>
        <w:tc>
          <w:tcPr>
            <w:tcW w:w="2126" w:type="dxa"/>
            <w:tcBorders>
              <w:top w:val="nil"/>
              <w:left w:val="nil"/>
              <w:bottom w:val="single" w:color="auto" w:sz="4" w:space="0"/>
              <w:right w:val="single" w:color="auto" w:sz="4" w:space="0"/>
            </w:tcBorders>
            <w:shd w:val="clear" w:color="auto" w:fill="auto"/>
            <w:vAlign w:val="center"/>
          </w:tcPr>
          <w:p w14:paraId="55E5C70A">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4395" w:type="dxa"/>
            <w:tcBorders>
              <w:top w:val="nil"/>
              <w:left w:val="nil"/>
              <w:bottom w:val="single" w:color="auto" w:sz="4" w:space="0"/>
              <w:right w:val="single" w:color="auto" w:sz="4" w:space="0"/>
            </w:tcBorders>
            <w:shd w:val="clear" w:color="auto" w:fill="auto"/>
            <w:vAlign w:val="center"/>
          </w:tcPr>
          <w:p w14:paraId="31AAC7A0">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路况热力图及未来路况预测，分时段展示各线路拥堵指数、平均时速、平均通行时间，长期拥堵路段分析，历史交通事故分析。</w:t>
            </w:r>
          </w:p>
        </w:tc>
      </w:tr>
    </w:tbl>
    <w:p w14:paraId="2107C354">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协同地铁调度模块</w:t>
      </w:r>
    </w:p>
    <w:p w14:paraId="156E12B6">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通过实时采集地铁各线路发班时刻、进站/离站时间、各站台进出站客流等数据，精准掌握地铁接驳或应急调度的客流需求，结合现有公交智能调度系统功能，构建统一的、实时的协同调度决策引擎。</w:t>
      </w:r>
    </w:p>
    <w:tbl>
      <w:tblPr>
        <w:tblStyle w:val="90"/>
        <w:tblW w:w="8217" w:type="dxa"/>
        <w:jc w:val="center"/>
        <w:tblLayout w:type="fixed"/>
        <w:tblCellMar>
          <w:top w:w="0" w:type="dxa"/>
          <w:left w:w="108" w:type="dxa"/>
          <w:bottom w:w="0" w:type="dxa"/>
          <w:right w:w="108" w:type="dxa"/>
        </w:tblCellMar>
      </w:tblPr>
      <w:tblGrid>
        <w:gridCol w:w="1539"/>
        <w:gridCol w:w="1990"/>
        <w:gridCol w:w="4688"/>
      </w:tblGrid>
      <w:tr w14:paraId="2023347F">
        <w:tblPrEx>
          <w:tblCellMar>
            <w:top w:w="0" w:type="dxa"/>
            <w:left w:w="108" w:type="dxa"/>
            <w:bottom w:w="0" w:type="dxa"/>
            <w:right w:w="108" w:type="dxa"/>
          </w:tblCellMar>
        </w:tblPrEx>
        <w:trPr>
          <w:trHeight w:val="481" w:hRule="atLeast"/>
          <w:tblHeader/>
          <w:jc w:val="center"/>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3832D">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一级功能</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CF236A1">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二级功能</w:t>
            </w:r>
          </w:p>
        </w:tc>
        <w:tc>
          <w:tcPr>
            <w:tcW w:w="4688" w:type="dxa"/>
            <w:tcBorders>
              <w:top w:val="single" w:color="auto" w:sz="4" w:space="0"/>
              <w:left w:val="nil"/>
              <w:bottom w:val="single" w:color="auto" w:sz="4" w:space="0"/>
              <w:right w:val="single" w:color="auto" w:sz="4" w:space="0"/>
            </w:tcBorders>
            <w:shd w:val="clear" w:color="auto" w:fill="auto"/>
            <w:vAlign w:val="center"/>
          </w:tcPr>
          <w:p w14:paraId="3A836D92">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功能描述</w:t>
            </w:r>
          </w:p>
        </w:tc>
      </w:tr>
      <w:tr w14:paraId="2EEF40B9">
        <w:tblPrEx>
          <w:tblCellMar>
            <w:top w:w="0" w:type="dxa"/>
            <w:left w:w="108" w:type="dxa"/>
            <w:bottom w:w="0" w:type="dxa"/>
            <w:right w:w="108" w:type="dxa"/>
          </w:tblCellMar>
        </w:tblPrEx>
        <w:trPr>
          <w:trHeight w:val="841" w:hRule="atLeast"/>
          <w:jc w:val="center"/>
        </w:trPr>
        <w:tc>
          <w:tcPr>
            <w:tcW w:w="15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8A279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双网运行大屏</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A6D2FA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线网分布可视化</w:t>
            </w:r>
          </w:p>
        </w:tc>
        <w:tc>
          <w:tcPr>
            <w:tcW w:w="4688" w:type="dxa"/>
            <w:tcBorders>
              <w:top w:val="single" w:color="auto" w:sz="4" w:space="0"/>
              <w:left w:val="nil"/>
              <w:bottom w:val="single" w:color="auto" w:sz="4" w:space="0"/>
              <w:right w:val="single" w:color="auto" w:sz="4" w:space="0"/>
            </w:tcBorders>
            <w:shd w:val="clear" w:color="auto" w:fill="auto"/>
            <w:vAlign w:val="center"/>
          </w:tcPr>
          <w:p w14:paraId="3A319360">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以地图形式展示地铁、公交两种线网的线路走向、站点布局及场站分布情况。通过不同颜色和图标区分地铁线路和公交线路，展示地铁与公交的重复系数，清晰呈现两种交通方式在各区域的线路重合情况，为优化线网布局提供参考。</w:t>
            </w:r>
          </w:p>
        </w:tc>
      </w:tr>
      <w:tr w14:paraId="0DDB5584">
        <w:tblPrEx>
          <w:tblCellMar>
            <w:top w:w="0" w:type="dxa"/>
            <w:left w:w="108" w:type="dxa"/>
            <w:bottom w:w="0" w:type="dxa"/>
            <w:right w:w="108" w:type="dxa"/>
          </w:tblCellMar>
        </w:tblPrEx>
        <w:trPr>
          <w:trHeight w:val="1152" w:hRule="atLeast"/>
          <w:jc w:val="center"/>
        </w:trPr>
        <w:tc>
          <w:tcPr>
            <w:tcW w:w="15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76EB3">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33EFA595">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接驳效率分析</w:t>
            </w:r>
          </w:p>
        </w:tc>
        <w:tc>
          <w:tcPr>
            <w:tcW w:w="4688" w:type="dxa"/>
            <w:tcBorders>
              <w:top w:val="nil"/>
              <w:left w:val="nil"/>
              <w:bottom w:val="single" w:color="auto" w:sz="4" w:space="0"/>
              <w:right w:val="single" w:color="auto" w:sz="4" w:space="0"/>
            </w:tcBorders>
            <w:shd w:val="clear" w:color="auto" w:fill="auto"/>
            <w:vAlign w:val="center"/>
          </w:tcPr>
          <w:p w14:paraId="74337929">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分析地铁100米范围内公交的接驳率，直观反映两种交通方式的接驳便捷程度。通过分析接驳率数据，找出接驳薄弱区域。</w:t>
            </w:r>
          </w:p>
        </w:tc>
      </w:tr>
      <w:tr w14:paraId="0C382BDF">
        <w:tblPrEx>
          <w:tblCellMar>
            <w:top w:w="0" w:type="dxa"/>
            <w:left w:w="108" w:type="dxa"/>
            <w:bottom w:w="0" w:type="dxa"/>
            <w:right w:w="108" w:type="dxa"/>
          </w:tblCellMar>
        </w:tblPrEx>
        <w:trPr>
          <w:trHeight w:val="1440" w:hRule="atLeast"/>
          <w:jc w:val="center"/>
        </w:trPr>
        <w:tc>
          <w:tcPr>
            <w:tcW w:w="15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58A5C">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4A49933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运力客流监测</w:t>
            </w:r>
          </w:p>
        </w:tc>
        <w:tc>
          <w:tcPr>
            <w:tcW w:w="4688" w:type="dxa"/>
            <w:tcBorders>
              <w:top w:val="nil"/>
              <w:left w:val="nil"/>
              <w:bottom w:val="single" w:color="auto" w:sz="4" w:space="0"/>
              <w:right w:val="single" w:color="auto" w:sz="4" w:space="0"/>
            </w:tcBorders>
            <w:shd w:val="clear" w:color="auto" w:fill="auto"/>
            <w:vAlign w:val="center"/>
          </w:tcPr>
          <w:p w14:paraId="1830FB51">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实时展示地铁、公交车运行状态，包括车辆位置、行驶速度等信息；呈现地铁站点进站、出站客流量及短时预测客流、公交车站客流量等直观客流分布情况。</w:t>
            </w:r>
          </w:p>
        </w:tc>
      </w:tr>
      <w:tr w14:paraId="2782F71E">
        <w:tblPrEx>
          <w:tblCellMar>
            <w:top w:w="0" w:type="dxa"/>
            <w:left w:w="108" w:type="dxa"/>
            <w:bottom w:w="0" w:type="dxa"/>
            <w:right w:w="108" w:type="dxa"/>
          </w:tblCellMar>
        </w:tblPrEx>
        <w:trPr>
          <w:trHeight w:val="576" w:hRule="atLeast"/>
          <w:jc w:val="center"/>
        </w:trPr>
        <w:tc>
          <w:tcPr>
            <w:tcW w:w="1539" w:type="dxa"/>
            <w:vMerge w:val="restart"/>
            <w:tcBorders>
              <w:top w:val="nil"/>
              <w:left w:val="single" w:color="auto" w:sz="4" w:space="0"/>
              <w:bottom w:val="single" w:color="auto" w:sz="4" w:space="0"/>
              <w:right w:val="single" w:color="auto" w:sz="4" w:space="0"/>
            </w:tcBorders>
            <w:shd w:val="clear" w:color="auto" w:fill="auto"/>
            <w:noWrap/>
            <w:vAlign w:val="center"/>
          </w:tcPr>
          <w:p w14:paraId="41A3BF2C">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应急接驳预案</w:t>
            </w:r>
          </w:p>
        </w:tc>
        <w:tc>
          <w:tcPr>
            <w:tcW w:w="1990" w:type="dxa"/>
            <w:tcBorders>
              <w:top w:val="nil"/>
              <w:left w:val="nil"/>
              <w:bottom w:val="single" w:color="auto" w:sz="4" w:space="0"/>
              <w:right w:val="single" w:color="auto" w:sz="4" w:space="0"/>
            </w:tcBorders>
            <w:shd w:val="clear" w:color="auto" w:fill="auto"/>
            <w:noWrap/>
            <w:vAlign w:val="center"/>
          </w:tcPr>
          <w:p w14:paraId="6639C65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应急事件管理</w:t>
            </w:r>
          </w:p>
        </w:tc>
        <w:tc>
          <w:tcPr>
            <w:tcW w:w="4688" w:type="dxa"/>
            <w:tcBorders>
              <w:top w:val="nil"/>
              <w:left w:val="nil"/>
              <w:bottom w:val="single" w:color="auto" w:sz="4" w:space="0"/>
              <w:right w:val="single" w:color="auto" w:sz="4" w:space="0"/>
            </w:tcBorders>
            <w:shd w:val="clear" w:color="auto" w:fill="auto"/>
            <w:vAlign w:val="center"/>
          </w:tcPr>
          <w:p w14:paraId="157FED93">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建立完善的应急事件分类分级标准，对应急事件进行统一管理，包括地铁故障停运、瞬时大客流预警。</w:t>
            </w:r>
          </w:p>
        </w:tc>
      </w:tr>
      <w:tr w14:paraId="3404EE85">
        <w:tblPrEx>
          <w:tblCellMar>
            <w:top w:w="0" w:type="dxa"/>
            <w:left w:w="108" w:type="dxa"/>
            <w:bottom w:w="0" w:type="dxa"/>
            <w:right w:w="108" w:type="dxa"/>
          </w:tblCellMar>
        </w:tblPrEx>
        <w:trPr>
          <w:trHeight w:val="1440" w:hRule="atLeast"/>
          <w:jc w:val="center"/>
        </w:trPr>
        <w:tc>
          <w:tcPr>
            <w:tcW w:w="1539" w:type="dxa"/>
            <w:vMerge w:val="continue"/>
            <w:tcBorders>
              <w:top w:val="nil"/>
              <w:left w:val="single" w:color="auto" w:sz="4" w:space="0"/>
              <w:bottom w:val="single" w:color="auto" w:sz="4" w:space="0"/>
              <w:right w:val="single" w:color="auto" w:sz="4" w:space="0"/>
            </w:tcBorders>
            <w:shd w:val="clear" w:color="auto" w:fill="auto"/>
            <w:vAlign w:val="center"/>
          </w:tcPr>
          <w:p w14:paraId="2BFD7425">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61034175">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运力调配策略</w:t>
            </w:r>
          </w:p>
        </w:tc>
        <w:tc>
          <w:tcPr>
            <w:tcW w:w="4688" w:type="dxa"/>
            <w:tcBorders>
              <w:top w:val="nil"/>
              <w:left w:val="nil"/>
              <w:bottom w:val="single" w:color="auto" w:sz="4" w:space="0"/>
              <w:right w:val="single" w:color="auto" w:sz="4" w:space="0"/>
            </w:tcBorders>
            <w:shd w:val="clear" w:color="auto" w:fill="auto"/>
            <w:vAlign w:val="center"/>
          </w:tcPr>
          <w:p w14:paraId="1D8145E4">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制定科学合理的应急运力调配方案，明确各公交分公司应急备用车辆的储备数量、停放位置及调用流程说明。</w:t>
            </w:r>
          </w:p>
        </w:tc>
      </w:tr>
      <w:tr w14:paraId="34ED7211">
        <w:tblPrEx>
          <w:tblCellMar>
            <w:top w:w="0" w:type="dxa"/>
            <w:left w:w="108" w:type="dxa"/>
            <w:bottom w:w="0" w:type="dxa"/>
            <w:right w:w="108" w:type="dxa"/>
          </w:tblCellMar>
        </w:tblPrEx>
        <w:trPr>
          <w:trHeight w:val="1394" w:hRule="atLeast"/>
          <w:jc w:val="center"/>
        </w:trPr>
        <w:tc>
          <w:tcPr>
            <w:tcW w:w="1539" w:type="dxa"/>
            <w:vMerge w:val="continue"/>
            <w:tcBorders>
              <w:top w:val="nil"/>
              <w:left w:val="single" w:color="auto" w:sz="4" w:space="0"/>
              <w:bottom w:val="single" w:color="auto" w:sz="4" w:space="0"/>
              <w:right w:val="single" w:color="auto" w:sz="4" w:space="0"/>
            </w:tcBorders>
            <w:shd w:val="clear" w:color="auto" w:fill="auto"/>
            <w:vAlign w:val="center"/>
          </w:tcPr>
          <w:p w14:paraId="3A229D76">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79EAD070">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接驳线路规划</w:t>
            </w:r>
          </w:p>
        </w:tc>
        <w:tc>
          <w:tcPr>
            <w:tcW w:w="4688" w:type="dxa"/>
            <w:tcBorders>
              <w:top w:val="nil"/>
              <w:left w:val="nil"/>
              <w:bottom w:val="single" w:color="auto" w:sz="4" w:space="0"/>
              <w:right w:val="single" w:color="auto" w:sz="4" w:space="0"/>
            </w:tcBorders>
            <w:shd w:val="clear" w:color="auto" w:fill="auto"/>
            <w:vAlign w:val="center"/>
          </w:tcPr>
          <w:p w14:paraId="33ABB355">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针对不同类型的应急事件，提前规划多种应急接驳线路方案，系统支持创建接驳线路，快速规划行驶路线。</w:t>
            </w:r>
          </w:p>
        </w:tc>
      </w:tr>
      <w:tr w14:paraId="66CDEAD3">
        <w:tblPrEx>
          <w:tblCellMar>
            <w:top w:w="0" w:type="dxa"/>
            <w:left w:w="108" w:type="dxa"/>
            <w:bottom w:w="0" w:type="dxa"/>
            <w:right w:w="108" w:type="dxa"/>
          </w:tblCellMar>
        </w:tblPrEx>
        <w:trPr>
          <w:trHeight w:val="864" w:hRule="atLeast"/>
          <w:jc w:val="center"/>
        </w:trPr>
        <w:tc>
          <w:tcPr>
            <w:tcW w:w="1539" w:type="dxa"/>
            <w:vMerge w:val="continue"/>
            <w:tcBorders>
              <w:top w:val="nil"/>
              <w:left w:val="single" w:color="auto" w:sz="4" w:space="0"/>
              <w:bottom w:val="single" w:color="auto" w:sz="4" w:space="0"/>
              <w:right w:val="single" w:color="auto" w:sz="4" w:space="0"/>
            </w:tcBorders>
            <w:shd w:val="clear" w:color="auto" w:fill="auto"/>
            <w:vAlign w:val="center"/>
          </w:tcPr>
          <w:p w14:paraId="179C7292">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0F748CB6">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乘客推送方案</w:t>
            </w:r>
          </w:p>
        </w:tc>
        <w:tc>
          <w:tcPr>
            <w:tcW w:w="4688" w:type="dxa"/>
            <w:tcBorders>
              <w:top w:val="nil"/>
              <w:left w:val="nil"/>
              <w:bottom w:val="single" w:color="auto" w:sz="4" w:space="0"/>
              <w:right w:val="single" w:color="auto" w:sz="4" w:space="0"/>
            </w:tcBorders>
            <w:shd w:val="clear" w:color="auto" w:fill="auto"/>
            <w:vAlign w:val="center"/>
          </w:tcPr>
          <w:p w14:paraId="546CF73C">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建立多渠道的乘客信息推送机制，支持推送到乘客出行APP、公交站台、地铁系统等，及时向乘客发布应急接驳信息，包括接驳线路、发车时间、停靠站点等内容，引导乘客有序疏散。</w:t>
            </w:r>
          </w:p>
        </w:tc>
      </w:tr>
      <w:tr w14:paraId="1CF4D329">
        <w:tblPrEx>
          <w:tblCellMar>
            <w:top w:w="0" w:type="dxa"/>
            <w:left w:w="108" w:type="dxa"/>
            <w:bottom w:w="0" w:type="dxa"/>
            <w:right w:w="108" w:type="dxa"/>
          </w:tblCellMar>
        </w:tblPrEx>
        <w:trPr>
          <w:trHeight w:val="864" w:hRule="atLeast"/>
          <w:jc w:val="center"/>
        </w:trPr>
        <w:tc>
          <w:tcPr>
            <w:tcW w:w="1539" w:type="dxa"/>
            <w:vMerge w:val="continue"/>
            <w:tcBorders>
              <w:top w:val="nil"/>
              <w:left w:val="single" w:color="auto" w:sz="4" w:space="0"/>
              <w:bottom w:val="single" w:color="auto" w:sz="4" w:space="0"/>
              <w:right w:val="single" w:color="auto" w:sz="4" w:space="0"/>
            </w:tcBorders>
            <w:shd w:val="clear" w:color="auto" w:fill="auto"/>
            <w:vAlign w:val="center"/>
          </w:tcPr>
          <w:p w14:paraId="0C07DE1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52402F6F">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应急小组推送</w:t>
            </w:r>
          </w:p>
        </w:tc>
        <w:tc>
          <w:tcPr>
            <w:tcW w:w="4688" w:type="dxa"/>
            <w:tcBorders>
              <w:top w:val="nil"/>
              <w:left w:val="nil"/>
              <w:bottom w:val="single" w:color="auto" w:sz="4" w:space="0"/>
              <w:right w:val="single" w:color="auto" w:sz="4" w:space="0"/>
            </w:tcBorders>
            <w:shd w:val="clear" w:color="auto" w:fill="auto"/>
            <w:vAlign w:val="center"/>
          </w:tcPr>
          <w:p w14:paraId="27A71236">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明确应急指挥小组各层级人员的职责和权限，建立应急小组名册，建立层级分明的信息推送机制。当应急事件发生时，系统自动将事件信息、应急处置方案等内容按照层级顺序推送至相关人员，确保信息快速、准确传递。</w:t>
            </w:r>
          </w:p>
        </w:tc>
      </w:tr>
      <w:tr w14:paraId="5C573B35">
        <w:tblPrEx>
          <w:tblCellMar>
            <w:top w:w="0" w:type="dxa"/>
            <w:left w:w="108" w:type="dxa"/>
            <w:bottom w:w="0" w:type="dxa"/>
            <w:right w:w="108" w:type="dxa"/>
          </w:tblCellMar>
        </w:tblPrEx>
        <w:trPr>
          <w:trHeight w:val="1152" w:hRule="atLeast"/>
          <w:jc w:val="center"/>
        </w:trPr>
        <w:tc>
          <w:tcPr>
            <w:tcW w:w="1539" w:type="dxa"/>
            <w:vMerge w:val="restart"/>
            <w:tcBorders>
              <w:top w:val="nil"/>
              <w:left w:val="single" w:color="auto" w:sz="4" w:space="0"/>
              <w:bottom w:val="single" w:color="auto" w:sz="4" w:space="0"/>
              <w:right w:val="single" w:color="auto" w:sz="4" w:space="0"/>
            </w:tcBorders>
            <w:shd w:val="clear" w:color="auto" w:fill="auto"/>
            <w:noWrap/>
            <w:vAlign w:val="center"/>
          </w:tcPr>
          <w:p w14:paraId="6B0CE0D6">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应急接驳调度</w:t>
            </w:r>
          </w:p>
        </w:tc>
        <w:tc>
          <w:tcPr>
            <w:tcW w:w="1990" w:type="dxa"/>
            <w:tcBorders>
              <w:top w:val="nil"/>
              <w:left w:val="nil"/>
              <w:bottom w:val="single" w:color="auto" w:sz="4" w:space="0"/>
              <w:right w:val="single" w:color="auto" w:sz="4" w:space="0"/>
            </w:tcBorders>
            <w:shd w:val="clear" w:color="auto" w:fill="auto"/>
            <w:noWrap/>
            <w:vAlign w:val="center"/>
          </w:tcPr>
          <w:p w14:paraId="2022B957">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应急接驳启动</w:t>
            </w:r>
          </w:p>
        </w:tc>
        <w:tc>
          <w:tcPr>
            <w:tcW w:w="4688" w:type="dxa"/>
            <w:tcBorders>
              <w:top w:val="nil"/>
              <w:left w:val="nil"/>
              <w:bottom w:val="single" w:color="auto" w:sz="4" w:space="0"/>
              <w:right w:val="single" w:color="auto" w:sz="4" w:space="0"/>
            </w:tcBorders>
            <w:shd w:val="clear" w:color="auto" w:fill="auto"/>
            <w:vAlign w:val="center"/>
          </w:tcPr>
          <w:p w14:paraId="74CDB095">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当收到地铁建设方提供的地铁故障停运、瞬时大客流应急事件后，公交应急指挥中心迅速对事件进行评估，确定事件类型和等级，启动相应级别的应急响应程序。根据应急运力调配方案和接驳线路规划，灵活调配，并与地铁系统实时联动应急消息，确保公交运力能够精准覆盖地铁客流集散点。</w:t>
            </w:r>
          </w:p>
        </w:tc>
      </w:tr>
      <w:tr w14:paraId="20EC0360">
        <w:tblPrEx>
          <w:tblCellMar>
            <w:top w:w="0" w:type="dxa"/>
            <w:left w:w="108" w:type="dxa"/>
            <w:bottom w:w="0" w:type="dxa"/>
            <w:right w:w="108" w:type="dxa"/>
          </w:tblCellMar>
        </w:tblPrEx>
        <w:trPr>
          <w:trHeight w:val="864" w:hRule="atLeast"/>
          <w:jc w:val="center"/>
        </w:trPr>
        <w:tc>
          <w:tcPr>
            <w:tcW w:w="1539" w:type="dxa"/>
            <w:vMerge w:val="continue"/>
            <w:tcBorders>
              <w:top w:val="nil"/>
              <w:left w:val="single" w:color="auto" w:sz="4" w:space="0"/>
              <w:bottom w:val="single" w:color="auto" w:sz="4" w:space="0"/>
              <w:right w:val="single" w:color="auto" w:sz="4" w:space="0"/>
            </w:tcBorders>
            <w:shd w:val="clear" w:color="auto" w:fill="auto"/>
            <w:vAlign w:val="center"/>
          </w:tcPr>
          <w:p w14:paraId="110FF9A9">
            <w:pPr>
              <w:widowControl w:val="0"/>
              <w:spacing w:line="360" w:lineRule="auto"/>
              <w:ind w:firstLine="0" w:firstLineChars="0"/>
              <w:jc w:val="left"/>
              <w:rPr>
                <w:rFonts w:hint="eastAsia" w:ascii="宋体" w:hAnsi="宋体" w:eastAsia="宋体" w:cs="Times New Roman"/>
                <w:kern w:val="2"/>
                <w:sz w:val="21"/>
                <w:szCs w:val="21"/>
                <w:lang w:val="en-US" w:eastAsia="zh-CN" w:bidi="ar-SA"/>
              </w:rPr>
            </w:pPr>
          </w:p>
        </w:tc>
        <w:tc>
          <w:tcPr>
            <w:tcW w:w="1990" w:type="dxa"/>
            <w:tcBorders>
              <w:top w:val="nil"/>
              <w:left w:val="nil"/>
              <w:bottom w:val="single" w:color="auto" w:sz="4" w:space="0"/>
              <w:right w:val="single" w:color="auto" w:sz="4" w:space="0"/>
            </w:tcBorders>
            <w:shd w:val="clear" w:color="auto" w:fill="auto"/>
            <w:noWrap/>
            <w:vAlign w:val="center"/>
          </w:tcPr>
          <w:p w14:paraId="27B62F4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应急接驳监测</w:t>
            </w:r>
          </w:p>
        </w:tc>
        <w:tc>
          <w:tcPr>
            <w:tcW w:w="4688" w:type="dxa"/>
            <w:tcBorders>
              <w:top w:val="nil"/>
              <w:left w:val="nil"/>
              <w:bottom w:val="single" w:color="auto" w:sz="4" w:space="0"/>
              <w:right w:val="single" w:color="auto" w:sz="4" w:space="0"/>
            </w:tcBorders>
            <w:shd w:val="clear" w:color="auto" w:fill="auto"/>
            <w:vAlign w:val="center"/>
          </w:tcPr>
          <w:p w14:paraId="24B82515">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立应急接驳调度执行情况实时监测系统，实时掌握应急接驳车辆的运行位置、行驶速度等信息。同时，对应急接驳地铁站的客流疏散情况进行实时监控，以便指挥小组根据实际情况调整调度方案，确保应急接驳工作顺利完成。</w:t>
            </w:r>
          </w:p>
        </w:tc>
      </w:tr>
    </w:tbl>
    <w:p w14:paraId="69EA5027">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车辆运行监控与分析模块</w:t>
      </w:r>
    </w:p>
    <w:p w14:paraId="3ABA151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以 “实时性、可视化、智能化” 为核心，不仅实现车辆位置的动态展示，更要通过数据融合与分析辅助决策，提升公交运营效率与安全性。</w:t>
      </w:r>
    </w:p>
    <w:tbl>
      <w:tblPr>
        <w:tblStyle w:val="90"/>
        <w:tblW w:w="8359" w:type="dxa"/>
        <w:jc w:val="center"/>
        <w:tblLayout w:type="fixed"/>
        <w:tblCellMar>
          <w:top w:w="0" w:type="dxa"/>
          <w:left w:w="108" w:type="dxa"/>
          <w:bottom w:w="0" w:type="dxa"/>
          <w:right w:w="108" w:type="dxa"/>
        </w:tblCellMar>
      </w:tblPr>
      <w:tblGrid>
        <w:gridCol w:w="1700"/>
        <w:gridCol w:w="1840"/>
        <w:gridCol w:w="4819"/>
      </w:tblGrid>
      <w:tr w14:paraId="50AD0280">
        <w:tblPrEx>
          <w:tblCellMar>
            <w:top w:w="0" w:type="dxa"/>
            <w:left w:w="108" w:type="dxa"/>
            <w:bottom w:w="0" w:type="dxa"/>
            <w:right w:w="108" w:type="dxa"/>
          </w:tblCellMar>
        </w:tblPrEx>
        <w:trPr>
          <w:trHeight w:val="660" w:hRule="atLeast"/>
          <w:tblHeader/>
          <w:jc w:val="center"/>
        </w:trPr>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518BD">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一级功能</w:t>
            </w:r>
          </w:p>
        </w:tc>
        <w:tc>
          <w:tcPr>
            <w:tcW w:w="1840" w:type="dxa"/>
            <w:tcBorders>
              <w:top w:val="single" w:color="auto" w:sz="4" w:space="0"/>
              <w:left w:val="nil"/>
              <w:bottom w:val="single" w:color="auto" w:sz="4" w:space="0"/>
              <w:right w:val="single" w:color="auto" w:sz="4" w:space="0"/>
            </w:tcBorders>
            <w:shd w:val="clear" w:color="auto" w:fill="auto"/>
            <w:vAlign w:val="center"/>
          </w:tcPr>
          <w:p w14:paraId="1074C13D">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二级功能</w:t>
            </w:r>
          </w:p>
        </w:tc>
        <w:tc>
          <w:tcPr>
            <w:tcW w:w="4819" w:type="dxa"/>
            <w:tcBorders>
              <w:top w:val="single" w:color="auto" w:sz="4" w:space="0"/>
              <w:left w:val="nil"/>
              <w:bottom w:val="single" w:color="auto" w:sz="4" w:space="0"/>
              <w:right w:val="single" w:color="auto" w:sz="4" w:space="0"/>
            </w:tcBorders>
            <w:shd w:val="clear" w:color="auto" w:fill="auto"/>
            <w:vAlign w:val="center"/>
          </w:tcPr>
          <w:p w14:paraId="7092EDD3">
            <w:pPr>
              <w:widowControl w:val="0"/>
              <w:spacing w:line="360" w:lineRule="auto"/>
              <w:ind w:firstLine="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功能描述</w:t>
            </w:r>
          </w:p>
        </w:tc>
      </w:tr>
      <w:tr w14:paraId="7BA5B6D6">
        <w:tblPrEx>
          <w:tblCellMar>
            <w:top w:w="0" w:type="dxa"/>
            <w:left w:w="108" w:type="dxa"/>
            <w:bottom w:w="0" w:type="dxa"/>
            <w:right w:w="108" w:type="dxa"/>
          </w:tblCellMar>
        </w:tblPrEx>
        <w:trPr>
          <w:trHeight w:val="1116" w:hRule="atLeast"/>
          <w:jc w:val="center"/>
        </w:trPr>
        <w:tc>
          <w:tcPr>
            <w:tcW w:w="1700" w:type="dxa"/>
            <w:vMerge w:val="restart"/>
            <w:tcBorders>
              <w:top w:val="nil"/>
              <w:left w:val="single" w:color="auto" w:sz="4" w:space="0"/>
              <w:bottom w:val="single" w:color="auto" w:sz="4" w:space="0"/>
              <w:right w:val="single" w:color="auto" w:sz="4" w:space="0"/>
            </w:tcBorders>
            <w:shd w:val="clear" w:color="auto" w:fill="auto"/>
            <w:noWrap/>
            <w:vAlign w:val="center"/>
          </w:tcPr>
          <w:p w14:paraId="4A3A8002">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车辆监控</w:t>
            </w:r>
          </w:p>
        </w:tc>
        <w:tc>
          <w:tcPr>
            <w:tcW w:w="1840" w:type="dxa"/>
            <w:tcBorders>
              <w:top w:val="nil"/>
              <w:left w:val="nil"/>
              <w:bottom w:val="single" w:color="auto" w:sz="4" w:space="0"/>
              <w:right w:val="single" w:color="auto" w:sz="4" w:space="0"/>
            </w:tcBorders>
            <w:shd w:val="clear" w:color="auto" w:fill="auto"/>
            <w:noWrap/>
            <w:vAlign w:val="center"/>
          </w:tcPr>
          <w:p w14:paraId="548DBCFF">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地图监控</w:t>
            </w:r>
          </w:p>
        </w:tc>
        <w:tc>
          <w:tcPr>
            <w:tcW w:w="4819" w:type="dxa"/>
            <w:tcBorders>
              <w:top w:val="nil"/>
              <w:left w:val="nil"/>
              <w:bottom w:val="single" w:color="auto" w:sz="4" w:space="0"/>
              <w:right w:val="single" w:color="auto" w:sz="4" w:space="0"/>
            </w:tcBorders>
            <w:shd w:val="clear" w:color="auto" w:fill="auto"/>
            <w:vAlign w:val="center"/>
          </w:tcPr>
          <w:p w14:paraId="701512D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支持在地图上实时查看所有公交车的位置、车牌号。并支持按单车、线路、车队、分公司进行车辆筛选，可查看车辆详细信息，显示内容包括但不限于车辆基础档案、车辆实时数据、车辆定位数据、轨迹回放、当日车辆告警数据以及CAN总线相关数据。</w:t>
            </w:r>
          </w:p>
        </w:tc>
      </w:tr>
      <w:tr w14:paraId="237B2C58">
        <w:tblPrEx>
          <w:tblCellMar>
            <w:top w:w="0" w:type="dxa"/>
            <w:left w:w="108" w:type="dxa"/>
            <w:bottom w:w="0" w:type="dxa"/>
            <w:right w:w="108" w:type="dxa"/>
          </w:tblCellMar>
        </w:tblPrEx>
        <w:trPr>
          <w:trHeight w:val="1104" w:hRule="atLeast"/>
          <w:jc w:val="center"/>
        </w:trPr>
        <w:tc>
          <w:tcPr>
            <w:tcW w:w="1700" w:type="dxa"/>
            <w:vMerge w:val="continue"/>
            <w:tcBorders>
              <w:top w:val="nil"/>
              <w:left w:val="single" w:color="auto" w:sz="4" w:space="0"/>
              <w:bottom w:val="single" w:color="auto" w:sz="4" w:space="0"/>
              <w:right w:val="single" w:color="auto" w:sz="4" w:space="0"/>
            </w:tcBorders>
            <w:shd w:val="clear" w:color="auto" w:fill="auto"/>
            <w:vAlign w:val="center"/>
          </w:tcPr>
          <w:p w14:paraId="18AF2402">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5B541B6C">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单车监控</w:t>
            </w:r>
          </w:p>
        </w:tc>
        <w:tc>
          <w:tcPr>
            <w:tcW w:w="4819" w:type="dxa"/>
            <w:tcBorders>
              <w:top w:val="nil"/>
              <w:left w:val="nil"/>
              <w:bottom w:val="single" w:color="auto" w:sz="4" w:space="0"/>
              <w:right w:val="single" w:color="auto" w:sz="4" w:space="0"/>
            </w:tcBorders>
            <w:shd w:val="clear" w:color="auto" w:fill="auto"/>
            <w:vAlign w:val="center"/>
          </w:tcPr>
          <w:p w14:paraId="607C0D18">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支持展示整车数据、驱动电机数据、燃料电池数据、发动机数据、车辆位置数据、极值数据、报警数据、动力蓄电池包温度数据、可充电储能装置电压数据、可充电储能装置温度数据等数据信息实时变化的情况。</w:t>
            </w:r>
          </w:p>
        </w:tc>
      </w:tr>
      <w:tr w14:paraId="2B5DBF6A">
        <w:tblPrEx>
          <w:tblCellMar>
            <w:top w:w="0" w:type="dxa"/>
            <w:left w:w="108" w:type="dxa"/>
            <w:bottom w:w="0" w:type="dxa"/>
            <w:right w:w="108" w:type="dxa"/>
          </w:tblCellMar>
        </w:tblPrEx>
        <w:trPr>
          <w:trHeight w:val="756" w:hRule="atLeast"/>
          <w:jc w:val="center"/>
        </w:trPr>
        <w:tc>
          <w:tcPr>
            <w:tcW w:w="1700" w:type="dxa"/>
            <w:vMerge w:val="continue"/>
            <w:tcBorders>
              <w:top w:val="nil"/>
              <w:left w:val="single" w:color="auto" w:sz="4" w:space="0"/>
              <w:bottom w:val="single" w:color="auto" w:sz="4" w:space="0"/>
              <w:right w:val="single" w:color="auto" w:sz="4" w:space="0"/>
            </w:tcBorders>
            <w:shd w:val="clear" w:color="auto" w:fill="auto"/>
            <w:vAlign w:val="center"/>
          </w:tcPr>
          <w:p w14:paraId="442B1D08">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42AD6E5E">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车辆状态</w:t>
            </w:r>
          </w:p>
        </w:tc>
        <w:tc>
          <w:tcPr>
            <w:tcW w:w="4819" w:type="dxa"/>
            <w:tcBorders>
              <w:top w:val="nil"/>
              <w:left w:val="nil"/>
              <w:bottom w:val="single" w:color="auto" w:sz="4" w:space="0"/>
              <w:right w:val="single" w:color="auto" w:sz="4" w:space="0"/>
            </w:tcBorders>
            <w:shd w:val="clear" w:color="auto" w:fill="auto"/>
            <w:vAlign w:val="center"/>
          </w:tcPr>
          <w:p w14:paraId="1CB7B73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支持查看车牌号、定位信息、在线状态、车辆状态、终端状态，支持弹窗查询应车辆的仪表盘数据、故障告警数据、上线记录。</w:t>
            </w:r>
          </w:p>
        </w:tc>
      </w:tr>
      <w:tr w14:paraId="77337A54">
        <w:tblPrEx>
          <w:tblCellMar>
            <w:top w:w="0" w:type="dxa"/>
            <w:left w:w="108" w:type="dxa"/>
            <w:bottom w:w="0" w:type="dxa"/>
            <w:right w:w="108" w:type="dxa"/>
          </w:tblCellMar>
        </w:tblPrEx>
        <w:trPr>
          <w:trHeight w:val="672" w:hRule="atLeast"/>
          <w:jc w:val="center"/>
        </w:trPr>
        <w:tc>
          <w:tcPr>
            <w:tcW w:w="1700" w:type="dxa"/>
            <w:vMerge w:val="restart"/>
            <w:tcBorders>
              <w:top w:val="nil"/>
              <w:left w:val="single" w:color="auto" w:sz="4" w:space="0"/>
              <w:bottom w:val="single" w:color="auto" w:sz="4" w:space="0"/>
              <w:right w:val="single" w:color="auto" w:sz="4" w:space="0"/>
            </w:tcBorders>
            <w:shd w:val="clear" w:color="auto" w:fill="auto"/>
            <w:noWrap/>
            <w:vAlign w:val="center"/>
          </w:tcPr>
          <w:p w14:paraId="2C2120CB">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故障告警</w:t>
            </w:r>
          </w:p>
        </w:tc>
        <w:tc>
          <w:tcPr>
            <w:tcW w:w="1840" w:type="dxa"/>
            <w:tcBorders>
              <w:top w:val="nil"/>
              <w:left w:val="nil"/>
              <w:bottom w:val="single" w:color="auto" w:sz="4" w:space="0"/>
              <w:right w:val="single" w:color="auto" w:sz="4" w:space="0"/>
            </w:tcBorders>
            <w:shd w:val="clear" w:color="auto" w:fill="auto"/>
            <w:noWrap/>
            <w:vAlign w:val="center"/>
          </w:tcPr>
          <w:p w14:paraId="705CACC4">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故障明细</w:t>
            </w:r>
          </w:p>
        </w:tc>
        <w:tc>
          <w:tcPr>
            <w:tcW w:w="4819" w:type="dxa"/>
            <w:tcBorders>
              <w:top w:val="nil"/>
              <w:left w:val="nil"/>
              <w:bottom w:val="single" w:color="auto" w:sz="4" w:space="0"/>
              <w:right w:val="single" w:color="auto" w:sz="4" w:space="0"/>
            </w:tcBorders>
            <w:shd w:val="clear" w:color="auto" w:fill="auto"/>
            <w:vAlign w:val="center"/>
          </w:tcPr>
          <w:p w14:paraId="2AF82DF8">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平台接收CAN总线故障代码并进行解析，故障明细可查看故障类型、故障等级等故障信息，支持进查询电池相关故障告警记录；</w:t>
            </w:r>
          </w:p>
        </w:tc>
      </w:tr>
      <w:tr w14:paraId="6BB5A4F4">
        <w:tblPrEx>
          <w:tblCellMar>
            <w:top w:w="0" w:type="dxa"/>
            <w:left w:w="108" w:type="dxa"/>
            <w:bottom w:w="0" w:type="dxa"/>
            <w:right w:w="108" w:type="dxa"/>
          </w:tblCellMar>
        </w:tblPrEx>
        <w:trPr>
          <w:trHeight w:val="840" w:hRule="atLeast"/>
          <w:jc w:val="center"/>
        </w:trPr>
        <w:tc>
          <w:tcPr>
            <w:tcW w:w="1700" w:type="dxa"/>
            <w:vMerge w:val="continue"/>
            <w:tcBorders>
              <w:top w:val="nil"/>
              <w:left w:val="single" w:color="auto" w:sz="4" w:space="0"/>
              <w:bottom w:val="single" w:color="auto" w:sz="4" w:space="0"/>
              <w:right w:val="single" w:color="auto" w:sz="4" w:space="0"/>
            </w:tcBorders>
            <w:shd w:val="clear" w:color="auto" w:fill="auto"/>
            <w:vAlign w:val="center"/>
          </w:tcPr>
          <w:p w14:paraId="7307A644">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0B7E6EB9">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维修手册</w:t>
            </w:r>
          </w:p>
        </w:tc>
        <w:tc>
          <w:tcPr>
            <w:tcW w:w="4819" w:type="dxa"/>
            <w:tcBorders>
              <w:top w:val="nil"/>
              <w:left w:val="nil"/>
              <w:bottom w:val="single" w:color="auto" w:sz="4" w:space="0"/>
              <w:right w:val="single" w:color="auto" w:sz="4" w:space="0"/>
            </w:tcBorders>
            <w:shd w:val="clear" w:color="auto" w:fill="auto"/>
            <w:vAlign w:val="center"/>
          </w:tcPr>
          <w:p w14:paraId="24AA52A0">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利用车辆故障维修手册作为参考，可以迅速查询故障报警详细的故障诊断流程和解决方案，便于司机或维修人员快速的进行初步故障排查和处理。</w:t>
            </w:r>
          </w:p>
        </w:tc>
      </w:tr>
      <w:tr w14:paraId="442175D8">
        <w:tblPrEx>
          <w:tblCellMar>
            <w:top w:w="0" w:type="dxa"/>
            <w:left w:w="108" w:type="dxa"/>
            <w:bottom w:w="0" w:type="dxa"/>
            <w:right w:w="108" w:type="dxa"/>
          </w:tblCellMar>
        </w:tblPrEx>
        <w:trPr>
          <w:trHeight w:val="420" w:hRule="atLeast"/>
          <w:jc w:val="center"/>
        </w:trPr>
        <w:tc>
          <w:tcPr>
            <w:tcW w:w="1700" w:type="dxa"/>
            <w:vMerge w:val="continue"/>
            <w:tcBorders>
              <w:top w:val="nil"/>
              <w:left w:val="single" w:color="auto" w:sz="4" w:space="0"/>
              <w:bottom w:val="single" w:color="auto" w:sz="4" w:space="0"/>
              <w:right w:val="single" w:color="auto" w:sz="4" w:space="0"/>
            </w:tcBorders>
            <w:shd w:val="clear" w:color="auto" w:fill="auto"/>
            <w:vAlign w:val="center"/>
          </w:tcPr>
          <w:p w14:paraId="195EA631">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048B5AC1">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故障预警</w:t>
            </w:r>
          </w:p>
        </w:tc>
        <w:tc>
          <w:tcPr>
            <w:tcW w:w="4819" w:type="dxa"/>
            <w:tcBorders>
              <w:top w:val="nil"/>
              <w:left w:val="nil"/>
              <w:bottom w:val="single" w:color="auto" w:sz="4" w:space="0"/>
              <w:right w:val="single" w:color="auto" w:sz="4" w:space="0"/>
            </w:tcBorders>
            <w:shd w:val="clear" w:color="auto" w:fill="auto"/>
            <w:vAlign w:val="center"/>
          </w:tcPr>
          <w:p w14:paraId="75267B0E">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1、分级预警体系；2告警事件回溯；3、紧急故障联动。</w:t>
            </w:r>
          </w:p>
        </w:tc>
      </w:tr>
      <w:tr w14:paraId="32B9101F">
        <w:tblPrEx>
          <w:tblCellMar>
            <w:top w:w="0" w:type="dxa"/>
            <w:left w:w="108" w:type="dxa"/>
            <w:bottom w:w="0" w:type="dxa"/>
            <w:right w:w="108" w:type="dxa"/>
          </w:tblCellMar>
        </w:tblPrEx>
        <w:trPr>
          <w:trHeight w:val="852" w:hRule="atLeast"/>
          <w:jc w:val="center"/>
        </w:trPr>
        <w:tc>
          <w:tcPr>
            <w:tcW w:w="1700" w:type="dxa"/>
            <w:vMerge w:val="continue"/>
            <w:tcBorders>
              <w:top w:val="nil"/>
              <w:left w:val="single" w:color="auto" w:sz="4" w:space="0"/>
              <w:bottom w:val="single" w:color="auto" w:sz="4" w:space="0"/>
              <w:right w:val="single" w:color="auto" w:sz="4" w:space="0"/>
            </w:tcBorders>
            <w:shd w:val="clear" w:color="auto" w:fill="auto"/>
            <w:vAlign w:val="center"/>
          </w:tcPr>
          <w:p w14:paraId="21D3CA48">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2BD79C4B">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保修联动</w:t>
            </w:r>
          </w:p>
        </w:tc>
        <w:tc>
          <w:tcPr>
            <w:tcW w:w="4819" w:type="dxa"/>
            <w:tcBorders>
              <w:top w:val="nil"/>
              <w:left w:val="nil"/>
              <w:bottom w:val="single" w:color="auto" w:sz="4" w:space="0"/>
              <w:right w:val="single" w:color="auto" w:sz="4" w:space="0"/>
            </w:tcBorders>
            <w:shd w:val="clear" w:color="auto" w:fill="auto"/>
            <w:vAlign w:val="center"/>
          </w:tcPr>
          <w:p w14:paraId="7861DE01">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联动仓储维修平台，将车辆故障代码数据推送至仓储维修平台，管理员除了时间和里程两个维度数据外，可参考车辆故障明细、故障等级、故障次数指定保养计划制定的优先级，提升保养计划的合理性。故障告警直接生成车辆报修单，进入维修流程，故障报修页面可实时查看工单流转状态，直至工单结束。</w:t>
            </w:r>
          </w:p>
        </w:tc>
      </w:tr>
      <w:tr w14:paraId="78DD25D2">
        <w:tblPrEx>
          <w:tblCellMar>
            <w:top w:w="0" w:type="dxa"/>
            <w:left w:w="108" w:type="dxa"/>
            <w:bottom w:w="0" w:type="dxa"/>
            <w:right w:w="108" w:type="dxa"/>
          </w:tblCellMar>
        </w:tblPrEx>
        <w:trPr>
          <w:trHeight w:val="912" w:hRule="atLeast"/>
          <w:jc w:val="center"/>
        </w:trPr>
        <w:tc>
          <w:tcPr>
            <w:tcW w:w="1700" w:type="dxa"/>
            <w:vMerge w:val="restart"/>
            <w:tcBorders>
              <w:top w:val="nil"/>
              <w:left w:val="single" w:color="auto" w:sz="4" w:space="0"/>
              <w:bottom w:val="single" w:color="000000" w:sz="4" w:space="0"/>
              <w:right w:val="single" w:color="auto" w:sz="4" w:space="0"/>
            </w:tcBorders>
            <w:shd w:val="clear" w:color="auto" w:fill="auto"/>
            <w:noWrap/>
            <w:vAlign w:val="center"/>
          </w:tcPr>
          <w:p w14:paraId="77B99E25">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驾驶安全</w:t>
            </w:r>
          </w:p>
        </w:tc>
        <w:tc>
          <w:tcPr>
            <w:tcW w:w="1840" w:type="dxa"/>
            <w:tcBorders>
              <w:top w:val="nil"/>
              <w:left w:val="nil"/>
              <w:bottom w:val="single" w:color="auto" w:sz="4" w:space="0"/>
              <w:right w:val="single" w:color="auto" w:sz="4" w:space="0"/>
            </w:tcBorders>
            <w:shd w:val="clear" w:color="auto" w:fill="auto"/>
            <w:noWrap/>
            <w:vAlign w:val="center"/>
          </w:tcPr>
          <w:p w14:paraId="54CD80C2">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驾驶行为明细</w:t>
            </w:r>
          </w:p>
        </w:tc>
        <w:tc>
          <w:tcPr>
            <w:tcW w:w="4819" w:type="dxa"/>
            <w:tcBorders>
              <w:top w:val="nil"/>
              <w:left w:val="nil"/>
              <w:bottom w:val="single" w:color="auto" w:sz="4" w:space="0"/>
              <w:right w:val="single" w:color="auto" w:sz="4" w:space="0"/>
            </w:tcBorders>
            <w:shd w:val="clear" w:color="auto" w:fill="auto"/>
            <w:vAlign w:val="center"/>
          </w:tcPr>
          <w:p w14:paraId="6FEB0E0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通过CAN数据采集，实时掌握车辆运行数据，记录行驶中出现的急加速、急减速、怠速开关门、未系安全带等违规或高能耗驾驶行为，并对接ADAS/DSM相关平台的告警数据。</w:t>
            </w:r>
          </w:p>
        </w:tc>
      </w:tr>
      <w:tr w14:paraId="13CE5B50">
        <w:tblPrEx>
          <w:tblCellMar>
            <w:top w:w="0" w:type="dxa"/>
            <w:left w:w="108" w:type="dxa"/>
            <w:bottom w:w="0" w:type="dxa"/>
            <w:right w:w="108" w:type="dxa"/>
          </w:tblCellMar>
        </w:tblPrEx>
        <w:trPr>
          <w:trHeight w:val="600"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76B8B747">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6FAFB9DF">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驾驶行为统计</w:t>
            </w:r>
          </w:p>
        </w:tc>
        <w:tc>
          <w:tcPr>
            <w:tcW w:w="4819" w:type="dxa"/>
            <w:tcBorders>
              <w:top w:val="nil"/>
              <w:left w:val="nil"/>
              <w:bottom w:val="single" w:color="auto" w:sz="4" w:space="0"/>
              <w:right w:val="single" w:color="auto" w:sz="4" w:space="0"/>
            </w:tcBorders>
            <w:shd w:val="clear" w:color="auto" w:fill="auto"/>
            <w:vAlign w:val="center"/>
          </w:tcPr>
          <w:p w14:paraId="78218CA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以驾驶员和车辆为统计维度，对驾驶行为进行统计，支持查看对应的驾驶行为明细记录。</w:t>
            </w:r>
          </w:p>
        </w:tc>
      </w:tr>
      <w:tr w14:paraId="702B4557">
        <w:tblPrEx>
          <w:tblCellMar>
            <w:top w:w="0" w:type="dxa"/>
            <w:left w:w="108" w:type="dxa"/>
            <w:bottom w:w="0" w:type="dxa"/>
            <w:right w:w="108" w:type="dxa"/>
          </w:tblCellMar>
        </w:tblPrEx>
        <w:trPr>
          <w:trHeight w:val="420"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7F7557C3">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31D06827">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驾驶行为评分</w:t>
            </w:r>
          </w:p>
        </w:tc>
        <w:tc>
          <w:tcPr>
            <w:tcW w:w="4819" w:type="dxa"/>
            <w:tcBorders>
              <w:top w:val="nil"/>
              <w:left w:val="nil"/>
              <w:bottom w:val="single" w:color="auto" w:sz="4" w:space="0"/>
              <w:right w:val="single" w:color="auto" w:sz="4" w:space="0"/>
            </w:tcBorders>
            <w:shd w:val="clear" w:color="auto" w:fill="auto"/>
            <w:vAlign w:val="center"/>
          </w:tcPr>
          <w:p w14:paraId="30C6871A">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以车辆或驾驶员维度，从经济性、安全性、舒适性三方面对驾驶行为评分，并生成评分等级，支持查看驾驶评分详情。</w:t>
            </w:r>
          </w:p>
        </w:tc>
      </w:tr>
      <w:tr w14:paraId="0C2489EB">
        <w:tblPrEx>
          <w:tblCellMar>
            <w:top w:w="0" w:type="dxa"/>
            <w:left w:w="108" w:type="dxa"/>
            <w:bottom w:w="0" w:type="dxa"/>
            <w:right w:w="108" w:type="dxa"/>
          </w:tblCellMar>
        </w:tblPrEx>
        <w:trPr>
          <w:trHeight w:val="648" w:hRule="atLeast"/>
          <w:jc w:val="center"/>
        </w:trPr>
        <w:tc>
          <w:tcPr>
            <w:tcW w:w="1700" w:type="dxa"/>
            <w:vMerge w:val="restart"/>
            <w:tcBorders>
              <w:top w:val="nil"/>
              <w:left w:val="single" w:color="auto" w:sz="4" w:space="0"/>
              <w:bottom w:val="single" w:color="000000" w:sz="4" w:space="0"/>
              <w:right w:val="single" w:color="auto" w:sz="4" w:space="0"/>
            </w:tcBorders>
            <w:shd w:val="clear" w:color="auto" w:fill="auto"/>
            <w:noWrap/>
            <w:vAlign w:val="center"/>
          </w:tcPr>
          <w:p w14:paraId="436F75BE">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能耗管理</w:t>
            </w:r>
          </w:p>
        </w:tc>
        <w:tc>
          <w:tcPr>
            <w:tcW w:w="1840" w:type="dxa"/>
            <w:tcBorders>
              <w:top w:val="nil"/>
              <w:left w:val="nil"/>
              <w:bottom w:val="single" w:color="auto" w:sz="4" w:space="0"/>
              <w:right w:val="single" w:color="auto" w:sz="4" w:space="0"/>
            </w:tcBorders>
            <w:shd w:val="clear" w:color="auto" w:fill="auto"/>
            <w:noWrap/>
            <w:vAlign w:val="center"/>
          </w:tcPr>
          <w:p w14:paraId="6D2C8217">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车辆能耗</w:t>
            </w:r>
          </w:p>
        </w:tc>
        <w:tc>
          <w:tcPr>
            <w:tcW w:w="4819" w:type="dxa"/>
            <w:tcBorders>
              <w:top w:val="nil"/>
              <w:left w:val="nil"/>
              <w:bottom w:val="single" w:color="auto" w:sz="4" w:space="0"/>
              <w:right w:val="single" w:color="auto" w:sz="4" w:space="0"/>
            </w:tcBorders>
            <w:shd w:val="clear" w:color="auto" w:fill="auto"/>
            <w:vAlign w:val="center"/>
          </w:tcPr>
          <w:p w14:paraId="1C9650EE">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查询能耗统计数据，以车辆、驾驶员维度汇总。记录车辆周期内的行驶里程和电耗以及百公里电耗。</w:t>
            </w:r>
          </w:p>
        </w:tc>
      </w:tr>
      <w:tr w14:paraId="5141321E">
        <w:tblPrEx>
          <w:tblCellMar>
            <w:top w:w="0" w:type="dxa"/>
            <w:left w:w="108" w:type="dxa"/>
            <w:bottom w:w="0" w:type="dxa"/>
            <w:right w:w="108" w:type="dxa"/>
          </w:tblCellMar>
        </w:tblPrEx>
        <w:trPr>
          <w:trHeight w:val="636"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27F96BBF">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0FBBF653">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能耗统计</w:t>
            </w:r>
          </w:p>
        </w:tc>
        <w:tc>
          <w:tcPr>
            <w:tcW w:w="4819" w:type="dxa"/>
            <w:tcBorders>
              <w:top w:val="nil"/>
              <w:left w:val="nil"/>
              <w:bottom w:val="single" w:color="auto" w:sz="4" w:space="0"/>
              <w:right w:val="single" w:color="auto" w:sz="4" w:space="0"/>
            </w:tcBorders>
            <w:shd w:val="clear" w:color="auto" w:fill="auto"/>
            <w:vAlign w:val="center"/>
          </w:tcPr>
          <w:p w14:paraId="0C7ED18D">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支持日、周、月、年度周期，统计车辆能耗使用情况，以数据看板的形式，展现查询时间范围内的里程、电耗、百公里电耗、车辆百公里电耗排行、高电耗车辆占比、百公里电耗曲线图。</w:t>
            </w:r>
          </w:p>
        </w:tc>
      </w:tr>
      <w:tr w14:paraId="04CBDC74">
        <w:tblPrEx>
          <w:tblCellMar>
            <w:top w:w="0" w:type="dxa"/>
            <w:left w:w="108" w:type="dxa"/>
            <w:bottom w:w="0" w:type="dxa"/>
            <w:right w:w="108" w:type="dxa"/>
          </w:tblCellMar>
        </w:tblPrEx>
        <w:trPr>
          <w:trHeight w:val="612"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24029C90">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p>
        </w:tc>
        <w:tc>
          <w:tcPr>
            <w:tcW w:w="1840" w:type="dxa"/>
            <w:tcBorders>
              <w:top w:val="nil"/>
              <w:left w:val="nil"/>
              <w:bottom w:val="single" w:color="auto" w:sz="4" w:space="0"/>
              <w:right w:val="single" w:color="auto" w:sz="4" w:space="0"/>
            </w:tcBorders>
            <w:shd w:val="clear" w:color="auto" w:fill="auto"/>
            <w:noWrap/>
            <w:vAlign w:val="center"/>
          </w:tcPr>
          <w:p w14:paraId="39D76CF6">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空调使用情况</w:t>
            </w:r>
          </w:p>
        </w:tc>
        <w:tc>
          <w:tcPr>
            <w:tcW w:w="4819" w:type="dxa"/>
            <w:tcBorders>
              <w:top w:val="nil"/>
              <w:left w:val="nil"/>
              <w:bottom w:val="single" w:color="auto" w:sz="4" w:space="0"/>
              <w:right w:val="single" w:color="auto" w:sz="4" w:space="0"/>
            </w:tcBorders>
            <w:shd w:val="clear" w:color="auto" w:fill="auto"/>
            <w:vAlign w:val="center"/>
          </w:tcPr>
          <w:p w14:paraId="4766D232">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展示空调开启时长 / 总时长（小时）、空调开启里程 / 总里程（km）、怠速空调时长（小时）、怠速空调次数、怠速期间整车电耗（kW</w:t>
            </w:r>
            <w:r>
              <w:rPr>
                <w:rFonts w:hint="eastAsia" w:ascii="微软雅黑" w:hAnsi="微软雅黑" w:eastAsia="微软雅黑" w:cs="微软雅黑"/>
                <w:kern w:val="2"/>
                <w:sz w:val="21"/>
                <w:szCs w:val="21"/>
                <w:lang w:val="en-US" w:eastAsia="zh-CN" w:bidi="ar-SA"/>
              </w:rPr>
              <w:t>・</w:t>
            </w:r>
            <w:r>
              <w:rPr>
                <w:rFonts w:hint="eastAsia" w:ascii="宋体" w:hAnsi="宋体" w:eastAsia="宋体" w:cs="Times New Roman"/>
                <w:kern w:val="2"/>
                <w:sz w:val="21"/>
                <w:szCs w:val="21"/>
                <w:lang w:val="en-US" w:eastAsia="zh-CN" w:bidi="ar-SA"/>
              </w:rPr>
              <w:t>h），直观呈现空调使用状态与能耗关联 。</w:t>
            </w:r>
          </w:p>
        </w:tc>
      </w:tr>
      <w:tr w14:paraId="24B6BAE6">
        <w:tblPrEx>
          <w:tblCellMar>
            <w:top w:w="0" w:type="dxa"/>
            <w:left w:w="108" w:type="dxa"/>
            <w:bottom w:w="0" w:type="dxa"/>
            <w:right w:w="108" w:type="dxa"/>
          </w:tblCellMar>
        </w:tblPrEx>
        <w:trPr>
          <w:trHeight w:val="1140"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6DE5F389">
            <w:pPr>
              <w:widowControl/>
              <w:spacing w:line="360" w:lineRule="auto"/>
              <w:ind w:firstLine="0" w:firstLineChars="0"/>
              <w:jc w:val="left"/>
              <w:rPr>
                <w:rFonts w:hint="eastAsia" w:ascii="仿宋" w:hAnsi="仿宋" w:eastAsia="仿宋" w:cs="宋体"/>
                <w:kern w:val="0"/>
                <w:sz w:val="21"/>
                <w:szCs w:val="21"/>
              </w:rPr>
            </w:pPr>
          </w:p>
        </w:tc>
        <w:tc>
          <w:tcPr>
            <w:tcW w:w="1840" w:type="dxa"/>
            <w:tcBorders>
              <w:top w:val="nil"/>
              <w:left w:val="nil"/>
              <w:bottom w:val="single" w:color="auto" w:sz="4" w:space="0"/>
              <w:right w:val="single" w:color="auto" w:sz="4" w:space="0"/>
            </w:tcBorders>
            <w:shd w:val="clear" w:color="auto" w:fill="auto"/>
            <w:noWrap/>
            <w:vAlign w:val="center"/>
          </w:tcPr>
          <w:p w14:paraId="4EBE6D33">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高电耗分析</w:t>
            </w:r>
          </w:p>
        </w:tc>
        <w:tc>
          <w:tcPr>
            <w:tcW w:w="4819" w:type="dxa"/>
            <w:tcBorders>
              <w:top w:val="nil"/>
              <w:left w:val="nil"/>
              <w:bottom w:val="single" w:color="auto" w:sz="4" w:space="0"/>
              <w:right w:val="single" w:color="auto" w:sz="4" w:space="0"/>
            </w:tcBorders>
            <w:shd w:val="clear" w:color="auto" w:fill="auto"/>
            <w:vAlign w:val="center"/>
          </w:tcPr>
          <w:p w14:paraId="684D5952">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建立车辆能耗评估分析模型，识别高电耗车辆，并对高电耗车辆进行油门踏板、行车线路、驾驶是时间、空调时长等多维度数据分析，提供公交企业优化建议。</w:t>
            </w:r>
          </w:p>
        </w:tc>
      </w:tr>
      <w:tr w14:paraId="066BD999">
        <w:tblPrEx>
          <w:tblCellMar>
            <w:top w:w="0" w:type="dxa"/>
            <w:left w:w="108" w:type="dxa"/>
            <w:bottom w:w="0" w:type="dxa"/>
            <w:right w:w="108" w:type="dxa"/>
          </w:tblCellMar>
        </w:tblPrEx>
        <w:trPr>
          <w:trHeight w:val="420" w:hRule="atLeast"/>
          <w:jc w:val="center"/>
        </w:trPr>
        <w:tc>
          <w:tcPr>
            <w:tcW w:w="1700" w:type="dxa"/>
            <w:vMerge w:val="restart"/>
            <w:tcBorders>
              <w:top w:val="nil"/>
              <w:left w:val="single" w:color="auto" w:sz="4" w:space="0"/>
              <w:bottom w:val="single" w:color="000000" w:sz="4" w:space="0"/>
              <w:right w:val="single" w:color="auto" w:sz="4" w:space="0"/>
            </w:tcBorders>
            <w:shd w:val="clear" w:color="auto" w:fill="auto"/>
            <w:noWrap/>
            <w:vAlign w:val="center"/>
          </w:tcPr>
          <w:p w14:paraId="34A3CB3E">
            <w:pPr>
              <w:widowControl w:val="0"/>
              <w:spacing w:line="360" w:lineRule="auto"/>
              <w:ind w:firstLine="0" w:firstLineChars="0"/>
              <w:jc w:val="center"/>
              <w:rPr>
                <w:rFonts w:hint="eastAsia" w:ascii="仿宋" w:hAnsi="仿宋" w:eastAsia="仿宋" w:cs="宋体"/>
                <w:kern w:val="0"/>
                <w:sz w:val="21"/>
                <w:szCs w:val="21"/>
                <w:lang w:val="en-US" w:eastAsia="zh-CN" w:bidi="ar-SA"/>
              </w:rPr>
            </w:pPr>
            <w:r>
              <w:rPr>
                <w:rFonts w:hint="eastAsia" w:ascii="宋体" w:hAnsi="宋体" w:eastAsia="宋体" w:cs="Times New Roman"/>
                <w:kern w:val="2"/>
                <w:sz w:val="21"/>
                <w:szCs w:val="21"/>
                <w:lang w:val="en-US" w:eastAsia="zh-CN" w:bidi="ar-SA"/>
              </w:rPr>
              <w:t>数据可视化及分析</w:t>
            </w:r>
          </w:p>
        </w:tc>
        <w:tc>
          <w:tcPr>
            <w:tcW w:w="1840" w:type="dxa"/>
            <w:tcBorders>
              <w:top w:val="nil"/>
              <w:left w:val="nil"/>
              <w:bottom w:val="single" w:color="auto" w:sz="4" w:space="0"/>
              <w:right w:val="single" w:color="auto" w:sz="4" w:space="0"/>
            </w:tcBorders>
            <w:shd w:val="clear" w:color="auto" w:fill="auto"/>
            <w:noWrap/>
            <w:vAlign w:val="center"/>
          </w:tcPr>
          <w:p w14:paraId="7BF6EB6C">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数据大屏</w:t>
            </w:r>
          </w:p>
        </w:tc>
        <w:tc>
          <w:tcPr>
            <w:tcW w:w="4819" w:type="dxa"/>
            <w:tcBorders>
              <w:top w:val="nil"/>
              <w:left w:val="nil"/>
              <w:bottom w:val="single" w:color="auto" w:sz="4" w:space="0"/>
              <w:right w:val="single" w:color="auto" w:sz="4" w:space="0"/>
            </w:tcBorders>
            <w:shd w:val="clear" w:color="auto" w:fill="auto"/>
            <w:vAlign w:val="center"/>
          </w:tcPr>
          <w:p w14:paraId="563B0D3A">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实现数据可视化与决策支持，展示车辆在线率、故障率、能耗排名等KPI，支持GIS地图车辆追踪。</w:t>
            </w:r>
          </w:p>
        </w:tc>
      </w:tr>
      <w:tr w14:paraId="7CA191C1">
        <w:tblPrEx>
          <w:tblCellMar>
            <w:top w:w="0" w:type="dxa"/>
            <w:left w:w="108" w:type="dxa"/>
            <w:bottom w:w="0" w:type="dxa"/>
            <w:right w:w="108" w:type="dxa"/>
          </w:tblCellMar>
        </w:tblPrEx>
        <w:trPr>
          <w:trHeight w:val="420"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15155A50">
            <w:pPr>
              <w:widowControl/>
              <w:spacing w:line="360" w:lineRule="auto"/>
              <w:ind w:firstLine="0" w:firstLineChars="0"/>
              <w:jc w:val="left"/>
              <w:rPr>
                <w:rFonts w:hint="eastAsia" w:ascii="仿宋" w:hAnsi="仿宋" w:eastAsia="仿宋" w:cs="宋体"/>
                <w:kern w:val="0"/>
                <w:sz w:val="21"/>
                <w:szCs w:val="21"/>
              </w:rPr>
            </w:pPr>
          </w:p>
        </w:tc>
        <w:tc>
          <w:tcPr>
            <w:tcW w:w="1840" w:type="dxa"/>
            <w:tcBorders>
              <w:top w:val="nil"/>
              <w:left w:val="nil"/>
              <w:bottom w:val="single" w:color="auto" w:sz="4" w:space="0"/>
              <w:right w:val="single" w:color="auto" w:sz="4" w:space="0"/>
            </w:tcBorders>
            <w:shd w:val="clear" w:color="auto" w:fill="auto"/>
            <w:noWrap/>
            <w:vAlign w:val="center"/>
          </w:tcPr>
          <w:p w14:paraId="6CE0617E">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司机画像</w:t>
            </w:r>
          </w:p>
        </w:tc>
        <w:tc>
          <w:tcPr>
            <w:tcW w:w="4819" w:type="dxa"/>
            <w:tcBorders>
              <w:top w:val="nil"/>
              <w:left w:val="nil"/>
              <w:bottom w:val="single" w:color="auto" w:sz="4" w:space="0"/>
              <w:right w:val="single" w:color="auto" w:sz="4" w:space="0"/>
            </w:tcBorders>
            <w:shd w:val="clear" w:color="auto" w:fill="auto"/>
            <w:vAlign w:val="center"/>
          </w:tcPr>
          <w:p w14:paraId="37F08D46">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实时稽查司机画像，从不同维度呈现司机画像，并给出司机驾驶行为评分，以及建议。</w:t>
            </w:r>
          </w:p>
        </w:tc>
      </w:tr>
      <w:tr w14:paraId="25DAC95D">
        <w:tblPrEx>
          <w:tblCellMar>
            <w:top w:w="0" w:type="dxa"/>
            <w:left w:w="108" w:type="dxa"/>
            <w:bottom w:w="0" w:type="dxa"/>
            <w:right w:w="108" w:type="dxa"/>
          </w:tblCellMar>
        </w:tblPrEx>
        <w:trPr>
          <w:trHeight w:val="420" w:hRule="atLeast"/>
          <w:jc w:val="center"/>
        </w:trPr>
        <w:tc>
          <w:tcPr>
            <w:tcW w:w="1700" w:type="dxa"/>
            <w:vMerge w:val="continue"/>
            <w:tcBorders>
              <w:top w:val="nil"/>
              <w:left w:val="single" w:color="auto" w:sz="4" w:space="0"/>
              <w:bottom w:val="single" w:color="000000" w:sz="4" w:space="0"/>
              <w:right w:val="single" w:color="auto" w:sz="4" w:space="0"/>
            </w:tcBorders>
            <w:shd w:val="clear" w:color="auto" w:fill="auto"/>
            <w:vAlign w:val="center"/>
          </w:tcPr>
          <w:p w14:paraId="2900B6D3">
            <w:pPr>
              <w:widowControl/>
              <w:spacing w:line="360" w:lineRule="auto"/>
              <w:ind w:firstLine="0" w:firstLineChars="0"/>
              <w:jc w:val="left"/>
              <w:rPr>
                <w:rFonts w:hint="eastAsia" w:ascii="仿宋" w:hAnsi="仿宋" w:eastAsia="仿宋" w:cs="宋体"/>
                <w:kern w:val="0"/>
                <w:sz w:val="21"/>
                <w:szCs w:val="21"/>
              </w:rPr>
            </w:pPr>
          </w:p>
        </w:tc>
        <w:tc>
          <w:tcPr>
            <w:tcW w:w="1840" w:type="dxa"/>
            <w:tcBorders>
              <w:top w:val="nil"/>
              <w:left w:val="nil"/>
              <w:bottom w:val="single" w:color="auto" w:sz="4" w:space="0"/>
              <w:right w:val="single" w:color="auto" w:sz="4" w:space="0"/>
            </w:tcBorders>
            <w:shd w:val="clear" w:color="auto" w:fill="auto"/>
            <w:noWrap/>
            <w:vAlign w:val="center"/>
          </w:tcPr>
          <w:p w14:paraId="011FFA46">
            <w:pPr>
              <w:widowControl w:val="0"/>
              <w:spacing w:line="360" w:lineRule="auto"/>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车辆画像</w:t>
            </w:r>
          </w:p>
        </w:tc>
        <w:tc>
          <w:tcPr>
            <w:tcW w:w="4819" w:type="dxa"/>
            <w:tcBorders>
              <w:top w:val="nil"/>
              <w:left w:val="nil"/>
              <w:bottom w:val="single" w:color="auto" w:sz="4" w:space="0"/>
              <w:right w:val="single" w:color="auto" w:sz="4" w:space="0"/>
            </w:tcBorders>
            <w:shd w:val="clear" w:color="auto" w:fill="auto"/>
            <w:vAlign w:val="center"/>
          </w:tcPr>
          <w:p w14:paraId="4D432BCB">
            <w:pPr>
              <w:widowControl w:val="0"/>
              <w:spacing w:line="36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实时稽查车辆画像，从不同维度呈现车辆画像，并给出车辆健康评分，以及建议。</w:t>
            </w:r>
          </w:p>
        </w:tc>
      </w:tr>
    </w:tbl>
    <w:p w14:paraId="5E6A21CF">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CAN数据采集终端</w:t>
      </w:r>
    </w:p>
    <w:p w14:paraId="456202E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CAN数据采集终端集CAN数据采集、传输、存储、定位功能于一体，用于将CAN数据/串口数据转换为IP数据，并通过4G无线通信网络把数据上报到监管平台。具备单北斗定位，具备定位采集功能，支持网络断网数据本地存储和联网续传功能。行车数据采集包括但不限于车速、安全带、喇叭开关、左转向灯、右转向灯、档位、手刹开关、脚刹开关、总电流、总电压、SOC、制动踏板开度、加速踏板开度、电机转速、电机温度、电机扭矩、电机母线电流、电机母线电压、最高单体电压、最高单体温度、前气压、后气压等。通过车辆故障管理，可实现胎压、DMC、电池、BMU 通信、电机控制器、整车控制器、转向电机电源、DC/DC、绝缘检测系统、空调、BMS、HCU、间歇报警、急促报警等车辆故障毫秒级故障采集、治理和统计。</w:t>
      </w:r>
    </w:p>
    <w:p w14:paraId="0946918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CAN数据采集终端应满足以下要求：</w:t>
      </w:r>
    </w:p>
    <w:p w14:paraId="13C3BCA3">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工作温度满足-40~85℃，并提供检测报告。</w:t>
      </w:r>
    </w:p>
    <w:p w14:paraId="2949BBD2">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满足GB/T 32960.3-2016要求，并提供检测报告。</w:t>
      </w:r>
    </w:p>
    <w:p w14:paraId="2CE61362">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支持不低于5链路传输数据，满足多平台监控需求。</w:t>
      </w:r>
    </w:p>
    <w:p w14:paraId="105769CB">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支持硬件加密，保证数据安全。</w:t>
      </w:r>
    </w:p>
    <w:p w14:paraId="66E5E9DE">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采用低功耗设计，设备休眠功耗≤3mA。</w:t>
      </w:r>
    </w:p>
    <w:p w14:paraId="0590B471">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支持断电运行不低于30分钟。</w:t>
      </w:r>
    </w:p>
    <w:p w14:paraId="44298D2F">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支持4G、定位天线开短路检测功能，定位精度≤2.5米，定位支持单北斗。</w:t>
      </w:r>
    </w:p>
    <w:p w14:paraId="24705D1C">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数量不低于500台</w:t>
      </w:r>
    </w:p>
    <w:p w14:paraId="0D663FC8">
      <w:pPr>
        <w:widowControl w:val="0"/>
        <w:numPr>
          <w:ilvl w:val="0"/>
          <w:numId w:val="40"/>
        </w:numPr>
        <w:spacing w:line="360" w:lineRule="auto"/>
        <w:ind w:left="1000" w:hanging="440" w:firstLineChars="0"/>
        <w:jc w:val="both"/>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可通过流量卡、车载路由器等将数据回传至后台</w:t>
      </w:r>
    </w:p>
    <w:p w14:paraId="24F4F11F">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配套服务器要求</w:t>
      </w:r>
    </w:p>
    <w:p w14:paraId="45E0FB1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支持在邕城公交现有机房上进行扩容，为调度系统、客流应用前端提供服务，包括以下服务器配置要求：</w:t>
      </w:r>
    </w:p>
    <w:p w14:paraId="769C7F0A">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1.智能调度系统WEB应用服务器扩容前端主/从服务器2台</w:t>
      </w:r>
    </w:p>
    <w:p w14:paraId="62B5F4F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CPU：32U；内存64GB，磁盘2TB，带宽50Mbit/s</w:t>
      </w:r>
    </w:p>
    <w:p w14:paraId="4847F959">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2.车辆运行CAN总线数据解析通讯主/从服务器2台</w:t>
      </w:r>
    </w:p>
    <w:p w14:paraId="520808B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CPU：32U；内存64GB，磁盘20TB，带宽50Mbit/s</w:t>
      </w:r>
    </w:p>
    <w:p w14:paraId="32BD2CF5">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3.智能调度系统数据库服务器扩容主/从服务器2台</w:t>
      </w:r>
    </w:p>
    <w:p w14:paraId="25AD9DB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CPU：32U；内存64GB，磁盘10TB，带宽5Mbit/s</w:t>
      </w:r>
    </w:p>
    <w:p w14:paraId="0F65B032">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4.公交地铁数据交互前端服务器2台</w:t>
      </w:r>
    </w:p>
    <w:p w14:paraId="08D2F39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CPU：32U；内存64GB，磁盘2TB，带宽30Mbit/s</w:t>
      </w:r>
    </w:p>
    <w:p w14:paraId="1AF7003E">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5.公交客流仿真前端服务器2台</w:t>
      </w:r>
    </w:p>
    <w:p w14:paraId="5E40B8F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CPU：32U；内存64GB，磁盘2TB，带宽10Mbit/s</w:t>
      </w:r>
    </w:p>
    <w:p w14:paraId="19C5461C">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p>
    <w:p w14:paraId="01BC3E1B">
      <w:pPr>
        <w:widowControl w:val="0"/>
        <w:numPr>
          <w:ilvl w:val="1"/>
          <w:numId w:val="29"/>
        </w:numPr>
        <w:spacing w:line="360" w:lineRule="auto"/>
        <w:ind w:firstLine="200" w:firstLineChars="0"/>
        <w:jc w:val="both"/>
        <w:outlineLvl w:val="1"/>
        <w:rPr>
          <w:rFonts w:ascii="Times New Roman" w:hAnsi="Times New Roman" w:eastAsia="黑体" w:cs="Times New Roman"/>
          <w:b/>
          <w:bCs w:val="0"/>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共享（电）单车智慧监管系统一期</w:t>
      </w:r>
    </w:p>
    <w:p w14:paraId="0735A140">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依托近程物联感知技术，在城市重点区域部署采集设备，构建起覆盖主要点位的感知网络。当共享电单车停放或经过设备感知范围时，设备可自动采集车辆信息并实时上传系统，实现对运营单车的数据采集和动态监测，客观反映区域内共享单车的数量分布情况和实时变化趋势，以实现精准识别非法车辆，有效遏制企业超量投放，赋能单车智能调度，达到精细化管理的目的。</w:t>
      </w:r>
    </w:p>
    <w:p w14:paraId="637BBE72">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系统架构</w:t>
      </w:r>
    </w:p>
    <w:p w14:paraId="506969C8">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围绕“数据汇聚、实时监测、运维调度、企业考评”的目标制定共享单车调度监管解决方案，分基础设施、数据资源、模型算法、统一服务、业务应用、用户访问共6个层级搭建监管平台总体架构。</w:t>
      </w:r>
    </w:p>
    <w:p w14:paraId="00AF88CC">
      <w:pPr>
        <w:widowControl w:val="0"/>
        <w:spacing w:line="360" w:lineRule="auto"/>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本次共享（电）单车智慧监管系统一期由南宁轨道交通互联网+票务平台提供所需的服务器计算、存储资源。</w:t>
      </w:r>
    </w:p>
    <w:p w14:paraId="67025725">
      <w:pPr>
        <w:widowControl w:val="0"/>
        <w:numPr>
          <w:ilvl w:val="2"/>
          <w:numId w:val="29"/>
        </w:numPr>
        <w:spacing w:before="120" w:after="120"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功能要求</w:t>
      </w:r>
    </w:p>
    <w:p w14:paraId="14DEA18F">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电单车采集系统</w:t>
      </w:r>
    </w:p>
    <w:p w14:paraId="46C9A42F">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（1）总量控制：能够在系统大屏上直观显示报备车辆总量、未报备车辆数量，实时监控区域内电单车分布情况。</w:t>
      </w:r>
    </w:p>
    <w:p w14:paraId="66F8BCE0">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智能调度：能够实时监测每个点位的电单车总量和各家车企在该点位的电单车数量。企业通过系统看到各个点位车辆的总量和本企业在该点位的车辆数，根据各点位车辆承载阀值和系统的提示对该点位车辆进行调入或调出。</w:t>
      </w:r>
    </w:p>
    <w:p w14:paraId="1FFB680A">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电单车信息接入系统</w:t>
      </w:r>
    </w:p>
    <w:p w14:paraId="79D4C5D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（1）车企接入：可以实现车企运营系统直接接入本系统，实时接受电单车位置数据、电单车运营状态。</w:t>
      </w:r>
    </w:p>
    <w:p w14:paraId="02F9E389">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信息核验：通过城市管理者运用手机APP，扫描电单车骑行二维码或者蓝牙MAC地址，对电单车备案信息（“实体专用铭牌”“车辆蓝牙Mac地址”“车架号”“车锁号”）进行核验，随时随地检查单车是否备案，并拍照上传系统。</w:t>
      </w:r>
    </w:p>
    <w:p w14:paraId="27FC295C">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线下秩序人员和调运车辆管理系统（使用权）</w:t>
      </w:r>
    </w:p>
    <w:p w14:paraId="1A79F467">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（1）考勤打卡：各家车企一线秩序人员、调运车辆（司机）上下班通过手机APP打卡，完成工作考勤。</w:t>
      </w:r>
    </w:p>
    <w:p w14:paraId="14154643">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（2）人员和车辆在线可视化：在系统大屏上直观显示各家车企秩序人员、调运车辆的规定应配数量、实时在线数量、实时工作位置等信息，各家车企一线秩序人员、调运车辆的配备情况、到岗情况一目了然。</w:t>
      </w:r>
    </w:p>
    <w:p w14:paraId="51455D70">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（3）轨迹回放：系统自动记录各家车企一线秩序人员、调运车辆工作轨迹。</w:t>
      </w:r>
    </w:p>
    <w:p w14:paraId="7E1AD5D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（4）运维工单管理：一线秩序人员、调运车辆（司机）通过手机APP创建运维工单，上传运维工作前后现场照片，城市管理者和车企管理人员随时查看一线秩序人员、调运车辆工作状态。</w:t>
      </w:r>
    </w:p>
    <w:p w14:paraId="4ABBA9CF">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（5）视频/语音远程指挥：城市管理者和车企管理人员通过系统可随时随地与一线秩序人员（调运车辆司机）手机APP进行视频语音连线，远程检查现场单车停放秩序，指挥其开展必要的秩序维护工作。</w:t>
      </w:r>
    </w:p>
    <w:p w14:paraId="151B865D">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（6）保障功能：当有特殊保障任务需求时，根据政府审核通过的保障方案，在系统内设定专项保障区域。执行保障任务时，系统实时监测与统计保障人员、保障车辆到岗数量。</w:t>
      </w:r>
    </w:p>
    <w:p w14:paraId="6635C4B3">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线上“重点区域网格实名制管理”：根据职能部门要求，系统可灵活设置重要活动场所、保障线路、比赛场馆、文化旅游景点等重点工作区域及其工作时间、工作人员和数量，对重点工作区域实行实名制管理。工作时间内，当重点工作区域出现缺勤或脱岗时，系统自动报警，并同时向对应车企管理人员APP和缺勤人员APP发出告警提示。</w:t>
      </w:r>
    </w:p>
    <w:p w14:paraId="2946E60A">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城管执法人员“秩序工单”：当城管队员巡查发现单车秩序乱象时，通过手机APP拍摄现场照片、创建秩序工单上传系统，系统自动向车企管理人员APP推送工单，车企管理人员接受并指派一线秩序人员（调运车辆）前往处理，完成后拍摄现场照片上传系统，形成工单闭环。</w:t>
      </w:r>
    </w:p>
    <w:p w14:paraId="0F297B2C">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考核评价系统（使用权）</w:t>
      </w:r>
    </w:p>
    <w:p w14:paraId="511640E0">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系统可以自动汇总与计算考核指标数据，按照职能部门设置的考核权重，自动计算车企得分与排名，生成每日、每周、每月考核报告。</w:t>
      </w:r>
    </w:p>
    <w:p w14:paraId="673B8B33">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（1）电单车未备案数；</w:t>
      </w:r>
    </w:p>
    <w:p w14:paraId="2BABA34C">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（2）一线秩序人员、调运车辆出勤数；</w:t>
      </w:r>
    </w:p>
    <w:p w14:paraId="6407BF78">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（3）一线秩序人员、调运车辆在线数；</w:t>
      </w:r>
    </w:p>
    <w:p w14:paraId="25864BF9">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（4）运维工单完成数。</w:t>
      </w:r>
    </w:p>
    <w:p w14:paraId="6E303CB7">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硬件支撑</w:t>
      </w:r>
    </w:p>
    <w:p w14:paraId="75E233DB">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定点信息采集设备</w:t>
      </w:r>
    </w:p>
    <w:p w14:paraId="685E2674">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定点信息采集设备采用国产RISC-V架构处理器做主控芯片，外挂LTE CAT 1模块，采用移动无线通信数据网络向服务器上传数据；外挂蓝牙模块实现对共享单车蓝牙名称及MAC地址信息的扫描。</w:t>
      </w:r>
    </w:p>
    <w:p w14:paraId="51B0FE3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电源：AC220V @ 0.5W（平均值）。</w:t>
      </w:r>
    </w:p>
    <w:p w14:paraId="0F858C49">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太阳能供电功能。</w:t>
      </w:r>
    </w:p>
    <w:p w14:paraId="5135F4C9">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电池供电时间：不小于24小时（电池充满情况下）。</w:t>
      </w:r>
    </w:p>
    <w:p w14:paraId="587DF582">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蓝牙版本兼容 BLE4.0/4.1/4,2/5.0。</w:t>
      </w:r>
    </w:p>
    <w:p w14:paraId="48250EB9">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蓝牙接收灵敏度：-灵敏度-96dBm(1Mbps,PER&lt;30.8%)。</w:t>
      </w:r>
    </w:p>
    <w:p w14:paraId="70AC0B9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蓝牙最大发射功率：4dBm。</w:t>
      </w:r>
    </w:p>
    <w:p w14:paraId="53CF756B">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工作频段：2402~2480MHz；</w:t>
      </w:r>
    </w:p>
    <w:p w14:paraId="1B4D2EC8">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蓝牙扫描距离：半径80米（无遮挡）；</w:t>
      </w:r>
    </w:p>
    <w:p w14:paraId="1D416AF8">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LTE最大支持CAT 1 FDD和TDD；</w:t>
      </w:r>
    </w:p>
    <w:p w14:paraId="2F238A1C">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LTE支持电信、移动和联通的移动网络；</w:t>
      </w:r>
    </w:p>
    <w:p w14:paraId="5B68536E">
      <w:pPr>
        <w:widowControl/>
        <w:spacing w:line="360" w:lineRule="auto"/>
        <w:ind w:firstLine="480" w:firstLineChars="200"/>
        <w:rPr>
          <w:rFonts w:hint="eastAsia" w:ascii="宋体" w:hAnsi="宋体" w:eastAsia="宋体" w:cs="Times New Roman"/>
          <w:sz w:val="24"/>
          <w:szCs w:val="24"/>
        </w:rPr>
      </w:pPr>
      <w:bookmarkStart w:id="557" w:name="_Toc18279"/>
      <w:r>
        <w:rPr>
          <w:rFonts w:hint="eastAsia" w:ascii="宋体" w:hAnsi="宋体" w:eastAsia="宋体" w:cs="Times New Roman"/>
          <w:sz w:val="24"/>
          <w:szCs w:val="24"/>
        </w:rPr>
        <w:t>4G频段：</w:t>
      </w:r>
      <w:bookmarkEnd w:id="557"/>
    </w:p>
    <w:p w14:paraId="18F4F6AD">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LTE-FDD B1/3/5/8；</w:t>
      </w:r>
    </w:p>
    <w:p w14:paraId="65E5514E">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LTE-TDD B34/38/39/40/41；</w:t>
      </w:r>
    </w:p>
    <w:p w14:paraId="651BDD76">
      <w:pPr>
        <w:widowControl/>
        <w:spacing w:line="360" w:lineRule="auto"/>
        <w:ind w:firstLine="480" w:firstLineChars="200"/>
        <w:rPr>
          <w:rFonts w:hint="eastAsia" w:ascii="宋体" w:hAnsi="宋体" w:eastAsia="宋体" w:cs="Times New Roman"/>
          <w:sz w:val="24"/>
          <w:szCs w:val="24"/>
        </w:rPr>
      </w:pPr>
      <w:bookmarkStart w:id="558" w:name="_Toc10866"/>
      <w:r>
        <w:rPr>
          <w:rFonts w:hint="eastAsia" w:ascii="宋体" w:hAnsi="宋体" w:eastAsia="宋体" w:cs="Times New Roman"/>
          <w:sz w:val="24"/>
          <w:szCs w:val="24"/>
        </w:rPr>
        <w:t>4G发射功率</w:t>
      </w:r>
      <w:bookmarkEnd w:id="558"/>
    </w:p>
    <w:p w14:paraId="1D29A4AE">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LTE-FDD频段：Class 3 (23 dBm ±2 dB)；</w:t>
      </w:r>
    </w:p>
    <w:p w14:paraId="0A54D3A3">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LTE-TDD频段：Class 3 (23 dBm ±2 dB)；</w:t>
      </w:r>
    </w:p>
    <w:p w14:paraId="74760D74">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设备工作温度：-40 °C ~ +85 °C；</w:t>
      </w:r>
    </w:p>
    <w:p w14:paraId="5DCAC303">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设备存储温度：-40 °C ~ +90 °C；</w:t>
      </w:r>
    </w:p>
    <w:p w14:paraId="70FD9421">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设备使用寿命：5年。</w:t>
      </w:r>
    </w:p>
    <w:p w14:paraId="32EE8DC3">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监控摄像头</w:t>
      </w:r>
    </w:p>
    <w:p w14:paraId="716D1F79">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内置GPU芯片，支持深度学习算法，有效提升检测准确率；</w:t>
      </w:r>
    </w:p>
    <w:p w14:paraId="784C8283">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支持通用行为分析：绊线入侵，区域入侵（两项支持人车分类及精准检测），物品遗留，物品搬移，徘徊检测，人员聚集；</w:t>
      </w:r>
    </w:p>
    <w:p w14:paraId="493D782B">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支持SMD；</w:t>
      </w:r>
    </w:p>
    <w:p w14:paraId="34582CDB">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支持两路码流功能；</w:t>
      </w:r>
    </w:p>
    <w:p w14:paraId="120E1EB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采用星光级低照度400万像素1/2.7英寸CMOS图像传感器，低照度效果好，图像清晰度高；</w:t>
      </w:r>
    </w:p>
    <w:p w14:paraId="2E0BB22C">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最大可输出400万(2688×1520)@25fps；</w:t>
      </w:r>
    </w:p>
    <w:p w14:paraId="6BE7DB08">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内置高效暖光和红外补光灯，最大红外监控距离80米，最大暖光监控距离≥50米；</w:t>
      </w:r>
    </w:p>
    <w:p w14:paraId="43BC8DFC">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支持走廊模式，宽动态，3D降噪，强光抑制，背光补偿，数字水印，适用不同监控环境；</w:t>
      </w:r>
    </w:p>
    <w:p w14:paraId="1324172B">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支持ROI，SMART H.264/H.265，AI H.264/H.265，灵活编码，适用不同带宽和存储环境；</w:t>
      </w:r>
    </w:p>
    <w:p w14:paraId="677F45E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内置麦克风，扬声器；</w:t>
      </w:r>
    </w:p>
    <w:p w14:paraId="23D17378">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支持DC12V/PoE供电方式；</w:t>
      </w:r>
    </w:p>
    <w:p w14:paraId="594CC4A6">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支持IP67防护等级；</w:t>
      </w:r>
    </w:p>
    <w:p w14:paraId="265419F2">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网络传输:每台摄像头通过 5G CPE 设备接入运营商网络，上行带宽需≥50Mbps（单路视频流带宽约 4Mbps@H.265），若采用流量卡，参照带宽提供相应流量；</w:t>
      </w:r>
    </w:p>
    <w:p w14:paraId="1C9C7E75">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云服务架构:采用运营商云（如天翼云/移动云）部署视频接入网关，实现以下功能：</w:t>
      </w:r>
    </w:p>
    <w:p w14:paraId="2523012E">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流媒体分发:通过 RTSP 转 RTMP 降低延迟，支持多路视频流负载均衡。</w:t>
      </w:r>
    </w:p>
    <w:p w14:paraId="441AAC34">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带宽优化:动态码率调整（如夜间降至 15fps），结合 SVC 分层编码减少峰值带宽压力。</w:t>
      </w:r>
    </w:p>
    <w:p w14:paraId="354CCB45">
      <w:pPr>
        <w:widowControl w:val="0"/>
        <w:numPr>
          <w:ilvl w:val="3"/>
          <w:numId w:val="29"/>
        </w:numPr>
        <w:spacing w:before="120" w:line="360" w:lineRule="auto"/>
        <w:ind w:firstLine="200" w:firstLineChars="0"/>
        <w:jc w:val="both"/>
        <w:outlineLvl w:val="3"/>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AI算法</w:t>
      </w:r>
    </w:p>
    <w:p w14:paraId="50FE1692">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通过监控摄像头实时采集图像，对图像区域内的电单车进行图像类AI算法识别，识别功能包括以下内容。</w:t>
      </w:r>
    </w:p>
    <w:p w14:paraId="3F3091A2">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（1）车辆数量识别</w:t>
      </w:r>
    </w:p>
    <w:p w14:paraId="07A2A9D8">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根据监控摄像头回传的实时画面，对画面内的电单车数量进行识别，实时动态统计车辆数量；</w:t>
      </w:r>
    </w:p>
    <w:p w14:paraId="0B3794B1">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（2）停车规范识别</w:t>
      </w:r>
    </w:p>
    <w:p w14:paraId="68CF9FA4">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对停车区域的车辆进行行为识别，识别目标区域的车辆是否停放规范（朝向，是否堆积，是否在停车区域等；</w:t>
      </w:r>
    </w:p>
    <w:p w14:paraId="04888D94">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（3）区域拥挤度识别并调度：</w:t>
      </w:r>
    </w:p>
    <w:p w14:paraId="5E08533B">
      <w:pPr>
        <w:widowControl/>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对停车区域的目标车辆进行检测识别，超出一定的拥挤程度后，识别并通知业务系统进行处理。</w:t>
      </w:r>
    </w:p>
    <w:p w14:paraId="0B075A7E">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p>
    <w:p w14:paraId="79AE117D">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供货清单</w:t>
      </w:r>
    </w:p>
    <w:tbl>
      <w:tblPr>
        <w:tblStyle w:val="90"/>
        <w:tblW w:w="0" w:type="auto"/>
        <w:tblInd w:w="0" w:type="dxa"/>
        <w:tblLayout w:type="autofit"/>
        <w:tblCellMar>
          <w:top w:w="0" w:type="dxa"/>
          <w:left w:w="108" w:type="dxa"/>
          <w:bottom w:w="0" w:type="dxa"/>
          <w:right w:w="108" w:type="dxa"/>
        </w:tblCellMar>
      </w:tblPr>
      <w:tblGrid>
        <w:gridCol w:w="658"/>
        <w:gridCol w:w="1605"/>
        <w:gridCol w:w="4717"/>
        <w:gridCol w:w="658"/>
        <w:gridCol w:w="658"/>
      </w:tblGrid>
      <w:tr w14:paraId="3882C17C">
        <w:tblPrEx>
          <w:tblCellMar>
            <w:top w:w="0" w:type="dxa"/>
            <w:left w:w="108" w:type="dxa"/>
            <w:bottom w:w="0" w:type="dxa"/>
            <w:right w:w="108" w:type="dxa"/>
          </w:tblCellMar>
        </w:tblPrEx>
        <w:trPr>
          <w:trHeight w:val="40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C899">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E30B">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项目</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DFAC">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具体功能需求/参数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3F88">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CC47">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数量</w:t>
            </w:r>
          </w:p>
        </w:tc>
      </w:tr>
      <w:tr w14:paraId="7ACEFC3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360E5">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DB6B5">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公共交通大数据资源中台一期</w:t>
            </w:r>
          </w:p>
        </w:tc>
      </w:tr>
      <w:tr w14:paraId="2510E32D">
        <w:tblPrEx>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22C1E">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63BF">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城市多源数据中台</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C0C">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城市多源数据接入、数据扩样校核、人口岗位数量及分布分析展现模块、人口特征分析展现模块、公共设施分析与展现模块、交通接驳分析与展现模块、出行量分析与展现模块、出行OD分析与展现模块，详见系统建设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285E5">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DC8AB">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5E57B2DA">
        <w:tblPrEx>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B47F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799B">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轨道公交数据接入及治理</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421">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包含交通运行数据接入、交通运行数据治理。详见系统建设需求。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71EE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CB82B">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E5A90FE">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21050">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D8BE">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数据管理中心</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B864">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包含数据任务调度服务、数据抽取服务、数据抽取服务、非结构数据服务、结构化数据服务、数据标准化处理服务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67AF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0F0C1">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790939D">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D77ED">
            <w:pPr>
              <w:widowControl/>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72FDA">
            <w:pPr>
              <w:widowControl/>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城轨与公交协同调度指挥系统一期</w:t>
            </w:r>
          </w:p>
        </w:tc>
      </w:tr>
      <w:tr w14:paraId="0E6D2020">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49BA2">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C8CF">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实时运行监测</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ACB6">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城轨线网车辆实时监察模块、公交线网车辆实时监察模块、公交线网车辆实时监察模块、客流热力图展示模块、城轨站点客流监察模块、实时运力监测模块、到站时间预测模块、线路/站点信息呈现模块、事件弹窗提示模块、城轨公交融合展示模块、异常事件监察模块、异常标注模块、地图可视化呈现模块、报警管理模块、大屏可视化协同调度模式管理模块、大屏可视化交通运行实时监察模块、大屏可视化指标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5264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30D2E">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82374BB">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C9E6C">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18F4">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协同调度管理</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9578">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包含应急事件响应模块、故障区域识别模块、故障区域识别模块、公交接驳管理模块、接驳预案可视化模块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C3020">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B9B5A">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82A321E">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CFDBB">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AAE0">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信息管理</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F170">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包含信息编辑管理模块、信息预录入模块、关键信息匹配生成模块、信息发布模块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F2C52">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4D67C">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6370B3F">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15985">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EFA">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协同调度管理优化</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511">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包含指标管理模块、末班车衔接时间管理模块、运力资源分析模块、客流趋势分析模块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15BB0">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72996">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0DC076D">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98BD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A79">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系统接口</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7A7B">
            <w:pPr>
              <w:widowControl/>
              <w:spacing w:line="240" w:lineRule="auto"/>
              <w:ind w:firstLine="0" w:firstLineChars="0"/>
              <w:jc w:val="left"/>
              <w:rPr>
                <w:rFonts w:hint="eastAsia" w:ascii="宋体" w:hAnsi="宋体" w:eastAsia="宋体" w:cs="宋体"/>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7D6EA">
            <w:pPr>
              <w:widowControl/>
              <w:spacing w:line="240" w:lineRule="auto"/>
              <w:ind w:firstLine="0" w:firstLineChars="0"/>
              <w:jc w:val="left"/>
              <w:rPr>
                <w:rFonts w:ascii="Times New Roman" w:hAnsi="Times New Roman" w:eastAsia="Times New Roman" w:cs="Times New Roman"/>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843A7">
            <w:pPr>
              <w:widowControl/>
              <w:spacing w:line="240" w:lineRule="auto"/>
              <w:ind w:firstLine="0" w:firstLineChars="0"/>
              <w:jc w:val="center"/>
              <w:rPr>
                <w:rFonts w:ascii="Times New Roman" w:hAnsi="Times New Roman" w:eastAsia="Times New Roman" w:cs="Times New Roman"/>
                <w:kern w:val="0"/>
                <w:sz w:val="20"/>
                <w:szCs w:val="20"/>
              </w:rPr>
            </w:pPr>
          </w:p>
        </w:tc>
      </w:tr>
      <w:tr w14:paraId="1B178844">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D693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BBD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系统接口</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474">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与城市多源数据中台接口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21FD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ABF91">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BEC34FE">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F272C">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27D">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系统接口</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5DB">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与共享（电）单车智慧监管系统接口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7745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B150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503E6993">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3E5D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EC19">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系统接口</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08AD">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与公交智能调度系统接口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04141">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0FA6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C445FE3">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7FFE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0423">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系统接口</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400D">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与线网（应急）指挥中心系统接口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EC01E">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C8B3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52F3045">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4823E">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4A7A">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相关支撑硬件</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395">
            <w:pPr>
              <w:widowControl/>
              <w:spacing w:line="240" w:lineRule="auto"/>
              <w:ind w:firstLine="0" w:firstLineChars="0"/>
              <w:jc w:val="left"/>
              <w:rPr>
                <w:rFonts w:hint="eastAsia" w:ascii="宋体" w:hAnsi="宋体" w:eastAsia="宋体" w:cs="宋体"/>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AEA88">
            <w:pPr>
              <w:widowControl/>
              <w:spacing w:line="240" w:lineRule="auto"/>
              <w:ind w:firstLine="0" w:firstLineChars="0"/>
              <w:jc w:val="left"/>
              <w:rPr>
                <w:rFonts w:ascii="Times New Roman" w:hAnsi="Times New Roman" w:eastAsia="Times New Roman" w:cs="Times New Roman"/>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872FB">
            <w:pPr>
              <w:widowControl/>
              <w:spacing w:line="240" w:lineRule="auto"/>
              <w:ind w:firstLine="0" w:firstLineChars="0"/>
              <w:jc w:val="left"/>
              <w:rPr>
                <w:rFonts w:ascii="Times New Roman" w:hAnsi="Times New Roman" w:eastAsia="Times New Roman" w:cs="Times New Roman"/>
                <w:kern w:val="0"/>
                <w:sz w:val="20"/>
                <w:szCs w:val="20"/>
              </w:rPr>
            </w:pPr>
          </w:p>
        </w:tc>
      </w:tr>
      <w:tr w14:paraId="0BF0B8B7">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A2F8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A368">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工作站（含显示器）</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E3BD">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FB935">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CEC3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3435BDCF">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AF8B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185D">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智能KVM输入节点</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F6B">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8348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B36B1">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2B24ECAD">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6B102">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0D90">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智能KVM输出节点</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3474">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CB0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E7340">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2D2F5D3D">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2D72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4A8">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交换机</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4D1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4A0BF">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F6E8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0727EF73">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1BC0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6D4C">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云平台存储服务器</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735C">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575F6">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44ED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4F37CA7">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E473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A274">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云平台存储资源扩容</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07E0">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E7F32">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A992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3025C50">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3614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3C12">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千兆防火墙</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35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92F42">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513CF">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462404EA">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05881">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1FE2">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入侵检测</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3B6C">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详见3.2.5.2硬件资源需求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EF24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02E7B">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568F2459">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51F52">
            <w:pPr>
              <w:widowControl/>
              <w:spacing w:line="240" w:lineRule="auto"/>
              <w:ind w:firstLine="0" w:firstLineChars="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BE3">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设备施工安装</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4F4E">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含设备安装、配套线缆敷设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AD41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7669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0F879EFA">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1C57D">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BBC52">
            <w:pPr>
              <w:widowControl/>
              <w:spacing w:line="240" w:lineRule="auto"/>
              <w:ind w:firstLine="0" w:firstLineChars="0"/>
              <w:jc w:val="center"/>
              <w:rPr>
                <w:rFonts w:hint="eastAsia" w:ascii="宋体" w:hAnsi="宋体" w:eastAsia="宋体" w:cs="宋体"/>
                <w:b/>
                <w:bCs/>
                <w:kern w:val="0"/>
                <w:sz w:val="22"/>
              </w:rPr>
            </w:pPr>
            <w:r>
              <w:rPr>
                <w:rFonts w:hint="eastAsia" w:ascii="宋体" w:hAnsi="宋体" w:eastAsia="宋体" w:cs="宋体"/>
                <w:b/>
                <w:bCs/>
                <w:kern w:val="0"/>
                <w:sz w:val="22"/>
              </w:rPr>
              <w:t>公交智能调度系统升级改造</w:t>
            </w:r>
          </w:p>
        </w:tc>
      </w:tr>
      <w:tr w14:paraId="79B1775A">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1DF8A">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3DB3">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客流仿真统计预测模块</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535">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实时客流分析、时间客流分析、客流特征分析、客流排班；详见系统建设需求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4F66C">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1B0EF">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9CEB36B">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B605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697E">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线网实时运行监测与分析模块</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7CE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实时路况分析、预测到站时间、动态调度优化、线网路况大屏； 详见系统建设需求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8B542">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DBCC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7FE3696">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F5F61">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143">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协同地铁调度模块</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FD3">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双网运行大屏、应急接驳预案、应急接驳调度；详见系统建设需求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902F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202B">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5222549E">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FA9F5">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8E06">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车辆运行监控与分析模块</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23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车辆监控、故障告警、驾驶安全、能耗管理、数据可视化；详见系统建设需求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EFE7A">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0CCA0">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41BC095">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F49DF">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07CE">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配套服务器要求</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922">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在邕城现有机房上进行扩容物理服务器；详见3.3.6配套服务器要求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8B92B">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56DA">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14:paraId="2EEA16E0">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5BB16">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D2C">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CAN数据采集终端</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16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采集车辆CAN数据，详见CAN数据采集终端要求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2D8C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F3FE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r>
      <w:tr w14:paraId="000408F4">
        <w:tblPrEx>
          <w:tblCellMar>
            <w:top w:w="0" w:type="dxa"/>
            <w:left w:w="108" w:type="dxa"/>
            <w:bottom w:w="0" w:type="dxa"/>
            <w:right w:w="108" w:type="dxa"/>
          </w:tblCellMar>
        </w:tblPrEx>
        <w:trPr>
          <w:trHeight w:val="28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E706A">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5A94">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CAN数据采集终端安装</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03B9">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1、设备接电安装，隐藏布线，线材、线槽等辅材；</w:t>
            </w:r>
          </w:p>
          <w:p w14:paraId="52507739">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2、完成设备数据采集和录入、现场安装、调试等；</w:t>
            </w:r>
          </w:p>
          <w:p w14:paraId="73B1EF4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3、完成与设备相关运营系统的采集和录入、设备与系统的联调、数据；</w:t>
            </w:r>
          </w:p>
          <w:p w14:paraId="3F8ED32B">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4、备品备件(按本节CAN数据采集终端所列设备报价总</w:t>
            </w:r>
            <w:r>
              <w:rPr>
                <w:rFonts w:ascii="宋体" w:hAnsi="宋体" w:eastAsia="宋体" w:cs="宋体"/>
                <w:kern w:val="0"/>
                <w:sz w:val="21"/>
                <w:szCs w:val="21"/>
              </w:rPr>
              <w:t>额的3%计取</w:t>
            </w:r>
            <w:r>
              <w:rPr>
                <w:rFonts w:hint="eastAsia" w:ascii="宋体" w:hAnsi="宋体" w:eastAsia="宋体" w:cs="宋体"/>
                <w:kern w:val="0"/>
                <w:sz w:val="21"/>
                <w:szCs w:val="21"/>
              </w:rPr>
              <w:t>)</w:t>
            </w:r>
          </w:p>
          <w:p w14:paraId="120D65F0">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现场安装实施，达到正常调度运行、可验收状态。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9897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CEDA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D513506">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665D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四</w:t>
            </w:r>
          </w:p>
        </w:tc>
        <w:tc>
          <w:tcPr>
            <w:tcW w:w="7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D1CF4">
            <w:pPr>
              <w:widowControl/>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共享（电）单车智慧监管系统一期</w:t>
            </w:r>
          </w:p>
        </w:tc>
      </w:tr>
      <w:tr w14:paraId="6A53D5E8">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D6F0C">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2FF3">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信息采集设备</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0030">
            <w:pPr>
              <w:widowControl/>
              <w:spacing w:line="240" w:lineRule="auto"/>
              <w:ind w:firstLine="0" w:firstLineChars="0"/>
              <w:jc w:val="left"/>
              <w:rPr>
                <w:rFonts w:hint="eastAsia" w:ascii="宋体" w:hAnsi="宋体" w:eastAsia="宋体" w:cs="宋体"/>
                <w:kern w:val="0"/>
                <w:sz w:val="21"/>
                <w:szCs w:val="21"/>
              </w:rPr>
            </w:pPr>
            <w:r>
              <w:rPr>
                <w:rFonts w:ascii="宋体" w:hAnsi="宋体" w:eastAsia="宋体" w:cs="宋体"/>
                <w:kern w:val="0"/>
                <w:sz w:val="21"/>
                <w:szCs w:val="21"/>
              </w:rPr>
              <w:t>详见3.</w:t>
            </w:r>
            <w:r>
              <w:rPr>
                <w:rFonts w:hint="eastAsia" w:ascii="宋体" w:hAnsi="宋体" w:eastAsia="宋体" w:cs="宋体"/>
                <w:kern w:val="0"/>
                <w:sz w:val="21"/>
                <w:szCs w:val="21"/>
              </w:rPr>
              <w:t>4</w:t>
            </w:r>
            <w:r>
              <w:rPr>
                <w:rFonts w:ascii="宋体" w:hAnsi="宋体" w:eastAsia="宋体" w:cs="宋体"/>
                <w:kern w:val="0"/>
                <w:sz w:val="21"/>
                <w:szCs w:val="21"/>
              </w:rPr>
              <w:t>.</w:t>
            </w:r>
            <w:r>
              <w:rPr>
                <w:rFonts w:hint="eastAsia" w:ascii="宋体" w:hAnsi="宋体" w:eastAsia="宋体" w:cs="宋体"/>
                <w:kern w:val="0"/>
                <w:sz w:val="21"/>
                <w:szCs w:val="21"/>
              </w:rPr>
              <w:t>3硬件支撑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D35C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0F72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r>
      <w:tr w14:paraId="136BFD28">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1D80F">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A732">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监控摄像头+视频传输流量费用（1年流量费）</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9D1">
            <w:pPr>
              <w:widowControl/>
              <w:spacing w:line="240" w:lineRule="auto"/>
              <w:ind w:firstLine="0" w:firstLineChars="0"/>
              <w:jc w:val="left"/>
              <w:rPr>
                <w:rFonts w:hint="eastAsia" w:ascii="宋体" w:hAnsi="宋体" w:eastAsia="宋体" w:cs="宋体"/>
                <w:kern w:val="0"/>
                <w:sz w:val="21"/>
                <w:szCs w:val="21"/>
              </w:rPr>
            </w:pPr>
            <w:r>
              <w:rPr>
                <w:rFonts w:ascii="宋体" w:hAnsi="宋体" w:eastAsia="宋体" w:cs="宋体"/>
                <w:kern w:val="0"/>
                <w:sz w:val="21"/>
                <w:szCs w:val="21"/>
              </w:rPr>
              <w:t>详见3.</w:t>
            </w:r>
            <w:r>
              <w:rPr>
                <w:rFonts w:hint="eastAsia" w:ascii="宋体" w:hAnsi="宋体" w:eastAsia="宋体" w:cs="宋体"/>
                <w:kern w:val="0"/>
                <w:sz w:val="21"/>
                <w:szCs w:val="21"/>
              </w:rPr>
              <w:t>4</w:t>
            </w:r>
            <w:r>
              <w:rPr>
                <w:rFonts w:ascii="宋体" w:hAnsi="宋体" w:eastAsia="宋体" w:cs="宋体"/>
                <w:kern w:val="0"/>
                <w:sz w:val="21"/>
                <w:szCs w:val="21"/>
              </w:rPr>
              <w:t>.</w:t>
            </w:r>
            <w:r>
              <w:rPr>
                <w:rFonts w:hint="eastAsia" w:ascii="宋体" w:hAnsi="宋体" w:eastAsia="宋体" w:cs="宋体"/>
                <w:kern w:val="0"/>
                <w:sz w:val="21"/>
                <w:szCs w:val="21"/>
              </w:rPr>
              <w:t>3硬件支撑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BA38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D33C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r>
      <w:tr w14:paraId="3662A915">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6C3F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03E">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AI算法开发</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B4E">
            <w:pPr>
              <w:widowControl/>
              <w:spacing w:line="240" w:lineRule="auto"/>
              <w:ind w:firstLine="0" w:firstLineChars="0"/>
              <w:jc w:val="left"/>
              <w:rPr>
                <w:rFonts w:hint="eastAsia" w:ascii="宋体" w:hAnsi="宋体" w:eastAsia="宋体" w:cs="宋体"/>
                <w:kern w:val="0"/>
                <w:sz w:val="21"/>
                <w:szCs w:val="21"/>
              </w:rPr>
            </w:pPr>
            <w:r>
              <w:rPr>
                <w:rFonts w:ascii="宋体" w:hAnsi="宋体" w:eastAsia="宋体" w:cs="宋体"/>
                <w:kern w:val="0"/>
                <w:sz w:val="21"/>
                <w:szCs w:val="21"/>
              </w:rPr>
              <w:t>详见3.</w:t>
            </w:r>
            <w:r>
              <w:rPr>
                <w:rFonts w:hint="eastAsia" w:ascii="宋体" w:hAnsi="宋体" w:eastAsia="宋体" w:cs="宋体"/>
                <w:kern w:val="0"/>
                <w:sz w:val="21"/>
                <w:szCs w:val="21"/>
              </w:rPr>
              <w:t>4</w:t>
            </w:r>
            <w:r>
              <w:rPr>
                <w:rFonts w:ascii="宋体" w:hAnsi="宋体" w:eastAsia="宋体" w:cs="宋体"/>
                <w:kern w:val="0"/>
                <w:sz w:val="21"/>
                <w:szCs w:val="21"/>
              </w:rPr>
              <w:t>.</w:t>
            </w:r>
            <w:r>
              <w:rPr>
                <w:rFonts w:hint="eastAsia" w:ascii="宋体" w:hAnsi="宋体" w:eastAsia="宋体" w:cs="宋体"/>
                <w:kern w:val="0"/>
                <w:sz w:val="21"/>
                <w:szCs w:val="21"/>
              </w:rPr>
              <w:t>3硬件支撑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5EC99">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CFB40">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A7AAD2E">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9DCB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BC8">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共享（电）单车智慧监管系统（电单车采集系统，电单车信息接入系统)及系统功能使用权</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F239">
            <w:pPr>
              <w:widowControl/>
              <w:spacing w:line="240" w:lineRule="auto"/>
              <w:ind w:firstLine="0" w:firstLineChars="0"/>
              <w:jc w:val="left"/>
              <w:rPr>
                <w:rFonts w:hint="eastAsia" w:ascii="宋体" w:hAnsi="宋体" w:eastAsia="宋体" w:cs="宋体"/>
                <w:kern w:val="0"/>
                <w:sz w:val="21"/>
                <w:szCs w:val="21"/>
              </w:rPr>
            </w:pPr>
            <w:r>
              <w:rPr>
                <w:rFonts w:ascii="宋体" w:hAnsi="宋体" w:eastAsia="宋体" w:cs="宋体"/>
                <w:kern w:val="0"/>
                <w:sz w:val="21"/>
                <w:szCs w:val="21"/>
              </w:rPr>
              <w:t>详见3.</w:t>
            </w:r>
            <w:r>
              <w:rPr>
                <w:rFonts w:hint="eastAsia" w:ascii="宋体" w:hAnsi="宋体" w:eastAsia="宋体" w:cs="宋体"/>
                <w:kern w:val="0"/>
                <w:sz w:val="21"/>
                <w:szCs w:val="21"/>
              </w:rPr>
              <w:t>4</w:t>
            </w:r>
            <w:r>
              <w:rPr>
                <w:rFonts w:ascii="宋体" w:hAnsi="宋体" w:eastAsia="宋体" w:cs="宋体"/>
                <w:kern w:val="0"/>
                <w:sz w:val="21"/>
                <w:szCs w:val="21"/>
              </w:rPr>
              <w:t>.</w:t>
            </w:r>
            <w:r>
              <w:rPr>
                <w:rFonts w:hint="eastAsia" w:ascii="宋体" w:hAnsi="宋体" w:eastAsia="宋体" w:cs="宋体"/>
                <w:kern w:val="0"/>
                <w:sz w:val="21"/>
                <w:szCs w:val="21"/>
              </w:rPr>
              <w:t>2功能要求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FA077">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106AD">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40356F7">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0EC38">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五</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3BF7">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系统软件测评</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D555">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进行第三方测评，评测报告作为项目验收依据。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38124">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81A5F">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1EB6ED7">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398EF">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DCA2">
            <w:pPr>
              <w:widowControl/>
              <w:spacing w:line="240" w:lineRule="auto"/>
              <w:ind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网络专线</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8BCE">
            <w:pPr>
              <w:widowControl/>
              <w:spacing w:line="240" w:lineRule="auto"/>
              <w:ind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城轨与公交协同调度指挥系统与公交智能调度系统接口</w:t>
            </w:r>
            <w:r>
              <w:rPr>
                <w:rFonts w:hint="eastAsia" w:ascii="宋体" w:hAnsi="宋体" w:eastAsia="宋体" w:cs="宋体"/>
                <w:kern w:val="0"/>
                <w:sz w:val="21"/>
                <w:szCs w:val="21"/>
                <w:lang w:val="en-US" w:eastAsia="zh-CN"/>
              </w:rPr>
              <w:t>点对点网络专线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1D96E">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9C9D6">
            <w:pPr>
              <w:widowControl/>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14:paraId="1CF3C4F5">
        <w:tblPrEx>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85643">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40A5">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培训及售后服务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FAF6">
            <w:pPr>
              <w:widowControl/>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培训、质保及和售后服务。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96405">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95FCE">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bl>
    <w:p w14:paraId="369E2B19">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供货要求</w:t>
      </w:r>
    </w:p>
    <w:p w14:paraId="0C6903A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本工程的供货范围包含系统设计、业务流程设计、软件开发、接口设计、接口服务、设备供货、运输、仓储、设备安装、系统调试、联调、测试与检验、培训、文件提供、质保服务等工作。</w:t>
      </w:r>
    </w:p>
    <w:p w14:paraId="048C472A">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集成服务要求</w:t>
      </w:r>
    </w:p>
    <w:p w14:paraId="47F8A6B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负责编写本次项目的集成方案。中标人必须根据本次集成的所有软硬件情况，遵循最终用确定的技术方案、规划或框架，遵守用户组织的内、外部合规性要求；参照有关安全管理规范及信息安全管理条例，根据最终用户的应用需求、场地、公交车情况以及中标设备情况等组织各厂商或集成实施服务商制定编写详细的集成方案。并根据最终用户的审核意见对集成方案进行修订。</w:t>
      </w:r>
    </w:p>
    <w:p w14:paraId="53EA69A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负责项目的软硬件集成工作。系统集成服务的内容包括但不限于：中标人对本项目涉及的系统运行所需的软硬件进行系统集成，包括新设备之间的连接，组织完成系统联调测试，配合最终用户完成系统投产使用。</w:t>
      </w:r>
    </w:p>
    <w:p w14:paraId="741FFE4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负责组织应用联调及配合测试，应完成包括但不限于以下工作：组织各软硬件设备厂商，配合应用开发方进行应用联调，配合业务测试及接入测试，以及在应用部署完成后进行系统运行的健壮性测试，并对联调及测试中出现的各类问题及时应对解决。</w:t>
      </w:r>
    </w:p>
    <w:p w14:paraId="2737050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负责配合最终投产准备工作，应完成包括但不限于以下工作：准备系统上线所需的环境手册、应急方案、网络割接方案、回退方案等，组织各软硬件设备厂商，进行现场支持，保障系统上线的平稳进行。系统正式投产上线后，中标人须保证系统在试运行期内稳定运行，必要时进行现场支持，在发现的问题和解决方法必须及时补充到集成方案中。在集成及试运行过程中，若对集成方案和工程实施方案有调整的，应配合最终用户做好方案的版本控制。</w:t>
      </w:r>
    </w:p>
    <w:p w14:paraId="15A78B8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中标人应根据最终用户的要求负责协调沟通本项目涉及硬件设备、通用软件的原厂商。</w:t>
      </w:r>
    </w:p>
    <w:p w14:paraId="4536830B">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项目管理要求</w:t>
      </w:r>
    </w:p>
    <w:p w14:paraId="30495A2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次项目要求中标单位选派具有丰富交通行业信息化工程经验的项目经理和对应专业技术的工程师，结合其在项目管理、应用软件开发与安防设备安装实施方面的经验，提出较详细的项目实施计划，制订软硬件系统需求调研、系统分析和开发、实施、试运行、正式运行、验收等各项规范。</w:t>
      </w:r>
    </w:p>
    <w:p w14:paraId="6E37CB9F">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系统调试</w:t>
      </w:r>
    </w:p>
    <w:p w14:paraId="715F01A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调试工作是整个系统完成的最后技术阶段，也是技术性强、环节复杂、易出现各种问题的阶段。</w:t>
      </w:r>
    </w:p>
    <w:p w14:paraId="3B726898">
      <w:pPr>
        <w:spacing w:line="360" w:lineRule="auto"/>
        <w:ind w:firstLine="480" w:firstLineChars="200"/>
        <w:rPr>
          <w:rFonts w:hint="eastAsia" w:ascii="等线" w:hAnsi="等线" w:eastAsia="宋体" w:cs="Times New Roman"/>
          <w:sz w:val="24"/>
        </w:rPr>
      </w:pPr>
      <w:r>
        <w:rPr>
          <w:rFonts w:hint="eastAsia" w:ascii="等线" w:hAnsi="等线" w:eastAsia="宋体" w:cs="Times New Roman"/>
          <w:sz w:val="24"/>
        </w:rPr>
        <w:t>要求中标人：</w:t>
      </w:r>
    </w:p>
    <w:p w14:paraId="71F611D3">
      <w:pPr>
        <w:spacing w:line="360" w:lineRule="auto"/>
        <w:ind w:firstLine="480" w:firstLineChars="200"/>
        <w:rPr>
          <w:rFonts w:hint="eastAsia" w:ascii="宋体" w:hAnsi="宋体" w:eastAsia="宋体" w:cs="Times New Roman"/>
          <w:sz w:val="24"/>
        </w:rPr>
      </w:pPr>
      <w:r>
        <w:rPr>
          <w:rFonts w:ascii="宋体" w:hAnsi="宋体" w:eastAsia="宋体" w:cs="Times New Roman"/>
          <w:sz w:val="24"/>
        </w:rPr>
        <w:t>1. 对单项设备进行调试，确保单项产品质量过关；</w:t>
      </w:r>
    </w:p>
    <w:p w14:paraId="42CBE6EF">
      <w:pPr>
        <w:spacing w:line="360" w:lineRule="auto"/>
        <w:ind w:firstLine="480" w:firstLineChars="200"/>
        <w:rPr>
          <w:rFonts w:hint="eastAsia" w:ascii="宋体" w:hAnsi="宋体" w:eastAsia="宋体" w:cs="Times New Roman"/>
          <w:sz w:val="24"/>
        </w:rPr>
      </w:pPr>
      <w:r>
        <w:rPr>
          <w:rFonts w:ascii="宋体" w:hAnsi="宋体" w:eastAsia="宋体" w:cs="Times New Roman"/>
          <w:sz w:val="24"/>
        </w:rPr>
        <w:t>2. 对分系统进行调试，确保各分系统安全可靠运行；</w:t>
      </w:r>
    </w:p>
    <w:p w14:paraId="4D49A967">
      <w:pPr>
        <w:spacing w:line="360" w:lineRule="auto"/>
        <w:ind w:firstLine="480" w:firstLineChars="200"/>
        <w:rPr>
          <w:rFonts w:hint="eastAsia" w:ascii="宋体" w:hAnsi="宋体" w:eastAsia="宋体" w:cs="Times New Roman"/>
          <w:sz w:val="24"/>
        </w:rPr>
      </w:pPr>
      <w:r>
        <w:rPr>
          <w:rFonts w:ascii="宋体" w:hAnsi="宋体" w:eastAsia="宋体" w:cs="Times New Roman"/>
          <w:sz w:val="24"/>
        </w:rPr>
        <w:t>3. 整个系统联调，确保工程顺利完工，在测试中出现问题及时查找问题之所在，迅速及时地解决。</w:t>
      </w:r>
    </w:p>
    <w:p w14:paraId="2E8E3436">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系统试运行</w:t>
      </w:r>
    </w:p>
    <w:p w14:paraId="0E54DB29">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试验运行包括下面以下内容：</w:t>
      </w:r>
    </w:p>
    <w:p w14:paraId="51EAD165">
      <w:pPr>
        <w:spacing w:line="360" w:lineRule="auto"/>
        <w:ind w:firstLine="480" w:firstLineChars="200"/>
        <w:rPr>
          <w:rFonts w:hint="default" w:ascii="宋体" w:hAnsi="宋体" w:eastAsia="宋体" w:cs="Times New Roman"/>
          <w:sz w:val="24"/>
        </w:rPr>
      </w:pPr>
      <w:r>
        <w:rPr>
          <w:rFonts w:ascii="宋体" w:hAnsi="宋体" w:eastAsia="宋体" w:cs="Times New Roman"/>
          <w:sz w:val="24"/>
        </w:rPr>
        <w:t>1. 系统试运行时间为</w:t>
      </w:r>
      <w:r>
        <w:rPr>
          <w:rFonts w:hint="default" w:ascii="宋体" w:hAnsi="宋体" w:eastAsia="宋体" w:cs="Times New Roman"/>
          <w:sz w:val="24"/>
        </w:rPr>
        <w:t>1</w:t>
      </w:r>
      <w:r>
        <w:rPr>
          <w:rFonts w:ascii="宋体" w:hAnsi="宋体" w:eastAsia="宋体" w:cs="Times New Roman"/>
          <w:sz w:val="24"/>
        </w:rPr>
        <w:t>个月。</w:t>
      </w:r>
    </w:p>
    <w:p w14:paraId="632E0644">
      <w:pPr>
        <w:spacing w:line="360" w:lineRule="auto"/>
        <w:ind w:firstLine="480" w:firstLineChars="200"/>
        <w:rPr>
          <w:rFonts w:hint="default" w:ascii="宋体" w:hAnsi="宋体" w:eastAsia="宋体" w:cs="Times New Roman"/>
          <w:sz w:val="24"/>
        </w:rPr>
      </w:pPr>
      <w:r>
        <w:rPr>
          <w:rFonts w:ascii="宋体" w:hAnsi="宋体" w:eastAsia="宋体" w:cs="Times New Roman"/>
          <w:sz w:val="24"/>
        </w:rPr>
        <w:t>2. 在试运行开始日期之前，中标人应向采购人提供能证明系统联调成功、可正常运行的所有测量数据和资料。</w:t>
      </w:r>
    </w:p>
    <w:p w14:paraId="2263460B">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验收</w:t>
      </w:r>
    </w:p>
    <w:p w14:paraId="2A3870AC">
      <w:pPr>
        <w:spacing w:line="360" w:lineRule="auto"/>
        <w:ind w:firstLine="480" w:firstLineChars="200"/>
        <w:rPr>
          <w:rFonts w:hint="default" w:ascii="宋体" w:hAnsi="宋体" w:eastAsia="宋体" w:cs="Times New Roman"/>
          <w:sz w:val="24"/>
        </w:rPr>
      </w:pPr>
      <w:r>
        <w:rPr>
          <w:rFonts w:ascii="宋体" w:hAnsi="宋体" w:eastAsia="宋体" w:cs="Times New Roman"/>
          <w:sz w:val="24"/>
        </w:rPr>
        <w:t>1. 设备到货验收</w:t>
      </w:r>
    </w:p>
    <w:p w14:paraId="62179284">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w:t>
      </w:r>
      <w:r>
        <w:rPr>
          <w:rFonts w:ascii="宋体" w:hAnsi="宋体" w:eastAsia="宋体" w:cs="Times New Roman"/>
          <w:sz w:val="24"/>
        </w:rPr>
        <w:t>1）设备到货验收由项目管理、监理单位组织，采购人和中标人派人员参加。</w:t>
      </w:r>
    </w:p>
    <w:p w14:paraId="15924B34">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w:t>
      </w:r>
      <w:r>
        <w:rPr>
          <w:rFonts w:ascii="宋体" w:hAnsi="宋体" w:eastAsia="宋体" w:cs="Times New Roman"/>
          <w:sz w:val="24"/>
        </w:rPr>
        <w:t>2）设备到货验收前，中标人应提供材料设备清单、设备原厂证明、产品检测报告、产品合格证、材料自检证明等资料。</w:t>
      </w:r>
    </w:p>
    <w:p w14:paraId="62E6D068">
      <w:pPr>
        <w:spacing w:line="360" w:lineRule="auto"/>
        <w:ind w:firstLine="480" w:firstLineChars="200"/>
        <w:rPr>
          <w:rFonts w:hint="default" w:ascii="宋体" w:hAnsi="宋体" w:eastAsia="宋体" w:cs="Times New Roman"/>
          <w:sz w:val="24"/>
        </w:rPr>
      </w:pPr>
      <w:r>
        <w:rPr>
          <w:rFonts w:ascii="宋体" w:hAnsi="宋体" w:eastAsia="宋体" w:cs="Times New Roman"/>
          <w:sz w:val="24"/>
        </w:rPr>
        <w:t>2. 项目竣工验收</w:t>
      </w:r>
    </w:p>
    <w:p w14:paraId="370C2E59">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投标人须在投标文件中详细提出测试方案、验收方案，在工程实施过程中，中标人需要细化测试方案并与用户讨论通过后，方可按计划进行测试。</w:t>
      </w:r>
    </w:p>
    <w:p w14:paraId="4D43752E">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在软件开发过程中，中标人应按照软件开发要求形成全面详尽的技术资料，包括可运行的程序及技术文档等（包含软件验收后调整和补充的项目成果和资料），确保技术资料的一致性和完整性。</w:t>
      </w:r>
    </w:p>
    <w:p w14:paraId="0D659C68">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包括：</w:t>
      </w:r>
    </w:p>
    <w:p w14:paraId="34D57D45">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准备阶段：《软件开发计划》</w:t>
      </w:r>
    </w:p>
    <w:p w14:paraId="43979D74">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需求分析阶段：《软件需求说明书》、《软件需求确认书》</w:t>
      </w:r>
    </w:p>
    <w:p w14:paraId="3157D51D">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设计阶段：《系统设计说明书》</w:t>
      </w:r>
    </w:p>
    <w:p w14:paraId="7ACC5FF6">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测试阶段：《测试计划》、《测试报告》</w:t>
      </w:r>
    </w:p>
    <w:p w14:paraId="5D6EB5D9">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交付使用：《用户操作手册》《用户维护手册》</w:t>
      </w:r>
    </w:p>
    <w:p w14:paraId="24F88930">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其他文档：项目建设方认为必要的其他文档</w:t>
      </w:r>
    </w:p>
    <w:p w14:paraId="547C487B">
      <w:pPr>
        <w:spacing w:line="360" w:lineRule="auto"/>
        <w:ind w:firstLine="480" w:firstLineChars="200"/>
        <w:rPr>
          <w:rFonts w:hint="default" w:ascii="宋体" w:hAnsi="宋体" w:eastAsia="宋体" w:cs="Times New Roman"/>
          <w:sz w:val="24"/>
        </w:rPr>
      </w:pPr>
      <w:r>
        <w:rPr>
          <w:rFonts w:hint="default" w:ascii="宋体" w:hAnsi="宋体" w:eastAsia="宋体" w:cs="Times New Roman"/>
          <w:sz w:val="24"/>
        </w:rPr>
        <w:t>所有的技术文件必须用中文书写，项目交付时，以上技术资料均须交付给招标人。</w:t>
      </w:r>
    </w:p>
    <w:p w14:paraId="3B422BB9">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培训要求</w:t>
      </w:r>
    </w:p>
    <w:p w14:paraId="008F139D">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培训目标</w:t>
      </w:r>
    </w:p>
    <w:p w14:paraId="6A663AB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为保证项目顺利实施、平台正常运行、后续应用推广，相关人员必须进行专业的培训。</w:t>
      </w:r>
    </w:p>
    <w:p w14:paraId="38033C0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运行维护技术人员经过培训应能进行日常设备运行维护工作，掌握软件、硬件的操作，熟悉硬件基本功能。能熟练地分析软件、硬件信息等工作，并能有效的组织、开展业务应用能力。</w:t>
      </w:r>
    </w:p>
    <w:p w14:paraId="21D2FFC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管理人员经培训后，应能负责全面的技术管理工作，了解系统建设的过程，系统功能及未来建设的规划。</w:t>
      </w:r>
    </w:p>
    <w:p w14:paraId="6F80546A">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培训要求</w:t>
      </w:r>
    </w:p>
    <w:p w14:paraId="6E5F45D5">
      <w:pPr>
        <w:widowControl/>
        <w:numPr>
          <w:ilvl w:val="0"/>
          <w:numId w:val="41"/>
        </w:numPr>
        <w:spacing w:line="360" w:lineRule="auto"/>
        <w:ind w:left="840" w:hanging="36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项目培训</w:t>
      </w:r>
      <w:r>
        <w:rPr>
          <w:rFonts w:hint="eastAsia" w:ascii="Times New Roman" w:hAnsi="Times New Roman" w:eastAsia="宋体" w:cs="Times New Roman"/>
          <w:kern w:val="2"/>
          <w:sz w:val="24"/>
          <w:szCs w:val="20"/>
          <w:lang w:val="en-US" w:eastAsia="zh-CN" w:bidi="ar-SA"/>
        </w:rPr>
        <w:t>计划</w:t>
      </w:r>
    </w:p>
    <w:p w14:paraId="56A6C3B9">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中标人应向采购人提供培训计划，并交由采购人确认。</w:t>
      </w:r>
    </w:p>
    <w:p w14:paraId="4284BC6A">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培训计划应包括：</w:t>
      </w:r>
    </w:p>
    <w:p w14:paraId="5F29ED3A">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培训的课程（包括理论课和实践课）；</w:t>
      </w:r>
    </w:p>
    <w:p w14:paraId="474BBC8E">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培训的目标；</w:t>
      </w:r>
    </w:p>
    <w:p w14:paraId="5CFE5EA7">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培训开始时间和结束时间；</w:t>
      </w:r>
    </w:p>
    <w:p w14:paraId="51AC0949">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使用的培训设施；</w:t>
      </w:r>
    </w:p>
    <w:p w14:paraId="4C1E77D1">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培训的材料和文件；</w:t>
      </w:r>
    </w:p>
    <w:p w14:paraId="768D763C">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受训人员的要求；</w:t>
      </w:r>
    </w:p>
    <w:p w14:paraId="3238B9D4">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培训地点；</w:t>
      </w:r>
    </w:p>
    <w:p w14:paraId="22B100EE">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授课人员的姓名及职称；</w:t>
      </w:r>
    </w:p>
    <w:p w14:paraId="53F72516">
      <w:pPr>
        <w:widowControl/>
        <w:spacing w:line="360" w:lineRule="auto"/>
        <w:ind w:left="840" w:firstLine="0" w:firstLineChars="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ab/>
      </w:r>
      <w:r>
        <w:rPr>
          <w:rFonts w:ascii="Times New Roman" w:hAnsi="Times New Roman" w:eastAsia="宋体" w:cs="Times New Roman"/>
          <w:kern w:val="2"/>
          <w:sz w:val="24"/>
          <w:szCs w:val="20"/>
          <w:lang w:val="en-US" w:eastAsia="zh-CN" w:bidi="ar-SA"/>
        </w:rPr>
        <w:t>课程效果的评估方法。</w:t>
      </w:r>
    </w:p>
    <w:p w14:paraId="4998965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本项目集中培训不少于</w:t>
      </w:r>
      <w:r>
        <w:rPr>
          <w:rFonts w:ascii="Times New Roman" w:hAnsi="Times New Roman" w:eastAsia="宋体" w:cs="Times New Roman"/>
          <w:kern w:val="2"/>
          <w:sz w:val="24"/>
          <w:szCs w:val="20"/>
          <w:lang w:val="en-US" w:eastAsia="zh-CN" w:bidi="ar-SA"/>
        </w:rPr>
        <w:t>2两次</w:t>
      </w:r>
      <w:r>
        <w:rPr>
          <w:rFonts w:hint="eastAsia" w:ascii="Times New Roman" w:hAnsi="Times New Roman" w:eastAsia="宋体" w:cs="Times New Roman"/>
          <w:kern w:val="2"/>
          <w:sz w:val="24"/>
          <w:szCs w:val="20"/>
          <w:lang w:val="en-US" w:eastAsia="zh-CN" w:bidi="ar-SA"/>
        </w:rPr>
        <w:t>。</w:t>
      </w:r>
    </w:p>
    <w:p w14:paraId="6C0F227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2、培训内容应至少包含：</w:t>
      </w:r>
    </w:p>
    <w:p w14:paraId="73946721">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为保证项目顺利实施、 平台正常运行、后续应用推广，相关人员必须进行专业的培</w:t>
      </w:r>
      <w:r>
        <w:rPr>
          <w:rFonts w:hint="eastAsia" w:ascii="Times New Roman" w:hAnsi="Times New Roman" w:eastAsia="宋体" w:cs="Times New Roman"/>
          <w:kern w:val="2"/>
          <w:sz w:val="24"/>
          <w:szCs w:val="20"/>
          <w:lang w:val="en-US" w:eastAsia="zh-CN" w:bidi="ar-SA"/>
        </w:rPr>
        <w:t>训。</w:t>
      </w:r>
    </w:p>
    <w:p w14:paraId="22B1D3E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运行维护技术人员经过培训应能进行日常设备运行维护工作，掌握软件、硬件的操作，熟悉硬件基本功能。能熟练地分析软件、硬件信息等工作，并能有效的组织、开展业务应用能力。</w:t>
      </w:r>
    </w:p>
    <w:p w14:paraId="48E7FCB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管理人员经培训后，应能负责全面的技术管理工作，了解系统建设的过程，系统功能及未来建设的规划。</w:t>
      </w:r>
    </w:p>
    <w:p w14:paraId="2402724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设备使用人员、系统实际应用人员培训后，应能熟练掌握设备及系统的日常操作，确保顺利开展日常生产工作。</w:t>
      </w:r>
    </w:p>
    <w:p w14:paraId="4621D061">
      <w:pPr>
        <w:widowControl/>
        <w:spacing w:line="360" w:lineRule="auto"/>
        <w:ind w:firstLine="480" w:firstLineChars="200"/>
        <w:jc w:val="both"/>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招标人技术人员培训后能力达到专家水平，并取得行业内认可的认证证书，具体认证证书双方商议决定，费用包括在投标总价中。培训具体人周数可根据培训效果适当增加，具体人天数、次数双方商议决定，费用包括在投标总价中。</w:t>
      </w:r>
    </w:p>
    <w:p w14:paraId="6081A43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3、培训材料</w:t>
      </w:r>
    </w:p>
    <w:p w14:paraId="20E6EB5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系统培训文件和材料至少包括：</w:t>
      </w:r>
    </w:p>
    <w:p w14:paraId="4F8F4D1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1）系统原理图</w:t>
      </w:r>
    </w:p>
    <w:p w14:paraId="4A3E291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w:t>
      </w:r>
      <w:r>
        <w:rPr>
          <w:rFonts w:hint="eastAsia" w:ascii="Times New Roman" w:hAnsi="Times New Roman" w:eastAsia="宋体" w:cs="Times New Roman"/>
          <w:kern w:val="2"/>
          <w:sz w:val="24"/>
          <w:szCs w:val="20"/>
          <w:lang w:val="en-US" w:eastAsia="zh-CN" w:bidi="ar-SA"/>
        </w:rPr>
        <w:t>用户</w:t>
      </w:r>
      <w:r>
        <w:rPr>
          <w:rFonts w:ascii="Times New Roman" w:hAnsi="Times New Roman" w:eastAsia="宋体" w:cs="Times New Roman"/>
          <w:kern w:val="2"/>
          <w:sz w:val="24"/>
          <w:szCs w:val="20"/>
          <w:lang w:val="en-US" w:eastAsia="zh-CN" w:bidi="ar-SA"/>
        </w:rPr>
        <w:t>操作手册</w:t>
      </w:r>
    </w:p>
    <w:p w14:paraId="09F5175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3）系统维护手册</w:t>
      </w:r>
    </w:p>
    <w:p w14:paraId="7A7E237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4）其它本系统相关的技术资料</w:t>
      </w:r>
    </w:p>
    <w:p w14:paraId="28B8610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中标人应在培训实施前</w:t>
      </w:r>
      <w:r>
        <w:rPr>
          <w:rFonts w:ascii="Times New Roman" w:hAnsi="Times New Roman" w:eastAsia="宋体" w:cs="Times New Roman"/>
          <w:kern w:val="2"/>
          <w:sz w:val="24"/>
          <w:szCs w:val="20"/>
          <w:lang w:val="en-US" w:eastAsia="zh-CN" w:bidi="ar-SA"/>
        </w:rPr>
        <w:t>2周应向采购人提交培训材料，并由采购人确认。书面教材应保证培训人员每人一套。</w:t>
      </w:r>
    </w:p>
    <w:p w14:paraId="5BE915D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所有培训用材料应易拷贝，音像制品应能拷贝复制。</w:t>
      </w:r>
    </w:p>
    <w:p w14:paraId="020C90E5">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售后服务要求</w:t>
      </w:r>
    </w:p>
    <w:p w14:paraId="6C0C4E93">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售后服务人员保障</w:t>
      </w:r>
    </w:p>
    <w:p w14:paraId="3A8E6C9B">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中标人须在南宁本地设置服务机构。投标人须保证中标后</w:t>
      </w:r>
      <w:r>
        <w:rPr>
          <w:rFonts w:ascii="Times New Roman" w:hAnsi="Times New Roman" w:eastAsia="宋体" w:cs="Times New Roman"/>
          <w:kern w:val="2"/>
          <w:sz w:val="24"/>
          <w:szCs w:val="20"/>
          <w:lang w:val="en-US" w:eastAsia="zh-CN" w:bidi="ar-SA"/>
        </w:rPr>
        <w:t>30天内，</w:t>
      </w:r>
      <w:r>
        <w:rPr>
          <w:rFonts w:hint="eastAsia" w:ascii="Times New Roman" w:hAnsi="Times New Roman" w:eastAsia="宋体" w:cs="Times New Roman"/>
          <w:kern w:val="2"/>
          <w:sz w:val="24"/>
          <w:szCs w:val="20"/>
          <w:lang w:val="en-US" w:eastAsia="zh-CN" w:bidi="ar-SA"/>
        </w:rPr>
        <w:t>在南宁市</w:t>
      </w:r>
      <w:r>
        <w:rPr>
          <w:rFonts w:ascii="Times New Roman" w:hAnsi="Times New Roman" w:eastAsia="宋体" w:cs="Times New Roman"/>
          <w:kern w:val="2"/>
          <w:sz w:val="24"/>
          <w:szCs w:val="20"/>
          <w:lang w:val="en-US" w:eastAsia="zh-CN" w:bidi="ar-SA"/>
        </w:rPr>
        <w:t>租赁或</w:t>
      </w:r>
      <w:r>
        <w:rPr>
          <w:rFonts w:hint="eastAsia" w:ascii="Times New Roman" w:hAnsi="Times New Roman" w:eastAsia="宋体" w:cs="Times New Roman"/>
          <w:kern w:val="2"/>
          <w:sz w:val="24"/>
          <w:szCs w:val="20"/>
          <w:lang w:val="en-US" w:eastAsia="zh-CN" w:bidi="ar-SA"/>
        </w:rPr>
        <w:t>购置</w:t>
      </w:r>
      <w:r>
        <w:rPr>
          <w:rFonts w:ascii="Times New Roman" w:hAnsi="Times New Roman" w:eastAsia="宋体" w:cs="Times New Roman"/>
          <w:kern w:val="2"/>
          <w:sz w:val="24"/>
          <w:szCs w:val="20"/>
          <w:lang w:val="en-US" w:eastAsia="zh-CN" w:bidi="ar-SA"/>
        </w:rPr>
        <w:t>足够的办公场地</w:t>
      </w:r>
      <w:r>
        <w:rPr>
          <w:rFonts w:hint="eastAsia" w:ascii="Times New Roman" w:hAnsi="Times New Roman" w:eastAsia="宋体" w:cs="Times New Roman"/>
          <w:b/>
          <w:bCs/>
          <w:kern w:val="2"/>
          <w:sz w:val="24"/>
          <w:szCs w:val="20"/>
          <w:lang w:val="en-US" w:eastAsia="zh-CN" w:bidi="ar-SA"/>
        </w:rPr>
        <w:t>（提供承诺书）</w:t>
      </w:r>
      <w:r>
        <w:rPr>
          <w:rFonts w:ascii="Times New Roman" w:hAnsi="Times New Roman" w:eastAsia="宋体" w:cs="Times New Roman"/>
          <w:kern w:val="2"/>
          <w:sz w:val="24"/>
          <w:szCs w:val="20"/>
          <w:lang w:val="en-US" w:eastAsia="zh-CN" w:bidi="ar-SA"/>
        </w:rPr>
        <w:t>。投标人应对办公场所面积、库房设置、维护设施、运维人员安排等内容予以明确。投标人应还保证组建本地的运维团队。为保证及时处理现场故障保修，在系统开始运行后，运维团队应按</w:t>
      </w:r>
      <w:r>
        <w:rPr>
          <w:rFonts w:hint="eastAsia" w:ascii="Times New Roman" w:hAnsi="Times New Roman" w:eastAsia="宋体" w:cs="Times New Roman"/>
          <w:kern w:val="2"/>
          <w:sz w:val="24"/>
          <w:szCs w:val="20"/>
          <w:lang w:val="en-US" w:eastAsia="zh-CN" w:bidi="ar-SA"/>
        </w:rPr>
        <w:t>要求</w:t>
      </w:r>
      <w:r>
        <w:rPr>
          <w:rFonts w:ascii="Times New Roman" w:hAnsi="Times New Roman" w:eastAsia="宋体" w:cs="Times New Roman"/>
          <w:kern w:val="2"/>
          <w:sz w:val="24"/>
          <w:szCs w:val="20"/>
          <w:lang w:val="en-US" w:eastAsia="zh-CN" w:bidi="ar-SA"/>
        </w:rPr>
        <w:t>售后服务工程师。</w:t>
      </w:r>
      <w:r>
        <w:rPr>
          <w:rFonts w:hint="eastAsia" w:ascii="Times New Roman" w:hAnsi="Times New Roman" w:eastAsia="宋体" w:cs="Times New Roman"/>
          <w:kern w:val="2"/>
          <w:sz w:val="24"/>
          <w:szCs w:val="20"/>
          <w:lang w:val="en-US" w:eastAsia="zh-CN" w:bidi="ar-SA"/>
        </w:rPr>
        <w:t xml:space="preserve"> </w:t>
      </w:r>
    </w:p>
    <w:p w14:paraId="42295C7E">
      <w:pPr>
        <w:widowControl w:val="0"/>
        <w:numPr>
          <w:ilvl w:val="1"/>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售后服务内容</w:t>
      </w:r>
    </w:p>
    <w:p w14:paraId="66BD8B82">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总体要求</w:t>
      </w:r>
    </w:p>
    <w:p w14:paraId="364444D8">
      <w:pPr>
        <w:widowControl/>
        <w:spacing w:line="360" w:lineRule="auto"/>
        <w:ind w:firstLine="480" w:firstLineChars="200"/>
        <w:jc w:val="both"/>
        <w:rPr>
          <w:rFonts w:ascii="Times New Roman" w:hAnsi="Times New Roman" w:eastAsia="宋体" w:cs="Times New Roman"/>
          <w:b/>
          <w:bCs/>
          <w:kern w:val="2"/>
          <w:sz w:val="24"/>
          <w:szCs w:val="20"/>
          <w:lang w:val="en-US" w:eastAsia="zh-CN" w:bidi="ar-SA"/>
        </w:rPr>
      </w:pPr>
      <w:r>
        <w:rPr>
          <w:rFonts w:hint="eastAsia" w:ascii="Times New Roman" w:hAnsi="Times New Roman" w:eastAsia="宋体" w:cs="Times New Roman"/>
          <w:kern w:val="2"/>
          <w:sz w:val="24"/>
          <w:szCs w:val="20"/>
          <w:lang w:val="en-US" w:eastAsia="zh-CN" w:bidi="ar-SA"/>
        </w:rPr>
        <w:t>1、</w:t>
      </w:r>
      <w:r>
        <w:rPr>
          <w:rFonts w:ascii="Times New Roman" w:hAnsi="Times New Roman" w:eastAsia="宋体" w:cs="Times New Roman"/>
          <w:kern w:val="2"/>
          <w:sz w:val="24"/>
          <w:szCs w:val="20"/>
          <w:lang w:val="en-US" w:eastAsia="zh-CN" w:bidi="ar-SA"/>
        </w:rPr>
        <w:t>提供项目整体</w:t>
      </w:r>
      <w:r>
        <w:rPr>
          <w:rFonts w:hint="eastAsia" w:ascii="Times New Roman" w:hAnsi="Times New Roman" w:eastAsia="宋体" w:cs="Times New Roman"/>
          <w:b/>
          <w:bCs/>
          <w:kern w:val="2"/>
          <w:sz w:val="24"/>
          <w:szCs w:val="20"/>
          <w:lang w:val="en-US" w:eastAsia="zh-CN" w:bidi="ar-SA"/>
        </w:rPr>
        <w:t>一</w:t>
      </w:r>
      <w:r>
        <w:rPr>
          <w:rFonts w:ascii="Times New Roman" w:hAnsi="Times New Roman" w:eastAsia="宋体" w:cs="Times New Roman"/>
          <w:b/>
          <w:bCs/>
          <w:kern w:val="2"/>
          <w:sz w:val="24"/>
          <w:szCs w:val="20"/>
          <w:lang w:val="en-US" w:eastAsia="zh-CN" w:bidi="ar-SA"/>
        </w:rPr>
        <w:t>年</w:t>
      </w:r>
      <w:r>
        <w:rPr>
          <w:rFonts w:ascii="Times New Roman" w:hAnsi="Times New Roman" w:eastAsia="宋体" w:cs="Times New Roman"/>
          <w:kern w:val="2"/>
          <w:sz w:val="24"/>
          <w:szCs w:val="20"/>
          <w:lang w:val="en-US" w:eastAsia="zh-CN" w:bidi="ar-SA"/>
        </w:rPr>
        <w:t>的维保（包含所有硬件设备</w:t>
      </w: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系统维护、技术咨询、功能调整、接口调整、软件版本升级以及其他相关维护保障工作），确保稳定、正常运行应用以及功能完善的需要。在免费维护期内，根据业务需求变更进行系统免费维护和升级。</w:t>
      </w:r>
    </w:p>
    <w:p w14:paraId="1100AA5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2、设立维护服务热线，提供7×24小时的技术支持和技术咨询服务。</w:t>
      </w:r>
    </w:p>
    <w:p w14:paraId="1C1C073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3、中标人在投标文件中必须明确承诺达到用户的服务响应要求：7×24小时电话或电子邮件服务，系统如发生故障，接到用户的电话或者邮件后，中标人须在1个小时内响应，2个小时候解决故障，如需现场服务的，必须指派具有解决故障能力的工程师并在与用户沟通确定的时间内到达现场，及时解决问题排除故障。在紧急情况下有能力在接到报障后1小时内到达现场处理系统出现的故障。</w:t>
      </w:r>
    </w:p>
    <w:p w14:paraId="261697B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4、中标人提供的产品应是原装正品，符合国家质量检测标准，具有出厂合格证或国家鉴定合格证。中标人应与设备供应商签订合理的运维服务保障协议，保证提供充足的备品备件资源。</w:t>
      </w:r>
    </w:p>
    <w:p w14:paraId="638570F2">
      <w:pPr>
        <w:widowControl w:val="0"/>
        <w:numPr>
          <w:ilvl w:val="2"/>
          <w:numId w:val="29"/>
        </w:numPr>
        <w:spacing w:line="360" w:lineRule="auto"/>
        <w:ind w:firstLine="200" w:firstLineChars="0"/>
        <w:jc w:val="both"/>
        <w:outlineLvl w:val="2"/>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具体服务要求</w:t>
      </w:r>
    </w:p>
    <w:p w14:paraId="593C683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1</w:t>
      </w:r>
      <w:r>
        <w:rPr>
          <w:rFonts w:ascii="Times New Roman" w:hAnsi="Times New Roman" w:eastAsia="宋体" w:cs="Times New Roman"/>
          <w:kern w:val="2"/>
          <w:sz w:val="24"/>
          <w:szCs w:val="20"/>
          <w:lang w:val="en-US" w:eastAsia="zh-CN" w:bidi="ar-SA"/>
        </w:rPr>
        <w:t>、系统稳定运行</w:t>
      </w:r>
    </w:p>
    <w:p w14:paraId="6945C96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中标人应按照系统功能和性能要求，维护系统的日常运作。中标人应对系统设备和器材按时维护。</w:t>
      </w:r>
    </w:p>
    <w:p w14:paraId="2B486E4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主要包括：</w:t>
      </w:r>
    </w:p>
    <w:p w14:paraId="45FEF09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1）检查系统供电情况：检查设备的工作状态，要求指示灯状态正常、无告警。</w:t>
      </w:r>
    </w:p>
    <w:p w14:paraId="667F050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2）工作站</w:t>
      </w: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服务器、存储、网络</w:t>
      </w:r>
      <w:r>
        <w:rPr>
          <w:rFonts w:hint="eastAsia" w:ascii="Times New Roman" w:hAnsi="Times New Roman" w:eastAsia="宋体" w:cs="Times New Roman"/>
          <w:kern w:val="2"/>
          <w:sz w:val="24"/>
          <w:szCs w:val="20"/>
          <w:lang w:val="en-US" w:eastAsia="zh-CN" w:bidi="ar-SA"/>
        </w:rPr>
        <w:t>、安全</w:t>
      </w:r>
      <w:r>
        <w:rPr>
          <w:rFonts w:ascii="Times New Roman" w:hAnsi="Times New Roman" w:eastAsia="宋体" w:cs="Times New Roman"/>
          <w:kern w:val="2"/>
          <w:sz w:val="24"/>
          <w:szCs w:val="20"/>
          <w:lang w:val="en-US" w:eastAsia="zh-CN" w:bidi="ar-SA"/>
        </w:rPr>
        <w:t>等设备：测试和调校主要技术参数和性能指标，软件数据的备份工作，保证各部件无尘、无锈点，显示器屏幕需光滑亮洁。</w:t>
      </w:r>
    </w:p>
    <w:p w14:paraId="302F6476">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3）检查系统软件运行情况：检查系统配套软件，查看数据及配置是否正常。</w:t>
      </w:r>
    </w:p>
    <w:p w14:paraId="0E5382D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4）检查电路工作情况：检查线路情况，线路经过的路由是否存在隐患，是否需要更换、整改；检查传输设备运行情况，是否存在异常声光告警；检查互联所用光纤及传输设备连接情况，保证网络正常。</w:t>
      </w:r>
    </w:p>
    <w:p w14:paraId="495DF2D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5）基础设施检查：检查系统的主设备计算机及网络设备等的工作环境。</w:t>
      </w:r>
    </w:p>
    <w:p w14:paraId="47C2BFC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（6</w:t>
      </w:r>
      <w:r>
        <w:rPr>
          <w:rFonts w:ascii="Times New Roman" w:hAnsi="Times New Roman" w:eastAsia="宋体" w:cs="Times New Roman"/>
          <w:kern w:val="2"/>
          <w:sz w:val="24"/>
          <w:szCs w:val="20"/>
          <w:lang w:val="en-US" w:eastAsia="zh-CN" w:bidi="ar-SA"/>
        </w:rPr>
        <w:t>）检查各类标签（包括交、直流、光纤、网络线缆等）是否齐全、正确、遗漏或脱落，存在问题及时进行整改。</w:t>
      </w:r>
    </w:p>
    <w:p w14:paraId="2DBF6F3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（7</w:t>
      </w:r>
      <w:r>
        <w:rPr>
          <w:rFonts w:ascii="Times New Roman" w:hAnsi="Times New Roman" w:eastAsia="宋体" w:cs="Times New Roman"/>
          <w:kern w:val="2"/>
          <w:sz w:val="24"/>
          <w:szCs w:val="20"/>
          <w:lang w:val="en-US" w:eastAsia="zh-CN" w:bidi="ar-SA"/>
        </w:rPr>
        <w:t>）对存在问题及时报告并进行整改。</w:t>
      </w:r>
    </w:p>
    <w:p w14:paraId="4B44AEC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2、巡检保养</w:t>
      </w:r>
    </w:p>
    <w:p w14:paraId="145D198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1）定期巡检服务</w:t>
      </w:r>
    </w:p>
    <w:p w14:paraId="7CE3C88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a．每两周对工程敷设线路及安装设备进行巡检，并填写巡检记录表，对可能影响线路及前端的情况要及时协调，防止因线路中断等情况造成系统中断；</w:t>
      </w:r>
    </w:p>
    <w:p w14:paraId="6FC5AEA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b．每季度对工程范围内的设备进行一次保养性维护，包括设备排除故障隐患等，并填写设备养护记录表；以确认所有设备及系统工作正常；</w:t>
      </w:r>
    </w:p>
    <w:p w14:paraId="41F70B5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2）定期抽检服务</w:t>
      </w:r>
    </w:p>
    <w:p w14:paraId="1A7A96B6">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每周进行随机抽查，对系统的运行情况进行检测，并填写记录。</w:t>
      </w:r>
    </w:p>
    <w:p w14:paraId="765E0074">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3、主动监测</w:t>
      </w:r>
    </w:p>
    <w:p w14:paraId="382F219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中标人应建立设备管理监控体系，有效地对系统的监控设备运作情况和传输线路的性能、通断情况进行实时监控，及早发现问题，排除故障。</w:t>
      </w:r>
    </w:p>
    <w:p w14:paraId="49143A72">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4、故障修复</w:t>
      </w:r>
    </w:p>
    <w:p w14:paraId="3807F9E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1）紧急抢修</w:t>
      </w:r>
    </w:p>
    <w:p w14:paraId="34C973B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中标人应当承担合同期内系统发生任何故障的抢修任务。</w:t>
      </w:r>
    </w:p>
    <w:p w14:paraId="2BC03296">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2）备用方案</w:t>
      </w:r>
    </w:p>
    <w:p w14:paraId="7003121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如特殊原因造成系统无法正常使用，投标人应能提供备用方案和措施确保系统运行正常。</w:t>
      </w:r>
    </w:p>
    <w:p w14:paraId="48978EC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3）易损易耗件</w:t>
      </w:r>
    </w:p>
    <w:p w14:paraId="25820BF6">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中标人应建立备品仓库，储存足够的备用易损易耗件，保证能满足故障抢修的要求。</w:t>
      </w:r>
    </w:p>
    <w:p w14:paraId="3BA4AA2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5、特殊保障</w:t>
      </w:r>
    </w:p>
    <w:p w14:paraId="347004A7">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1）临时保障</w:t>
      </w:r>
    </w:p>
    <w:p w14:paraId="6DCC1E13">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采购人（或用户单位）如有重大事件等较特殊的保障措施，中标人必须能按要求提供服务。</w:t>
      </w:r>
    </w:p>
    <w:p w14:paraId="3362F51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2）安全保障</w:t>
      </w:r>
    </w:p>
    <w:p w14:paraId="0FFBD150">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采购人（或用户单位）如有安全保卫、系统接管等较特殊的要求，中标人必须能按要求提供服务。</w:t>
      </w:r>
    </w:p>
    <w:p w14:paraId="6281685E">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ascii="Times New Roman" w:hAnsi="Times New Roman" w:eastAsia="宋体" w:cs="Times New Roman"/>
          <w:kern w:val="2"/>
          <w:sz w:val="24"/>
          <w:szCs w:val="20"/>
          <w:lang w:val="en-US" w:eastAsia="zh-CN" w:bidi="ar-SA"/>
        </w:rPr>
        <w:t>6、更新升级</w:t>
      </w:r>
    </w:p>
    <w:p w14:paraId="327C830A">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1）文档更新</w:t>
      </w:r>
    </w:p>
    <w:p w14:paraId="6CA4FEE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中标人应建立完备的资料库，这些资料应作为成果提交给采购人（用户）。一旦资料进行了版本更新，应在</w:t>
      </w:r>
      <w:r>
        <w:rPr>
          <w:rFonts w:ascii="Times New Roman" w:hAnsi="Times New Roman" w:eastAsia="宋体" w:cs="Times New Roman"/>
          <w:kern w:val="2"/>
          <w:sz w:val="24"/>
          <w:szCs w:val="20"/>
          <w:lang w:val="en-US" w:eastAsia="zh-CN" w:bidi="ar-SA"/>
        </w:rPr>
        <w:t>7天内向采购人（用户）提供最新版本的资料。</w:t>
      </w:r>
    </w:p>
    <w:p w14:paraId="30B474F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2）升级服务</w:t>
      </w:r>
    </w:p>
    <w:p w14:paraId="09077888">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中标人应提供设备内嵌软件、产品操作系统、第三方采购软件和应用软件的免费升级服务，并与相应厂商保持升级沟通机制，及时对相关设备进行升级配置，满足技术日益进步的需求，提高系统性能。</w:t>
      </w:r>
    </w:p>
    <w:p w14:paraId="3FFB92B9">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w:t>
      </w:r>
      <w:r>
        <w:rPr>
          <w:rFonts w:ascii="Times New Roman" w:hAnsi="Times New Roman" w:eastAsia="宋体" w:cs="Times New Roman"/>
          <w:kern w:val="2"/>
          <w:sz w:val="24"/>
          <w:szCs w:val="20"/>
          <w:lang w:val="en-US" w:eastAsia="zh-CN" w:bidi="ar-SA"/>
        </w:rPr>
        <w:t>3）系统优化</w:t>
      </w:r>
    </w:p>
    <w:p w14:paraId="7A22F86C">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中标人应根据运行情况定期向采购人提供系统优化、使用优化和管理优化建议，确保系统以最优状态运行。</w:t>
      </w:r>
    </w:p>
    <w:p w14:paraId="284CB68F">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7</w:t>
      </w:r>
      <w:r>
        <w:rPr>
          <w:rFonts w:ascii="Times New Roman" w:hAnsi="Times New Roman" w:eastAsia="宋体" w:cs="Times New Roman"/>
          <w:kern w:val="2"/>
          <w:sz w:val="24"/>
          <w:szCs w:val="20"/>
          <w:lang w:val="en-US" w:eastAsia="zh-CN" w:bidi="ar-SA"/>
        </w:rPr>
        <w:t>、</w:t>
      </w:r>
      <w:r>
        <w:rPr>
          <w:rFonts w:hint="eastAsia" w:ascii="Times New Roman" w:hAnsi="Times New Roman" w:eastAsia="宋体" w:cs="Times New Roman"/>
          <w:kern w:val="2"/>
          <w:sz w:val="24"/>
          <w:szCs w:val="20"/>
          <w:lang w:val="en-US" w:eastAsia="zh-CN" w:bidi="ar-SA"/>
        </w:rPr>
        <w:t>运维服务报告</w:t>
      </w:r>
    </w:p>
    <w:p w14:paraId="1AA161BD">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在整个运维服务周期内，中标人应与用户建立完善的沟通协调机制，应及时提供运维服务的各种报告。</w:t>
      </w:r>
    </w:p>
    <w:p w14:paraId="4A9390CC">
      <w:pPr>
        <w:widowControl w:val="0"/>
        <w:numPr>
          <w:ilvl w:val="0"/>
          <w:numId w:val="29"/>
        </w:numPr>
        <w:spacing w:line="360" w:lineRule="auto"/>
        <w:ind w:firstLine="200" w:firstLineChars="0"/>
        <w:jc w:val="both"/>
        <w:outlineLvl w:val="1"/>
        <w:rPr>
          <w:rFonts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其他要求</w:t>
      </w:r>
    </w:p>
    <w:p w14:paraId="60FF9755">
      <w:pPr>
        <w:widowControl/>
        <w:spacing w:line="360" w:lineRule="auto"/>
        <w:ind w:firstLine="480" w:firstLineChars="200"/>
        <w:jc w:val="both"/>
        <w:rPr>
          <w:rFonts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为保证本工程系统功能正常运行，投标报价应包含所需各种明示或隐含的材料、产品的设计、开发、制作、包装、保险、运输、装卸、安装、调试、培训、验收、保修、辅材等一切费用和相关税费、规费等的综合报价，如供货清单未明列，投标人应将未明列部分并入其它项一并报价。</w:t>
      </w:r>
    </w:p>
    <w:p w14:paraId="7BCF5D3D">
      <w:pPr>
        <w:jc w:val="left"/>
        <w:rPr>
          <w:rFonts w:ascii="Times New Roman" w:hAnsi="Times New Roman" w:eastAsia="黑体" w:cs="Times New Roman"/>
          <w:b/>
          <w:bCs/>
          <w:kern w:val="0"/>
          <w:sz w:val="32"/>
          <w:szCs w:val="32"/>
        </w:rPr>
      </w:pPr>
    </w:p>
    <w:p w14:paraId="7BF85D3F">
      <w:pPr>
        <w:wordWrap/>
        <w:jc w:val="left"/>
        <w:outlineLvl w:val="9"/>
        <w:rPr>
          <w:rFonts w:hint="eastAsia" w:ascii="Times New Roman" w:hAnsi="Times New Roman" w:eastAsia="黑体" w:cs="Times New Roman"/>
          <w:b/>
          <w:bCs/>
          <w:kern w:val="0"/>
          <w:sz w:val="32"/>
          <w:szCs w:val="32"/>
        </w:rPr>
      </w:pPr>
      <w:bookmarkStart w:id="559" w:name="_Toc1594"/>
      <w:r>
        <w:rPr>
          <w:rFonts w:hint="eastAsia" w:ascii="Times New Roman" w:hAnsi="Times New Roman" w:eastAsia="黑体" w:cs="Times New Roman"/>
          <w:b/>
          <w:bCs/>
          <w:kern w:val="0"/>
          <w:sz w:val="32"/>
          <w:szCs w:val="32"/>
        </w:rPr>
        <w:br w:type="page"/>
      </w:r>
    </w:p>
    <w:p w14:paraId="243B391D">
      <w:pPr>
        <w:wordWrap w:val="0"/>
        <w:jc w:val="center"/>
        <w:outlineLvl w:val="0"/>
        <w:rPr>
          <w:rFonts w:ascii="Times New Roman" w:hAnsi="Times New Roman" w:eastAsia="黑体" w:cs="Times New Roman"/>
          <w:b/>
          <w:bCs/>
          <w:kern w:val="0"/>
          <w:sz w:val="32"/>
          <w:szCs w:val="32"/>
        </w:rPr>
      </w:pPr>
      <w:r>
        <w:rPr>
          <w:rFonts w:hint="eastAsia" w:ascii="Times New Roman" w:hAnsi="Times New Roman" w:eastAsia="黑体" w:cs="Times New Roman"/>
          <w:b/>
          <w:bCs/>
          <w:kern w:val="0"/>
          <w:sz w:val="32"/>
          <w:szCs w:val="32"/>
        </w:rPr>
        <w:t>第六章  投标文件格式</w:t>
      </w:r>
      <w:bookmarkEnd w:id="516"/>
      <w:bookmarkEnd w:id="517"/>
      <w:bookmarkEnd w:id="518"/>
      <w:bookmarkEnd w:id="519"/>
      <w:bookmarkEnd w:id="520"/>
      <w:bookmarkEnd w:id="521"/>
      <w:bookmarkEnd w:id="559"/>
      <w:bookmarkStart w:id="560" w:name="_Toc14853"/>
      <w:bookmarkStart w:id="561" w:name="_Toc29786942"/>
      <w:bookmarkStart w:id="562" w:name="_Toc392941002"/>
      <w:bookmarkStart w:id="563" w:name="_Toc28464"/>
      <w:bookmarkStart w:id="564" w:name="_Toc530736604"/>
      <w:bookmarkStart w:id="565" w:name="_Toc469486622"/>
      <w:bookmarkStart w:id="566" w:name="_Toc395312598"/>
      <w:bookmarkStart w:id="567" w:name="_Toc9891"/>
      <w:bookmarkStart w:id="568" w:name="_Toc7361"/>
      <w:bookmarkStart w:id="569" w:name="_Toc318213162"/>
    </w:p>
    <w:p w14:paraId="6417DD9A">
      <w:pPr>
        <w:keepNext/>
        <w:keepLines/>
        <w:wordWrap w:val="0"/>
        <w:spacing w:before="60" w:after="60" w:line="413" w:lineRule="auto"/>
        <w:rPr>
          <w:rFonts w:hint="eastAsia" w:ascii="宋体" w:hAnsi="宋体" w:eastAsia="宋体" w:cs="Times New Roman"/>
          <w:b/>
          <w:bCs/>
          <w:sz w:val="24"/>
          <w:szCs w:val="24"/>
        </w:rPr>
      </w:pPr>
    </w:p>
    <w:p w14:paraId="0AD04AD2">
      <w:pPr>
        <w:keepNext/>
        <w:keepLines/>
        <w:wordWrap w:val="0"/>
        <w:spacing w:before="60" w:after="60" w:line="413" w:lineRule="auto"/>
        <w:outlineLvl w:val="1"/>
        <w:rPr>
          <w:rFonts w:hint="eastAsia" w:ascii="宋体" w:hAnsi="宋体" w:eastAsia="宋体" w:cs="Times New Roman"/>
          <w:b/>
          <w:bCs/>
          <w:sz w:val="28"/>
          <w:szCs w:val="28"/>
        </w:rPr>
      </w:pPr>
      <w:bookmarkStart w:id="570" w:name="_Toc17102"/>
      <w:bookmarkStart w:id="571" w:name="_Toc953"/>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4576445</wp:posOffset>
                </wp:positionH>
                <wp:positionV relativeFrom="paragraph">
                  <wp:posOffset>106680</wp:posOffset>
                </wp:positionV>
                <wp:extent cx="1003300" cy="406400"/>
                <wp:effectExtent l="0" t="0" r="25400" b="1270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54334C81">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0.35pt;margin-top:8.4pt;height:32pt;width:79pt;z-index:251659264;mso-width-relative:page;mso-height-relative:page;" fillcolor="#FFFFFF" filled="t" stroked="t" coordsize="21600,21600" o:gfxdata="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1OouLWAAAACQEAAA8AAAAAAAAAAQAgAAAAIgAAAGRycy9kb3ducmV2&#10;LnhtbFBLAQIUABQAAAAIAIdO4kBBRT0HNwIAAHwEAAAOAAAAAAAAAAEAIAAAACUBAABkcnMvZTJv&#10;RG9jLnhtbFBLBQYAAAAABgAGAFkBAADOBQAAAAA=&#10;">
                <v:fill on="t" focussize="0,0"/>
                <v:stroke color="#000000" miterlimit="8" joinstyle="miter"/>
                <v:imagedata o:title=""/>
                <o:lock v:ext="edit" aspectratio="f"/>
                <v:textbox>
                  <w:txbxContent>
                    <w:p w14:paraId="54334C81">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sz w:val="24"/>
          <w:szCs w:val="24"/>
        </w:rPr>
        <w:t>一、资格审查文件格式</w:t>
      </w:r>
      <w:bookmarkEnd w:id="560"/>
      <w:bookmarkEnd w:id="561"/>
      <w:bookmarkEnd w:id="570"/>
      <w:bookmarkEnd w:id="571"/>
    </w:p>
    <w:p w14:paraId="6524E6A5">
      <w:pPr>
        <w:wordWrap w:val="0"/>
        <w:spacing w:line="360" w:lineRule="auto"/>
        <w:jc w:val="left"/>
        <w:outlineLvl w:val="1"/>
        <w:rPr>
          <w:rFonts w:hint="eastAsia" w:ascii="宋体" w:hAnsi="宋体" w:eastAsia="宋体" w:cs="Times New Roman"/>
          <w:kern w:val="0"/>
          <w:szCs w:val="21"/>
        </w:rPr>
      </w:pPr>
      <w:r>
        <w:rPr>
          <w:rFonts w:hint="eastAsia" w:ascii="宋体" w:hAnsi="宋体" w:eastAsia="宋体" w:cs="Times New Roman"/>
          <w:kern w:val="0"/>
          <w:szCs w:val="21"/>
        </w:rPr>
        <w:t>（一）封面格式</w:t>
      </w:r>
    </w:p>
    <w:p w14:paraId="0C565CA5">
      <w:pPr>
        <w:wordWrap w:val="0"/>
        <w:jc w:val="left"/>
        <w:rPr>
          <w:rFonts w:hint="eastAsia" w:ascii="宋体" w:hAnsi="宋体" w:eastAsia="宋体" w:cs="Times New Roman"/>
          <w:kern w:val="0"/>
          <w:szCs w:val="21"/>
        </w:rPr>
      </w:pPr>
    </w:p>
    <w:p w14:paraId="638F4697">
      <w:pPr>
        <w:wordWrap w:val="0"/>
        <w:ind w:right="840"/>
        <w:rPr>
          <w:rFonts w:hint="eastAsia" w:ascii="宋体" w:hAnsi="宋体" w:eastAsia="宋体" w:cs="Times New Roman"/>
          <w:kern w:val="0"/>
          <w:szCs w:val="21"/>
        </w:rPr>
      </w:pPr>
    </w:p>
    <w:p w14:paraId="070A48FF">
      <w:pPr>
        <w:wordWrap w:val="0"/>
        <w:ind w:right="840"/>
        <w:rPr>
          <w:rFonts w:hint="eastAsia" w:ascii="宋体" w:hAnsi="宋体" w:eastAsia="宋体" w:cs="Times New Roman"/>
          <w:kern w:val="0"/>
          <w:szCs w:val="21"/>
        </w:rPr>
      </w:pPr>
    </w:p>
    <w:p w14:paraId="35B4444D">
      <w:pPr>
        <w:wordWrap w:val="0"/>
        <w:jc w:val="center"/>
        <w:rPr>
          <w:rFonts w:hint="eastAsia" w:ascii="宋体" w:hAnsi="宋体" w:eastAsia="宋体" w:cs="Times New Roman"/>
          <w:kern w:val="0"/>
          <w:sz w:val="32"/>
          <w:szCs w:val="32"/>
        </w:rPr>
      </w:pPr>
    </w:p>
    <w:p w14:paraId="58A1E04B">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u w:val="single"/>
        </w:rPr>
        <w:t>（项目名称）</w:t>
      </w:r>
      <w:r>
        <w:rPr>
          <w:rFonts w:hint="eastAsia" w:ascii="宋体" w:hAnsi="宋体" w:eastAsia="宋体" w:cs="Times New Roman"/>
          <w:kern w:val="0"/>
          <w:sz w:val="28"/>
          <w:szCs w:val="28"/>
          <w:u w:val="single"/>
        </w:rPr>
        <w:t>项目</w:t>
      </w:r>
    </w:p>
    <w:p w14:paraId="116B9D22">
      <w:pPr>
        <w:wordWrap w:val="0"/>
        <w:jc w:val="center"/>
        <w:rPr>
          <w:rFonts w:hint="eastAsia" w:ascii="宋体" w:hAnsi="宋体" w:eastAsia="宋体" w:cs="Times New Roman"/>
          <w:kern w:val="0"/>
          <w:sz w:val="28"/>
          <w:szCs w:val="28"/>
        </w:rPr>
      </w:pPr>
    </w:p>
    <w:p w14:paraId="59BEC1B8">
      <w:pPr>
        <w:wordWrap w:val="0"/>
        <w:jc w:val="center"/>
        <w:rPr>
          <w:rFonts w:hint="eastAsia" w:ascii="宋体" w:hAnsi="宋体" w:eastAsia="宋体" w:cs="Times New Roman"/>
          <w:kern w:val="0"/>
          <w:sz w:val="28"/>
          <w:szCs w:val="28"/>
        </w:rPr>
      </w:pPr>
    </w:p>
    <w:p w14:paraId="21650625">
      <w:pPr>
        <w:wordWrap w:val="0"/>
        <w:jc w:val="center"/>
        <w:rPr>
          <w:rFonts w:hint="eastAsia" w:ascii="宋体" w:hAnsi="宋体" w:eastAsia="宋体" w:cs="Times New Roman"/>
          <w:kern w:val="0"/>
          <w:sz w:val="28"/>
          <w:szCs w:val="28"/>
        </w:rPr>
      </w:pPr>
    </w:p>
    <w:p w14:paraId="7894BB7B">
      <w:pPr>
        <w:wordWrap w:val="0"/>
        <w:jc w:val="center"/>
        <w:rPr>
          <w:rFonts w:hint="eastAsia" w:ascii="宋体" w:hAnsi="宋体" w:eastAsia="宋体" w:cs="Times New Roman"/>
          <w:kern w:val="0"/>
          <w:sz w:val="28"/>
          <w:szCs w:val="28"/>
        </w:rPr>
      </w:pPr>
    </w:p>
    <w:p w14:paraId="3D2D7E0A">
      <w:pPr>
        <w:wordWrap w:val="0"/>
        <w:jc w:val="center"/>
        <w:rPr>
          <w:rFonts w:hint="eastAsia" w:ascii="宋体" w:hAnsi="宋体" w:eastAsia="宋体" w:cs="Times New Roman"/>
          <w:kern w:val="0"/>
          <w:sz w:val="28"/>
          <w:szCs w:val="28"/>
        </w:rPr>
      </w:pPr>
    </w:p>
    <w:p w14:paraId="199E988B">
      <w:pPr>
        <w:wordWrap w:val="0"/>
        <w:jc w:val="center"/>
        <w:rPr>
          <w:rFonts w:hint="eastAsia" w:ascii="宋体" w:hAnsi="宋体" w:eastAsia="宋体" w:cs="Times New Roman"/>
          <w:kern w:val="0"/>
          <w:sz w:val="28"/>
          <w:szCs w:val="28"/>
        </w:rPr>
      </w:pPr>
    </w:p>
    <w:p w14:paraId="1D42C6AB">
      <w:pPr>
        <w:wordWrap w:val="0"/>
        <w:spacing w:before="240" w:beforeLines="100" w:line="360" w:lineRule="auto"/>
        <w:jc w:val="center"/>
        <w:rPr>
          <w:rFonts w:hint="eastAsia" w:ascii="宋体" w:hAnsi="宋体" w:eastAsia="宋体" w:cs="Times New Roman"/>
          <w:kern w:val="0"/>
          <w:sz w:val="56"/>
          <w:szCs w:val="56"/>
        </w:rPr>
      </w:pPr>
      <w:r>
        <w:rPr>
          <w:rFonts w:ascii="宋体" w:hAnsi="宋体" w:eastAsia="宋体" w:cs="Times New Roman"/>
          <w:kern w:val="0"/>
          <w:sz w:val="56"/>
          <w:szCs w:val="56"/>
        </w:rPr>
        <w:t>投  标  文  件</w:t>
      </w:r>
    </w:p>
    <w:p w14:paraId="3F17C5BA">
      <w:pPr>
        <w:wordWrap w:val="0"/>
        <w:spacing w:line="360" w:lineRule="auto"/>
        <w:jc w:val="center"/>
        <w:rPr>
          <w:rFonts w:hint="eastAsia" w:ascii="宋体" w:hAnsi="宋体" w:eastAsia="宋体" w:cs="Times New Roman"/>
          <w:kern w:val="0"/>
          <w:sz w:val="36"/>
          <w:szCs w:val="36"/>
          <w:u w:val="single"/>
        </w:rPr>
      </w:pPr>
      <w:r>
        <w:rPr>
          <w:rFonts w:hint="eastAsia" w:ascii="宋体" w:hAnsi="宋体" w:eastAsia="宋体" w:cs="Times New Roman"/>
          <w:kern w:val="0"/>
          <w:sz w:val="36"/>
          <w:szCs w:val="36"/>
          <w:u w:val="single"/>
        </w:rPr>
        <w:t>资格审查文件</w:t>
      </w:r>
    </w:p>
    <w:p w14:paraId="258C2E8A">
      <w:pPr>
        <w:wordWrap w:val="0"/>
        <w:spacing w:line="360" w:lineRule="auto"/>
        <w:jc w:val="center"/>
        <w:rPr>
          <w:rFonts w:hint="eastAsia" w:ascii="宋体" w:hAnsi="宋体" w:eastAsia="宋体" w:cs="Times New Roman"/>
          <w:kern w:val="0"/>
          <w:sz w:val="32"/>
          <w:szCs w:val="32"/>
          <w:u w:val="single"/>
        </w:rPr>
      </w:pPr>
      <w:r>
        <w:rPr>
          <w:rFonts w:hint="eastAsia" w:ascii="宋体" w:hAnsi="宋体" w:eastAsia="宋体" w:cs="Times New Roman"/>
          <w:kern w:val="0"/>
          <w:sz w:val="32"/>
          <w:szCs w:val="32"/>
          <w:u w:val="single"/>
        </w:rPr>
        <w:t>第   册（如有分册）</w:t>
      </w:r>
    </w:p>
    <w:p w14:paraId="70A5BC02">
      <w:pPr>
        <w:wordWrap w:val="0"/>
        <w:rPr>
          <w:rFonts w:hint="eastAsia" w:ascii="宋体" w:hAnsi="宋体" w:eastAsia="宋体" w:cs="Times New Roman"/>
          <w:kern w:val="0"/>
          <w:sz w:val="32"/>
          <w:szCs w:val="32"/>
        </w:rPr>
      </w:pPr>
    </w:p>
    <w:p w14:paraId="0C2CFD2E">
      <w:pPr>
        <w:wordWrap w:val="0"/>
        <w:spacing w:line="360" w:lineRule="auto"/>
        <w:ind w:firstLine="2380" w:firstLineChars="850"/>
        <w:rPr>
          <w:rFonts w:hint="eastAsia" w:ascii="宋体" w:hAnsi="宋体" w:eastAsia="宋体" w:cs="Times New Roman"/>
          <w:kern w:val="0"/>
          <w:sz w:val="28"/>
          <w:szCs w:val="28"/>
          <w:u w:val="single"/>
        </w:rPr>
      </w:pPr>
      <w:r>
        <w:rPr>
          <w:rFonts w:ascii="宋体" w:hAnsi="宋体" w:eastAsia="宋体" w:cs="Times New Roman"/>
          <w:kern w:val="0"/>
          <w:sz w:val="28"/>
          <w:szCs w:val="28"/>
        </w:rPr>
        <w:t>招标编号：</w:t>
      </w:r>
    </w:p>
    <w:p w14:paraId="6A80B417">
      <w:pPr>
        <w:wordWrap w:val="0"/>
        <w:jc w:val="center"/>
        <w:rPr>
          <w:rFonts w:hint="eastAsia" w:ascii="宋体" w:hAnsi="宋体" w:eastAsia="宋体" w:cs="Times New Roman"/>
          <w:kern w:val="0"/>
          <w:sz w:val="32"/>
          <w:szCs w:val="32"/>
        </w:rPr>
      </w:pPr>
    </w:p>
    <w:p w14:paraId="492BE1E2">
      <w:pPr>
        <w:wordWrap w:val="0"/>
        <w:jc w:val="center"/>
        <w:rPr>
          <w:rFonts w:hint="eastAsia" w:ascii="宋体" w:hAnsi="宋体" w:eastAsia="宋体" w:cs="Times New Roman"/>
          <w:kern w:val="0"/>
          <w:sz w:val="32"/>
          <w:szCs w:val="32"/>
        </w:rPr>
      </w:pPr>
    </w:p>
    <w:p w14:paraId="216DE1A6">
      <w:pPr>
        <w:wordWrap w:val="0"/>
        <w:rPr>
          <w:rFonts w:hint="eastAsia" w:ascii="宋体" w:hAnsi="宋体" w:eastAsia="宋体" w:cs="Times New Roman"/>
          <w:kern w:val="0"/>
          <w:sz w:val="32"/>
          <w:szCs w:val="32"/>
        </w:rPr>
      </w:pPr>
    </w:p>
    <w:p w14:paraId="09532E83">
      <w:pPr>
        <w:wordWrap w:val="0"/>
        <w:jc w:val="center"/>
        <w:rPr>
          <w:rFonts w:hint="eastAsia" w:ascii="宋体" w:hAnsi="宋体" w:eastAsia="宋体" w:cs="Times New Roman"/>
          <w:kern w:val="0"/>
          <w:sz w:val="32"/>
          <w:szCs w:val="32"/>
        </w:rPr>
      </w:pPr>
    </w:p>
    <w:p w14:paraId="2EA83CB6">
      <w:pPr>
        <w:wordWrap w:val="0"/>
        <w:jc w:val="center"/>
        <w:rPr>
          <w:rFonts w:hint="eastAsia" w:ascii="宋体" w:hAnsi="宋体" w:eastAsia="宋体" w:cs="Times New Roman"/>
          <w:kern w:val="0"/>
          <w:sz w:val="32"/>
          <w:szCs w:val="32"/>
        </w:rPr>
      </w:pPr>
    </w:p>
    <w:p w14:paraId="4DD174D9">
      <w:pPr>
        <w:wordWrap w:val="0"/>
        <w:spacing w:line="360" w:lineRule="auto"/>
        <w:ind w:firstLine="1400" w:firstLineChars="500"/>
        <w:rPr>
          <w:rFonts w:hint="eastAsia" w:ascii="宋体" w:hAnsi="宋体" w:eastAsia="宋体" w:cs="Times New Roman"/>
          <w:kern w:val="0"/>
          <w:sz w:val="28"/>
          <w:szCs w:val="28"/>
        </w:rPr>
      </w:pPr>
      <w:r>
        <w:rPr>
          <w:rFonts w:ascii="宋体" w:hAnsi="宋体" w:eastAsia="宋体" w:cs="Times New Roman"/>
          <w:kern w:val="0"/>
          <w:sz w:val="28"/>
          <w:szCs w:val="28"/>
        </w:rPr>
        <w:t>投标人：（盖单位</w:t>
      </w:r>
      <w:r>
        <w:rPr>
          <w:rFonts w:hint="eastAsia" w:ascii="宋体" w:hAnsi="宋体" w:eastAsia="宋体" w:cs="Times New Roman"/>
          <w:kern w:val="0"/>
          <w:sz w:val="28"/>
          <w:szCs w:val="28"/>
        </w:rPr>
        <w:t>公</w:t>
      </w:r>
      <w:r>
        <w:rPr>
          <w:rFonts w:ascii="宋体" w:hAnsi="宋体" w:eastAsia="宋体" w:cs="Times New Roman"/>
          <w:kern w:val="0"/>
          <w:sz w:val="28"/>
          <w:szCs w:val="28"/>
        </w:rPr>
        <w:t>章）</w:t>
      </w:r>
    </w:p>
    <w:p w14:paraId="4F88979D">
      <w:pPr>
        <w:wordWrap w:val="0"/>
        <w:spacing w:line="360" w:lineRule="auto"/>
        <w:ind w:firstLine="1400" w:firstLineChars="500"/>
        <w:rPr>
          <w:rFonts w:hint="eastAsia" w:ascii="宋体" w:hAnsi="宋体" w:eastAsia="宋体" w:cs="Times New Roman"/>
          <w:kern w:val="0"/>
          <w:sz w:val="28"/>
          <w:szCs w:val="28"/>
        </w:rPr>
      </w:pPr>
      <w:r>
        <w:rPr>
          <w:rFonts w:hint="eastAsia" w:ascii="宋体" w:hAnsi="宋体" w:eastAsia="宋体" w:cs="Times New Roman"/>
          <w:kern w:val="0"/>
          <w:sz w:val="28"/>
          <w:szCs w:val="28"/>
        </w:rPr>
        <w:t>法定代表人或其委托代理人</w:t>
      </w:r>
      <w:r>
        <w:rPr>
          <w:rFonts w:ascii="宋体" w:hAnsi="宋体" w:eastAsia="宋体" w:cs="Times New Roman"/>
          <w:kern w:val="0"/>
          <w:sz w:val="28"/>
          <w:szCs w:val="28"/>
        </w:rPr>
        <w:t>：（签字</w:t>
      </w:r>
      <w:r>
        <w:rPr>
          <w:rFonts w:hint="eastAsia" w:ascii="宋体" w:hAnsi="宋体" w:eastAsia="宋体" w:cs="Times New Roman"/>
          <w:kern w:val="0"/>
          <w:sz w:val="28"/>
          <w:szCs w:val="28"/>
        </w:rPr>
        <w:t>或盖章</w:t>
      </w:r>
      <w:r>
        <w:rPr>
          <w:rFonts w:ascii="宋体" w:hAnsi="宋体" w:eastAsia="宋体" w:cs="Times New Roman"/>
          <w:kern w:val="0"/>
          <w:sz w:val="28"/>
          <w:szCs w:val="28"/>
        </w:rPr>
        <w:t>）</w:t>
      </w:r>
    </w:p>
    <w:p w14:paraId="2CA9ACCD">
      <w:pPr>
        <w:wordWrap w:val="0"/>
        <w:rPr>
          <w:rFonts w:hint="eastAsia" w:ascii="宋体" w:hAnsi="宋体" w:eastAsia="宋体" w:cs="Times New Roman"/>
          <w:kern w:val="0"/>
          <w:sz w:val="28"/>
          <w:szCs w:val="28"/>
        </w:rPr>
      </w:pPr>
    </w:p>
    <w:p w14:paraId="68BE8F76">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rPr>
        <w:t>年</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月</w:t>
      </w:r>
    </w:p>
    <w:p w14:paraId="5DAA2537">
      <w:pPr>
        <w:wordWrap w:val="0"/>
        <w:spacing w:line="360" w:lineRule="auto"/>
        <w:jc w:val="left"/>
        <w:outlineLvl w:val="1"/>
        <w:rPr>
          <w:rFonts w:hint="eastAsia" w:ascii="宋体" w:hAnsi="宋体" w:eastAsia="宋体" w:cs="Times New Roman"/>
          <w:kern w:val="0"/>
          <w:szCs w:val="21"/>
        </w:rPr>
      </w:pPr>
      <w:r>
        <w:rPr>
          <w:rFonts w:ascii="宋体" w:hAnsi="宋体" w:eastAsia="宋体" w:cs="Times New Roman"/>
          <w:kern w:val="0"/>
          <w:sz w:val="28"/>
          <w:szCs w:val="28"/>
        </w:rPr>
        <w:br w:type="page"/>
      </w:r>
      <w:r>
        <w:rPr>
          <w:rFonts w:ascii="宋体" w:hAnsi="宋体" w:eastAsia="宋体" w:cs="Times New Roman"/>
          <w:kern w:val="0"/>
          <w:szCs w:val="21"/>
        </w:rPr>
        <w:t xml:space="preserve"> </w:t>
      </w:r>
      <w:r>
        <w:rPr>
          <w:rFonts w:hint="eastAsia" w:ascii="宋体" w:hAnsi="宋体" w:eastAsia="宋体" w:cs="Times New Roman"/>
          <w:kern w:val="0"/>
          <w:szCs w:val="21"/>
        </w:rPr>
        <w:t>（二）资格审查文件内容格式</w:t>
      </w:r>
    </w:p>
    <w:p w14:paraId="593E23B0">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投标人可根据以下内容和顺序编排投标文件：</w:t>
      </w:r>
    </w:p>
    <w:p w14:paraId="0ACB6487">
      <w:pPr>
        <w:wordWrap w:val="0"/>
        <w:spacing w:line="360" w:lineRule="auto"/>
        <w:ind w:firstLine="420" w:firstLineChars="200"/>
        <w:jc w:val="left"/>
        <w:rPr>
          <w:rFonts w:hint="eastAsia" w:ascii="宋体" w:hAnsi="宋体" w:eastAsia="宋体" w:cs="Times New Roman"/>
          <w:bCs/>
          <w:kern w:val="0"/>
          <w:szCs w:val="21"/>
          <w:highlight w:val="none"/>
        </w:rPr>
      </w:pPr>
      <w:r>
        <w:rPr>
          <w:rFonts w:hint="eastAsia" w:ascii="宋体" w:hAnsi="宋体" w:eastAsia="宋体" w:cs="Times New Roman"/>
          <w:bCs/>
          <w:kern w:val="0"/>
          <w:szCs w:val="21"/>
        </w:rPr>
        <w:t>1、法定代表人资格证明</w:t>
      </w:r>
      <w:r>
        <w:rPr>
          <w:rFonts w:hint="eastAsia" w:ascii="宋体" w:hAnsi="宋体" w:eastAsia="宋体" w:cs="Times New Roman"/>
          <w:bCs/>
          <w:kern w:val="0"/>
          <w:szCs w:val="21"/>
          <w:highlight w:val="none"/>
        </w:rPr>
        <w:t>书（详见格式A1）及法定代表人授权委托书（详见格式A</w:t>
      </w:r>
      <w:r>
        <w:rPr>
          <w:rFonts w:ascii="宋体" w:hAnsi="宋体" w:eastAsia="宋体" w:cs="Times New Roman"/>
          <w:bCs/>
          <w:kern w:val="0"/>
          <w:szCs w:val="21"/>
          <w:highlight w:val="none"/>
        </w:rPr>
        <w:t>2</w:t>
      </w:r>
      <w:r>
        <w:rPr>
          <w:rFonts w:hint="eastAsia" w:ascii="宋体" w:hAnsi="宋体" w:eastAsia="宋体" w:cs="Times New Roman"/>
          <w:bCs/>
          <w:kern w:val="0"/>
          <w:szCs w:val="21"/>
          <w:highlight w:val="none"/>
        </w:rPr>
        <w:t>）（如无授权时，只需提供法定代表人资格证明书），法定代表人及被授权人身份证正反面复印件；</w:t>
      </w:r>
    </w:p>
    <w:p w14:paraId="1F6F3EFD">
      <w:pPr>
        <w:wordWrap w:val="0"/>
        <w:spacing w:line="360" w:lineRule="auto"/>
        <w:ind w:firstLine="420" w:firstLineChars="200"/>
        <w:jc w:val="left"/>
        <w:rPr>
          <w:rFonts w:hint="eastAsia" w:ascii="宋体" w:hAnsi="宋体" w:eastAsia="宋体" w:cs="Times New Roman"/>
          <w:kern w:val="0"/>
          <w:szCs w:val="21"/>
          <w:highlight w:val="none"/>
        </w:rPr>
      </w:pPr>
      <w:r>
        <w:rPr>
          <w:rFonts w:hint="eastAsia" w:ascii="宋体" w:hAnsi="宋体" w:eastAsia="宋体" w:cs="Times New Roman"/>
          <w:bCs/>
          <w:kern w:val="0"/>
          <w:szCs w:val="21"/>
          <w:highlight w:val="none"/>
        </w:rPr>
        <w:t>2、</w:t>
      </w:r>
      <w:r>
        <w:rPr>
          <w:rFonts w:hint="eastAsia" w:ascii="Times New Roman" w:hAnsi="Times New Roman" w:eastAsia="宋体" w:cs="Times New Roman"/>
          <w:szCs w:val="24"/>
          <w:highlight w:val="none"/>
        </w:rPr>
        <w:t>投标人有效的</w:t>
      </w:r>
      <w:r>
        <w:rPr>
          <w:rFonts w:hint="eastAsia" w:ascii="宋体" w:hAnsi="宋体" w:eastAsia="宋体" w:cs="Times New Roman"/>
          <w:szCs w:val="24"/>
          <w:highlight w:val="none"/>
        </w:rPr>
        <w:t>营业执照副本或事业单位法人证书等证明文件复印件</w:t>
      </w:r>
      <w:r>
        <w:rPr>
          <w:rFonts w:hint="eastAsia" w:ascii="宋体" w:hAnsi="宋体" w:eastAsia="宋体" w:cs="Times New Roman"/>
          <w:kern w:val="0"/>
          <w:szCs w:val="21"/>
          <w:highlight w:val="none"/>
        </w:rPr>
        <w:t>；</w:t>
      </w:r>
    </w:p>
    <w:p w14:paraId="4D525E0B">
      <w:pPr>
        <w:wordWrap w:val="0"/>
        <w:spacing w:line="360" w:lineRule="auto"/>
        <w:ind w:firstLine="420" w:firstLineChars="200"/>
        <w:jc w:val="left"/>
        <w:rPr>
          <w:rFonts w:hint="eastAsia" w:ascii="宋体" w:hAnsi="宋体" w:eastAsia="宋体" w:cs="Times New Roman"/>
          <w:bCs/>
          <w:kern w:val="0"/>
          <w:szCs w:val="21"/>
          <w:highlight w:val="none"/>
          <w:lang w:eastAsia="zh-CN"/>
        </w:rPr>
      </w:pPr>
      <w:r>
        <w:rPr>
          <w:rFonts w:hint="eastAsia" w:ascii="宋体" w:hAnsi="宋体" w:eastAsia="宋体" w:cs="Times New Roman"/>
          <w:kern w:val="0"/>
          <w:szCs w:val="21"/>
          <w:highlight w:val="none"/>
        </w:rPr>
        <w:t>3、</w:t>
      </w:r>
      <w:r>
        <w:rPr>
          <w:rFonts w:hint="eastAsia" w:ascii="宋体" w:hAnsi="宋体" w:eastAsia="宋体" w:cs="Times New Roman"/>
          <w:bCs/>
          <w:kern w:val="0"/>
          <w:szCs w:val="21"/>
          <w:highlight w:val="none"/>
        </w:rPr>
        <w:t>投标人类似项目业绩表（详见格式A3），</w:t>
      </w:r>
      <w:r>
        <w:rPr>
          <w:rFonts w:hint="eastAsia" w:ascii="宋体" w:hAnsi="宋体" w:eastAsia="宋体" w:cs="Times New Roman"/>
          <w:szCs w:val="21"/>
          <w:highlight w:val="none"/>
        </w:rPr>
        <w:t>须提供合同关键页或中标通知书等复印件证明材料，证明材料须体现出合同双方、合同签订时间、合同服务等内容，否则评审时不予承认该业绩</w:t>
      </w:r>
      <w:r>
        <w:rPr>
          <w:rFonts w:hint="eastAsia" w:ascii="宋体" w:hAnsi="宋体" w:eastAsia="宋体" w:cs="Times New Roman"/>
          <w:kern w:val="0"/>
          <w:szCs w:val="21"/>
          <w:highlight w:val="none"/>
        </w:rPr>
        <w:t>；</w:t>
      </w:r>
      <w:r>
        <w:rPr>
          <w:rFonts w:hint="eastAsia" w:ascii="宋体" w:hAnsi="宋体" w:eastAsia="宋体" w:cs="Times New Roman"/>
          <w:szCs w:val="21"/>
          <w:highlight w:val="none"/>
        </w:rPr>
        <w:t>联合体业绩、分包业绩均不予认可</w:t>
      </w:r>
      <w:r>
        <w:rPr>
          <w:rFonts w:hint="eastAsia" w:ascii="宋体" w:hAnsi="宋体" w:eastAsia="宋体" w:cs="Times New Roman"/>
          <w:szCs w:val="21"/>
          <w:highlight w:val="none"/>
          <w:lang w:eastAsia="zh-CN"/>
        </w:rPr>
        <w:t>；</w:t>
      </w:r>
    </w:p>
    <w:p w14:paraId="1E7D05A1">
      <w:pPr>
        <w:wordWrap w:val="0"/>
        <w:spacing w:line="360" w:lineRule="auto"/>
        <w:ind w:firstLine="420" w:firstLineChars="200"/>
        <w:jc w:val="left"/>
        <w:rPr>
          <w:rFonts w:hint="eastAsia" w:ascii="宋体" w:hAnsi="宋体" w:eastAsia="宋体" w:cs="Times New Roman"/>
          <w:kern w:val="0"/>
          <w:szCs w:val="21"/>
          <w:highlight w:val="none"/>
        </w:rPr>
      </w:pPr>
      <w:r>
        <w:rPr>
          <w:rFonts w:hint="eastAsia" w:ascii="宋体" w:hAnsi="宋体" w:eastAsia="宋体" w:cs="Times New Roman"/>
          <w:bCs/>
          <w:kern w:val="0"/>
          <w:szCs w:val="21"/>
          <w:highlight w:val="none"/>
          <w:lang w:val="en-US" w:eastAsia="zh-CN"/>
        </w:rPr>
        <w:t>4</w:t>
      </w:r>
      <w:r>
        <w:rPr>
          <w:rFonts w:hint="eastAsia" w:ascii="宋体" w:hAnsi="宋体" w:eastAsia="宋体" w:cs="Times New Roman"/>
          <w:bCs/>
          <w:kern w:val="0"/>
          <w:szCs w:val="21"/>
          <w:highlight w:val="none"/>
        </w:rPr>
        <w:t>、承诺书</w:t>
      </w:r>
      <w:r>
        <w:rPr>
          <w:rFonts w:hint="eastAsia" w:ascii="宋体" w:hAnsi="宋体" w:eastAsia="宋体" w:cs="Times New Roman"/>
          <w:kern w:val="0"/>
          <w:szCs w:val="21"/>
          <w:highlight w:val="none"/>
        </w:rPr>
        <w:t>（格式见B4）；</w:t>
      </w:r>
    </w:p>
    <w:p w14:paraId="160688AC">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、投标人认为需要提交的其他资料。</w:t>
      </w:r>
      <w:r>
        <w:rPr>
          <w:rFonts w:hint="eastAsia" w:ascii="宋体" w:hAnsi="宋体" w:eastAsia="宋体" w:cs="宋体"/>
          <w:b w:val="0"/>
          <w:kern w:val="0"/>
          <w:szCs w:val="21"/>
          <w:highlight w:val="none"/>
        </w:rPr>
        <w:t>（如有）</w:t>
      </w:r>
    </w:p>
    <w:p w14:paraId="217237E0">
      <w:pPr>
        <w:keepNext/>
        <w:keepLines/>
        <w:wordWrap w:val="0"/>
        <w:spacing w:line="360" w:lineRule="auto"/>
        <w:outlineLvl w:val="3"/>
        <w:rPr>
          <w:rFonts w:hint="eastAsia" w:ascii="宋体" w:hAnsi="宋体" w:eastAsia="宋体" w:cs="Times New Roman"/>
          <w:bCs/>
          <w:szCs w:val="28"/>
        </w:rPr>
      </w:pPr>
      <w:r>
        <w:rPr>
          <w:rFonts w:ascii="宋体" w:hAnsi="宋体" w:eastAsia="宋体" w:cs="Times New Roman"/>
          <w:b/>
          <w:szCs w:val="28"/>
        </w:rPr>
        <w:br w:type="page"/>
      </w:r>
      <w:r>
        <w:rPr>
          <w:rFonts w:hint="eastAsia" w:ascii="宋体" w:hAnsi="宋体" w:eastAsia="宋体" w:cs="Times New Roman"/>
          <w:b/>
          <w:szCs w:val="28"/>
        </w:rPr>
        <w:t>格式A1：</w:t>
      </w:r>
      <w:bookmarkStart w:id="572" w:name="_Toc251051976"/>
      <w:bookmarkStart w:id="573" w:name="_Toc349215544"/>
      <w:bookmarkStart w:id="574" w:name="_Toc349555831"/>
      <w:bookmarkStart w:id="575" w:name="_Toc163270989"/>
      <w:bookmarkStart w:id="576" w:name="_Toc158458008"/>
      <w:bookmarkStart w:id="577" w:name="_Toc173558684"/>
      <w:r>
        <w:rPr>
          <w:rFonts w:hint="eastAsia" w:ascii="宋体" w:hAnsi="宋体" w:eastAsia="宋体" w:cs="Times New Roman"/>
          <w:b/>
          <w:szCs w:val="28"/>
        </w:rPr>
        <w:t>法定代表人资格证明书</w:t>
      </w:r>
      <w:bookmarkEnd w:id="572"/>
      <w:bookmarkEnd w:id="573"/>
      <w:bookmarkEnd w:id="574"/>
      <w:r>
        <w:rPr>
          <w:rFonts w:hint="eastAsia" w:ascii="宋体" w:hAnsi="宋体" w:eastAsia="宋体" w:cs="Times New Roman"/>
          <w:b/>
          <w:szCs w:val="28"/>
        </w:rPr>
        <w:t>格式</w:t>
      </w:r>
    </w:p>
    <w:p w14:paraId="1F1F2B4B">
      <w:pPr>
        <w:wordWrap w:val="0"/>
        <w:spacing w:before="240" w:beforeLines="100" w:after="240" w:afterLines="100" w:line="360" w:lineRule="auto"/>
        <w:jc w:val="center"/>
        <w:rPr>
          <w:rFonts w:hint="eastAsia" w:ascii="宋体" w:hAnsi="宋体" w:eastAsia="宋体" w:cs="Times New Roman"/>
          <w:kern w:val="0"/>
          <w:sz w:val="24"/>
          <w:szCs w:val="24"/>
        </w:rPr>
      </w:pPr>
      <w:bookmarkStart w:id="578" w:name="_Toc18209295"/>
      <w:r>
        <w:rPr>
          <w:rFonts w:hint="eastAsia" w:ascii="宋体" w:hAnsi="宋体" w:eastAsia="宋体" w:cs="Times New Roman"/>
          <w:b/>
          <w:kern w:val="0"/>
          <w:sz w:val="28"/>
          <w:szCs w:val="28"/>
        </w:rPr>
        <w:t>法定代表人资格证明</w:t>
      </w:r>
      <w:r>
        <w:rPr>
          <w:rFonts w:ascii="宋体" w:hAnsi="宋体" w:eastAsia="宋体" w:cs="Times New Roman"/>
          <w:b/>
          <w:kern w:val="0"/>
          <w:sz w:val="28"/>
          <w:szCs w:val="28"/>
        </w:rPr>
        <w:t>书</w:t>
      </w:r>
      <w:bookmarkEnd w:id="578"/>
    </w:p>
    <w:p w14:paraId="39CA904F">
      <w:pPr>
        <w:wordWrap w:val="0"/>
        <w:spacing w:line="360" w:lineRule="auto"/>
        <w:ind w:left="709" w:right="-57" w:rightChars="-27" w:firstLine="420" w:firstLineChars="200"/>
        <w:rPr>
          <w:rFonts w:ascii="Times New Roman" w:hAnsi="Times New Roman" w:eastAsia="宋体" w:cs="Times New Roman"/>
          <w:szCs w:val="21"/>
        </w:rPr>
      </w:pPr>
      <w:r>
        <w:rPr>
          <w:rFonts w:ascii="Times New Roman" w:hAnsi="Times New Roman" w:eastAsia="宋体" w:cs="Times New Roman"/>
          <w:szCs w:val="21"/>
        </w:rPr>
        <w:t>单位名称：</w:t>
      </w:r>
      <w:r>
        <w:rPr>
          <w:rFonts w:ascii="Times New Roman" w:hAnsi="Times New Roman" w:eastAsia="宋体" w:cs="Times New Roman"/>
          <w:szCs w:val="21"/>
          <w:u w:val="single"/>
        </w:rPr>
        <w:t xml:space="preserve">                        </w:t>
      </w:r>
    </w:p>
    <w:p w14:paraId="18EF39AE">
      <w:pPr>
        <w:wordWrap w:val="0"/>
        <w:spacing w:line="360" w:lineRule="auto"/>
        <w:ind w:left="709" w:right="-57" w:rightChars="-27" w:firstLine="420" w:firstLineChars="200"/>
        <w:rPr>
          <w:rFonts w:ascii="Times New Roman" w:hAnsi="Times New Roman" w:eastAsia="宋体" w:cs="Times New Roman"/>
          <w:szCs w:val="21"/>
        </w:rPr>
      </w:pPr>
    </w:p>
    <w:p w14:paraId="260A9303">
      <w:pPr>
        <w:wordWrap w:val="0"/>
        <w:spacing w:line="360" w:lineRule="auto"/>
        <w:ind w:left="709" w:right="-57" w:rightChars="-27" w:firstLine="420" w:firstLineChars="200"/>
        <w:rPr>
          <w:rFonts w:ascii="Times New Roman" w:hAnsi="Times New Roman" w:eastAsia="宋体" w:cs="Times New Roman"/>
          <w:szCs w:val="21"/>
        </w:rPr>
      </w:pPr>
      <w:r>
        <w:rPr>
          <w:rFonts w:ascii="Times New Roman" w:hAnsi="Times New Roman" w:eastAsia="宋体" w:cs="Times New Roman"/>
          <w:szCs w:val="21"/>
        </w:rPr>
        <w:t>地址：</w:t>
      </w:r>
      <w:r>
        <w:rPr>
          <w:rFonts w:ascii="Times New Roman" w:hAnsi="Times New Roman" w:eastAsia="宋体" w:cs="Times New Roman"/>
          <w:szCs w:val="21"/>
          <w:u w:val="single"/>
        </w:rPr>
        <w:t xml:space="preserve">                         </w:t>
      </w:r>
    </w:p>
    <w:p w14:paraId="25E0CFFF">
      <w:pPr>
        <w:wordWrap w:val="0"/>
        <w:spacing w:line="360" w:lineRule="auto"/>
        <w:ind w:left="709" w:right="-57" w:rightChars="-27" w:firstLine="420" w:firstLineChars="200"/>
        <w:rPr>
          <w:rFonts w:ascii="Times New Roman" w:hAnsi="Times New Roman" w:eastAsia="宋体" w:cs="Times New Roman"/>
          <w:szCs w:val="21"/>
        </w:rPr>
      </w:pPr>
    </w:p>
    <w:p w14:paraId="4DA578EA">
      <w:pPr>
        <w:wordWrap w:val="0"/>
        <w:spacing w:line="360" w:lineRule="auto"/>
        <w:ind w:left="709" w:right="-57" w:rightChars="-27" w:firstLine="420" w:firstLineChars="200"/>
        <w:rPr>
          <w:rFonts w:ascii="Times New Roman" w:hAnsi="Times New Roman" w:eastAsia="宋体" w:cs="Times New Roman"/>
          <w:szCs w:val="21"/>
        </w:rPr>
      </w:pPr>
      <w:r>
        <w:rPr>
          <w:rFonts w:ascii="Times New Roman" w:hAnsi="Times New Roman" w:eastAsia="宋体" w:cs="Times New Roman"/>
          <w:szCs w:val="21"/>
        </w:rPr>
        <w:t>姓名：</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性别：</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年龄：</w:t>
      </w:r>
      <w:r>
        <w:rPr>
          <w:rFonts w:ascii="Times New Roman" w:hAnsi="Times New Roman" w:eastAsia="宋体" w:cs="Times New Roman"/>
          <w:szCs w:val="21"/>
          <w:u w:val="single"/>
        </w:rPr>
        <w:t xml:space="preserve">            </w:t>
      </w:r>
      <w:r>
        <w:rPr>
          <w:rFonts w:ascii="Times New Roman" w:hAnsi="Times New Roman" w:eastAsia="宋体" w:cs="Times New Roman"/>
          <w:szCs w:val="21"/>
        </w:rPr>
        <w:t>职务：</w:t>
      </w:r>
      <w:r>
        <w:rPr>
          <w:rFonts w:ascii="Times New Roman" w:hAnsi="Times New Roman" w:eastAsia="宋体" w:cs="Times New Roman"/>
          <w:szCs w:val="21"/>
          <w:u w:val="single"/>
        </w:rPr>
        <w:t xml:space="preserve">        </w:t>
      </w:r>
    </w:p>
    <w:p w14:paraId="422053CF">
      <w:pPr>
        <w:wordWrap w:val="0"/>
        <w:spacing w:line="360" w:lineRule="auto"/>
        <w:ind w:left="709" w:right="-57" w:rightChars="-27" w:firstLine="420" w:firstLineChars="200"/>
        <w:rPr>
          <w:rFonts w:ascii="Times New Roman" w:hAnsi="Times New Roman" w:eastAsia="宋体" w:cs="Times New Roman"/>
          <w:szCs w:val="21"/>
        </w:rPr>
      </w:pPr>
    </w:p>
    <w:p w14:paraId="457C574B">
      <w:pPr>
        <w:wordWrap w:val="0"/>
        <w:spacing w:line="360" w:lineRule="auto"/>
        <w:ind w:left="709" w:right="-57" w:rightChars="-27" w:firstLine="420" w:firstLineChars="200"/>
        <w:rPr>
          <w:rFonts w:ascii="Times New Roman" w:hAnsi="Times New Roman" w:eastAsia="宋体" w:cs="Times New Roman"/>
          <w:szCs w:val="21"/>
        </w:rPr>
      </w:pPr>
      <w:r>
        <w:rPr>
          <w:rFonts w:ascii="Times New Roman" w:hAnsi="Times New Roman" w:eastAsia="宋体" w:cs="Times New Roman"/>
          <w:szCs w:val="21"/>
        </w:rPr>
        <w:t>系</w:t>
      </w:r>
      <w:r>
        <w:rPr>
          <w:rFonts w:ascii="Times New Roman" w:hAnsi="Times New Roman" w:eastAsia="宋体" w:cs="Times New Roman"/>
          <w:szCs w:val="21"/>
          <w:u w:val="single"/>
        </w:rPr>
        <w:t xml:space="preserve">                            </w:t>
      </w:r>
      <w:r>
        <w:rPr>
          <w:rFonts w:ascii="Times New Roman" w:hAnsi="Times New Roman" w:eastAsia="宋体" w:cs="Times New Roman"/>
          <w:szCs w:val="21"/>
        </w:rPr>
        <w:t>的法定代表人。</w:t>
      </w:r>
    </w:p>
    <w:p w14:paraId="1CE8A93C">
      <w:pPr>
        <w:wordWrap w:val="0"/>
        <w:spacing w:line="360" w:lineRule="auto"/>
        <w:ind w:left="709" w:right="-57" w:rightChars="-27" w:firstLine="420" w:firstLineChars="200"/>
        <w:rPr>
          <w:rFonts w:ascii="Times New Roman" w:hAnsi="Times New Roman" w:eastAsia="宋体" w:cs="Times New Roman"/>
          <w:szCs w:val="21"/>
        </w:rPr>
      </w:pPr>
    </w:p>
    <w:p w14:paraId="2C4E4D57">
      <w:pPr>
        <w:wordWrap w:val="0"/>
        <w:spacing w:line="360" w:lineRule="auto"/>
        <w:ind w:left="709" w:right="-57" w:rightChars="-27" w:firstLine="420" w:firstLineChars="200"/>
        <w:rPr>
          <w:rFonts w:ascii="Times New Roman" w:hAnsi="Times New Roman" w:eastAsia="宋体" w:cs="Times New Roman"/>
          <w:szCs w:val="21"/>
        </w:rPr>
      </w:pPr>
      <w:r>
        <w:rPr>
          <w:rFonts w:ascii="Times New Roman" w:hAnsi="Times New Roman" w:eastAsia="宋体" w:cs="Times New Roman"/>
          <w:szCs w:val="21"/>
        </w:rPr>
        <w:t>特此证明。</w:t>
      </w:r>
    </w:p>
    <w:p w14:paraId="0663F720">
      <w:pPr>
        <w:wordWrap w:val="0"/>
        <w:spacing w:line="360" w:lineRule="auto"/>
        <w:ind w:left="709" w:right="-57" w:rightChars="-27" w:firstLine="420" w:firstLineChars="200"/>
        <w:rPr>
          <w:rFonts w:ascii="Times New Roman" w:hAnsi="Times New Roman" w:eastAsia="宋体" w:cs="Times New Roman"/>
          <w:szCs w:val="21"/>
        </w:rPr>
      </w:pPr>
    </w:p>
    <w:p w14:paraId="57DFCAB0">
      <w:pPr>
        <w:wordWrap w:val="0"/>
        <w:spacing w:line="360" w:lineRule="auto"/>
        <w:ind w:left="709" w:right="-57" w:rightChars="-27" w:firstLine="420" w:firstLineChars="200"/>
        <w:rPr>
          <w:rFonts w:ascii="Times New Roman" w:hAnsi="Times New Roman" w:eastAsia="宋体" w:cs="Times New Roman"/>
          <w:szCs w:val="21"/>
        </w:rPr>
      </w:pPr>
      <w:r>
        <w:rPr>
          <w:rFonts w:ascii="Times New Roman" w:hAnsi="Times New Roman" w:eastAsia="宋体" w:cs="Times New Roman"/>
          <w:szCs w:val="21"/>
        </w:rPr>
        <w:t>投标人：（</w:t>
      </w:r>
      <w:r>
        <w:rPr>
          <w:rFonts w:hint="eastAsia" w:ascii="Times New Roman" w:hAnsi="Times New Roman" w:eastAsia="宋体" w:cs="Times New Roman"/>
          <w:szCs w:val="21"/>
        </w:rPr>
        <w:t>公</w:t>
      </w:r>
      <w:r>
        <w:rPr>
          <w:rFonts w:ascii="Times New Roman" w:hAnsi="Times New Roman" w:eastAsia="宋体" w:cs="Times New Roman"/>
          <w:szCs w:val="21"/>
        </w:rPr>
        <w:t xml:space="preserve">章）                          </w:t>
      </w:r>
    </w:p>
    <w:p w14:paraId="76BEBE3A">
      <w:pPr>
        <w:wordWrap w:val="0"/>
        <w:spacing w:line="360" w:lineRule="auto"/>
        <w:ind w:left="709" w:right="-57" w:rightChars="-27" w:firstLine="420" w:firstLineChars="200"/>
        <w:rPr>
          <w:rFonts w:ascii="Times New Roman" w:hAnsi="Times New Roman" w:eastAsia="宋体" w:cs="Times New Roman"/>
          <w:szCs w:val="21"/>
        </w:rPr>
      </w:pPr>
    </w:p>
    <w:p w14:paraId="26188E0D">
      <w:pPr>
        <w:wordWrap w:val="0"/>
        <w:spacing w:line="360" w:lineRule="auto"/>
        <w:ind w:firstLine="1155" w:firstLineChars="550"/>
        <w:jc w:val="left"/>
        <w:rPr>
          <w:rFonts w:ascii="Times New Roman" w:hAnsi="Times New Roman" w:eastAsia="宋体" w:cs="Times New Roman"/>
          <w:szCs w:val="21"/>
        </w:rPr>
      </w:pPr>
      <w:r>
        <w:rPr>
          <w:rFonts w:ascii="Times New Roman" w:hAnsi="Times New Roman" w:eastAsia="宋体" w:cs="Times New Roman"/>
          <w:szCs w:val="21"/>
        </w:rPr>
        <w:t>日</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期：   年   月   日   </w:t>
      </w:r>
    </w:p>
    <w:p w14:paraId="1D7AB898">
      <w:pPr>
        <w:wordWrap w:val="0"/>
        <w:spacing w:line="360" w:lineRule="auto"/>
        <w:ind w:firstLine="1050" w:firstLineChars="500"/>
        <w:jc w:val="left"/>
        <w:rPr>
          <w:rFonts w:hint="eastAsia" w:ascii="宋体" w:hAnsi="宋体" w:eastAsia="宋体" w:cs="Times New Roman"/>
          <w:kern w:val="0"/>
          <w:szCs w:val="21"/>
        </w:rPr>
      </w:pPr>
      <w:r>
        <w:rPr>
          <w:rFonts w:ascii="Times New Roman" w:hAnsi="Times New Roman" w:eastAsia="宋体" w:cs="Times New Roman"/>
          <w:szCs w:val="21"/>
        </w:rPr>
        <w:t xml:space="preserve"> </w:t>
      </w:r>
    </w:p>
    <w:p w14:paraId="5E267EC7">
      <w:pPr>
        <w:wordWrap w:val="0"/>
        <w:spacing w:line="360" w:lineRule="auto"/>
        <w:jc w:val="left"/>
        <w:rPr>
          <w:rFonts w:ascii="Times New Roman" w:hAnsi="Times New Roman" w:eastAsia="宋体" w:cs="Times New Roman"/>
          <w:kern w:val="0"/>
          <w:sz w:val="24"/>
          <w:szCs w:val="24"/>
        </w:rPr>
      </w:pPr>
      <w:r>
        <w:rPr>
          <w:rFonts w:ascii="宋体" w:hAnsi="宋体" w:eastAsia="宋体" w:cs="Times New Roman"/>
          <w:kern w:val="0"/>
          <w:szCs w:val="21"/>
        </w:rPr>
        <w:t>注：</w:t>
      </w:r>
      <w:r>
        <w:rPr>
          <w:rFonts w:hint="eastAsia" w:ascii="宋体" w:hAnsi="宋体" w:eastAsia="宋体" w:cs="Times New Roman"/>
          <w:kern w:val="0"/>
          <w:szCs w:val="21"/>
        </w:rPr>
        <w:t xml:space="preserve"> 法定代表人身份证正反面复印件应加盖单位公章附后。</w:t>
      </w:r>
    </w:p>
    <w:p w14:paraId="78CCCF4A">
      <w:pPr>
        <w:keepNext/>
        <w:keepLines/>
        <w:wordWrap w:val="0"/>
        <w:spacing w:line="360" w:lineRule="auto"/>
        <w:outlineLvl w:val="3"/>
        <w:rPr>
          <w:rFonts w:hint="eastAsia" w:ascii="宋体" w:hAnsi="宋体" w:eastAsia="宋体" w:cs="Times New Roman"/>
          <w:b/>
          <w:bCs/>
          <w:szCs w:val="28"/>
        </w:rPr>
      </w:pPr>
      <w:r>
        <w:rPr>
          <w:rFonts w:ascii="宋体" w:hAnsi="宋体" w:eastAsia="宋体" w:cs="Times New Roman"/>
          <w:b/>
          <w:szCs w:val="28"/>
        </w:rPr>
        <w:br w:type="page"/>
      </w:r>
      <w:r>
        <w:rPr>
          <w:rFonts w:ascii="宋体" w:hAnsi="宋体" w:eastAsia="宋体" w:cs="Times New Roman"/>
          <w:b/>
          <w:szCs w:val="28"/>
        </w:rPr>
        <w:t>格式A2：法定代表人授权委托书格式</w:t>
      </w:r>
    </w:p>
    <w:p w14:paraId="17E5B7CD">
      <w:pPr>
        <w:wordWrap w:val="0"/>
        <w:spacing w:before="240" w:beforeLines="100" w:after="240" w:afterLines="100" w:line="360" w:lineRule="auto"/>
        <w:jc w:val="center"/>
        <w:rPr>
          <w:rFonts w:hint="eastAsia" w:ascii="宋体" w:hAnsi="宋体" w:eastAsia="宋体" w:cs="Times New Roman"/>
          <w:b/>
          <w:kern w:val="0"/>
          <w:sz w:val="28"/>
          <w:szCs w:val="28"/>
        </w:rPr>
      </w:pPr>
      <w:r>
        <w:rPr>
          <w:rFonts w:hint="eastAsia" w:ascii="宋体" w:hAnsi="宋体" w:eastAsia="宋体" w:cs="Times New Roman"/>
          <w:b/>
          <w:kern w:val="0"/>
          <w:sz w:val="28"/>
          <w:szCs w:val="28"/>
        </w:rPr>
        <w:t>法定代表人</w:t>
      </w:r>
      <w:r>
        <w:rPr>
          <w:rFonts w:ascii="宋体" w:hAnsi="宋体" w:eastAsia="宋体" w:cs="Times New Roman"/>
          <w:b/>
          <w:kern w:val="0"/>
          <w:sz w:val="28"/>
          <w:szCs w:val="28"/>
        </w:rPr>
        <w:t>授权委托书</w:t>
      </w:r>
    </w:p>
    <w:p w14:paraId="121564D6">
      <w:pPr>
        <w:wordWrap w:val="0"/>
        <w:spacing w:line="360" w:lineRule="auto"/>
        <w:rPr>
          <w:rFonts w:hint="eastAsia" w:ascii="宋体" w:hAnsi="宋体" w:eastAsia="宋体" w:cs="Times New Roman"/>
          <w:kern w:val="0"/>
          <w:szCs w:val="21"/>
        </w:rPr>
      </w:pPr>
      <w:r>
        <w:rPr>
          <w:rFonts w:ascii="宋体" w:hAnsi="宋体" w:eastAsia="宋体" w:cs="Times New Roman"/>
          <w:kern w:val="0"/>
          <w:szCs w:val="21"/>
        </w:rPr>
        <w:t>致：</w:t>
      </w:r>
      <w:r>
        <w:rPr>
          <w:rFonts w:hint="eastAsia" w:ascii="宋体" w:hAnsi="宋体" w:eastAsia="宋体" w:cs="Times New Roman"/>
          <w:kern w:val="0"/>
          <w:szCs w:val="21"/>
          <w:u w:val="single"/>
        </w:rPr>
        <w:t>南宁轨道交通集团有限责任公司</w:t>
      </w:r>
      <w:r>
        <w:rPr>
          <w:rFonts w:ascii="宋体" w:hAnsi="宋体" w:eastAsia="宋体" w:cs="Times New Roman"/>
          <w:kern w:val="0"/>
          <w:szCs w:val="21"/>
          <w:u w:val="single"/>
        </w:rPr>
        <w:t>　</w:t>
      </w:r>
    </w:p>
    <w:p w14:paraId="4D09B008">
      <w:pPr>
        <w:tabs>
          <w:tab w:val="left" w:pos="8364"/>
        </w:tabs>
        <w:wordWrap w:val="0"/>
        <w:snapToGrid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本授权书声明：注册于</w:t>
      </w:r>
      <w:r>
        <w:rPr>
          <w:rFonts w:ascii="宋体" w:hAnsi="宋体" w:eastAsia="宋体" w:cs="Times New Roman"/>
          <w:szCs w:val="21"/>
          <w:u w:val="single"/>
        </w:rPr>
        <w:t xml:space="preserve">           </w:t>
      </w:r>
      <w:r>
        <w:rPr>
          <w:rFonts w:ascii="宋体" w:hAnsi="宋体" w:eastAsia="宋体" w:cs="Times New Roman"/>
          <w:szCs w:val="21"/>
        </w:rPr>
        <w:t>(国家或地区)的</w:t>
      </w:r>
      <w:r>
        <w:rPr>
          <w:rFonts w:ascii="宋体" w:hAnsi="宋体" w:eastAsia="宋体" w:cs="Times New Roman"/>
          <w:szCs w:val="21"/>
          <w:u w:val="single"/>
        </w:rPr>
        <w:t xml:space="preserve">             </w:t>
      </w:r>
      <w:r>
        <w:rPr>
          <w:rFonts w:ascii="宋体" w:hAnsi="宋体" w:eastAsia="宋体" w:cs="Times New Roman"/>
          <w:szCs w:val="21"/>
        </w:rPr>
        <w:t>（投标人名称）在下面签字的</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（法定代表人姓名、职务）</w:t>
      </w:r>
      <w:r>
        <w:rPr>
          <w:rFonts w:ascii="宋体" w:hAnsi="宋体" w:eastAsia="宋体" w:cs="Times New Roman"/>
          <w:szCs w:val="21"/>
        </w:rPr>
        <w:t>代表本公司授权在下面签字的</w:t>
      </w:r>
      <w:r>
        <w:rPr>
          <w:rFonts w:ascii="宋体" w:hAnsi="宋体" w:eastAsia="宋体" w:cs="Times New Roman"/>
          <w:szCs w:val="21"/>
          <w:u w:val="single"/>
        </w:rPr>
        <w:t xml:space="preserve">      </w:t>
      </w:r>
      <w:r>
        <w:rPr>
          <w:rFonts w:hint="eastAsia" w:ascii="宋体" w:hAnsi="宋体" w:eastAsia="宋体" w:cs="Times New Roman"/>
          <w:szCs w:val="21"/>
          <w:u w:val="single"/>
        </w:rPr>
        <w:t>（被授权人的姓名、职务）</w:t>
      </w:r>
      <w:r>
        <w:rPr>
          <w:rFonts w:ascii="宋体" w:hAnsi="宋体" w:eastAsia="宋体" w:cs="Times New Roman"/>
          <w:szCs w:val="21"/>
        </w:rPr>
        <w:t>为本公司的合法代理人，就招标编号为</w:t>
      </w:r>
      <w:r>
        <w:rPr>
          <w:rFonts w:ascii="宋体" w:hAnsi="宋体" w:eastAsia="宋体" w:cs="Times New Roman"/>
          <w:szCs w:val="21"/>
          <w:u w:val="single"/>
        </w:rPr>
        <w:t xml:space="preserve">         </w:t>
      </w:r>
      <w:r>
        <w:rPr>
          <w:rFonts w:ascii="宋体" w:hAnsi="宋体" w:eastAsia="宋体" w:cs="Times New Roman"/>
          <w:szCs w:val="21"/>
        </w:rPr>
        <w:t>的</w:t>
      </w:r>
      <w:r>
        <w:rPr>
          <w:rFonts w:ascii="宋体" w:hAnsi="宋体" w:eastAsia="宋体" w:cs="Times New Roman"/>
          <w:szCs w:val="21"/>
          <w:u w:val="single"/>
        </w:rPr>
        <w:t xml:space="preserve">   </w:t>
      </w:r>
      <w:r>
        <w:rPr>
          <w:rFonts w:hint="eastAsia" w:ascii="宋体" w:hAnsi="宋体" w:eastAsia="宋体" w:cs="Times New Roman"/>
          <w:szCs w:val="21"/>
          <w:u w:val="single"/>
        </w:rPr>
        <w:t>（项目名称）</w:t>
      </w:r>
      <w:r>
        <w:rPr>
          <w:rFonts w:ascii="宋体" w:hAnsi="宋体" w:eastAsia="宋体" w:cs="Times New Roman"/>
          <w:szCs w:val="21"/>
          <w:u w:val="single"/>
        </w:rPr>
        <w:t xml:space="preserve">    </w:t>
      </w:r>
      <w:r>
        <w:rPr>
          <w:rFonts w:ascii="宋体" w:hAnsi="宋体" w:eastAsia="宋体" w:cs="Times New Roman"/>
          <w:szCs w:val="21"/>
        </w:rPr>
        <w:t>的投标和合同执行，作为投标人代表以本公司的名义处理一切与之有关的事宜。</w:t>
      </w:r>
    </w:p>
    <w:p w14:paraId="6ABA3926">
      <w:pPr>
        <w:tabs>
          <w:tab w:val="left" w:pos="8364"/>
        </w:tabs>
        <w:wordWrap w:val="0"/>
        <w:snapToGrid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本授权书于</w:t>
      </w: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ascii="宋体" w:hAnsi="宋体" w:eastAsia="宋体" w:cs="Times New Roman"/>
          <w:szCs w:val="21"/>
        </w:rPr>
        <w:t>日签字生效，特此声明。</w:t>
      </w:r>
    </w:p>
    <w:p w14:paraId="55E8938A">
      <w:pPr>
        <w:tabs>
          <w:tab w:val="left" w:pos="8364"/>
        </w:tabs>
        <w:wordWrap w:val="0"/>
        <w:snapToGrid w:val="0"/>
        <w:spacing w:line="360" w:lineRule="auto"/>
        <w:ind w:left="709" w:right="-57" w:rightChars="-27" w:firstLine="420" w:firstLineChars="200"/>
        <w:rPr>
          <w:rFonts w:hint="eastAsia" w:ascii="宋体" w:hAnsi="宋体" w:eastAsia="宋体" w:cs="Times New Roman"/>
          <w:szCs w:val="21"/>
        </w:rPr>
      </w:pPr>
    </w:p>
    <w:p w14:paraId="35751999">
      <w:pPr>
        <w:tabs>
          <w:tab w:val="left" w:pos="8364"/>
        </w:tabs>
        <w:wordWrap w:val="0"/>
        <w:snapToGrid w:val="0"/>
        <w:spacing w:line="360" w:lineRule="auto"/>
        <w:ind w:left="709" w:right="-57" w:rightChars="-27" w:firstLine="420" w:firstLineChars="200"/>
        <w:rPr>
          <w:rFonts w:hint="eastAsia" w:ascii="宋体" w:hAnsi="宋体" w:eastAsia="宋体" w:cs="Times New Roman"/>
          <w:szCs w:val="21"/>
        </w:rPr>
      </w:pPr>
    </w:p>
    <w:p w14:paraId="7B132EB2">
      <w:pPr>
        <w:tabs>
          <w:tab w:val="left" w:pos="8364"/>
        </w:tabs>
        <w:wordWrap w:val="0"/>
        <w:snapToGrid w:val="0"/>
        <w:spacing w:line="720" w:lineRule="auto"/>
        <w:ind w:firstLine="1050" w:firstLineChars="500"/>
        <w:jc w:val="left"/>
        <w:rPr>
          <w:rFonts w:hint="eastAsia" w:ascii="宋体" w:hAnsi="宋体" w:eastAsia="宋体" w:cs="Times New Roman"/>
          <w:szCs w:val="21"/>
          <w:u w:val="single"/>
        </w:rPr>
      </w:pPr>
      <w:r>
        <w:rPr>
          <w:rFonts w:ascii="宋体" w:hAnsi="宋体" w:eastAsia="宋体" w:cs="Times New Roman"/>
          <w:szCs w:val="21"/>
        </w:rPr>
        <w:t>法定代表人签字或盖章：</w:t>
      </w:r>
      <w:r>
        <w:rPr>
          <w:rFonts w:ascii="宋体" w:hAnsi="宋体" w:eastAsia="宋体" w:cs="Times New Roman"/>
          <w:szCs w:val="21"/>
          <w:u w:val="single"/>
        </w:rPr>
        <w:t xml:space="preserve">               </w:t>
      </w:r>
    </w:p>
    <w:p w14:paraId="38664ADF">
      <w:pPr>
        <w:tabs>
          <w:tab w:val="left" w:pos="8364"/>
        </w:tabs>
        <w:wordWrap w:val="0"/>
        <w:snapToGrid w:val="0"/>
        <w:spacing w:line="720" w:lineRule="auto"/>
        <w:ind w:firstLine="1050" w:firstLineChars="500"/>
        <w:jc w:val="left"/>
        <w:rPr>
          <w:rFonts w:hint="eastAsia" w:ascii="宋体" w:hAnsi="宋体" w:eastAsia="宋体" w:cs="Times New Roman"/>
          <w:szCs w:val="21"/>
        </w:rPr>
      </w:pPr>
      <w:r>
        <w:rPr>
          <w:rFonts w:ascii="宋体" w:hAnsi="宋体" w:eastAsia="宋体" w:cs="Times New Roman"/>
          <w:szCs w:val="21"/>
        </w:rPr>
        <w:t>投标人代表（</w:t>
      </w:r>
      <w:r>
        <w:rPr>
          <w:rFonts w:hint="eastAsia" w:ascii="宋体" w:hAnsi="宋体" w:eastAsia="宋体" w:cs="Times New Roman"/>
          <w:szCs w:val="21"/>
        </w:rPr>
        <w:t>委托代理人</w:t>
      </w:r>
      <w:r>
        <w:rPr>
          <w:rFonts w:ascii="宋体" w:hAnsi="宋体" w:eastAsia="宋体" w:cs="Times New Roman"/>
          <w:szCs w:val="21"/>
        </w:rPr>
        <w:t>）签字或盖章：</w:t>
      </w:r>
    </w:p>
    <w:p w14:paraId="54BA5B5C">
      <w:pPr>
        <w:tabs>
          <w:tab w:val="left" w:pos="8364"/>
        </w:tabs>
        <w:wordWrap w:val="0"/>
        <w:snapToGrid w:val="0"/>
        <w:spacing w:line="720" w:lineRule="auto"/>
        <w:ind w:firstLine="1050" w:firstLineChars="500"/>
        <w:jc w:val="left"/>
        <w:rPr>
          <w:rFonts w:hint="eastAsia" w:ascii="宋体" w:hAnsi="宋体" w:eastAsia="宋体" w:cs="Times New Roman"/>
          <w:szCs w:val="21"/>
        </w:rPr>
      </w:pPr>
      <w:r>
        <w:rPr>
          <w:rFonts w:hint="eastAsia" w:ascii="宋体" w:hAnsi="宋体" w:eastAsia="宋体" w:cs="Times New Roman"/>
          <w:szCs w:val="21"/>
        </w:rPr>
        <w:t>投标人</w:t>
      </w:r>
      <w:r>
        <w:rPr>
          <w:rFonts w:ascii="宋体" w:hAnsi="宋体" w:eastAsia="宋体" w:cs="Times New Roman"/>
          <w:szCs w:val="21"/>
        </w:rPr>
        <w:t>：</w:t>
      </w:r>
      <w:r>
        <w:rPr>
          <w:rFonts w:ascii="宋体" w:hAnsi="宋体" w:eastAsia="宋体" w:cs="Times New Roman"/>
          <w:szCs w:val="21"/>
          <w:u w:val="single"/>
        </w:rPr>
        <w:t xml:space="preserve">               （公章）     </w:t>
      </w:r>
    </w:p>
    <w:p w14:paraId="434FF537">
      <w:pPr>
        <w:wordWrap w:val="0"/>
        <w:spacing w:line="360" w:lineRule="auto"/>
        <w:jc w:val="left"/>
        <w:rPr>
          <w:rFonts w:hint="eastAsia" w:ascii="宋体" w:hAnsi="宋体" w:eastAsia="宋体" w:cs="Times New Roman"/>
          <w:kern w:val="0"/>
          <w:szCs w:val="21"/>
        </w:rPr>
      </w:pPr>
    </w:p>
    <w:p w14:paraId="6054DDDB">
      <w:pPr>
        <w:wordWrap w:val="0"/>
        <w:spacing w:line="360" w:lineRule="auto"/>
        <w:jc w:val="left"/>
        <w:rPr>
          <w:rFonts w:hint="eastAsia" w:ascii="宋体" w:hAnsi="宋体" w:eastAsia="宋体" w:cs="Times New Roman"/>
          <w:kern w:val="0"/>
          <w:szCs w:val="21"/>
        </w:rPr>
      </w:pPr>
    </w:p>
    <w:p w14:paraId="4A1BAF35">
      <w:pPr>
        <w:wordWrap w:val="0"/>
        <w:spacing w:line="360" w:lineRule="auto"/>
        <w:jc w:val="left"/>
        <w:rPr>
          <w:rFonts w:hint="eastAsia" w:ascii="宋体" w:hAnsi="宋体" w:eastAsia="宋体" w:cs="Times New Roman"/>
          <w:b/>
          <w:bCs/>
          <w:sz w:val="28"/>
          <w:szCs w:val="28"/>
        </w:rPr>
        <w:sectPr>
          <w:headerReference r:id="rId12" w:type="default"/>
          <w:footerReference r:id="rId13" w:type="default"/>
          <w:pgSz w:w="11906" w:h="16838"/>
          <w:pgMar w:top="1440" w:right="1417" w:bottom="1440" w:left="1440" w:header="567" w:footer="590" w:gutter="0"/>
          <w:cols w:space="720" w:num="1"/>
          <w:docGrid w:linePitch="312" w:charSpace="0"/>
        </w:sectPr>
      </w:pPr>
      <w:r>
        <w:rPr>
          <w:rFonts w:ascii="宋体" w:hAnsi="宋体" w:eastAsia="宋体" w:cs="Times New Roman"/>
          <w:kern w:val="0"/>
          <w:szCs w:val="21"/>
        </w:rPr>
        <w:t>注：</w:t>
      </w:r>
      <w:r>
        <w:rPr>
          <w:rFonts w:hint="eastAsia" w:ascii="宋体" w:hAnsi="宋体" w:eastAsia="宋体" w:cs="Times New Roman"/>
          <w:kern w:val="0"/>
          <w:szCs w:val="21"/>
        </w:rPr>
        <w:t>授权代理人身份证正反面复印件应加盖单位公章附后。</w:t>
      </w:r>
      <w:bookmarkEnd w:id="575"/>
      <w:bookmarkEnd w:id="576"/>
      <w:bookmarkEnd w:id="577"/>
    </w:p>
    <w:p w14:paraId="2B8CDD57">
      <w:pPr>
        <w:keepNext/>
        <w:keepLines/>
        <w:spacing w:line="480" w:lineRule="auto"/>
        <w:outlineLvl w:val="3"/>
        <w:rPr>
          <w:bCs/>
          <w:szCs w:val="21"/>
        </w:rPr>
      </w:pPr>
      <w:r>
        <w:rPr>
          <w:b/>
          <w:szCs w:val="21"/>
        </w:rPr>
        <w:t>格式A3：投标人类似项目业绩表</w:t>
      </w:r>
    </w:p>
    <w:p w14:paraId="4E5F7BE2">
      <w:pPr>
        <w:spacing w:line="480" w:lineRule="auto"/>
        <w:jc w:val="center"/>
        <w:rPr>
          <w:b/>
          <w:kern w:val="0"/>
          <w:sz w:val="28"/>
          <w:szCs w:val="28"/>
        </w:rPr>
      </w:pPr>
      <w:r>
        <w:rPr>
          <w:b/>
          <w:bCs/>
          <w:kern w:val="0"/>
          <w:sz w:val="28"/>
          <w:szCs w:val="28"/>
        </w:rPr>
        <w:t>投标人类似项目业绩表</w:t>
      </w:r>
    </w:p>
    <w:tbl>
      <w:tblPr>
        <w:tblStyle w:val="90"/>
        <w:tblW w:w="4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162"/>
        <w:gridCol w:w="1220"/>
        <w:gridCol w:w="1554"/>
        <w:gridCol w:w="1031"/>
        <w:gridCol w:w="888"/>
        <w:gridCol w:w="1248"/>
      </w:tblGrid>
      <w:tr w14:paraId="4599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71" w:type="pct"/>
            <w:vAlign w:val="center"/>
          </w:tcPr>
          <w:p w14:paraId="12333EE6">
            <w:pPr>
              <w:spacing w:before="120" w:beforeLines="50"/>
              <w:jc w:val="center"/>
              <w:rPr>
                <w:szCs w:val="21"/>
                <w:lang w:bidi="ar"/>
              </w:rPr>
            </w:pPr>
            <w:r>
              <w:rPr>
                <w:szCs w:val="21"/>
                <w:lang w:bidi="ar"/>
              </w:rPr>
              <w:t>序号</w:t>
            </w:r>
          </w:p>
        </w:tc>
        <w:tc>
          <w:tcPr>
            <w:tcW w:w="740" w:type="pct"/>
            <w:vAlign w:val="center"/>
          </w:tcPr>
          <w:p w14:paraId="299AAE92">
            <w:pPr>
              <w:spacing w:before="120" w:beforeLines="50"/>
              <w:jc w:val="center"/>
              <w:rPr>
                <w:szCs w:val="21"/>
                <w:lang w:bidi="ar"/>
              </w:rPr>
            </w:pPr>
            <w:r>
              <w:rPr>
                <w:szCs w:val="21"/>
                <w:lang w:bidi="ar"/>
              </w:rPr>
              <w:t>项目名称</w:t>
            </w:r>
          </w:p>
        </w:tc>
        <w:tc>
          <w:tcPr>
            <w:tcW w:w="777" w:type="pct"/>
            <w:vAlign w:val="center"/>
          </w:tcPr>
          <w:p w14:paraId="34936916">
            <w:pPr>
              <w:spacing w:before="120" w:beforeLines="50"/>
              <w:jc w:val="center"/>
              <w:rPr>
                <w:szCs w:val="21"/>
                <w:lang w:bidi="ar"/>
              </w:rPr>
            </w:pPr>
            <w:r>
              <w:rPr>
                <w:rFonts w:hint="eastAsia"/>
                <w:szCs w:val="21"/>
                <w:lang w:bidi="ar"/>
              </w:rPr>
              <w:t>单项合同金额</w:t>
            </w:r>
          </w:p>
        </w:tc>
        <w:tc>
          <w:tcPr>
            <w:tcW w:w="990" w:type="pct"/>
            <w:vAlign w:val="center"/>
          </w:tcPr>
          <w:p w14:paraId="52255AAD">
            <w:pPr>
              <w:spacing w:before="120" w:beforeLines="50"/>
              <w:jc w:val="left"/>
              <w:rPr>
                <w:szCs w:val="21"/>
                <w:lang w:bidi="ar"/>
              </w:rPr>
            </w:pPr>
            <w:r>
              <w:rPr>
                <w:szCs w:val="21"/>
                <w:lang w:bidi="ar"/>
              </w:rPr>
              <w:t>合同服务时间</w:t>
            </w:r>
          </w:p>
        </w:tc>
        <w:tc>
          <w:tcPr>
            <w:tcW w:w="657" w:type="pct"/>
            <w:vAlign w:val="center"/>
          </w:tcPr>
          <w:p w14:paraId="68ED3BD6">
            <w:pPr>
              <w:spacing w:before="120" w:beforeLines="50"/>
              <w:jc w:val="left"/>
              <w:rPr>
                <w:szCs w:val="21"/>
                <w:lang w:bidi="ar"/>
              </w:rPr>
            </w:pPr>
            <w:r>
              <w:rPr>
                <w:szCs w:val="21"/>
                <w:lang w:bidi="ar"/>
              </w:rPr>
              <w:t>招标人</w:t>
            </w:r>
          </w:p>
        </w:tc>
        <w:tc>
          <w:tcPr>
            <w:tcW w:w="566" w:type="pct"/>
            <w:vAlign w:val="center"/>
          </w:tcPr>
          <w:p w14:paraId="2B4E360C">
            <w:pPr>
              <w:spacing w:before="120" w:beforeLines="50"/>
              <w:jc w:val="left"/>
              <w:rPr>
                <w:szCs w:val="21"/>
                <w:lang w:bidi="ar"/>
              </w:rPr>
            </w:pPr>
            <w:r>
              <w:rPr>
                <w:szCs w:val="21"/>
                <w:lang w:bidi="ar"/>
              </w:rPr>
              <w:t>联系人</w:t>
            </w:r>
          </w:p>
        </w:tc>
        <w:tc>
          <w:tcPr>
            <w:tcW w:w="795" w:type="pct"/>
            <w:vAlign w:val="center"/>
          </w:tcPr>
          <w:p w14:paraId="673919E0">
            <w:pPr>
              <w:spacing w:before="120" w:beforeLines="50"/>
              <w:jc w:val="left"/>
              <w:rPr>
                <w:szCs w:val="21"/>
                <w:lang w:bidi="ar"/>
              </w:rPr>
            </w:pPr>
            <w:r>
              <w:rPr>
                <w:szCs w:val="21"/>
                <w:lang w:bidi="ar"/>
              </w:rPr>
              <w:t>联系电话</w:t>
            </w:r>
          </w:p>
        </w:tc>
      </w:tr>
      <w:tr w14:paraId="40B0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71" w:type="pct"/>
          </w:tcPr>
          <w:p w14:paraId="0EE3C4FD">
            <w:pPr>
              <w:spacing w:before="120" w:beforeLines="50"/>
              <w:jc w:val="center"/>
              <w:rPr>
                <w:rFonts w:eastAsia="Times New Roman"/>
                <w:kern w:val="0"/>
                <w:sz w:val="24"/>
                <w:szCs w:val="21"/>
              </w:rPr>
            </w:pPr>
          </w:p>
        </w:tc>
        <w:tc>
          <w:tcPr>
            <w:tcW w:w="740" w:type="pct"/>
          </w:tcPr>
          <w:p w14:paraId="071E1E26">
            <w:pPr>
              <w:spacing w:before="120" w:beforeLines="50"/>
              <w:jc w:val="center"/>
              <w:rPr>
                <w:rFonts w:eastAsia="Times New Roman"/>
                <w:kern w:val="0"/>
                <w:sz w:val="24"/>
                <w:szCs w:val="21"/>
              </w:rPr>
            </w:pPr>
          </w:p>
        </w:tc>
        <w:tc>
          <w:tcPr>
            <w:tcW w:w="777" w:type="pct"/>
          </w:tcPr>
          <w:p w14:paraId="78575D77">
            <w:pPr>
              <w:spacing w:before="120" w:beforeLines="50"/>
              <w:jc w:val="center"/>
              <w:rPr>
                <w:rFonts w:eastAsia="Times New Roman"/>
                <w:kern w:val="0"/>
                <w:sz w:val="24"/>
                <w:szCs w:val="21"/>
              </w:rPr>
            </w:pPr>
          </w:p>
        </w:tc>
        <w:tc>
          <w:tcPr>
            <w:tcW w:w="990" w:type="pct"/>
          </w:tcPr>
          <w:p w14:paraId="2BC672B9">
            <w:pPr>
              <w:spacing w:before="120" w:beforeLines="50"/>
              <w:jc w:val="center"/>
              <w:rPr>
                <w:rFonts w:eastAsia="Times New Roman"/>
                <w:kern w:val="0"/>
                <w:sz w:val="24"/>
                <w:szCs w:val="21"/>
              </w:rPr>
            </w:pPr>
          </w:p>
        </w:tc>
        <w:tc>
          <w:tcPr>
            <w:tcW w:w="657" w:type="pct"/>
          </w:tcPr>
          <w:p w14:paraId="25EB97A2">
            <w:pPr>
              <w:spacing w:before="120" w:beforeLines="50"/>
              <w:jc w:val="center"/>
              <w:rPr>
                <w:rFonts w:eastAsia="Times New Roman"/>
                <w:kern w:val="0"/>
                <w:sz w:val="24"/>
                <w:szCs w:val="21"/>
              </w:rPr>
            </w:pPr>
          </w:p>
        </w:tc>
        <w:tc>
          <w:tcPr>
            <w:tcW w:w="566" w:type="pct"/>
          </w:tcPr>
          <w:p w14:paraId="396720D5">
            <w:pPr>
              <w:spacing w:before="120" w:beforeLines="50"/>
              <w:jc w:val="center"/>
              <w:rPr>
                <w:rFonts w:eastAsia="Times New Roman"/>
                <w:kern w:val="0"/>
                <w:sz w:val="24"/>
                <w:szCs w:val="21"/>
              </w:rPr>
            </w:pPr>
          </w:p>
        </w:tc>
        <w:tc>
          <w:tcPr>
            <w:tcW w:w="795" w:type="pct"/>
          </w:tcPr>
          <w:p w14:paraId="0AD30DD6">
            <w:pPr>
              <w:spacing w:before="120" w:beforeLines="50"/>
              <w:jc w:val="center"/>
              <w:rPr>
                <w:rFonts w:eastAsia="Times New Roman"/>
                <w:kern w:val="0"/>
                <w:sz w:val="24"/>
                <w:szCs w:val="21"/>
              </w:rPr>
            </w:pPr>
          </w:p>
        </w:tc>
      </w:tr>
      <w:tr w14:paraId="7CD7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1" w:type="pct"/>
            <w:vAlign w:val="center"/>
          </w:tcPr>
          <w:p w14:paraId="2BE5F0B5">
            <w:pPr>
              <w:spacing w:before="120" w:beforeLines="50"/>
              <w:jc w:val="center"/>
              <w:rPr>
                <w:rFonts w:eastAsia="Times New Roman"/>
                <w:kern w:val="0"/>
                <w:sz w:val="24"/>
                <w:szCs w:val="21"/>
              </w:rPr>
            </w:pPr>
          </w:p>
        </w:tc>
        <w:tc>
          <w:tcPr>
            <w:tcW w:w="740" w:type="pct"/>
            <w:vAlign w:val="center"/>
          </w:tcPr>
          <w:p w14:paraId="05B1EFC3">
            <w:pPr>
              <w:spacing w:before="120" w:beforeLines="50"/>
              <w:jc w:val="center"/>
              <w:rPr>
                <w:rFonts w:eastAsia="Times New Roman"/>
                <w:kern w:val="0"/>
                <w:sz w:val="24"/>
                <w:szCs w:val="21"/>
              </w:rPr>
            </w:pPr>
          </w:p>
        </w:tc>
        <w:tc>
          <w:tcPr>
            <w:tcW w:w="777" w:type="pct"/>
          </w:tcPr>
          <w:p w14:paraId="74C3A677">
            <w:pPr>
              <w:spacing w:before="120" w:beforeLines="50"/>
              <w:jc w:val="center"/>
              <w:rPr>
                <w:rFonts w:eastAsia="Times New Roman"/>
                <w:kern w:val="0"/>
                <w:sz w:val="24"/>
                <w:szCs w:val="21"/>
              </w:rPr>
            </w:pPr>
          </w:p>
        </w:tc>
        <w:tc>
          <w:tcPr>
            <w:tcW w:w="990" w:type="pct"/>
            <w:vAlign w:val="center"/>
          </w:tcPr>
          <w:p w14:paraId="5442BC9F">
            <w:pPr>
              <w:spacing w:before="120" w:beforeLines="50"/>
              <w:jc w:val="center"/>
              <w:rPr>
                <w:rFonts w:eastAsia="Times New Roman"/>
                <w:kern w:val="0"/>
                <w:sz w:val="24"/>
                <w:szCs w:val="21"/>
              </w:rPr>
            </w:pPr>
          </w:p>
        </w:tc>
        <w:tc>
          <w:tcPr>
            <w:tcW w:w="657" w:type="pct"/>
            <w:vAlign w:val="center"/>
          </w:tcPr>
          <w:p w14:paraId="502C6647">
            <w:pPr>
              <w:spacing w:before="120" w:beforeLines="50"/>
              <w:jc w:val="center"/>
              <w:rPr>
                <w:rFonts w:eastAsia="Times New Roman"/>
                <w:kern w:val="0"/>
                <w:sz w:val="24"/>
                <w:szCs w:val="21"/>
              </w:rPr>
            </w:pPr>
          </w:p>
        </w:tc>
        <w:tc>
          <w:tcPr>
            <w:tcW w:w="566" w:type="pct"/>
            <w:vAlign w:val="center"/>
          </w:tcPr>
          <w:p w14:paraId="086552C3">
            <w:pPr>
              <w:spacing w:before="120" w:beforeLines="50"/>
              <w:jc w:val="center"/>
              <w:rPr>
                <w:rFonts w:eastAsia="Times New Roman"/>
                <w:kern w:val="0"/>
                <w:sz w:val="24"/>
                <w:szCs w:val="21"/>
              </w:rPr>
            </w:pPr>
          </w:p>
        </w:tc>
        <w:tc>
          <w:tcPr>
            <w:tcW w:w="795" w:type="pct"/>
            <w:vAlign w:val="center"/>
          </w:tcPr>
          <w:p w14:paraId="27616F3E">
            <w:pPr>
              <w:spacing w:before="120" w:beforeLines="50"/>
              <w:jc w:val="center"/>
              <w:rPr>
                <w:rFonts w:eastAsia="Times New Roman"/>
                <w:kern w:val="0"/>
                <w:sz w:val="24"/>
                <w:szCs w:val="21"/>
              </w:rPr>
            </w:pPr>
          </w:p>
        </w:tc>
      </w:tr>
      <w:tr w14:paraId="71AB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1" w:type="pct"/>
            <w:vAlign w:val="center"/>
          </w:tcPr>
          <w:p w14:paraId="210BC598">
            <w:pPr>
              <w:spacing w:before="120" w:beforeLines="50"/>
              <w:jc w:val="center"/>
              <w:rPr>
                <w:rFonts w:eastAsia="Times New Roman"/>
                <w:kern w:val="0"/>
                <w:sz w:val="24"/>
                <w:szCs w:val="21"/>
              </w:rPr>
            </w:pPr>
          </w:p>
        </w:tc>
        <w:tc>
          <w:tcPr>
            <w:tcW w:w="740" w:type="pct"/>
            <w:vAlign w:val="center"/>
          </w:tcPr>
          <w:p w14:paraId="0653CEBD">
            <w:pPr>
              <w:spacing w:before="120" w:beforeLines="50"/>
              <w:jc w:val="center"/>
              <w:rPr>
                <w:rFonts w:eastAsia="Times New Roman"/>
                <w:kern w:val="0"/>
                <w:sz w:val="24"/>
                <w:szCs w:val="21"/>
              </w:rPr>
            </w:pPr>
          </w:p>
        </w:tc>
        <w:tc>
          <w:tcPr>
            <w:tcW w:w="777" w:type="pct"/>
          </w:tcPr>
          <w:p w14:paraId="5BF003A4">
            <w:pPr>
              <w:spacing w:before="120" w:beforeLines="50"/>
              <w:jc w:val="center"/>
              <w:rPr>
                <w:rFonts w:eastAsia="Times New Roman"/>
                <w:kern w:val="0"/>
                <w:sz w:val="24"/>
                <w:szCs w:val="21"/>
              </w:rPr>
            </w:pPr>
          </w:p>
        </w:tc>
        <w:tc>
          <w:tcPr>
            <w:tcW w:w="990" w:type="pct"/>
            <w:vAlign w:val="center"/>
          </w:tcPr>
          <w:p w14:paraId="076BA373">
            <w:pPr>
              <w:spacing w:before="120" w:beforeLines="50"/>
              <w:jc w:val="center"/>
              <w:rPr>
                <w:rFonts w:eastAsia="Times New Roman"/>
                <w:kern w:val="0"/>
                <w:sz w:val="24"/>
                <w:szCs w:val="21"/>
              </w:rPr>
            </w:pPr>
          </w:p>
        </w:tc>
        <w:tc>
          <w:tcPr>
            <w:tcW w:w="657" w:type="pct"/>
            <w:vAlign w:val="center"/>
          </w:tcPr>
          <w:p w14:paraId="04A325D4">
            <w:pPr>
              <w:spacing w:before="120" w:beforeLines="50"/>
              <w:jc w:val="center"/>
              <w:rPr>
                <w:rFonts w:eastAsia="Times New Roman"/>
                <w:kern w:val="0"/>
                <w:sz w:val="24"/>
                <w:szCs w:val="21"/>
              </w:rPr>
            </w:pPr>
          </w:p>
        </w:tc>
        <w:tc>
          <w:tcPr>
            <w:tcW w:w="566" w:type="pct"/>
            <w:vAlign w:val="center"/>
          </w:tcPr>
          <w:p w14:paraId="695B9FF9">
            <w:pPr>
              <w:spacing w:before="120" w:beforeLines="50"/>
              <w:jc w:val="center"/>
              <w:rPr>
                <w:rFonts w:eastAsia="Times New Roman"/>
                <w:kern w:val="0"/>
                <w:sz w:val="24"/>
                <w:szCs w:val="21"/>
              </w:rPr>
            </w:pPr>
          </w:p>
        </w:tc>
        <w:tc>
          <w:tcPr>
            <w:tcW w:w="795" w:type="pct"/>
            <w:vAlign w:val="center"/>
          </w:tcPr>
          <w:p w14:paraId="17002B7F">
            <w:pPr>
              <w:spacing w:before="120" w:beforeLines="50"/>
              <w:jc w:val="center"/>
              <w:rPr>
                <w:rFonts w:eastAsia="Times New Roman"/>
                <w:kern w:val="0"/>
                <w:sz w:val="24"/>
                <w:szCs w:val="21"/>
              </w:rPr>
            </w:pPr>
          </w:p>
        </w:tc>
      </w:tr>
      <w:tr w14:paraId="0A3B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pct"/>
            <w:vAlign w:val="center"/>
          </w:tcPr>
          <w:p w14:paraId="2A3E1DFC">
            <w:pPr>
              <w:spacing w:before="120" w:beforeLines="50"/>
              <w:jc w:val="center"/>
              <w:rPr>
                <w:rFonts w:eastAsia="Times New Roman"/>
                <w:kern w:val="0"/>
                <w:sz w:val="24"/>
                <w:szCs w:val="21"/>
              </w:rPr>
            </w:pPr>
          </w:p>
        </w:tc>
        <w:tc>
          <w:tcPr>
            <w:tcW w:w="740" w:type="pct"/>
            <w:vAlign w:val="center"/>
          </w:tcPr>
          <w:p w14:paraId="779EDCB1">
            <w:pPr>
              <w:spacing w:before="120" w:beforeLines="50"/>
              <w:jc w:val="center"/>
              <w:rPr>
                <w:rFonts w:eastAsia="Times New Roman"/>
                <w:kern w:val="0"/>
                <w:sz w:val="24"/>
                <w:szCs w:val="21"/>
              </w:rPr>
            </w:pPr>
          </w:p>
        </w:tc>
        <w:tc>
          <w:tcPr>
            <w:tcW w:w="777" w:type="pct"/>
          </w:tcPr>
          <w:p w14:paraId="4B205F24">
            <w:pPr>
              <w:spacing w:before="120" w:beforeLines="50"/>
              <w:jc w:val="center"/>
              <w:rPr>
                <w:rFonts w:eastAsia="Times New Roman"/>
                <w:kern w:val="0"/>
                <w:sz w:val="24"/>
                <w:szCs w:val="21"/>
              </w:rPr>
            </w:pPr>
          </w:p>
        </w:tc>
        <w:tc>
          <w:tcPr>
            <w:tcW w:w="990" w:type="pct"/>
            <w:vAlign w:val="center"/>
          </w:tcPr>
          <w:p w14:paraId="61D2902C">
            <w:pPr>
              <w:spacing w:before="120" w:beforeLines="50"/>
              <w:jc w:val="center"/>
              <w:rPr>
                <w:rFonts w:eastAsia="Times New Roman"/>
                <w:kern w:val="0"/>
                <w:sz w:val="24"/>
                <w:szCs w:val="21"/>
              </w:rPr>
            </w:pPr>
          </w:p>
        </w:tc>
        <w:tc>
          <w:tcPr>
            <w:tcW w:w="657" w:type="pct"/>
            <w:vAlign w:val="center"/>
          </w:tcPr>
          <w:p w14:paraId="411952E2">
            <w:pPr>
              <w:spacing w:before="120" w:beforeLines="50"/>
              <w:jc w:val="center"/>
              <w:rPr>
                <w:rFonts w:eastAsia="Times New Roman"/>
                <w:kern w:val="0"/>
                <w:sz w:val="24"/>
                <w:szCs w:val="21"/>
              </w:rPr>
            </w:pPr>
          </w:p>
        </w:tc>
        <w:tc>
          <w:tcPr>
            <w:tcW w:w="566" w:type="pct"/>
            <w:vAlign w:val="center"/>
          </w:tcPr>
          <w:p w14:paraId="2275932C">
            <w:pPr>
              <w:spacing w:before="120" w:beforeLines="50"/>
              <w:jc w:val="center"/>
              <w:rPr>
                <w:rFonts w:eastAsia="Times New Roman"/>
                <w:kern w:val="0"/>
                <w:sz w:val="24"/>
                <w:szCs w:val="21"/>
              </w:rPr>
            </w:pPr>
          </w:p>
        </w:tc>
        <w:tc>
          <w:tcPr>
            <w:tcW w:w="795" w:type="pct"/>
            <w:vAlign w:val="center"/>
          </w:tcPr>
          <w:p w14:paraId="58186EC3">
            <w:pPr>
              <w:spacing w:before="120" w:beforeLines="50"/>
              <w:jc w:val="center"/>
              <w:rPr>
                <w:rFonts w:eastAsia="Times New Roman"/>
                <w:kern w:val="0"/>
                <w:sz w:val="24"/>
                <w:szCs w:val="21"/>
              </w:rPr>
            </w:pPr>
          </w:p>
        </w:tc>
      </w:tr>
      <w:tr w14:paraId="0474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1" w:type="pct"/>
            <w:vAlign w:val="center"/>
          </w:tcPr>
          <w:p w14:paraId="5FDD36F0">
            <w:pPr>
              <w:spacing w:before="120" w:beforeLines="50"/>
              <w:jc w:val="center"/>
              <w:rPr>
                <w:rFonts w:eastAsia="Times New Roman"/>
                <w:kern w:val="0"/>
                <w:sz w:val="24"/>
                <w:szCs w:val="21"/>
              </w:rPr>
            </w:pPr>
          </w:p>
        </w:tc>
        <w:tc>
          <w:tcPr>
            <w:tcW w:w="740" w:type="pct"/>
            <w:vAlign w:val="center"/>
          </w:tcPr>
          <w:p w14:paraId="4A3F28AC">
            <w:pPr>
              <w:spacing w:before="120" w:beforeLines="50"/>
              <w:jc w:val="center"/>
              <w:rPr>
                <w:rFonts w:eastAsia="Times New Roman"/>
                <w:kern w:val="0"/>
                <w:sz w:val="24"/>
                <w:szCs w:val="21"/>
              </w:rPr>
            </w:pPr>
          </w:p>
        </w:tc>
        <w:tc>
          <w:tcPr>
            <w:tcW w:w="777" w:type="pct"/>
          </w:tcPr>
          <w:p w14:paraId="4D8354C2">
            <w:pPr>
              <w:spacing w:before="120" w:beforeLines="50"/>
              <w:jc w:val="center"/>
              <w:rPr>
                <w:rFonts w:eastAsia="Times New Roman"/>
                <w:kern w:val="0"/>
                <w:sz w:val="24"/>
                <w:szCs w:val="21"/>
              </w:rPr>
            </w:pPr>
          </w:p>
        </w:tc>
        <w:tc>
          <w:tcPr>
            <w:tcW w:w="990" w:type="pct"/>
            <w:vAlign w:val="center"/>
          </w:tcPr>
          <w:p w14:paraId="50390BA7">
            <w:pPr>
              <w:spacing w:before="120" w:beforeLines="50"/>
              <w:jc w:val="center"/>
              <w:rPr>
                <w:rFonts w:eastAsia="Times New Roman"/>
                <w:kern w:val="0"/>
                <w:sz w:val="24"/>
                <w:szCs w:val="21"/>
              </w:rPr>
            </w:pPr>
          </w:p>
        </w:tc>
        <w:tc>
          <w:tcPr>
            <w:tcW w:w="657" w:type="pct"/>
            <w:vAlign w:val="center"/>
          </w:tcPr>
          <w:p w14:paraId="7B6D8F7B">
            <w:pPr>
              <w:spacing w:before="120" w:beforeLines="50"/>
              <w:jc w:val="center"/>
              <w:rPr>
                <w:rFonts w:eastAsia="Times New Roman"/>
                <w:kern w:val="0"/>
                <w:sz w:val="24"/>
                <w:szCs w:val="21"/>
              </w:rPr>
            </w:pPr>
          </w:p>
        </w:tc>
        <w:tc>
          <w:tcPr>
            <w:tcW w:w="566" w:type="pct"/>
            <w:vAlign w:val="center"/>
          </w:tcPr>
          <w:p w14:paraId="6607A742">
            <w:pPr>
              <w:spacing w:before="120" w:beforeLines="50"/>
              <w:jc w:val="center"/>
              <w:rPr>
                <w:rFonts w:eastAsia="Times New Roman"/>
                <w:kern w:val="0"/>
                <w:sz w:val="24"/>
                <w:szCs w:val="21"/>
              </w:rPr>
            </w:pPr>
          </w:p>
        </w:tc>
        <w:tc>
          <w:tcPr>
            <w:tcW w:w="795" w:type="pct"/>
            <w:vAlign w:val="center"/>
          </w:tcPr>
          <w:p w14:paraId="6AEFE347">
            <w:pPr>
              <w:spacing w:before="120" w:beforeLines="50"/>
              <w:jc w:val="center"/>
              <w:rPr>
                <w:rFonts w:eastAsia="Times New Roman"/>
                <w:kern w:val="0"/>
                <w:sz w:val="24"/>
                <w:szCs w:val="21"/>
              </w:rPr>
            </w:pPr>
          </w:p>
        </w:tc>
      </w:tr>
      <w:tr w14:paraId="7B8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1" w:type="pct"/>
            <w:vAlign w:val="center"/>
          </w:tcPr>
          <w:p w14:paraId="4410FEC0">
            <w:pPr>
              <w:spacing w:before="120" w:beforeLines="50"/>
              <w:jc w:val="center"/>
              <w:rPr>
                <w:rFonts w:eastAsia="Times New Roman"/>
                <w:kern w:val="0"/>
                <w:sz w:val="24"/>
                <w:szCs w:val="21"/>
              </w:rPr>
            </w:pPr>
          </w:p>
        </w:tc>
        <w:tc>
          <w:tcPr>
            <w:tcW w:w="740" w:type="pct"/>
            <w:vAlign w:val="center"/>
          </w:tcPr>
          <w:p w14:paraId="1B2FDF6A">
            <w:pPr>
              <w:spacing w:before="120" w:beforeLines="50"/>
              <w:jc w:val="center"/>
              <w:rPr>
                <w:rFonts w:eastAsia="Times New Roman"/>
                <w:kern w:val="0"/>
                <w:sz w:val="24"/>
                <w:szCs w:val="21"/>
              </w:rPr>
            </w:pPr>
          </w:p>
        </w:tc>
        <w:tc>
          <w:tcPr>
            <w:tcW w:w="777" w:type="pct"/>
          </w:tcPr>
          <w:p w14:paraId="3A88ACF6">
            <w:pPr>
              <w:spacing w:before="120" w:beforeLines="50"/>
              <w:jc w:val="center"/>
              <w:rPr>
                <w:rFonts w:eastAsia="Times New Roman"/>
                <w:kern w:val="0"/>
                <w:sz w:val="24"/>
                <w:szCs w:val="21"/>
              </w:rPr>
            </w:pPr>
          </w:p>
        </w:tc>
        <w:tc>
          <w:tcPr>
            <w:tcW w:w="990" w:type="pct"/>
            <w:vAlign w:val="center"/>
          </w:tcPr>
          <w:p w14:paraId="0621CB0F">
            <w:pPr>
              <w:spacing w:before="120" w:beforeLines="50"/>
              <w:jc w:val="center"/>
              <w:rPr>
                <w:rFonts w:eastAsia="Times New Roman"/>
                <w:kern w:val="0"/>
                <w:sz w:val="24"/>
                <w:szCs w:val="21"/>
              </w:rPr>
            </w:pPr>
          </w:p>
        </w:tc>
        <w:tc>
          <w:tcPr>
            <w:tcW w:w="657" w:type="pct"/>
            <w:vAlign w:val="center"/>
          </w:tcPr>
          <w:p w14:paraId="0B07D820">
            <w:pPr>
              <w:spacing w:before="120" w:beforeLines="50"/>
              <w:jc w:val="center"/>
              <w:rPr>
                <w:rFonts w:eastAsia="Times New Roman"/>
                <w:kern w:val="0"/>
                <w:sz w:val="24"/>
                <w:szCs w:val="21"/>
              </w:rPr>
            </w:pPr>
          </w:p>
        </w:tc>
        <w:tc>
          <w:tcPr>
            <w:tcW w:w="566" w:type="pct"/>
            <w:vAlign w:val="center"/>
          </w:tcPr>
          <w:p w14:paraId="77EA1CAF">
            <w:pPr>
              <w:spacing w:before="120" w:beforeLines="50"/>
              <w:jc w:val="center"/>
              <w:rPr>
                <w:rFonts w:eastAsia="Times New Roman"/>
                <w:kern w:val="0"/>
                <w:sz w:val="24"/>
                <w:szCs w:val="21"/>
              </w:rPr>
            </w:pPr>
          </w:p>
        </w:tc>
        <w:tc>
          <w:tcPr>
            <w:tcW w:w="795" w:type="pct"/>
            <w:vAlign w:val="center"/>
          </w:tcPr>
          <w:p w14:paraId="39D0FEC6">
            <w:pPr>
              <w:spacing w:before="120" w:beforeLines="50"/>
              <w:jc w:val="center"/>
              <w:rPr>
                <w:rFonts w:eastAsia="Times New Roman"/>
                <w:kern w:val="0"/>
                <w:sz w:val="24"/>
                <w:szCs w:val="21"/>
              </w:rPr>
            </w:pPr>
          </w:p>
        </w:tc>
      </w:tr>
      <w:tr w14:paraId="6D85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1" w:type="pct"/>
            <w:vAlign w:val="center"/>
          </w:tcPr>
          <w:p w14:paraId="3AA5C879">
            <w:pPr>
              <w:spacing w:before="120" w:beforeLines="50"/>
              <w:jc w:val="center"/>
              <w:rPr>
                <w:rFonts w:eastAsia="Times New Roman"/>
                <w:kern w:val="0"/>
                <w:sz w:val="24"/>
                <w:szCs w:val="21"/>
              </w:rPr>
            </w:pPr>
          </w:p>
        </w:tc>
        <w:tc>
          <w:tcPr>
            <w:tcW w:w="740" w:type="pct"/>
            <w:vAlign w:val="center"/>
          </w:tcPr>
          <w:p w14:paraId="00489F36">
            <w:pPr>
              <w:spacing w:before="120" w:beforeLines="50"/>
              <w:jc w:val="center"/>
              <w:rPr>
                <w:rFonts w:eastAsia="Times New Roman"/>
                <w:kern w:val="0"/>
                <w:sz w:val="24"/>
                <w:szCs w:val="21"/>
              </w:rPr>
            </w:pPr>
          </w:p>
        </w:tc>
        <w:tc>
          <w:tcPr>
            <w:tcW w:w="777" w:type="pct"/>
          </w:tcPr>
          <w:p w14:paraId="5829021C">
            <w:pPr>
              <w:spacing w:before="120" w:beforeLines="50"/>
              <w:jc w:val="center"/>
              <w:rPr>
                <w:rFonts w:eastAsia="Times New Roman"/>
                <w:kern w:val="0"/>
                <w:sz w:val="24"/>
                <w:szCs w:val="21"/>
              </w:rPr>
            </w:pPr>
          </w:p>
        </w:tc>
        <w:tc>
          <w:tcPr>
            <w:tcW w:w="990" w:type="pct"/>
            <w:vAlign w:val="center"/>
          </w:tcPr>
          <w:p w14:paraId="068B2412">
            <w:pPr>
              <w:spacing w:before="120" w:beforeLines="50"/>
              <w:jc w:val="center"/>
              <w:rPr>
                <w:rFonts w:eastAsia="Times New Roman"/>
                <w:kern w:val="0"/>
                <w:sz w:val="24"/>
                <w:szCs w:val="21"/>
              </w:rPr>
            </w:pPr>
          </w:p>
        </w:tc>
        <w:tc>
          <w:tcPr>
            <w:tcW w:w="657" w:type="pct"/>
            <w:vAlign w:val="center"/>
          </w:tcPr>
          <w:p w14:paraId="7EAE6B64">
            <w:pPr>
              <w:spacing w:before="120" w:beforeLines="50"/>
              <w:jc w:val="center"/>
              <w:rPr>
                <w:rFonts w:eastAsia="Times New Roman"/>
                <w:kern w:val="0"/>
                <w:sz w:val="24"/>
                <w:szCs w:val="21"/>
              </w:rPr>
            </w:pPr>
          </w:p>
        </w:tc>
        <w:tc>
          <w:tcPr>
            <w:tcW w:w="566" w:type="pct"/>
            <w:vAlign w:val="center"/>
          </w:tcPr>
          <w:p w14:paraId="6D2728FF">
            <w:pPr>
              <w:spacing w:before="120" w:beforeLines="50"/>
              <w:jc w:val="center"/>
              <w:rPr>
                <w:rFonts w:eastAsia="Times New Roman"/>
                <w:kern w:val="0"/>
                <w:sz w:val="24"/>
                <w:szCs w:val="21"/>
              </w:rPr>
            </w:pPr>
          </w:p>
        </w:tc>
        <w:tc>
          <w:tcPr>
            <w:tcW w:w="795" w:type="pct"/>
            <w:vAlign w:val="center"/>
          </w:tcPr>
          <w:p w14:paraId="436BF86B">
            <w:pPr>
              <w:spacing w:before="120" w:beforeLines="50"/>
              <w:jc w:val="center"/>
              <w:rPr>
                <w:rFonts w:eastAsia="Times New Roman"/>
                <w:kern w:val="0"/>
                <w:sz w:val="24"/>
                <w:szCs w:val="21"/>
              </w:rPr>
            </w:pPr>
          </w:p>
        </w:tc>
      </w:tr>
      <w:tr w14:paraId="669A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pct"/>
            <w:vAlign w:val="center"/>
          </w:tcPr>
          <w:p w14:paraId="015B5EE8">
            <w:pPr>
              <w:spacing w:before="120" w:beforeLines="50"/>
              <w:jc w:val="center"/>
              <w:rPr>
                <w:rFonts w:eastAsia="Times New Roman"/>
                <w:kern w:val="0"/>
                <w:sz w:val="24"/>
                <w:szCs w:val="21"/>
              </w:rPr>
            </w:pPr>
          </w:p>
        </w:tc>
        <w:tc>
          <w:tcPr>
            <w:tcW w:w="740" w:type="pct"/>
            <w:vAlign w:val="center"/>
          </w:tcPr>
          <w:p w14:paraId="37B5C04C">
            <w:pPr>
              <w:spacing w:before="120" w:beforeLines="50"/>
              <w:jc w:val="center"/>
              <w:rPr>
                <w:rFonts w:eastAsia="Times New Roman"/>
                <w:kern w:val="0"/>
                <w:sz w:val="24"/>
                <w:szCs w:val="21"/>
              </w:rPr>
            </w:pPr>
          </w:p>
        </w:tc>
        <w:tc>
          <w:tcPr>
            <w:tcW w:w="777" w:type="pct"/>
          </w:tcPr>
          <w:p w14:paraId="0B302430">
            <w:pPr>
              <w:spacing w:before="120" w:beforeLines="50"/>
              <w:jc w:val="center"/>
              <w:rPr>
                <w:rFonts w:eastAsia="Times New Roman"/>
                <w:kern w:val="0"/>
                <w:sz w:val="24"/>
                <w:szCs w:val="21"/>
              </w:rPr>
            </w:pPr>
          </w:p>
        </w:tc>
        <w:tc>
          <w:tcPr>
            <w:tcW w:w="990" w:type="pct"/>
            <w:vAlign w:val="center"/>
          </w:tcPr>
          <w:p w14:paraId="6FCE3D56">
            <w:pPr>
              <w:spacing w:before="120" w:beforeLines="50"/>
              <w:jc w:val="center"/>
              <w:rPr>
                <w:rFonts w:eastAsia="Times New Roman"/>
                <w:kern w:val="0"/>
                <w:sz w:val="24"/>
                <w:szCs w:val="21"/>
              </w:rPr>
            </w:pPr>
          </w:p>
        </w:tc>
        <w:tc>
          <w:tcPr>
            <w:tcW w:w="657" w:type="pct"/>
            <w:vAlign w:val="center"/>
          </w:tcPr>
          <w:p w14:paraId="4913EFA8">
            <w:pPr>
              <w:spacing w:before="120" w:beforeLines="50"/>
              <w:jc w:val="center"/>
              <w:rPr>
                <w:rFonts w:eastAsia="Times New Roman"/>
                <w:kern w:val="0"/>
                <w:sz w:val="24"/>
                <w:szCs w:val="21"/>
              </w:rPr>
            </w:pPr>
          </w:p>
        </w:tc>
        <w:tc>
          <w:tcPr>
            <w:tcW w:w="566" w:type="pct"/>
            <w:vAlign w:val="center"/>
          </w:tcPr>
          <w:p w14:paraId="021ADBD5">
            <w:pPr>
              <w:spacing w:before="120" w:beforeLines="50"/>
              <w:jc w:val="center"/>
              <w:rPr>
                <w:rFonts w:eastAsia="Times New Roman"/>
                <w:kern w:val="0"/>
                <w:sz w:val="24"/>
                <w:szCs w:val="21"/>
              </w:rPr>
            </w:pPr>
          </w:p>
        </w:tc>
        <w:tc>
          <w:tcPr>
            <w:tcW w:w="795" w:type="pct"/>
            <w:vAlign w:val="center"/>
          </w:tcPr>
          <w:p w14:paraId="53A9B0BA">
            <w:pPr>
              <w:spacing w:before="120" w:beforeLines="50"/>
              <w:jc w:val="center"/>
              <w:rPr>
                <w:rFonts w:eastAsia="Times New Roman"/>
                <w:kern w:val="0"/>
                <w:sz w:val="24"/>
                <w:szCs w:val="21"/>
              </w:rPr>
            </w:pPr>
          </w:p>
        </w:tc>
      </w:tr>
      <w:tr w14:paraId="5C7D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1" w:type="pct"/>
            <w:vAlign w:val="center"/>
          </w:tcPr>
          <w:p w14:paraId="273045E9">
            <w:pPr>
              <w:spacing w:before="120" w:beforeLines="50"/>
              <w:jc w:val="center"/>
              <w:rPr>
                <w:rFonts w:eastAsia="Times New Roman"/>
                <w:kern w:val="0"/>
                <w:sz w:val="24"/>
                <w:szCs w:val="21"/>
              </w:rPr>
            </w:pPr>
          </w:p>
        </w:tc>
        <w:tc>
          <w:tcPr>
            <w:tcW w:w="740" w:type="pct"/>
            <w:vAlign w:val="center"/>
          </w:tcPr>
          <w:p w14:paraId="4183F460">
            <w:pPr>
              <w:spacing w:before="120" w:beforeLines="50"/>
              <w:jc w:val="center"/>
              <w:rPr>
                <w:rFonts w:eastAsia="Times New Roman"/>
                <w:kern w:val="0"/>
                <w:sz w:val="24"/>
                <w:szCs w:val="21"/>
              </w:rPr>
            </w:pPr>
          </w:p>
        </w:tc>
        <w:tc>
          <w:tcPr>
            <w:tcW w:w="777" w:type="pct"/>
          </w:tcPr>
          <w:p w14:paraId="5E77B98C">
            <w:pPr>
              <w:spacing w:before="120" w:beforeLines="50"/>
              <w:jc w:val="center"/>
              <w:rPr>
                <w:rFonts w:eastAsia="Times New Roman"/>
                <w:kern w:val="0"/>
                <w:sz w:val="24"/>
                <w:szCs w:val="21"/>
              </w:rPr>
            </w:pPr>
          </w:p>
        </w:tc>
        <w:tc>
          <w:tcPr>
            <w:tcW w:w="990" w:type="pct"/>
            <w:vAlign w:val="center"/>
          </w:tcPr>
          <w:p w14:paraId="7A6FECD1">
            <w:pPr>
              <w:spacing w:before="120" w:beforeLines="50"/>
              <w:jc w:val="center"/>
              <w:rPr>
                <w:rFonts w:eastAsia="Times New Roman"/>
                <w:kern w:val="0"/>
                <w:sz w:val="24"/>
                <w:szCs w:val="21"/>
              </w:rPr>
            </w:pPr>
          </w:p>
        </w:tc>
        <w:tc>
          <w:tcPr>
            <w:tcW w:w="657" w:type="pct"/>
            <w:vAlign w:val="center"/>
          </w:tcPr>
          <w:p w14:paraId="01C1D9AC">
            <w:pPr>
              <w:spacing w:before="120" w:beforeLines="50"/>
              <w:jc w:val="center"/>
              <w:rPr>
                <w:rFonts w:eastAsia="Times New Roman"/>
                <w:kern w:val="0"/>
                <w:sz w:val="24"/>
                <w:szCs w:val="21"/>
              </w:rPr>
            </w:pPr>
          </w:p>
        </w:tc>
        <w:tc>
          <w:tcPr>
            <w:tcW w:w="566" w:type="pct"/>
            <w:vAlign w:val="center"/>
          </w:tcPr>
          <w:p w14:paraId="487EAC77">
            <w:pPr>
              <w:spacing w:before="120" w:beforeLines="50"/>
              <w:jc w:val="center"/>
              <w:rPr>
                <w:rFonts w:eastAsia="Times New Roman"/>
                <w:kern w:val="0"/>
                <w:sz w:val="24"/>
                <w:szCs w:val="21"/>
              </w:rPr>
            </w:pPr>
          </w:p>
        </w:tc>
        <w:tc>
          <w:tcPr>
            <w:tcW w:w="795" w:type="pct"/>
            <w:vAlign w:val="center"/>
          </w:tcPr>
          <w:p w14:paraId="7414DC59">
            <w:pPr>
              <w:spacing w:before="120" w:beforeLines="50"/>
              <w:jc w:val="center"/>
              <w:rPr>
                <w:rFonts w:eastAsia="Times New Roman"/>
                <w:kern w:val="0"/>
                <w:sz w:val="24"/>
                <w:szCs w:val="21"/>
              </w:rPr>
            </w:pPr>
          </w:p>
        </w:tc>
      </w:tr>
    </w:tbl>
    <w:p w14:paraId="6D11A98E">
      <w:pPr>
        <w:spacing w:before="120" w:beforeLines="50" w:line="360" w:lineRule="auto"/>
        <w:ind w:left="705" w:leftChars="202" w:right="-57" w:rightChars="-27" w:hanging="281" w:hangingChars="134"/>
        <w:jc w:val="left"/>
        <w:rPr>
          <w:rFonts w:eastAsia="Times New Roman"/>
          <w:kern w:val="0"/>
          <w:sz w:val="24"/>
          <w:szCs w:val="21"/>
        </w:rPr>
      </w:pPr>
      <w:r>
        <w:rPr>
          <w:szCs w:val="18"/>
          <w:lang w:bidi="ar"/>
        </w:rPr>
        <w:t>注：</w:t>
      </w:r>
    </w:p>
    <w:p w14:paraId="006340FB">
      <w:pPr>
        <w:spacing w:before="120" w:beforeLines="50" w:line="360" w:lineRule="auto"/>
        <w:ind w:left="705" w:leftChars="202" w:right="-57" w:rightChars="-27" w:hanging="281" w:hangingChars="134"/>
        <w:jc w:val="left"/>
        <w:rPr>
          <w:kern w:val="0"/>
          <w:sz w:val="24"/>
          <w:szCs w:val="21"/>
        </w:rPr>
      </w:pPr>
      <w:r>
        <w:rPr>
          <w:szCs w:val="21"/>
          <w:lang w:bidi="ar"/>
        </w:rPr>
        <w:t>1. 项目按照时间顺序排列。</w:t>
      </w:r>
    </w:p>
    <w:p w14:paraId="0B9E5300">
      <w:pPr>
        <w:spacing w:before="120" w:beforeLines="50" w:line="360" w:lineRule="auto"/>
        <w:ind w:left="705" w:leftChars="202" w:right="-57" w:rightChars="-27" w:hanging="281" w:hangingChars="134"/>
        <w:jc w:val="left"/>
        <w:rPr>
          <w:kern w:val="0"/>
          <w:sz w:val="24"/>
          <w:szCs w:val="21"/>
        </w:rPr>
      </w:pPr>
      <w:r>
        <w:rPr>
          <w:szCs w:val="21"/>
          <w:lang w:bidi="ar"/>
        </w:rPr>
        <w:t>2. 投标人须按招标文件要求提供相应的</w:t>
      </w:r>
      <w:r>
        <w:rPr>
          <w:lang w:bidi="ar"/>
        </w:rPr>
        <w:t>业绩证明材料</w:t>
      </w:r>
      <w:r>
        <w:rPr>
          <w:szCs w:val="21"/>
          <w:lang w:bidi="ar"/>
        </w:rPr>
        <w:t>。</w:t>
      </w:r>
    </w:p>
    <w:p w14:paraId="1961F780">
      <w:pPr>
        <w:spacing w:before="120" w:beforeLines="50" w:line="360" w:lineRule="auto"/>
        <w:ind w:right="-57" w:rightChars="-27"/>
        <w:rPr>
          <w:kern w:val="0"/>
          <w:sz w:val="24"/>
        </w:rPr>
      </w:pPr>
    </w:p>
    <w:p w14:paraId="41BF59F3">
      <w:pPr>
        <w:spacing w:before="120" w:beforeLines="50" w:line="360" w:lineRule="auto"/>
        <w:ind w:left="479" w:leftChars="220" w:right="-57" w:rightChars="-27" w:hanging="17"/>
        <w:rPr>
          <w:kern w:val="0"/>
          <w:sz w:val="24"/>
        </w:rPr>
      </w:pPr>
      <w:r>
        <w:rPr>
          <w:lang w:bidi="ar"/>
        </w:rPr>
        <w:t xml:space="preserve">投标人：（公章） </w:t>
      </w:r>
    </w:p>
    <w:p w14:paraId="66EB2546">
      <w:pPr>
        <w:spacing w:before="120" w:beforeLines="50" w:line="360" w:lineRule="auto"/>
        <w:ind w:left="478" w:leftChars="227" w:right="-57" w:rightChars="-27" w:hanging="1"/>
        <w:rPr>
          <w:kern w:val="0"/>
          <w:sz w:val="24"/>
        </w:rPr>
      </w:pPr>
      <w:r>
        <w:rPr>
          <w:lang w:bidi="ar"/>
        </w:rPr>
        <w:t>法定代表人或其委托代理人：（签字或盖章）</w:t>
      </w:r>
    </w:p>
    <w:p w14:paraId="74A606DE">
      <w:pPr>
        <w:spacing w:before="120" w:beforeLines="50" w:line="360" w:lineRule="auto"/>
        <w:ind w:left="463" w:leftChars="220" w:right="-57" w:rightChars="-27" w:hanging="1"/>
        <w:rPr>
          <w:kern w:val="0"/>
          <w:sz w:val="24"/>
        </w:rPr>
      </w:pPr>
      <w:r>
        <w:rPr>
          <w:lang w:bidi="ar"/>
        </w:rPr>
        <w:t>日    期：</w:t>
      </w:r>
    </w:p>
    <w:p w14:paraId="127CC1A2">
      <w:pPr>
        <w:rPr>
          <w:rFonts w:hint="eastAsia" w:ascii="宋体" w:hAnsi="宋体" w:eastAsia="宋体" w:cs="Times New Roman"/>
          <w:b/>
          <w:szCs w:val="21"/>
        </w:rPr>
      </w:pPr>
    </w:p>
    <w:p w14:paraId="556B62B0">
      <w:pPr>
        <w:keepNext/>
        <w:keepLines/>
        <w:wordWrap w:val="0"/>
        <w:spacing w:line="480" w:lineRule="auto"/>
        <w:outlineLvl w:val="9"/>
        <w:rPr>
          <w:rFonts w:hint="eastAsia" w:ascii="宋体" w:hAnsi="宋体" w:eastAsia="宋体" w:cs="Times New Roman"/>
          <w:b/>
          <w:szCs w:val="21"/>
        </w:rPr>
        <w:sectPr>
          <w:pgSz w:w="11906" w:h="16838"/>
          <w:pgMar w:top="1440" w:right="1417" w:bottom="1440" w:left="1440" w:header="567" w:footer="590" w:gutter="0"/>
          <w:cols w:space="720" w:num="1"/>
          <w:docGrid w:linePitch="312" w:charSpace="0"/>
        </w:sectPr>
      </w:pPr>
    </w:p>
    <w:p w14:paraId="37CAF07F">
      <w:pPr>
        <w:keepNext/>
        <w:keepLines/>
        <w:wordWrap w:val="0"/>
        <w:spacing w:line="480" w:lineRule="auto"/>
        <w:outlineLvl w:val="3"/>
        <w:rPr>
          <w:rFonts w:hint="eastAsia" w:ascii="宋体" w:hAnsi="宋体" w:eastAsia="宋体" w:cs="Times New Roman"/>
          <w:b/>
          <w:szCs w:val="21"/>
        </w:rPr>
      </w:pPr>
      <w:r>
        <w:rPr>
          <w:rFonts w:hint="eastAsia" w:ascii="宋体" w:hAnsi="宋体" w:eastAsia="宋体" w:cs="Times New Roman"/>
          <w:b/>
          <w:szCs w:val="21"/>
        </w:rPr>
        <w:t>格式A4：</w:t>
      </w:r>
      <w:r>
        <w:rPr>
          <w:rFonts w:ascii="宋体" w:hAnsi="宋体" w:eastAsia="宋体" w:cs="Times New Roman"/>
          <w:b/>
          <w:szCs w:val="21"/>
        </w:rPr>
        <w:t>承诺书</w:t>
      </w:r>
    </w:p>
    <w:p w14:paraId="7FD6769C">
      <w:pPr>
        <w:wordWrap w:val="0"/>
        <w:spacing w:before="240" w:beforeLines="100" w:after="240" w:afterLines="100" w:line="360" w:lineRule="auto"/>
        <w:jc w:val="center"/>
        <w:rPr>
          <w:rFonts w:hint="eastAsia" w:ascii="宋体" w:hAnsi="宋体" w:eastAsia="宋体" w:cs="Times New Roman"/>
          <w:b/>
          <w:kern w:val="0"/>
          <w:sz w:val="28"/>
          <w:szCs w:val="28"/>
        </w:rPr>
      </w:pPr>
      <w:r>
        <w:rPr>
          <w:rFonts w:hint="eastAsia" w:ascii="宋体" w:hAnsi="宋体" w:eastAsia="宋体" w:cs="Times New Roman"/>
          <w:b/>
          <w:kern w:val="0"/>
          <w:sz w:val="28"/>
          <w:szCs w:val="28"/>
        </w:rPr>
        <w:t>承诺书</w:t>
      </w:r>
    </w:p>
    <w:p w14:paraId="2B3D97BD">
      <w:pPr>
        <w:wordWrap w:val="0"/>
        <w:spacing w:line="360" w:lineRule="auto"/>
        <w:jc w:val="left"/>
        <w:rPr>
          <w:rFonts w:hint="eastAsia" w:ascii="宋体" w:hAnsi="宋体" w:eastAsia="宋体" w:cs="Times New Roman"/>
          <w:kern w:val="0"/>
          <w:szCs w:val="21"/>
        </w:rPr>
      </w:pPr>
      <w:r>
        <w:rPr>
          <w:rFonts w:ascii="宋体" w:hAnsi="宋体" w:eastAsia="宋体" w:cs="Times New Roman"/>
          <w:kern w:val="0"/>
          <w:szCs w:val="21"/>
        </w:rPr>
        <w:t>致：</w:t>
      </w:r>
      <w:r>
        <w:rPr>
          <w:rFonts w:hint="eastAsia" w:ascii="宋体" w:hAnsi="宋体" w:eastAsia="宋体" w:cs="Times New Roman"/>
          <w:kern w:val="0"/>
          <w:szCs w:val="21"/>
        </w:rPr>
        <w:t>南宁轨道交通集团有限责任公司</w:t>
      </w:r>
    </w:p>
    <w:p w14:paraId="28A87245">
      <w:pPr>
        <w:wordWrap w:val="0"/>
        <w:spacing w:line="360" w:lineRule="auto"/>
        <w:ind w:firstLine="420" w:firstLineChars="200"/>
        <w:jc w:val="left"/>
        <w:rPr>
          <w:rFonts w:ascii="Times New Roman" w:hAnsi="Times New Roman" w:eastAsia="宋体" w:cs="Times New Roman"/>
          <w:szCs w:val="24"/>
        </w:rPr>
      </w:pPr>
      <w:r>
        <w:rPr>
          <w:rFonts w:hint="eastAsia" w:ascii="宋体" w:hAnsi="宋体" w:eastAsia="宋体" w:cs="Times New Roman"/>
          <w:kern w:val="0"/>
          <w:szCs w:val="21"/>
        </w:rPr>
        <w:t>我司</w:t>
      </w:r>
      <w:r>
        <w:rPr>
          <w:rFonts w:ascii="宋体" w:hAnsi="宋体" w:eastAsia="宋体" w:cs="Times New Roman"/>
          <w:kern w:val="0"/>
          <w:szCs w:val="21"/>
        </w:rPr>
        <w:t>郑重承诺：</w:t>
      </w:r>
      <w:r>
        <w:rPr>
          <w:rFonts w:ascii="宋体" w:hAnsi="宋体" w:eastAsia="宋体" w:cs="Times New Roman"/>
          <w:b/>
          <w:kern w:val="0"/>
          <w:szCs w:val="21"/>
        </w:rPr>
        <w:t>我公司</w:t>
      </w:r>
      <w:r>
        <w:rPr>
          <w:rFonts w:hint="eastAsia" w:ascii="宋体" w:hAnsi="宋体" w:eastAsia="宋体" w:cs="Times New Roman"/>
          <w:b/>
          <w:kern w:val="0"/>
          <w:szCs w:val="21"/>
        </w:rPr>
        <w:t>没有处于被责令停业，或投标资格被行政主管部门取消，或财产被接管、冻结、破产状态，在投标截止前3年内没有骗取中标、严重违约或重大安全质量事故</w:t>
      </w:r>
      <w:r>
        <w:rPr>
          <w:rFonts w:hint="eastAsia" w:ascii="宋体" w:hAnsi="宋体" w:eastAsia="宋体" w:cs="Times New Roman"/>
          <w:b/>
          <w:spacing w:val="1"/>
          <w:kern w:val="0"/>
          <w:position w:val="-2"/>
          <w:szCs w:val="21"/>
        </w:rPr>
        <w:t>；</w:t>
      </w:r>
      <w:r>
        <w:rPr>
          <w:rFonts w:ascii="宋体" w:hAnsi="宋体" w:eastAsia="宋体" w:cs="Times New Roman"/>
          <w:b/>
          <w:spacing w:val="1"/>
          <w:kern w:val="0"/>
          <w:position w:val="-2"/>
          <w:szCs w:val="21"/>
        </w:rPr>
        <w:t>我</w:t>
      </w:r>
      <w:r>
        <w:rPr>
          <w:rFonts w:hint="eastAsia" w:ascii="宋体" w:hAnsi="宋体" w:eastAsia="宋体" w:cs="Times New Roman"/>
          <w:b/>
          <w:spacing w:val="1"/>
          <w:kern w:val="0"/>
          <w:position w:val="-2"/>
          <w:szCs w:val="21"/>
        </w:rPr>
        <w:t>方</w:t>
      </w:r>
      <w:r>
        <w:rPr>
          <w:rFonts w:ascii="宋体" w:hAnsi="宋体" w:eastAsia="宋体" w:cs="Times New Roman"/>
          <w:b/>
          <w:spacing w:val="1"/>
          <w:kern w:val="0"/>
          <w:position w:val="-2"/>
          <w:szCs w:val="21"/>
        </w:rPr>
        <w:t>与其他投标人之间不存在单位负责人为同一人或者控股、管理关系的情况</w:t>
      </w:r>
      <w:r>
        <w:rPr>
          <w:rFonts w:hint="eastAsia" w:ascii="宋体" w:hAnsi="宋体" w:eastAsia="宋体" w:cs="Times New Roman"/>
          <w:b/>
          <w:spacing w:val="1"/>
          <w:kern w:val="0"/>
          <w:position w:val="-2"/>
          <w:szCs w:val="21"/>
        </w:rPr>
        <w:t>；</w:t>
      </w:r>
      <w:r>
        <w:rPr>
          <w:rFonts w:hint="eastAsia" w:ascii="Times New Roman" w:hAnsi="Times New Roman" w:eastAsia="宋体" w:cs="Times New Roman"/>
          <w:b/>
          <w:spacing w:val="1"/>
          <w:kern w:val="0"/>
          <w:position w:val="-2"/>
          <w:szCs w:val="21"/>
        </w:rPr>
        <w:t>我方未列入招标人不良信用名单。</w:t>
      </w:r>
    </w:p>
    <w:p w14:paraId="46A51BA5">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如果在该项目投标过程中或者在中标后，招标人或者有管辖权的招标投标行政监管机构发现并查实我公司在所填报的该项目</w:t>
      </w:r>
      <w:r>
        <w:rPr>
          <w:rFonts w:hint="eastAsia" w:ascii="宋体" w:hAnsi="宋体" w:eastAsia="宋体" w:cs="Times New Roman"/>
          <w:kern w:val="0"/>
          <w:szCs w:val="21"/>
        </w:rPr>
        <w:t>投标文件</w:t>
      </w:r>
      <w:r>
        <w:rPr>
          <w:rFonts w:ascii="宋体" w:hAnsi="宋体" w:eastAsia="宋体" w:cs="Times New Roman"/>
          <w:kern w:val="0"/>
          <w:szCs w:val="21"/>
        </w:rPr>
        <w:t>中存在提供虚假或不真实的信息或者伪造数据、资料或证书等情况，不管招标人或有管辖权的招标投标监管机构是否有合法的处罚依据，我公司将无条件地自动放弃该</w:t>
      </w:r>
      <w:r>
        <w:rPr>
          <w:rFonts w:hint="eastAsia" w:ascii="宋体" w:hAnsi="宋体" w:eastAsia="宋体" w:cs="Times New Roman"/>
          <w:kern w:val="0"/>
          <w:szCs w:val="21"/>
        </w:rPr>
        <w:t>项目</w:t>
      </w:r>
      <w:r>
        <w:rPr>
          <w:rFonts w:ascii="宋体" w:hAnsi="宋体" w:eastAsia="宋体" w:cs="Times New Roman"/>
          <w:kern w:val="0"/>
          <w:szCs w:val="21"/>
        </w:rPr>
        <w:t>的中标资格；如果我公司已经收到中标通知书，我公司无条件地承认，我公司所收到的该</w:t>
      </w:r>
      <w:r>
        <w:rPr>
          <w:rFonts w:hint="eastAsia" w:ascii="宋体" w:hAnsi="宋体" w:eastAsia="宋体" w:cs="Times New Roman"/>
          <w:kern w:val="0"/>
          <w:szCs w:val="21"/>
        </w:rPr>
        <w:t>项目</w:t>
      </w:r>
      <w:r>
        <w:rPr>
          <w:rFonts w:ascii="宋体" w:hAnsi="宋体" w:eastAsia="宋体" w:cs="Times New Roman"/>
          <w:kern w:val="0"/>
          <w:szCs w:val="21"/>
        </w:rPr>
        <w:t>中标通知书为无效文件，对招标人不具任何法律约束力；由此造成的任何后果和损失均由我公司承担。本段承诺既是我公司投标文件的有效组成内容，也是我公司真实意思的表示，对我公司在与该项目有关的任何行为中始终具有优先的法律约束力。</w:t>
      </w:r>
    </w:p>
    <w:p w14:paraId="7D91A8C1">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我司郑重承诺：</w:t>
      </w:r>
      <w:r>
        <w:rPr>
          <w:rFonts w:hint="eastAsia" w:ascii="宋体" w:hAnsi="宋体" w:eastAsia="宋体" w:cs="Times New Roman"/>
          <w:b/>
          <w:spacing w:val="1"/>
          <w:kern w:val="0"/>
          <w:position w:val="-2"/>
          <w:szCs w:val="21"/>
        </w:rPr>
        <w:t>在中标后，向本项目的招标代理机构支付代理费用。我司已知悉代理的相关费用已包含在投标报价中，不需要招标人另行支付。若我司拒绝支付代理费用，视为我公司自动放弃该项目的中标资格。</w:t>
      </w:r>
    </w:p>
    <w:p w14:paraId="5E0AE0E0">
      <w:pPr>
        <w:wordWrap w:val="0"/>
        <w:spacing w:line="360" w:lineRule="auto"/>
        <w:ind w:firstLine="420" w:firstLineChars="200"/>
        <w:jc w:val="left"/>
        <w:rPr>
          <w:rFonts w:hint="eastAsia" w:ascii="宋体" w:hAnsi="宋体" w:eastAsia="宋体" w:cs="Times New Roman"/>
          <w:kern w:val="0"/>
          <w:szCs w:val="21"/>
        </w:rPr>
      </w:pPr>
    </w:p>
    <w:p w14:paraId="32D88028">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 xml:space="preserve">投标人：（公章）  </w:t>
      </w:r>
    </w:p>
    <w:p w14:paraId="5CB513FC">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法定代表人或其委托代理人</w:t>
      </w:r>
      <w:r>
        <w:rPr>
          <w:rFonts w:ascii="宋体" w:hAnsi="宋体" w:eastAsia="宋体" w:cs="Times New Roman"/>
          <w:kern w:val="0"/>
          <w:szCs w:val="21"/>
        </w:rPr>
        <w:t>：（签字或盖章）</w:t>
      </w:r>
    </w:p>
    <w:p w14:paraId="08E101D2">
      <w:pPr>
        <w:wordWrap w:val="0"/>
        <w:spacing w:line="360" w:lineRule="auto"/>
        <w:ind w:firstLine="399" w:firstLineChars="190"/>
        <w:jc w:val="left"/>
        <w:rPr>
          <w:rFonts w:hint="eastAsia" w:ascii="宋体" w:hAnsi="宋体" w:eastAsia="宋体" w:cs="Times New Roman"/>
          <w:sz w:val="28"/>
          <w:szCs w:val="28"/>
        </w:rPr>
      </w:pPr>
      <w:bookmarkStart w:id="579" w:name="_Toc23321"/>
      <w:r>
        <w:rPr>
          <w:rFonts w:ascii="宋体" w:hAnsi="宋体" w:eastAsia="宋体" w:cs="Times New Roman"/>
          <w:bCs/>
          <w:kern w:val="0"/>
          <w:szCs w:val="21"/>
        </w:rPr>
        <w:t>日期：</w:t>
      </w:r>
      <w:r>
        <w:rPr>
          <w:rFonts w:ascii="宋体" w:hAnsi="宋体" w:eastAsia="宋体" w:cs="Times New Roman"/>
          <w:kern w:val="0"/>
          <w:szCs w:val="21"/>
        </w:rPr>
        <w:t xml:space="preserve"> </w:t>
      </w:r>
      <w:bookmarkEnd w:id="562"/>
      <w:bookmarkEnd w:id="563"/>
      <w:bookmarkEnd w:id="564"/>
      <w:bookmarkEnd w:id="565"/>
      <w:bookmarkEnd w:id="566"/>
      <w:bookmarkEnd w:id="567"/>
      <w:bookmarkEnd w:id="568"/>
      <w:bookmarkEnd w:id="569"/>
      <w:bookmarkEnd w:id="579"/>
    </w:p>
    <w:p w14:paraId="5C4CA0CE">
      <w:pPr>
        <w:rPr>
          <w:rFonts w:hint="eastAsia" w:ascii="宋体" w:hAnsi="宋体" w:eastAsia="宋体" w:cs="Times New Roman"/>
          <w:sz w:val="28"/>
          <w:szCs w:val="28"/>
        </w:rPr>
      </w:pPr>
      <w:r>
        <w:rPr>
          <w:rFonts w:ascii="宋体" w:hAnsi="宋体" w:eastAsia="宋体" w:cs="Times New Roman"/>
          <w:sz w:val="28"/>
          <w:szCs w:val="28"/>
        </w:rPr>
        <w:br w:type="page"/>
      </w:r>
    </w:p>
    <w:p w14:paraId="7BCBCC37">
      <w:pPr>
        <w:keepNext/>
        <w:keepLines/>
        <w:pageBreakBefore/>
        <w:wordWrap w:val="0"/>
        <w:spacing w:before="60" w:after="60" w:line="413" w:lineRule="auto"/>
        <w:jc w:val="left"/>
        <w:outlineLvl w:val="1"/>
        <w:rPr>
          <w:rFonts w:hint="eastAsia" w:ascii="宋体" w:hAnsi="宋体" w:eastAsia="宋体" w:cs="Times New Roman"/>
          <w:b/>
          <w:bCs/>
          <w:sz w:val="28"/>
          <w:szCs w:val="28"/>
        </w:rPr>
      </w:pPr>
      <w:bookmarkStart w:id="580" w:name="_Toc22743"/>
      <w:bookmarkStart w:id="581" w:name="_Toc29786943"/>
      <w:bookmarkStart w:id="582" w:name="_Toc30560"/>
      <w:bookmarkStart w:id="583" w:name="_Toc26440"/>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4528820</wp:posOffset>
                </wp:positionH>
                <wp:positionV relativeFrom="paragraph">
                  <wp:posOffset>123825</wp:posOffset>
                </wp:positionV>
                <wp:extent cx="1003300" cy="406400"/>
                <wp:effectExtent l="0" t="0" r="25400" b="1270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2010012B">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6.6pt;margin-top:9.75pt;height:32pt;width:79pt;z-index:251660288;mso-width-relative:page;mso-height-relative:page;" fillcolor="#FFFFFF" filled="t" stroked="t" coordsize="21600,21600" o:gfxdata="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gT6cdgAAAAJAQAADwAAAAAAAAABACAAAAAiAAAAZHJzL2Rvd25y&#10;ZXYueG1sUEsBAhQAFAAAAAgAh07iQGQwHE83AgAAfAQAAA4AAAAAAAAAAQAgAAAAJwEAAGRycy9l&#10;Mm9Eb2MueG1sUEsFBgAAAAAGAAYAWQEAANAFAAAAAA==&#10;">
                <v:fill on="t" focussize="0,0"/>
                <v:stroke color="#000000" miterlimit="8" joinstyle="miter"/>
                <v:imagedata o:title=""/>
                <o:lock v:ext="edit" aspectratio="f"/>
                <v:textbox>
                  <w:txbxContent>
                    <w:p w14:paraId="2010012B">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sz w:val="24"/>
          <w:szCs w:val="24"/>
        </w:rPr>
        <w:t>二、资信文件格式</w:t>
      </w:r>
      <w:bookmarkEnd w:id="580"/>
      <w:bookmarkEnd w:id="581"/>
      <w:bookmarkEnd w:id="582"/>
      <w:bookmarkEnd w:id="583"/>
    </w:p>
    <w:p w14:paraId="286B1E15">
      <w:pPr>
        <w:wordWrap w:val="0"/>
        <w:spacing w:line="360" w:lineRule="auto"/>
        <w:jc w:val="left"/>
        <w:outlineLvl w:val="1"/>
        <w:rPr>
          <w:rFonts w:hint="eastAsia" w:ascii="宋体" w:hAnsi="宋体" w:eastAsia="宋体" w:cs="Times New Roman"/>
          <w:kern w:val="0"/>
          <w:szCs w:val="21"/>
        </w:rPr>
      </w:pPr>
      <w:r>
        <w:rPr>
          <w:rFonts w:hint="eastAsia" w:ascii="宋体" w:hAnsi="宋体" w:eastAsia="宋体" w:cs="Times New Roman"/>
          <w:kern w:val="0"/>
          <w:szCs w:val="21"/>
        </w:rPr>
        <w:t>（一）封面格式</w:t>
      </w:r>
    </w:p>
    <w:p w14:paraId="2C977D84">
      <w:pPr>
        <w:wordWrap w:val="0"/>
        <w:jc w:val="left"/>
        <w:rPr>
          <w:rFonts w:hint="eastAsia" w:ascii="宋体" w:hAnsi="宋体" w:eastAsia="宋体" w:cs="Times New Roman"/>
          <w:kern w:val="0"/>
          <w:szCs w:val="21"/>
        </w:rPr>
      </w:pPr>
    </w:p>
    <w:p w14:paraId="02BF525B">
      <w:pPr>
        <w:wordWrap w:val="0"/>
        <w:ind w:right="840"/>
        <w:rPr>
          <w:rFonts w:hint="eastAsia" w:ascii="宋体" w:hAnsi="宋体" w:eastAsia="宋体" w:cs="Times New Roman"/>
          <w:kern w:val="0"/>
          <w:szCs w:val="21"/>
        </w:rPr>
      </w:pPr>
    </w:p>
    <w:p w14:paraId="744D185C">
      <w:pPr>
        <w:wordWrap w:val="0"/>
        <w:ind w:right="840"/>
        <w:rPr>
          <w:rFonts w:hint="eastAsia" w:ascii="宋体" w:hAnsi="宋体" w:eastAsia="宋体" w:cs="Times New Roman"/>
          <w:kern w:val="0"/>
          <w:szCs w:val="21"/>
        </w:rPr>
      </w:pPr>
    </w:p>
    <w:p w14:paraId="09F4F744">
      <w:pPr>
        <w:wordWrap w:val="0"/>
        <w:jc w:val="center"/>
        <w:rPr>
          <w:rFonts w:hint="eastAsia" w:ascii="宋体" w:hAnsi="宋体" w:eastAsia="宋体" w:cs="Times New Roman"/>
          <w:kern w:val="0"/>
          <w:sz w:val="32"/>
          <w:szCs w:val="32"/>
        </w:rPr>
      </w:pPr>
    </w:p>
    <w:p w14:paraId="10BD3394">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u w:val="single"/>
        </w:rPr>
        <w:t>（项目名称）</w:t>
      </w:r>
      <w:r>
        <w:rPr>
          <w:rFonts w:hint="eastAsia" w:ascii="宋体" w:hAnsi="宋体" w:eastAsia="宋体" w:cs="Times New Roman"/>
          <w:kern w:val="0"/>
          <w:sz w:val="28"/>
          <w:szCs w:val="28"/>
          <w:u w:val="single"/>
        </w:rPr>
        <w:t>项目</w:t>
      </w:r>
    </w:p>
    <w:p w14:paraId="2F1F3A43">
      <w:pPr>
        <w:wordWrap w:val="0"/>
        <w:jc w:val="center"/>
        <w:rPr>
          <w:rFonts w:hint="eastAsia" w:ascii="宋体" w:hAnsi="宋体" w:eastAsia="宋体" w:cs="Times New Roman"/>
          <w:kern w:val="0"/>
          <w:sz w:val="28"/>
          <w:szCs w:val="28"/>
        </w:rPr>
      </w:pPr>
    </w:p>
    <w:p w14:paraId="686B983F">
      <w:pPr>
        <w:wordWrap w:val="0"/>
        <w:jc w:val="center"/>
        <w:rPr>
          <w:rFonts w:hint="eastAsia" w:ascii="宋体" w:hAnsi="宋体" w:eastAsia="宋体" w:cs="Times New Roman"/>
          <w:kern w:val="0"/>
          <w:sz w:val="28"/>
          <w:szCs w:val="28"/>
        </w:rPr>
      </w:pPr>
    </w:p>
    <w:p w14:paraId="0F7EFC80">
      <w:pPr>
        <w:wordWrap w:val="0"/>
        <w:jc w:val="center"/>
        <w:rPr>
          <w:rFonts w:hint="eastAsia" w:ascii="宋体" w:hAnsi="宋体" w:eastAsia="宋体" w:cs="Times New Roman"/>
          <w:kern w:val="0"/>
          <w:sz w:val="28"/>
          <w:szCs w:val="28"/>
        </w:rPr>
      </w:pPr>
    </w:p>
    <w:p w14:paraId="293BF478">
      <w:pPr>
        <w:wordWrap w:val="0"/>
        <w:jc w:val="center"/>
        <w:rPr>
          <w:rFonts w:hint="eastAsia" w:ascii="宋体" w:hAnsi="宋体" w:eastAsia="宋体" w:cs="Times New Roman"/>
          <w:kern w:val="0"/>
          <w:sz w:val="28"/>
          <w:szCs w:val="28"/>
        </w:rPr>
      </w:pPr>
    </w:p>
    <w:p w14:paraId="5F9D08ED">
      <w:pPr>
        <w:wordWrap w:val="0"/>
        <w:jc w:val="center"/>
        <w:rPr>
          <w:rFonts w:hint="eastAsia" w:ascii="宋体" w:hAnsi="宋体" w:eastAsia="宋体" w:cs="Times New Roman"/>
          <w:kern w:val="0"/>
          <w:sz w:val="28"/>
          <w:szCs w:val="28"/>
        </w:rPr>
      </w:pPr>
    </w:p>
    <w:p w14:paraId="584AF6F9">
      <w:pPr>
        <w:wordWrap w:val="0"/>
        <w:jc w:val="center"/>
        <w:rPr>
          <w:rFonts w:hint="eastAsia" w:ascii="宋体" w:hAnsi="宋体" w:eastAsia="宋体" w:cs="Times New Roman"/>
          <w:kern w:val="0"/>
          <w:sz w:val="28"/>
          <w:szCs w:val="28"/>
        </w:rPr>
      </w:pPr>
    </w:p>
    <w:p w14:paraId="321C2996">
      <w:pPr>
        <w:wordWrap w:val="0"/>
        <w:spacing w:before="240" w:beforeLines="100" w:line="360" w:lineRule="auto"/>
        <w:jc w:val="center"/>
        <w:rPr>
          <w:rFonts w:hint="eastAsia" w:ascii="宋体" w:hAnsi="宋体" w:eastAsia="宋体" w:cs="Times New Roman"/>
          <w:kern w:val="0"/>
          <w:sz w:val="56"/>
          <w:szCs w:val="56"/>
        </w:rPr>
      </w:pPr>
      <w:r>
        <w:rPr>
          <w:rFonts w:ascii="宋体" w:hAnsi="宋体" w:eastAsia="宋体" w:cs="Times New Roman"/>
          <w:kern w:val="0"/>
          <w:sz w:val="56"/>
          <w:szCs w:val="56"/>
        </w:rPr>
        <w:t>投  标  文  件</w:t>
      </w:r>
    </w:p>
    <w:p w14:paraId="374F2489">
      <w:pPr>
        <w:wordWrap w:val="0"/>
        <w:spacing w:line="360" w:lineRule="auto"/>
        <w:jc w:val="center"/>
        <w:rPr>
          <w:rFonts w:hint="eastAsia" w:ascii="宋体" w:hAnsi="宋体" w:eastAsia="宋体" w:cs="Times New Roman"/>
          <w:kern w:val="0"/>
          <w:sz w:val="36"/>
          <w:szCs w:val="36"/>
          <w:u w:val="single"/>
        </w:rPr>
      </w:pPr>
      <w:r>
        <w:rPr>
          <w:rFonts w:hint="eastAsia" w:ascii="宋体" w:hAnsi="宋体" w:eastAsia="宋体" w:cs="Times New Roman"/>
          <w:kern w:val="0"/>
          <w:sz w:val="36"/>
          <w:szCs w:val="36"/>
          <w:u w:val="single"/>
        </w:rPr>
        <w:t>资信文件</w:t>
      </w:r>
    </w:p>
    <w:p w14:paraId="29C098C5">
      <w:pPr>
        <w:wordWrap w:val="0"/>
        <w:spacing w:line="360" w:lineRule="auto"/>
        <w:jc w:val="center"/>
        <w:rPr>
          <w:rFonts w:hint="eastAsia" w:ascii="宋体" w:hAnsi="宋体" w:eastAsia="宋体" w:cs="Times New Roman"/>
          <w:kern w:val="0"/>
          <w:sz w:val="32"/>
          <w:szCs w:val="32"/>
          <w:u w:val="single"/>
        </w:rPr>
      </w:pPr>
      <w:r>
        <w:rPr>
          <w:rFonts w:hint="eastAsia" w:ascii="宋体" w:hAnsi="宋体" w:eastAsia="宋体" w:cs="Times New Roman"/>
          <w:kern w:val="0"/>
          <w:sz w:val="32"/>
          <w:szCs w:val="32"/>
          <w:u w:val="single"/>
        </w:rPr>
        <w:t>第   册（如有分册）</w:t>
      </w:r>
    </w:p>
    <w:p w14:paraId="3C4F02D6">
      <w:pPr>
        <w:wordWrap w:val="0"/>
        <w:rPr>
          <w:rFonts w:hint="eastAsia" w:ascii="宋体" w:hAnsi="宋体" w:eastAsia="宋体" w:cs="Times New Roman"/>
          <w:kern w:val="0"/>
          <w:sz w:val="32"/>
          <w:szCs w:val="32"/>
        </w:rPr>
      </w:pPr>
    </w:p>
    <w:p w14:paraId="19977783">
      <w:pPr>
        <w:wordWrap w:val="0"/>
        <w:spacing w:line="360" w:lineRule="auto"/>
        <w:ind w:firstLine="2380" w:firstLineChars="850"/>
        <w:rPr>
          <w:rFonts w:hint="eastAsia" w:ascii="宋体" w:hAnsi="宋体" w:eastAsia="宋体" w:cs="Times New Roman"/>
          <w:kern w:val="0"/>
          <w:sz w:val="28"/>
          <w:szCs w:val="28"/>
          <w:u w:val="single"/>
        </w:rPr>
      </w:pPr>
      <w:r>
        <w:rPr>
          <w:rFonts w:ascii="宋体" w:hAnsi="宋体" w:eastAsia="宋体" w:cs="Times New Roman"/>
          <w:kern w:val="0"/>
          <w:sz w:val="28"/>
          <w:szCs w:val="28"/>
        </w:rPr>
        <w:t>招标编号：</w:t>
      </w:r>
    </w:p>
    <w:p w14:paraId="22FED8F4">
      <w:pPr>
        <w:wordWrap w:val="0"/>
        <w:jc w:val="center"/>
        <w:rPr>
          <w:rFonts w:hint="eastAsia" w:ascii="宋体" w:hAnsi="宋体" w:eastAsia="宋体" w:cs="Times New Roman"/>
          <w:kern w:val="0"/>
          <w:sz w:val="32"/>
          <w:szCs w:val="32"/>
        </w:rPr>
      </w:pPr>
    </w:p>
    <w:p w14:paraId="2CA8A0DD">
      <w:pPr>
        <w:wordWrap w:val="0"/>
        <w:jc w:val="center"/>
        <w:rPr>
          <w:rFonts w:hint="eastAsia" w:ascii="宋体" w:hAnsi="宋体" w:eastAsia="宋体" w:cs="Times New Roman"/>
          <w:kern w:val="0"/>
          <w:sz w:val="32"/>
          <w:szCs w:val="32"/>
        </w:rPr>
      </w:pPr>
    </w:p>
    <w:p w14:paraId="63969CD5">
      <w:pPr>
        <w:wordWrap w:val="0"/>
        <w:rPr>
          <w:rFonts w:hint="eastAsia" w:ascii="宋体" w:hAnsi="宋体" w:eastAsia="宋体" w:cs="Times New Roman"/>
          <w:kern w:val="0"/>
          <w:sz w:val="32"/>
          <w:szCs w:val="32"/>
        </w:rPr>
      </w:pPr>
    </w:p>
    <w:p w14:paraId="01E4DA46">
      <w:pPr>
        <w:wordWrap w:val="0"/>
        <w:jc w:val="center"/>
        <w:rPr>
          <w:rFonts w:hint="eastAsia" w:ascii="宋体" w:hAnsi="宋体" w:eastAsia="宋体" w:cs="Times New Roman"/>
          <w:kern w:val="0"/>
          <w:sz w:val="32"/>
          <w:szCs w:val="32"/>
        </w:rPr>
      </w:pPr>
    </w:p>
    <w:p w14:paraId="1AE03B39">
      <w:pPr>
        <w:wordWrap w:val="0"/>
        <w:jc w:val="center"/>
        <w:rPr>
          <w:rFonts w:hint="eastAsia" w:ascii="宋体" w:hAnsi="宋体" w:eastAsia="宋体" w:cs="Times New Roman"/>
          <w:kern w:val="0"/>
          <w:sz w:val="32"/>
          <w:szCs w:val="32"/>
        </w:rPr>
      </w:pPr>
    </w:p>
    <w:p w14:paraId="54EB4E28">
      <w:pPr>
        <w:wordWrap w:val="0"/>
        <w:jc w:val="center"/>
        <w:rPr>
          <w:rFonts w:hint="eastAsia" w:ascii="宋体" w:hAnsi="宋体" w:eastAsia="宋体" w:cs="Times New Roman"/>
          <w:kern w:val="0"/>
          <w:sz w:val="32"/>
          <w:szCs w:val="32"/>
        </w:rPr>
      </w:pPr>
    </w:p>
    <w:p w14:paraId="023A2EA4">
      <w:pPr>
        <w:wordWrap w:val="0"/>
        <w:jc w:val="center"/>
        <w:rPr>
          <w:rFonts w:hint="eastAsia" w:ascii="宋体" w:hAnsi="宋体" w:eastAsia="宋体" w:cs="Times New Roman"/>
          <w:kern w:val="0"/>
          <w:sz w:val="32"/>
          <w:szCs w:val="32"/>
        </w:rPr>
      </w:pPr>
    </w:p>
    <w:p w14:paraId="625DB792">
      <w:pPr>
        <w:wordWrap w:val="0"/>
        <w:spacing w:line="360" w:lineRule="auto"/>
        <w:ind w:firstLine="1400" w:firstLineChars="500"/>
        <w:rPr>
          <w:rFonts w:hint="eastAsia" w:ascii="宋体" w:hAnsi="宋体" w:eastAsia="宋体" w:cs="Times New Roman"/>
          <w:kern w:val="0"/>
          <w:sz w:val="28"/>
          <w:szCs w:val="28"/>
        </w:rPr>
      </w:pPr>
      <w:r>
        <w:rPr>
          <w:rFonts w:ascii="宋体" w:hAnsi="宋体" w:eastAsia="宋体" w:cs="Times New Roman"/>
          <w:kern w:val="0"/>
          <w:sz w:val="28"/>
          <w:szCs w:val="28"/>
        </w:rPr>
        <w:t>投标人：（盖单位</w:t>
      </w:r>
      <w:r>
        <w:rPr>
          <w:rFonts w:hint="eastAsia" w:ascii="宋体" w:hAnsi="宋体" w:eastAsia="宋体" w:cs="Times New Roman"/>
          <w:kern w:val="0"/>
          <w:sz w:val="28"/>
          <w:szCs w:val="28"/>
        </w:rPr>
        <w:t>公</w:t>
      </w:r>
      <w:r>
        <w:rPr>
          <w:rFonts w:ascii="宋体" w:hAnsi="宋体" w:eastAsia="宋体" w:cs="Times New Roman"/>
          <w:kern w:val="0"/>
          <w:sz w:val="28"/>
          <w:szCs w:val="28"/>
        </w:rPr>
        <w:t>章）</w:t>
      </w:r>
    </w:p>
    <w:p w14:paraId="20ED0D5A">
      <w:pPr>
        <w:wordWrap w:val="0"/>
        <w:spacing w:line="360" w:lineRule="auto"/>
        <w:ind w:firstLine="1400" w:firstLineChars="500"/>
        <w:rPr>
          <w:rFonts w:hint="eastAsia" w:ascii="宋体" w:hAnsi="宋体" w:eastAsia="宋体" w:cs="Times New Roman"/>
          <w:kern w:val="0"/>
          <w:sz w:val="28"/>
          <w:szCs w:val="28"/>
        </w:rPr>
      </w:pPr>
      <w:r>
        <w:rPr>
          <w:rFonts w:hint="eastAsia" w:ascii="宋体" w:hAnsi="宋体" w:eastAsia="宋体" w:cs="Times New Roman"/>
          <w:kern w:val="0"/>
          <w:sz w:val="28"/>
          <w:szCs w:val="28"/>
        </w:rPr>
        <w:t>法定代表人或其委托代理人</w:t>
      </w:r>
      <w:r>
        <w:rPr>
          <w:rFonts w:ascii="宋体" w:hAnsi="宋体" w:eastAsia="宋体" w:cs="Times New Roman"/>
          <w:kern w:val="0"/>
          <w:sz w:val="28"/>
          <w:szCs w:val="28"/>
        </w:rPr>
        <w:t>：（签字</w:t>
      </w:r>
      <w:r>
        <w:rPr>
          <w:rFonts w:hint="eastAsia" w:ascii="宋体" w:hAnsi="宋体" w:eastAsia="宋体" w:cs="Times New Roman"/>
          <w:kern w:val="0"/>
          <w:sz w:val="28"/>
          <w:szCs w:val="28"/>
        </w:rPr>
        <w:t>或盖章</w:t>
      </w:r>
      <w:r>
        <w:rPr>
          <w:rFonts w:ascii="宋体" w:hAnsi="宋体" w:eastAsia="宋体" w:cs="Times New Roman"/>
          <w:kern w:val="0"/>
          <w:sz w:val="28"/>
          <w:szCs w:val="28"/>
        </w:rPr>
        <w:t>）</w:t>
      </w:r>
    </w:p>
    <w:p w14:paraId="5207DF89">
      <w:pPr>
        <w:wordWrap w:val="0"/>
        <w:rPr>
          <w:rFonts w:hint="eastAsia" w:ascii="宋体" w:hAnsi="宋体" w:eastAsia="宋体" w:cs="Times New Roman"/>
          <w:kern w:val="0"/>
          <w:sz w:val="28"/>
          <w:szCs w:val="28"/>
        </w:rPr>
      </w:pPr>
    </w:p>
    <w:p w14:paraId="4048CFC0">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rPr>
        <w:t>年</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月</w:t>
      </w:r>
    </w:p>
    <w:p w14:paraId="3CFF442E">
      <w:pPr>
        <w:wordWrap w:val="0"/>
        <w:spacing w:line="360" w:lineRule="auto"/>
        <w:jc w:val="left"/>
        <w:outlineLvl w:val="1"/>
        <w:rPr>
          <w:rFonts w:hint="eastAsia" w:ascii="宋体" w:hAnsi="宋体" w:eastAsia="宋体" w:cs="Times New Roman"/>
          <w:kern w:val="0"/>
          <w:szCs w:val="21"/>
        </w:rPr>
      </w:pPr>
      <w:r>
        <w:rPr>
          <w:rFonts w:ascii="宋体" w:hAnsi="宋体" w:eastAsia="宋体" w:cs="Times New Roman"/>
          <w:kern w:val="0"/>
          <w:sz w:val="28"/>
          <w:szCs w:val="28"/>
        </w:rPr>
        <w:br w:type="page"/>
      </w:r>
      <w:r>
        <w:rPr>
          <w:rFonts w:ascii="宋体" w:hAnsi="宋体" w:eastAsia="宋体" w:cs="Times New Roman"/>
          <w:kern w:val="0"/>
          <w:szCs w:val="21"/>
        </w:rPr>
        <w:t xml:space="preserve"> </w:t>
      </w:r>
      <w:r>
        <w:rPr>
          <w:rFonts w:hint="eastAsia" w:ascii="宋体" w:hAnsi="宋体" w:eastAsia="宋体" w:cs="Times New Roman"/>
          <w:kern w:val="0"/>
          <w:szCs w:val="21"/>
        </w:rPr>
        <w:t>（二）资信文件内容格式</w:t>
      </w:r>
    </w:p>
    <w:p w14:paraId="61D8C04E">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投标人可根据以下内容和顺序编排投标文件：</w:t>
      </w:r>
    </w:p>
    <w:p w14:paraId="1D0F1708">
      <w:pPr>
        <w:wordWrap w:val="0"/>
        <w:spacing w:line="360" w:lineRule="auto"/>
        <w:ind w:firstLine="420" w:firstLineChars="200"/>
        <w:jc w:val="left"/>
        <w:rPr>
          <w:rFonts w:hint="eastAsia" w:ascii="宋体" w:hAnsi="宋体" w:eastAsia="宋体" w:cs="Times New Roman"/>
          <w:bCs/>
          <w:kern w:val="0"/>
          <w:szCs w:val="21"/>
        </w:rPr>
      </w:pPr>
      <w:r>
        <w:rPr>
          <w:rFonts w:hint="eastAsia" w:ascii="宋体" w:hAnsi="宋体" w:eastAsia="宋体" w:cs="Times New Roman"/>
          <w:bCs/>
          <w:kern w:val="0"/>
          <w:szCs w:val="21"/>
        </w:rPr>
        <w:t>1、</w:t>
      </w:r>
      <w:r>
        <w:rPr>
          <w:rFonts w:ascii="宋体" w:hAnsi="宋体" w:eastAsia="宋体" w:cs="Times New Roman"/>
          <w:bCs/>
          <w:kern w:val="0"/>
          <w:szCs w:val="21"/>
        </w:rPr>
        <w:t>投标人基本情况一览表</w:t>
      </w:r>
      <w:r>
        <w:rPr>
          <w:rFonts w:hint="eastAsia" w:ascii="宋体" w:hAnsi="宋体" w:eastAsia="宋体" w:cs="Times New Roman"/>
          <w:bCs/>
          <w:kern w:val="0"/>
          <w:szCs w:val="21"/>
        </w:rPr>
        <w:t>（详见格式B1）；</w:t>
      </w:r>
    </w:p>
    <w:p w14:paraId="700EEFEE">
      <w:pPr>
        <w:wordWrap w:val="0"/>
        <w:spacing w:line="360" w:lineRule="auto"/>
        <w:ind w:firstLine="420" w:firstLineChars="200"/>
        <w:jc w:val="left"/>
        <w:rPr>
          <w:rFonts w:hint="eastAsia" w:ascii="宋体" w:hAnsi="宋体" w:eastAsia="宋体" w:cs="Times New Roman"/>
          <w:bCs/>
          <w:kern w:val="0"/>
          <w:szCs w:val="21"/>
          <w:highlight w:val="none"/>
        </w:rPr>
      </w:pPr>
      <w:r>
        <w:rPr>
          <w:rFonts w:hint="eastAsia" w:ascii="宋体" w:hAnsi="宋体" w:eastAsia="宋体" w:cs="Times New Roman"/>
          <w:bCs/>
          <w:kern w:val="0"/>
          <w:szCs w:val="21"/>
        </w:rPr>
        <w:t>2、</w:t>
      </w:r>
      <w:r>
        <w:rPr>
          <w:rFonts w:ascii="宋体" w:hAnsi="宋体" w:eastAsia="宋体" w:cs="Times New Roman"/>
          <w:bCs/>
          <w:kern w:val="0"/>
          <w:szCs w:val="21"/>
        </w:rPr>
        <w:t>投标人</w:t>
      </w:r>
      <w:r>
        <w:rPr>
          <w:rFonts w:hint="eastAsia" w:ascii="宋体" w:hAnsi="宋体" w:eastAsia="宋体" w:cs="Times New Roman"/>
          <w:szCs w:val="21"/>
        </w:rPr>
        <w:t>有效的ISO 9001质量管理体系认证证书</w:t>
      </w:r>
      <w:r>
        <w:rPr>
          <w:rFonts w:hint="eastAsia" w:ascii="宋体" w:hAnsi="宋体" w:eastAsia="宋体" w:cs="Times New Roman"/>
          <w:kern w:val="0"/>
          <w:szCs w:val="21"/>
        </w:rPr>
        <w:t>复印件并加</w:t>
      </w:r>
      <w:r>
        <w:rPr>
          <w:rFonts w:hint="eastAsia" w:ascii="宋体" w:hAnsi="宋体" w:eastAsia="宋体" w:cs="Times New Roman"/>
          <w:kern w:val="0"/>
          <w:szCs w:val="21"/>
          <w:highlight w:val="none"/>
        </w:rPr>
        <w:t>盖投标人公章</w:t>
      </w:r>
      <w:r>
        <w:rPr>
          <w:rFonts w:hint="eastAsia" w:ascii="宋体" w:hAnsi="宋体" w:eastAsia="宋体" w:cs="Times New Roman"/>
          <w:szCs w:val="21"/>
          <w:highlight w:val="none"/>
        </w:rPr>
        <w:t>；</w:t>
      </w:r>
      <w:r>
        <w:rPr>
          <w:rFonts w:hint="eastAsia" w:ascii="宋体" w:hAnsi="宋体" w:eastAsia="宋体" w:cs="Times New Roman"/>
          <w:kern w:val="0"/>
          <w:szCs w:val="21"/>
          <w:highlight w:val="none"/>
        </w:rPr>
        <w:t>（如有）</w:t>
      </w:r>
    </w:p>
    <w:p w14:paraId="5B967FD3">
      <w:pPr>
        <w:wordWrap w:val="0"/>
        <w:spacing w:line="360" w:lineRule="auto"/>
        <w:ind w:firstLine="420" w:firstLineChars="200"/>
        <w:jc w:val="left"/>
        <w:textAlignment w:val="baseline"/>
        <w:rPr>
          <w:rFonts w:hint="eastAsia" w:ascii="宋体" w:hAnsi="宋体" w:eastAsia="宋体" w:cs="Times New Roman"/>
          <w:kern w:val="0"/>
          <w:szCs w:val="21"/>
          <w:highlight w:val="none"/>
        </w:rPr>
      </w:pPr>
      <w:r>
        <w:rPr>
          <w:rFonts w:hint="eastAsia" w:ascii="宋体" w:hAnsi="宋体" w:eastAsia="宋体" w:cs="Times New Roman"/>
          <w:bCs/>
          <w:kern w:val="0"/>
          <w:szCs w:val="21"/>
          <w:highlight w:val="none"/>
        </w:rPr>
        <w:t>3、企业业绩表</w:t>
      </w:r>
      <w:r>
        <w:rPr>
          <w:rFonts w:hint="eastAsia" w:ascii="宋体" w:hAnsi="宋体" w:eastAsia="宋体" w:cs="Times New Roman"/>
          <w:kern w:val="0"/>
          <w:szCs w:val="21"/>
          <w:highlight w:val="none"/>
        </w:rPr>
        <w:t>（详见格式B2），</w:t>
      </w:r>
      <w:r>
        <w:rPr>
          <w:rFonts w:hint="eastAsia" w:ascii="宋体" w:hAnsi="宋体" w:eastAsia="宋体" w:cs="Times New Roman"/>
          <w:szCs w:val="21"/>
          <w:highlight w:val="none"/>
        </w:rPr>
        <w:t>须提供合同关键页或中标通知书等复印件证明材料，证明材料须体现出合同双方、合同签订时间、合同服务等内容，否则评审时不予承认该业绩。联合体业绩、分包业绩均不予认可</w:t>
      </w:r>
      <w:r>
        <w:rPr>
          <w:rFonts w:hint="eastAsia" w:ascii="宋体" w:hAnsi="宋体" w:eastAsia="宋体" w:cs="Times New Roman"/>
          <w:kern w:val="0"/>
          <w:szCs w:val="21"/>
          <w:highlight w:val="none"/>
        </w:rPr>
        <w:t>；（如有）</w:t>
      </w:r>
    </w:p>
    <w:p w14:paraId="36A68488">
      <w:pPr>
        <w:wordWrap w:val="0"/>
        <w:spacing w:line="360" w:lineRule="auto"/>
        <w:ind w:firstLine="420" w:firstLineChars="200"/>
        <w:jc w:val="left"/>
        <w:rPr>
          <w:rFonts w:hint="eastAsia" w:ascii="宋体" w:hAnsi="宋体" w:eastAsia="宋体" w:cs="Times New Roman"/>
          <w:bCs/>
          <w:kern w:val="0"/>
          <w:szCs w:val="21"/>
        </w:rPr>
      </w:pPr>
      <w:r>
        <w:rPr>
          <w:rFonts w:hint="eastAsia" w:ascii="宋体" w:hAnsi="宋体" w:eastAsia="宋体" w:cs="Times New Roman"/>
          <w:bCs/>
          <w:kern w:val="0"/>
          <w:szCs w:val="21"/>
          <w:highlight w:val="none"/>
        </w:rPr>
        <w:t>4、</w:t>
      </w:r>
      <w:r>
        <w:rPr>
          <w:rFonts w:hint="eastAsia" w:ascii="宋体" w:hAnsi="宋体" w:eastAsia="宋体" w:cs="Times New Roman"/>
          <w:bCs/>
          <w:szCs w:val="21"/>
          <w:highlight w:val="none"/>
        </w:rPr>
        <w:t>投标人组织机构框图（详见格式B3）、</w:t>
      </w:r>
      <w:r>
        <w:rPr>
          <w:rFonts w:hint="eastAsia" w:ascii="宋体" w:hAnsi="宋体" w:eastAsia="宋体" w:cs="Times New Roman"/>
          <w:kern w:val="0"/>
          <w:szCs w:val="21"/>
          <w:highlight w:val="none"/>
        </w:rPr>
        <w:t>拟投入本项目人员情况表</w:t>
      </w:r>
      <w:r>
        <w:rPr>
          <w:rFonts w:hint="eastAsia" w:ascii="宋体" w:hAnsi="宋体" w:eastAsia="宋体" w:cs="Times New Roman"/>
          <w:bCs/>
          <w:szCs w:val="21"/>
          <w:highlight w:val="none"/>
        </w:rPr>
        <w:t>（</w:t>
      </w:r>
      <w:r>
        <w:rPr>
          <w:rFonts w:hint="eastAsia" w:ascii="宋体" w:hAnsi="宋体" w:eastAsia="宋体" w:cs="Times New Roman"/>
          <w:bCs/>
          <w:szCs w:val="21"/>
        </w:rPr>
        <w:t>详见格式</w:t>
      </w:r>
      <w:r>
        <w:rPr>
          <w:rFonts w:hint="eastAsia" w:ascii="宋体" w:hAnsi="宋体" w:eastAsia="宋体" w:cs="Times New Roman"/>
          <w:kern w:val="0"/>
          <w:szCs w:val="21"/>
        </w:rPr>
        <w:t>B4</w:t>
      </w:r>
      <w:r>
        <w:rPr>
          <w:rFonts w:hint="eastAsia" w:ascii="宋体" w:hAnsi="宋体" w:eastAsia="宋体" w:cs="Times New Roman"/>
          <w:bCs/>
          <w:szCs w:val="21"/>
        </w:rPr>
        <w:t>）</w:t>
      </w:r>
      <w:r>
        <w:rPr>
          <w:rFonts w:hint="eastAsia" w:ascii="宋体" w:hAnsi="宋体" w:eastAsia="宋体" w:cs="Times New Roman"/>
          <w:kern w:val="0"/>
          <w:szCs w:val="21"/>
        </w:rPr>
        <w:t>、</w:t>
      </w:r>
      <w:r>
        <w:rPr>
          <w:rFonts w:hint="eastAsia" w:ascii="宋体" w:hAnsi="宋体" w:eastAsia="宋体" w:cs="宋体"/>
          <w:kern w:val="0"/>
          <w:szCs w:val="21"/>
        </w:rPr>
        <w:t>项目负责人简历表</w:t>
      </w:r>
      <w:r>
        <w:rPr>
          <w:rFonts w:hint="eastAsia" w:ascii="宋体" w:hAnsi="宋体" w:eastAsia="宋体" w:cs="Times New Roman"/>
          <w:bCs/>
          <w:szCs w:val="21"/>
        </w:rPr>
        <w:t>（详见格式</w:t>
      </w:r>
      <w:r>
        <w:rPr>
          <w:rFonts w:hint="eastAsia" w:ascii="宋体" w:hAnsi="宋体" w:eastAsia="宋体" w:cs="Times New Roman"/>
          <w:kern w:val="0"/>
          <w:szCs w:val="21"/>
        </w:rPr>
        <w:t>B5</w:t>
      </w:r>
      <w:r>
        <w:rPr>
          <w:rFonts w:hint="eastAsia" w:ascii="宋体" w:hAnsi="宋体" w:eastAsia="宋体" w:cs="Times New Roman"/>
          <w:bCs/>
          <w:szCs w:val="21"/>
        </w:rPr>
        <w:t>）</w:t>
      </w:r>
      <w:r>
        <w:rPr>
          <w:rFonts w:hint="eastAsia" w:ascii="宋体" w:hAnsi="宋体" w:eastAsia="宋体" w:cs="Times New Roman"/>
          <w:szCs w:val="21"/>
        </w:rPr>
        <w:t>，</w:t>
      </w:r>
      <w:r>
        <w:rPr>
          <w:rFonts w:hint="eastAsia" w:eastAsia="宋体"/>
        </w:rPr>
        <w:t>提供</w:t>
      </w:r>
      <w:r>
        <w:rPr>
          <w:rFonts w:hint="eastAsia" w:ascii="宋体" w:hAnsi="宋体" w:cs="宋体"/>
        </w:rPr>
        <w:t>项目负责人</w:t>
      </w:r>
      <w:r>
        <w:rPr>
          <w:rFonts w:hint="eastAsia"/>
          <w:szCs w:val="21"/>
        </w:rPr>
        <w:t>近1年内任意连续6个月的社保证明</w:t>
      </w:r>
      <w:r>
        <w:rPr>
          <w:rFonts w:hint="eastAsia" w:ascii="宋体" w:hAnsi="宋体" w:eastAsia="宋体" w:cs="Times New Roman"/>
          <w:szCs w:val="21"/>
        </w:rPr>
        <w:t>材料及提供</w:t>
      </w:r>
      <w:r>
        <w:rPr>
          <w:rFonts w:hint="eastAsia" w:eastAsia="宋体"/>
        </w:rPr>
        <w:t>合同证明材料或用户证明复印件且能清晰反映项目特征和拟派项目经理在该项目中担任的职务，用户证明须具有证明单位盖章，否则评审时不予承认该业绩，承接时间以合同或用户证明复印件上所载明的时间为准</w:t>
      </w:r>
      <w:r>
        <w:rPr>
          <w:rFonts w:hint="eastAsia" w:ascii="宋体" w:hAnsi="宋体" w:eastAsia="宋体" w:cs="Times New Roman"/>
          <w:kern w:val="0"/>
          <w:szCs w:val="21"/>
        </w:rPr>
        <w:t>；</w:t>
      </w:r>
    </w:p>
    <w:p w14:paraId="3A5D3617">
      <w:pPr>
        <w:wordWrap w:val="0"/>
        <w:spacing w:line="360" w:lineRule="auto"/>
        <w:ind w:firstLine="420" w:firstLineChars="200"/>
        <w:jc w:val="left"/>
        <w:rPr>
          <w:rFonts w:hint="eastAsia" w:ascii="宋体" w:hAnsi="宋体" w:eastAsia="宋体" w:cs="Times New Roman"/>
          <w:kern w:val="0"/>
          <w:szCs w:val="21"/>
          <w:highlight w:val="none"/>
        </w:rPr>
      </w:pPr>
      <w:r>
        <w:rPr>
          <w:rFonts w:hint="eastAsia" w:ascii="宋体" w:hAnsi="宋体" w:eastAsia="宋体" w:cs="Times New Roman"/>
          <w:kern w:val="0"/>
          <w:szCs w:val="21"/>
        </w:rPr>
        <w:t>5、</w:t>
      </w:r>
      <w:r>
        <w:rPr>
          <w:rFonts w:hint="eastAsia" w:ascii="宋体" w:hAnsi="宋体" w:eastAsia="宋体" w:cs="Times New Roman"/>
          <w:szCs w:val="21"/>
        </w:rPr>
        <w:t>提供由注册会计师事务所出具的无保留意见的投</w:t>
      </w:r>
      <w:r>
        <w:rPr>
          <w:rFonts w:hint="eastAsia" w:ascii="宋体" w:hAnsi="宋体" w:eastAsia="宋体" w:cs="Times New Roman"/>
          <w:szCs w:val="21"/>
          <w:highlight w:val="none"/>
        </w:rPr>
        <w:t>标人 2024 年度审计报告（应包含资产负债表、损益表、现金流量表等主要财务报表及附注）；</w:t>
      </w:r>
      <w:r>
        <w:rPr>
          <w:rFonts w:hint="eastAsia" w:ascii="宋体" w:hAnsi="宋体" w:eastAsia="宋体" w:cs="Times New Roman"/>
          <w:kern w:val="0"/>
          <w:szCs w:val="21"/>
          <w:highlight w:val="none"/>
        </w:rPr>
        <w:t>（如有）</w:t>
      </w:r>
    </w:p>
    <w:p w14:paraId="6DFF1837">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6、商务条款响应表（详见格式B6）；</w:t>
      </w:r>
    </w:p>
    <w:p w14:paraId="564482FF">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7、</w:t>
      </w:r>
      <w:r>
        <w:rPr>
          <w:rFonts w:hint="eastAsia" w:ascii="宋体" w:hAnsi="宋体" w:eastAsia="宋体" w:cs="Times New Roman"/>
          <w:szCs w:val="21"/>
        </w:rPr>
        <w:t>提供经税务局盖章的202</w:t>
      </w:r>
      <w:r>
        <w:rPr>
          <w:rFonts w:ascii="宋体" w:hAnsi="宋体" w:eastAsia="宋体" w:cs="Times New Roman"/>
          <w:szCs w:val="21"/>
        </w:rPr>
        <w:t>4</w:t>
      </w:r>
      <w:r>
        <w:rPr>
          <w:rFonts w:hint="eastAsia" w:ascii="宋体" w:hAnsi="宋体" w:eastAsia="宋体" w:cs="Times New Roman"/>
          <w:szCs w:val="21"/>
        </w:rPr>
        <w:t>年度纳税证明材料</w:t>
      </w:r>
      <w:r>
        <w:rPr>
          <w:rFonts w:hint="eastAsia" w:ascii="宋体" w:hAnsi="宋体" w:eastAsia="宋体" w:cs="Times New Roman"/>
          <w:kern w:val="0"/>
          <w:szCs w:val="21"/>
        </w:rPr>
        <w:t>；（如有）</w:t>
      </w:r>
    </w:p>
    <w:p w14:paraId="5E0F31D2">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8、投标人认为需要提交的其他资料。（如有）</w:t>
      </w:r>
    </w:p>
    <w:p w14:paraId="379EB9C5">
      <w:pPr>
        <w:keepNext/>
        <w:keepLines/>
        <w:wordWrap w:val="0"/>
        <w:spacing w:line="360" w:lineRule="auto"/>
        <w:jc w:val="left"/>
        <w:outlineLvl w:val="3"/>
        <w:rPr>
          <w:rFonts w:hint="eastAsia" w:ascii="宋体" w:hAnsi="宋体" w:eastAsia="宋体" w:cs="Times New Roman"/>
          <w:bCs/>
          <w:szCs w:val="28"/>
        </w:rPr>
      </w:pPr>
      <w:r>
        <w:rPr>
          <w:rFonts w:ascii="宋体" w:hAnsi="宋体" w:eastAsia="宋体" w:cs="Times New Roman"/>
          <w:b/>
          <w:szCs w:val="28"/>
        </w:rPr>
        <w:br w:type="page"/>
      </w:r>
      <w:r>
        <w:rPr>
          <w:rFonts w:hint="eastAsia" w:ascii="宋体" w:hAnsi="宋体" w:eastAsia="宋体" w:cs="Times New Roman"/>
          <w:b/>
          <w:szCs w:val="28"/>
        </w:rPr>
        <w:t>格式</w:t>
      </w:r>
      <w:r>
        <w:rPr>
          <w:rFonts w:ascii="宋体" w:hAnsi="宋体" w:eastAsia="宋体" w:cs="Times New Roman"/>
          <w:b/>
          <w:szCs w:val="28"/>
        </w:rPr>
        <w:t>B1</w:t>
      </w:r>
      <w:r>
        <w:rPr>
          <w:rFonts w:hint="eastAsia" w:ascii="宋体" w:hAnsi="宋体" w:eastAsia="宋体" w:cs="Times New Roman"/>
          <w:b/>
          <w:szCs w:val="28"/>
        </w:rPr>
        <w:t>：</w:t>
      </w:r>
      <w:r>
        <w:rPr>
          <w:rFonts w:ascii="宋体" w:hAnsi="宋体" w:eastAsia="宋体" w:cs="Times New Roman"/>
          <w:b/>
          <w:szCs w:val="28"/>
        </w:rPr>
        <w:t>投标人基本情况一览表</w:t>
      </w:r>
      <w:r>
        <w:rPr>
          <w:rFonts w:hint="eastAsia" w:ascii="宋体" w:hAnsi="宋体" w:eastAsia="宋体" w:cs="Times New Roman"/>
          <w:b/>
          <w:szCs w:val="28"/>
        </w:rPr>
        <w:t>格式</w:t>
      </w:r>
    </w:p>
    <w:p w14:paraId="6A732F1E">
      <w:pPr>
        <w:widowControl/>
        <w:wordWrap w:val="0"/>
        <w:spacing w:line="360" w:lineRule="auto"/>
        <w:jc w:val="center"/>
        <w:rPr>
          <w:rFonts w:hint="eastAsia" w:ascii="宋体" w:hAnsi="宋体" w:eastAsia="宋体" w:cs="Times New Roman"/>
          <w:b/>
          <w:sz w:val="28"/>
          <w:szCs w:val="28"/>
        </w:rPr>
      </w:pPr>
      <w:r>
        <w:rPr>
          <w:rFonts w:ascii="宋体" w:hAnsi="宋体" w:eastAsia="宋体" w:cs="Times New Roman"/>
          <w:b/>
          <w:sz w:val="28"/>
          <w:szCs w:val="28"/>
        </w:rPr>
        <w:t>投标人基本情况一览表</w:t>
      </w:r>
    </w:p>
    <w:tbl>
      <w:tblPr>
        <w:tblStyle w:val="90"/>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76"/>
        <w:gridCol w:w="807"/>
        <w:gridCol w:w="175"/>
        <w:gridCol w:w="1433"/>
        <w:gridCol w:w="713"/>
        <w:gridCol w:w="894"/>
        <w:gridCol w:w="801"/>
        <w:gridCol w:w="535"/>
        <w:gridCol w:w="1928"/>
      </w:tblGrid>
      <w:tr w14:paraId="3DF8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06" w:type="dxa"/>
            <w:gridSpan w:val="4"/>
            <w:vAlign w:val="center"/>
          </w:tcPr>
          <w:p w14:paraId="4D6637CF">
            <w:pPr>
              <w:wordWrap w:val="0"/>
              <w:rPr>
                <w:rFonts w:hint="eastAsia" w:ascii="宋体" w:hAnsi="宋体" w:eastAsia="宋体" w:cs="Times New Roman"/>
                <w:kern w:val="0"/>
                <w:szCs w:val="21"/>
              </w:rPr>
            </w:pPr>
            <w:r>
              <w:rPr>
                <w:rFonts w:ascii="宋体" w:hAnsi="宋体" w:eastAsia="宋体" w:cs="Times New Roman"/>
                <w:kern w:val="0"/>
                <w:szCs w:val="21"/>
              </w:rPr>
              <w:t>公司名称</w:t>
            </w:r>
          </w:p>
        </w:tc>
        <w:tc>
          <w:tcPr>
            <w:tcW w:w="6304" w:type="dxa"/>
            <w:gridSpan w:val="6"/>
            <w:vAlign w:val="center"/>
          </w:tcPr>
          <w:p w14:paraId="1B008936">
            <w:pPr>
              <w:wordWrap w:val="0"/>
              <w:rPr>
                <w:rFonts w:hint="eastAsia" w:ascii="宋体" w:hAnsi="宋体" w:eastAsia="宋体" w:cs="Times New Roman"/>
                <w:kern w:val="0"/>
                <w:szCs w:val="21"/>
              </w:rPr>
            </w:pPr>
          </w:p>
        </w:tc>
      </w:tr>
      <w:tr w14:paraId="26CB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7888028B">
            <w:pPr>
              <w:wordWrap w:val="0"/>
              <w:rPr>
                <w:rFonts w:hint="eastAsia" w:ascii="宋体" w:hAnsi="宋体" w:eastAsia="宋体" w:cs="Times New Roman"/>
                <w:kern w:val="0"/>
                <w:szCs w:val="21"/>
              </w:rPr>
            </w:pPr>
            <w:r>
              <w:rPr>
                <w:rFonts w:ascii="宋体" w:hAnsi="宋体" w:eastAsia="宋体" w:cs="Times New Roman"/>
                <w:kern w:val="0"/>
                <w:szCs w:val="21"/>
              </w:rPr>
              <w:t>注册资本金</w:t>
            </w:r>
          </w:p>
        </w:tc>
        <w:tc>
          <w:tcPr>
            <w:tcW w:w="6304" w:type="dxa"/>
            <w:gridSpan w:val="6"/>
            <w:vAlign w:val="center"/>
          </w:tcPr>
          <w:p w14:paraId="7A3DFD4F">
            <w:pPr>
              <w:wordWrap w:val="0"/>
              <w:rPr>
                <w:rFonts w:hint="eastAsia" w:ascii="宋体" w:hAnsi="宋体" w:eastAsia="宋体" w:cs="Times New Roman"/>
                <w:kern w:val="0"/>
                <w:szCs w:val="21"/>
              </w:rPr>
            </w:pPr>
          </w:p>
        </w:tc>
      </w:tr>
      <w:tr w14:paraId="07FB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6EE71BE3">
            <w:pPr>
              <w:wordWrap w:val="0"/>
              <w:rPr>
                <w:rFonts w:hint="eastAsia" w:ascii="宋体" w:hAnsi="宋体" w:eastAsia="宋体" w:cs="Times New Roman"/>
                <w:kern w:val="0"/>
                <w:szCs w:val="21"/>
              </w:rPr>
            </w:pPr>
            <w:r>
              <w:rPr>
                <w:rFonts w:ascii="宋体" w:hAnsi="宋体" w:eastAsia="宋体" w:cs="Times New Roman"/>
                <w:kern w:val="0"/>
                <w:szCs w:val="21"/>
              </w:rPr>
              <w:t>主要业务范围</w:t>
            </w:r>
          </w:p>
        </w:tc>
        <w:tc>
          <w:tcPr>
            <w:tcW w:w="6304" w:type="dxa"/>
            <w:gridSpan w:val="6"/>
            <w:vAlign w:val="center"/>
          </w:tcPr>
          <w:p w14:paraId="4FD6B41D">
            <w:pPr>
              <w:wordWrap w:val="0"/>
              <w:rPr>
                <w:rFonts w:hint="eastAsia" w:ascii="宋体" w:hAnsi="宋体" w:eastAsia="宋体" w:cs="Times New Roman"/>
                <w:kern w:val="0"/>
                <w:szCs w:val="21"/>
              </w:rPr>
            </w:pPr>
          </w:p>
        </w:tc>
      </w:tr>
      <w:tr w14:paraId="1DA0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661755F0">
            <w:pPr>
              <w:wordWrap w:val="0"/>
              <w:rPr>
                <w:rFonts w:hint="eastAsia" w:ascii="宋体" w:hAnsi="宋体" w:eastAsia="宋体" w:cs="Times New Roman"/>
                <w:kern w:val="0"/>
                <w:szCs w:val="21"/>
              </w:rPr>
            </w:pPr>
            <w:r>
              <w:rPr>
                <w:rFonts w:ascii="宋体" w:hAnsi="宋体" w:eastAsia="宋体" w:cs="Times New Roman"/>
                <w:kern w:val="0"/>
                <w:szCs w:val="21"/>
              </w:rPr>
              <w:t>企业性质</w:t>
            </w:r>
          </w:p>
        </w:tc>
        <w:tc>
          <w:tcPr>
            <w:tcW w:w="6304" w:type="dxa"/>
            <w:gridSpan w:val="6"/>
            <w:vAlign w:val="center"/>
          </w:tcPr>
          <w:p w14:paraId="1ED34313">
            <w:pPr>
              <w:wordWrap w:val="0"/>
              <w:rPr>
                <w:rFonts w:hint="eastAsia" w:ascii="宋体" w:hAnsi="宋体" w:eastAsia="宋体" w:cs="Times New Roman"/>
                <w:kern w:val="0"/>
                <w:szCs w:val="21"/>
              </w:rPr>
            </w:pPr>
          </w:p>
        </w:tc>
      </w:tr>
      <w:tr w14:paraId="31DB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57328A22">
            <w:pPr>
              <w:wordWrap w:val="0"/>
              <w:rPr>
                <w:rFonts w:hint="eastAsia" w:ascii="宋体" w:hAnsi="宋体" w:eastAsia="宋体" w:cs="Times New Roman"/>
                <w:kern w:val="0"/>
                <w:szCs w:val="21"/>
              </w:rPr>
            </w:pPr>
            <w:r>
              <w:rPr>
                <w:rFonts w:ascii="宋体" w:hAnsi="宋体" w:eastAsia="宋体" w:cs="Times New Roman"/>
                <w:kern w:val="0"/>
                <w:szCs w:val="21"/>
              </w:rPr>
              <w:t>营业执照</w:t>
            </w:r>
          </w:p>
        </w:tc>
        <w:tc>
          <w:tcPr>
            <w:tcW w:w="6304" w:type="dxa"/>
            <w:gridSpan w:val="6"/>
            <w:vAlign w:val="center"/>
          </w:tcPr>
          <w:p w14:paraId="4334E517">
            <w:pPr>
              <w:wordWrap w:val="0"/>
              <w:rPr>
                <w:rFonts w:hint="eastAsia" w:ascii="宋体" w:hAnsi="宋体" w:eastAsia="宋体" w:cs="Times New Roman"/>
                <w:kern w:val="0"/>
                <w:szCs w:val="21"/>
              </w:rPr>
            </w:pPr>
            <w:r>
              <w:rPr>
                <w:rFonts w:ascii="宋体" w:hAnsi="宋体" w:eastAsia="宋体" w:cs="Times New Roman"/>
                <w:kern w:val="0"/>
                <w:szCs w:val="21"/>
              </w:rPr>
              <w:t>1.编号：     2.营业范围：       3.发照单位：</w:t>
            </w:r>
          </w:p>
        </w:tc>
      </w:tr>
      <w:tr w14:paraId="64F2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2F3A1332">
            <w:pPr>
              <w:wordWrap w:val="0"/>
              <w:rPr>
                <w:rFonts w:hint="eastAsia" w:ascii="宋体" w:hAnsi="宋体" w:eastAsia="宋体" w:cs="Times New Roman"/>
                <w:kern w:val="0"/>
                <w:szCs w:val="21"/>
              </w:rPr>
            </w:pPr>
            <w:r>
              <w:rPr>
                <w:rFonts w:ascii="宋体" w:hAnsi="宋体" w:eastAsia="宋体" w:cs="Times New Roman"/>
                <w:kern w:val="0"/>
                <w:szCs w:val="21"/>
              </w:rPr>
              <w:t>资质情况及编号</w:t>
            </w:r>
          </w:p>
        </w:tc>
        <w:tc>
          <w:tcPr>
            <w:tcW w:w="6304" w:type="dxa"/>
            <w:gridSpan w:val="6"/>
            <w:vAlign w:val="center"/>
          </w:tcPr>
          <w:p w14:paraId="4B787D3C">
            <w:pPr>
              <w:wordWrap w:val="0"/>
              <w:rPr>
                <w:rFonts w:hint="eastAsia" w:ascii="宋体" w:hAnsi="宋体" w:eastAsia="宋体" w:cs="Times New Roman"/>
                <w:kern w:val="0"/>
                <w:szCs w:val="21"/>
              </w:rPr>
            </w:pPr>
            <w:r>
              <w:rPr>
                <w:rFonts w:ascii="宋体" w:hAnsi="宋体" w:eastAsia="宋体" w:cs="Times New Roman"/>
                <w:kern w:val="0"/>
                <w:szCs w:val="21"/>
              </w:rPr>
              <w:t>1.等级：     2.证书号：         3.发证单位：</w:t>
            </w:r>
          </w:p>
        </w:tc>
      </w:tr>
      <w:tr w14:paraId="1FE0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5113164C">
            <w:pPr>
              <w:wordWrap w:val="0"/>
              <w:rPr>
                <w:rFonts w:hint="eastAsia" w:ascii="宋体" w:hAnsi="宋体" w:eastAsia="宋体" w:cs="Times New Roman"/>
                <w:kern w:val="0"/>
                <w:szCs w:val="21"/>
              </w:rPr>
            </w:pPr>
            <w:r>
              <w:rPr>
                <w:rFonts w:ascii="宋体" w:hAnsi="宋体" w:eastAsia="宋体" w:cs="Times New Roman"/>
                <w:kern w:val="0"/>
                <w:szCs w:val="21"/>
              </w:rPr>
              <w:t>通过质量管理体系认证</w:t>
            </w:r>
          </w:p>
        </w:tc>
        <w:tc>
          <w:tcPr>
            <w:tcW w:w="6304" w:type="dxa"/>
            <w:gridSpan w:val="6"/>
            <w:vAlign w:val="center"/>
          </w:tcPr>
          <w:p w14:paraId="5714A255">
            <w:pPr>
              <w:wordWrap w:val="0"/>
              <w:rPr>
                <w:rFonts w:hint="eastAsia" w:ascii="宋体" w:hAnsi="宋体" w:eastAsia="宋体" w:cs="Times New Roman"/>
                <w:kern w:val="0"/>
                <w:szCs w:val="21"/>
              </w:rPr>
            </w:pPr>
            <w:r>
              <w:rPr>
                <w:rFonts w:ascii="宋体" w:hAnsi="宋体" w:eastAsia="宋体" w:cs="Times New Roman"/>
                <w:kern w:val="0"/>
                <w:szCs w:val="21"/>
              </w:rPr>
              <w:t>1.是         2.否</w:t>
            </w:r>
          </w:p>
        </w:tc>
      </w:tr>
      <w:tr w14:paraId="026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10" w:type="dxa"/>
            <w:gridSpan w:val="10"/>
            <w:vAlign w:val="center"/>
          </w:tcPr>
          <w:p w14:paraId="4553EFEC">
            <w:pPr>
              <w:wordWrap w:val="0"/>
              <w:rPr>
                <w:rFonts w:hint="eastAsia" w:ascii="宋体" w:hAnsi="宋体" w:eastAsia="宋体" w:cs="Times New Roman"/>
                <w:kern w:val="0"/>
                <w:szCs w:val="21"/>
              </w:rPr>
            </w:pPr>
            <w:r>
              <w:rPr>
                <w:rFonts w:ascii="宋体" w:hAnsi="宋体" w:eastAsia="宋体" w:cs="Times New Roman"/>
                <w:kern w:val="0"/>
                <w:szCs w:val="21"/>
              </w:rPr>
              <w:t>公司领导班子构成情况</w:t>
            </w:r>
          </w:p>
        </w:tc>
      </w:tr>
      <w:tr w14:paraId="4D9D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0A4E513C">
            <w:pPr>
              <w:wordWrap w:val="0"/>
              <w:jc w:val="center"/>
              <w:rPr>
                <w:rFonts w:hint="eastAsia" w:ascii="宋体" w:hAnsi="宋体" w:eastAsia="宋体" w:cs="Times New Roman"/>
                <w:kern w:val="0"/>
                <w:szCs w:val="21"/>
              </w:rPr>
            </w:pPr>
            <w:r>
              <w:rPr>
                <w:rFonts w:ascii="宋体" w:hAnsi="宋体" w:eastAsia="宋体" w:cs="Times New Roman"/>
                <w:kern w:val="0"/>
                <w:szCs w:val="21"/>
              </w:rPr>
              <w:t>法</w:t>
            </w:r>
            <w:r>
              <w:rPr>
                <w:rFonts w:hint="eastAsia" w:ascii="宋体" w:hAnsi="宋体" w:eastAsia="宋体" w:cs="Times New Roman"/>
                <w:kern w:val="0"/>
                <w:szCs w:val="21"/>
              </w:rPr>
              <w:t>定</w:t>
            </w:r>
            <w:r>
              <w:rPr>
                <w:rFonts w:ascii="宋体" w:hAnsi="宋体" w:eastAsia="宋体" w:cs="Times New Roman"/>
                <w:kern w:val="0"/>
                <w:szCs w:val="21"/>
              </w:rPr>
              <w:t>代表人</w:t>
            </w:r>
          </w:p>
        </w:tc>
        <w:tc>
          <w:tcPr>
            <w:tcW w:w="1758" w:type="dxa"/>
            <w:gridSpan w:val="3"/>
            <w:vAlign w:val="center"/>
          </w:tcPr>
          <w:p w14:paraId="5D8BCD6E">
            <w:pPr>
              <w:wordWrap w:val="0"/>
              <w:jc w:val="center"/>
              <w:rPr>
                <w:rFonts w:hint="eastAsia" w:ascii="宋体" w:hAnsi="宋体" w:eastAsia="宋体" w:cs="Times New Roman"/>
                <w:kern w:val="0"/>
                <w:szCs w:val="21"/>
              </w:rPr>
            </w:pPr>
            <w:r>
              <w:rPr>
                <w:rFonts w:ascii="宋体" w:hAnsi="宋体" w:eastAsia="宋体" w:cs="Times New Roman"/>
                <w:kern w:val="0"/>
                <w:szCs w:val="21"/>
              </w:rPr>
              <w:t>公司经理</w:t>
            </w:r>
          </w:p>
        </w:tc>
        <w:tc>
          <w:tcPr>
            <w:tcW w:w="2146" w:type="dxa"/>
            <w:gridSpan w:val="2"/>
            <w:vAlign w:val="center"/>
          </w:tcPr>
          <w:p w14:paraId="66D2098D">
            <w:pPr>
              <w:wordWrap w:val="0"/>
              <w:jc w:val="center"/>
              <w:rPr>
                <w:rFonts w:hint="eastAsia" w:ascii="宋体" w:hAnsi="宋体" w:eastAsia="宋体" w:cs="Times New Roman"/>
                <w:kern w:val="0"/>
                <w:szCs w:val="21"/>
              </w:rPr>
            </w:pPr>
            <w:r>
              <w:rPr>
                <w:rFonts w:ascii="宋体" w:hAnsi="宋体" w:eastAsia="宋体" w:cs="Times New Roman"/>
                <w:kern w:val="0"/>
                <w:szCs w:val="21"/>
              </w:rPr>
              <w:t>总工程师</w:t>
            </w:r>
          </w:p>
        </w:tc>
        <w:tc>
          <w:tcPr>
            <w:tcW w:w="2230" w:type="dxa"/>
            <w:gridSpan w:val="3"/>
            <w:vAlign w:val="center"/>
          </w:tcPr>
          <w:p w14:paraId="71A0EB17">
            <w:pPr>
              <w:wordWrap w:val="0"/>
              <w:jc w:val="center"/>
              <w:rPr>
                <w:rFonts w:hint="eastAsia" w:ascii="宋体" w:hAnsi="宋体" w:eastAsia="宋体" w:cs="Times New Roman"/>
                <w:kern w:val="0"/>
                <w:szCs w:val="21"/>
              </w:rPr>
            </w:pPr>
            <w:r>
              <w:rPr>
                <w:rFonts w:ascii="宋体" w:hAnsi="宋体" w:eastAsia="宋体" w:cs="Times New Roman"/>
                <w:kern w:val="0"/>
                <w:szCs w:val="21"/>
              </w:rPr>
              <w:t>总经济师</w:t>
            </w:r>
          </w:p>
        </w:tc>
        <w:tc>
          <w:tcPr>
            <w:tcW w:w="1928" w:type="dxa"/>
            <w:vAlign w:val="center"/>
          </w:tcPr>
          <w:p w14:paraId="4BC3FFBE">
            <w:pPr>
              <w:wordWrap w:val="0"/>
              <w:jc w:val="center"/>
              <w:rPr>
                <w:rFonts w:hint="eastAsia" w:ascii="宋体" w:hAnsi="宋体" w:eastAsia="宋体" w:cs="Times New Roman"/>
                <w:kern w:val="0"/>
                <w:szCs w:val="21"/>
              </w:rPr>
            </w:pPr>
            <w:r>
              <w:rPr>
                <w:rFonts w:ascii="宋体" w:hAnsi="宋体" w:eastAsia="宋体" w:cs="Times New Roman"/>
                <w:kern w:val="0"/>
                <w:szCs w:val="21"/>
              </w:rPr>
              <w:t>总会计师</w:t>
            </w:r>
          </w:p>
        </w:tc>
      </w:tr>
      <w:tr w14:paraId="4986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1C59D4BC">
            <w:pPr>
              <w:wordWrap w:val="0"/>
              <w:rPr>
                <w:rFonts w:hint="eastAsia" w:ascii="宋体" w:hAnsi="宋体" w:eastAsia="宋体" w:cs="Times New Roman"/>
                <w:kern w:val="0"/>
                <w:szCs w:val="21"/>
              </w:rPr>
            </w:pPr>
          </w:p>
        </w:tc>
        <w:tc>
          <w:tcPr>
            <w:tcW w:w="1758" w:type="dxa"/>
            <w:gridSpan w:val="3"/>
            <w:vAlign w:val="center"/>
          </w:tcPr>
          <w:p w14:paraId="26E6CD10">
            <w:pPr>
              <w:wordWrap w:val="0"/>
              <w:rPr>
                <w:rFonts w:hint="eastAsia" w:ascii="宋体" w:hAnsi="宋体" w:eastAsia="宋体" w:cs="Times New Roman"/>
                <w:kern w:val="0"/>
                <w:szCs w:val="21"/>
              </w:rPr>
            </w:pPr>
          </w:p>
        </w:tc>
        <w:tc>
          <w:tcPr>
            <w:tcW w:w="2146" w:type="dxa"/>
            <w:gridSpan w:val="2"/>
            <w:vAlign w:val="center"/>
          </w:tcPr>
          <w:p w14:paraId="7C98055B">
            <w:pPr>
              <w:wordWrap w:val="0"/>
              <w:rPr>
                <w:rFonts w:hint="eastAsia" w:ascii="宋体" w:hAnsi="宋体" w:eastAsia="宋体" w:cs="Times New Roman"/>
                <w:kern w:val="0"/>
                <w:szCs w:val="21"/>
              </w:rPr>
            </w:pPr>
          </w:p>
        </w:tc>
        <w:tc>
          <w:tcPr>
            <w:tcW w:w="2230" w:type="dxa"/>
            <w:gridSpan w:val="3"/>
            <w:vAlign w:val="center"/>
          </w:tcPr>
          <w:p w14:paraId="0EEFD846">
            <w:pPr>
              <w:wordWrap w:val="0"/>
              <w:rPr>
                <w:rFonts w:hint="eastAsia" w:ascii="宋体" w:hAnsi="宋体" w:eastAsia="宋体" w:cs="Times New Roman"/>
                <w:kern w:val="0"/>
                <w:szCs w:val="21"/>
              </w:rPr>
            </w:pPr>
          </w:p>
        </w:tc>
        <w:tc>
          <w:tcPr>
            <w:tcW w:w="1928" w:type="dxa"/>
            <w:vAlign w:val="center"/>
          </w:tcPr>
          <w:p w14:paraId="7D3D8072">
            <w:pPr>
              <w:wordWrap w:val="0"/>
              <w:rPr>
                <w:rFonts w:hint="eastAsia" w:ascii="宋体" w:hAnsi="宋体" w:eastAsia="宋体" w:cs="Times New Roman"/>
                <w:kern w:val="0"/>
                <w:szCs w:val="21"/>
              </w:rPr>
            </w:pPr>
          </w:p>
        </w:tc>
      </w:tr>
      <w:tr w14:paraId="5F06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10" w:type="dxa"/>
            <w:gridSpan w:val="10"/>
            <w:vAlign w:val="center"/>
          </w:tcPr>
          <w:p w14:paraId="23607437">
            <w:pPr>
              <w:wordWrap w:val="0"/>
              <w:rPr>
                <w:rFonts w:hint="eastAsia" w:ascii="宋体" w:hAnsi="宋体" w:eastAsia="宋体" w:cs="Times New Roman"/>
                <w:kern w:val="0"/>
                <w:szCs w:val="21"/>
              </w:rPr>
            </w:pPr>
            <w:r>
              <w:rPr>
                <w:rFonts w:ascii="宋体" w:hAnsi="宋体" w:eastAsia="宋体" w:cs="Times New Roman"/>
                <w:kern w:val="0"/>
                <w:szCs w:val="21"/>
              </w:rPr>
              <w:t>公司人员构成情况（人数）</w:t>
            </w:r>
          </w:p>
        </w:tc>
      </w:tr>
      <w:tr w14:paraId="6392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4E884E53">
            <w:pPr>
              <w:wordWrap w:val="0"/>
              <w:jc w:val="center"/>
              <w:rPr>
                <w:rFonts w:hint="eastAsia" w:ascii="宋体" w:hAnsi="宋体" w:eastAsia="宋体" w:cs="Times New Roman"/>
                <w:kern w:val="0"/>
                <w:szCs w:val="21"/>
              </w:rPr>
            </w:pPr>
            <w:r>
              <w:rPr>
                <w:rFonts w:ascii="宋体" w:hAnsi="宋体" w:eastAsia="宋体" w:cs="Times New Roman"/>
                <w:kern w:val="0"/>
                <w:szCs w:val="21"/>
              </w:rPr>
              <w:t>高级职称</w:t>
            </w:r>
          </w:p>
        </w:tc>
        <w:tc>
          <w:tcPr>
            <w:tcW w:w="2415" w:type="dxa"/>
            <w:gridSpan w:val="3"/>
            <w:vAlign w:val="center"/>
          </w:tcPr>
          <w:p w14:paraId="39823B86">
            <w:pPr>
              <w:wordWrap w:val="0"/>
              <w:jc w:val="center"/>
              <w:rPr>
                <w:rFonts w:hint="eastAsia" w:ascii="宋体" w:hAnsi="宋体" w:eastAsia="宋体" w:cs="Times New Roman"/>
                <w:kern w:val="0"/>
                <w:szCs w:val="21"/>
              </w:rPr>
            </w:pPr>
            <w:r>
              <w:rPr>
                <w:rFonts w:ascii="宋体" w:hAnsi="宋体" w:eastAsia="宋体" w:cs="Times New Roman"/>
                <w:kern w:val="0"/>
                <w:szCs w:val="21"/>
              </w:rPr>
              <w:t>中级职称</w:t>
            </w:r>
          </w:p>
        </w:tc>
        <w:tc>
          <w:tcPr>
            <w:tcW w:w="2408" w:type="dxa"/>
            <w:gridSpan w:val="3"/>
            <w:vAlign w:val="center"/>
          </w:tcPr>
          <w:p w14:paraId="7F9FC926">
            <w:pPr>
              <w:wordWrap w:val="0"/>
              <w:jc w:val="center"/>
              <w:rPr>
                <w:rFonts w:hint="eastAsia" w:ascii="宋体" w:hAnsi="宋体" w:eastAsia="宋体" w:cs="Times New Roman"/>
                <w:kern w:val="0"/>
                <w:szCs w:val="21"/>
              </w:rPr>
            </w:pPr>
            <w:r>
              <w:rPr>
                <w:rFonts w:ascii="宋体" w:hAnsi="宋体" w:eastAsia="宋体" w:cs="Times New Roman"/>
                <w:kern w:val="0"/>
                <w:szCs w:val="21"/>
              </w:rPr>
              <w:t>初级职称</w:t>
            </w:r>
          </w:p>
        </w:tc>
        <w:tc>
          <w:tcPr>
            <w:tcW w:w="2463" w:type="dxa"/>
            <w:gridSpan w:val="2"/>
            <w:vAlign w:val="center"/>
          </w:tcPr>
          <w:p w14:paraId="2A5ED0BA">
            <w:pPr>
              <w:wordWrap w:val="0"/>
              <w:jc w:val="center"/>
              <w:rPr>
                <w:rFonts w:hint="eastAsia" w:ascii="宋体" w:hAnsi="宋体" w:eastAsia="宋体" w:cs="Times New Roman"/>
                <w:kern w:val="0"/>
                <w:szCs w:val="21"/>
              </w:rPr>
            </w:pPr>
            <w:r>
              <w:rPr>
                <w:rFonts w:ascii="宋体" w:hAnsi="宋体" w:eastAsia="宋体" w:cs="Times New Roman"/>
                <w:kern w:val="0"/>
                <w:szCs w:val="21"/>
              </w:rPr>
              <w:t>注册</w:t>
            </w:r>
            <w:r>
              <w:rPr>
                <w:rFonts w:hint="eastAsia" w:ascii="宋体" w:hAnsi="宋体" w:eastAsia="宋体" w:cs="Times New Roman"/>
                <w:kern w:val="0"/>
                <w:szCs w:val="21"/>
              </w:rPr>
              <w:t>类人员</w:t>
            </w:r>
          </w:p>
        </w:tc>
      </w:tr>
      <w:tr w14:paraId="1CB1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67E551C5">
            <w:pPr>
              <w:wordWrap w:val="0"/>
              <w:jc w:val="center"/>
              <w:rPr>
                <w:rFonts w:hint="eastAsia" w:ascii="宋体" w:hAnsi="宋体" w:eastAsia="宋体" w:cs="Times New Roman"/>
                <w:kern w:val="0"/>
                <w:szCs w:val="21"/>
              </w:rPr>
            </w:pPr>
          </w:p>
        </w:tc>
        <w:tc>
          <w:tcPr>
            <w:tcW w:w="2415" w:type="dxa"/>
            <w:gridSpan w:val="3"/>
            <w:vAlign w:val="center"/>
          </w:tcPr>
          <w:p w14:paraId="2D09E3F2">
            <w:pPr>
              <w:wordWrap w:val="0"/>
              <w:jc w:val="center"/>
              <w:rPr>
                <w:rFonts w:hint="eastAsia" w:ascii="宋体" w:hAnsi="宋体" w:eastAsia="宋体" w:cs="Times New Roman"/>
                <w:kern w:val="0"/>
                <w:szCs w:val="21"/>
              </w:rPr>
            </w:pPr>
          </w:p>
        </w:tc>
        <w:tc>
          <w:tcPr>
            <w:tcW w:w="2408" w:type="dxa"/>
            <w:gridSpan w:val="3"/>
            <w:vAlign w:val="center"/>
          </w:tcPr>
          <w:p w14:paraId="296CE707">
            <w:pPr>
              <w:wordWrap w:val="0"/>
              <w:jc w:val="center"/>
              <w:rPr>
                <w:rFonts w:hint="eastAsia" w:ascii="宋体" w:hAnsi="宋体" w:eastAsia="宋体" w:cs="Times New Roman"/>
                <w:kern w:val="0"/>
                <w:szCs w:val="21"/>
              </w:rPr>
            </w:pPr>
          </w:p>
        </w:tc>
        <w:tc>
          <w:tcPr>
            <w:tcW w:w="2463" w:type="dxa"/>
            <w:gridSpan w:val="2"/>
            <w:vAlign w:val="center"/>
          </w:tcPr>
          <w:p w14:paraId="6AA962FE">
            <w:pPr>
              <w:wordWrap w:val="0"/>
              <w:jc w:val="center"/>
              <w:rPr>
                <w:rFonts w:hint="eastAsia" w:ascii="宋体" w:hAnsi="宋体" w:eastAsia="宋体" w:cs="Times New Roman"/>
                <w:kern w:val="0"/>
                <w:szCs w:val="21"/>
              </w:rPr>
            </w:pPr>
          </w:p>
        </w:tc>
      </w:tr>
      <w:tr w14:paraId="7F4F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7BE8606F">
            <w:pPr>
              <w:wordWrap w:val="0"/>
              <w:jc w:val="center"/>
              <w:rPr>
                <w:rFonts w:hint="eastAsia" w:ascii="宋体" w:hAnsi="宋体" w:eastAsia="宋体" w:cs="Times New Roman"/>
                <w:kern w:val="0"/>
                <w:szCs w:val="21"/>
              </w:rPr>
            </w:pPr>
            <w:r>
              <w:rPr>
                <w:rFonts w:ascii="宋体" w:hAnsi="宋体" w:eastAsia="宋体" w:cs="Times New Roman"/>
                <w:kern w:val="0"/>
                <w:szCs w:val="21"/>
              </w:rPr>
              <w:t>管理人员</w:t>
            </w:r>
          </w:p>
        </w:tc>
        <w:tc>
          <w:tcPr>
            <w:tcW w:w="2415" w:type="dxa"/>
            <w:gridSpan w:val="3"/>
            <w:vAlign w:val="center"/>
          </w:tcPr>
          <w:p w14:paraId="3C889846">
            <w:pPr>
              <w:wordWrap w:val="0"/>
              <w:jc w:val="center"/>
              <w:rPr>
                <w:rFonts w:hint="eastAsia" w:ascii="宋体" w:hAnsi="宋体" w:eastAsia="宋体" w:cs="Times New Roman"/>
                <w:kern w:val="0"/>
                <w:szCs w:val="21"/>
              </w:rPr>
            </w:pPr>
            <w:r>
              <w:rPr>
                <w:rFonts w:hint="eastAsia" w:ascii="宋体" w:hAnsi="宋体" w:eastAsia="宋体" w:cs="Times New Roman"/>
                <w:kern w:val="0"/>
                <w:szCs w:val="21"/>
              </w:rPr>
              <w:t>现场</w:t>
            </w:r>
            <w:r>
              <w:rPr>
                <w:rFonts w:ascii="宋体" w:hAnsi="宋体" w:eastAsia="宋体" w:cs="Times New Roman"/>
                <w:kern w:val="0"/>
                <w:szCs w:val="21"/>
              </w:rPr>
              <w:t>人员</w:t>
            </w:r>
          </w:p>
        </w:tc>
        <w:tc>
          <w:tcPr>
            <w:tcW w:w="2408" w:type="dxa"/>
            <w:gridSpan w:val="3"/>
            <w:vAlign w:val="center"/>
          </w:tcPr>
          <w:p w14:paraId="40176217">
            <w:pPr>
              <w:wordWrap w:val="0"/>
              <w:jc w:val="center"/>
              <w:rPr>
                <w:rFonts w:hint="eastAsia" w:ascii="宋体" w:hAnsi="宋体" w:eastAsia="宋体" w:cs="Times New Roman"/>
                <w:kern w:val="0"/>
                <w:szCs w:val="21"/>
              </w:rPr>
            </w:pPr>
            <w:r>
              <w:rPr>
                <w:rFonts w:ascii="宋体" w:hAnsi="宋体" w:eastAsia="宋体" w:cs="Times New Roman"/>
                <w:kern w:val="0"/>
                <w:szCs w:val="21"/>
              </w:rPr>
              <w:t>后勤人员</w:t>
            </w:r>
          </w:p>
        </w:tc>
        <w:tc>
          <w:tcPr>
            <w:tcW w:w="2463" w:type="dxa"/>
            <w:gridSpan w:val="2"/>
            <w:vAlign w:val="center"/>
          </w:tcPr>
          <w:p w14:paraId="48B341EC">
            <w:pPr>
              <w:wordWrap w:val="0"/>
              <w:jc w:val="center"/>
              <w:rPr>
                <w:rFonts w:hint="eastAsia" w:ascii="宋体" w:hAnsi="宋体" w:eastAsia="宋体" w:cs="Times New Roman"/>
                <w:kern w:val="0"/>
                <w:szCs w:val="21"/>
              </w:rPr>
            </w:pPr>
            <w:r>
              <w:rPr>
                <w:rFonts w:ascii="宋体" w:hAnsi="宋体" w:eastAsia="宋体" w:cs="Times New Roman"/>
                <w:kern w:val="0"/>
                <w:szCs w:val="21"/>
              </w:rPr>
              <w:t>退休人员</w:t>
            </w:r>
          </w:p>
        </w:tc>
      </w:tr>
      <w:tr w14:paraId="07FC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62E5716D">
            <w:pPr>
              <w:wordWrap w:val="0"/>
              <w:jc w:val="center"/>
              <w:rPr>
                <w:rFonts w:hint="eastAsia" w:ascii="宋体" w:hAnsi="宋体" w:eastAsia="宋体" w:cs="Times New Roman"/>
                <w:kern w:val="0"/>
                <w:szCs w:val="21"/>
              </w:rPr>
            </w:pPr>
          </w:p>
        </w:tc>
        <w:tc>
          <w:tcPr>
            <w:tcW w:w="2415" w:type="dxa"/>
            <w:gridSpan w:val="3"/>
            <w:vAlign w:val="center"/>
          </w:tcPr>
          <w:p w14:paraId="2B9C9756">
            <w:pPr>
              <w:wordWrap w:val="0"/>
              <w:jc w:val="center"/>
              <w:rPr>
                <w:rFonts w:hint="eastAsia" w:ascii="宋体" w:hAnsi="宋体" w:eastAsia="宋体" w:cs="Times New Roman"/>
                <w:kern w:val="0"/>
                <w:szCs w:val="21"/>
              </w:rPr>
            </w:pPr>
          </w:p>
        </w:tc>
        <w:tc>
          <w:tcPr>
            <w:tcW w:w="2408" w:type="dxa"/>
            <w:gridSpan w:val="3"/>
            <w:vAlign w:val="center"/>
          </w:tcPr>
          <w:p w14:paraId="59B0E663">
            <w:pPr>
              <w:wordWrap w:val="0"/>
              <w:jc w:val="center"/>
              <w:rPr>
                <w:rFonts w:hint="eastAsia" w:ascii="宋体" w:hAnsi="宋体" w:eastAsia="宋体" w:cs="Times New Roman"/>
                <w:kern w:val="0"/>
                <w:szCs w:val="21"/>
              </w:rPr>
            </w:pPr>
          </w:p>
        </w:tc>
        <w:tc>
          <w:tcPr>
            <w:tcW w:w="2463" w:type="dxa"/>
            <w:gridSpan w:val="2"/>
            <w:vAlign w:val="center"/>
          </w:tcPr>
          <w:p w14:paraId="107C50F1">
            <w:pPr>
              <w:wordWrap w:val="0"/>
              <w:jc w:val="center"/>
              <w:rPr>
                <w:rFonts w:hint="eastAsia" w:ascii="宋体" w:hAnsi="宋体" w:eastAsia="宋体" w:cs="Times New Roman"/>
                <w:kern w:val="0"/>
                <w:szCs w:val="21"/>
              </w:rPr>
            </w:pPr>
          </w:p>
        </w:tc>
      </w:tr>
      <w:tr w14:paraId="1825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6E7C494E">
            <w:pPr>
              <w:wordWrap w:val="0"/>
              <w:jc w:val="center"/>
              <w:rPr>
                <w:rFonts w:hint="eastAsia" w:ascii="宋体" w:hAnsi="宋体" w:eastAsia="宋体" w:cs="Times New Roman"/>
                <w:kern w:val="0"/>
                <w:szCs w:val="21"/>
              </w:rPr>
            </w:pPr>
            <w:r>
              <w:rPr>
                <w:rFonts w:ascii="宋体" w:hAnsi="宋体" w:eastAsia="宋体" w:cs="Times New Roman"/>
                <w:kern w:val="0"/>
                <w:szCs w:val="21"/>
              </w:rPr>
              <w:t>20～30岁</w:t>
            </w:r>
          </w:p>
        </w:tc>
        <w:tc>
          <w:tcPr>
            <w:tcW w:w="1758" w:type="dxa"/>
            <w:gridSpan w:val="3"/>
            <w:vAlign w:val="center"/>
          </w:tcPr>
          <w:p w14:paraId="62F3958C">
            <w:pPr>
              <w:wordWrap w:val="0"/>
              <w:jc w:val="center"/>
              <w:rPr>
                <w:rFonts w:hint="eastAsia" w:ascii="宋体" w:hAnsi="宋体" w:eastAsia="宋体" w:cs="Times New Roman"/>
                <w:kern w:val="0"/>
                <w:szCs w:val="21"/>
              </w:rPr>
            </w:pPr>
            <w:r>
              <w:rPr>
                <w:rFonts w:ascii="宋体" w:hAnsi="宋体" w:eastAsia="宋体" w:cs="Times New Roman"/>
                <w:kern w:val="0"/>
                <w:szCs w:val="21"/>
              </w:rPr>
              <w:t>30～40岁</w:t>
            </w:r>
          </w:p>
        </w:tc>
        <w:tc>
          <w:tcPr>
            <w:tcW w:w="2146" w:type="dxa"/>
            <w:gridSpan w:val="2"/>
            <w:vAlign w:val="center"/>
          </w:tcPr>
          <w:p w14:paraId="4B814209">
            <w:pPr>
              <w:wordWrap w:val="0"/>
              <w:jc w:val="center"/>
              <w:rPr>
                <w:rFonts w:hint="eastAsia" w:ascii="宋体" w:hAnsi="宋体" w:eastAsia="宋体" w:cs="Times New Roman"/>
                <w:kern w:val="0"/>
                <w:szCs w:val="21"/>
              </w:rPr>
            </w:pPr>
            <w:r>
              <w:rPr>
                <w:rFonts w:ascii="宋体" w:hAnsi="宋体" w:eastAsia="宋体" w:cs="Times New Roman"/>
                <w:kern w:val="0"/>
                <w:szCs w:val="21"/>
              </w:rPr>
              <w:t>40～50岁</w:t>
            </w:r>
          </w:p>
        </w:tc>
        <w:tc>
          <w:tcPr>
            <w:tcW w:w="2230" w:type="dxa"/>
            <w:gridSpan w:val="3"/>
            <w:vAlign w:val="center"/>
          </w:tcPr>
          <w:p w14:paraId="7C402CDD">
            <w:pPr>
              <w:wordWrap w:val="0"/>
              <w:jc w:val="center"/>
              <w:rPr>
                <w:rFonts w:hint="eastAsia" w:ascii="宋体" w:hAnsi="宋体" w:eastAsia="宋体" w:cs="Times New Roman"/>
                <w:kern w:val="0"/>
                <w:szCs w:val="21"/>
              </w:rPr>
            </w:pPr>
            <w:r>
              <w:rPr>
                <w:rFonts w:ascii="宋体" w:hAnsi="宋体" w:eastAsia="宋体" w:cs="Times New Roman"/>
                <w:kern w:val="0"/>
                <w:szCs w:val="21"/>
              </w:rPr>
              <w:t>50～60岁</w:t>
            </w:r>
          </w:p>
        </w:tc>
        <w:tc>
          <w:tcPr>
            <w:tcW w:w="1928" w:type="dxa"/>
            <w:vAlign w:val="center"/>
          </w:tcPr>
          <w:p w14:paraId="2D051D6A">
            <w:pPr>
              <w:wordWrap w:val="0"/>
              <w:jc w:val="center"/>
              <w:rPr>
                <w:rFonts w:hint="eastAsia" w:ascii="宋体" w:hAnsi="宋体" w:eastAsia="宋体" w:cs="Times New Roman"/>
                <w:kern w:val="0"/>
                <w:szCs w:val="21"/>
              </w:rPr>
            </w:pPr>
            <w:r>
              <w:rPr>
                <w:rFonts w:ascii="宋体" w:hAnsi="宋体" w:eastAsia="宋体" w:cs="Times New Roman"/>
                <w:kern w:val="0"/>
                <w:szCs w:val="21"/>
              </w:rPr>
              <w:t>60以上</w:t>
            </w:r>
          </w:p>
        </w:tc>
      </w:tr>
      <w:tr w14:paraId="630F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502F86EA">
            <w:pPr>
              <w:wordWrap w:val="0"/>
              <w:rPr>
                <w:rFonts w:hint="eastAsia" w:ascii="宋体" w:hAnsi="宋体" w:eastAsia="宋体" w:cs="Times New Roman"/>
                <w:kern w:val="0"/>
                <w:szCs w:val="21"/>
              </w:rPr>
            </w:pPr>
          </w:p>
        </w:tc>
        <w:tc>
          <w:tcPr>
            <w:tcW w:w="1758" w:type="dxa"/>
            <w:gridSpan w:val="3"/>
            <w:vAlign w:val="center"/>
          </w:tcPr>
          <w:p w14:paraId="695ECAAE">
            <w:pPr>
              <w:wordWrap w:val="0"/>
              <w:rPr>
                <w:rFonts w:hint="eastAsia" w:ascii="宋体" w:hAnsi="宋体" w:eastAsia="宋体" w:cs="Times New Roman"/>
                <w:kern w:val="0"/>
                <w:szCs w:val="21"/>
              </w:rPr>
            </w:pPr>
          </w:p>
        </w:tc>
        <w:tc>
          <w:tcPr>
            <w:tcW w:w="2146" w:type="dxa"/>
            <w:gridSpan w:val="2"/>
            <w:vAlign w:val="center"/>
          </w:tcPr>
          <w:p w14:paraId="7AAFD32C">
            <w:pPr>
              <w:wordWrap w:val="0"/>
              <w:rPr>
                <w:rFonts w:hint="eastAsia" w:ascii="宋体" w:hAnsi="宋体" w:eastAsia="宋体" w:cs="Times New Roman"/>
                <w:kern w:val="0"/>
                <w:szCs w:val="21"/>
              </w:rPr>
            </w:pPr>
          </w:p>
        </w:tc>
        <w:tc>
          <w:tcPr>
            <w:tcW w:w="2230" w:type="dxa"/>
            <w:gridSpan w:val="3"/>
            <w:vAlign w:val="center"/>
          </w:tcPr>
          <w:p w14:paraId="384C278E">
            <w:pPr>
              <w:wordWrap w:val="0"/>
              <w:rPr>
                <w:rFonts w:hint="eastAsia" w:ascii="宋体" w:hAnsi="宋体" w:eastAsia="宋体" w:cs="Times New Roman"/>
                <w:kern w:val="0"/>
                <w:szCs w:val="21"/>
              </w:rPr>
            </w:pPr>
          </w:p>
        </w:tc>
        <w:tc>
          <w:tcPr>
            <w:tcW w:w="1928" w:type="dxa"/>
            <w:vAlign w:val="center"/>
          </w:tcPr>
          <w:p w14:paraId="5CA1277C">
            <w:pPr>
              <w:wordWrap w:val="0"/>
              <w:rPr>
                <w:rFonts w:hint="eastAsia" w:ascii="宋体" w:hAnsi="宋体" w:eastAsia="宋体" w:cs="Times New Roman"/>
                <w:kern w:val="0"/>
                <w:szCs w:val="21"/>
              </w:rPr>
            </w:pPr>
          </w:p>
        </w:tc>
      </w:tr>
      <w:tr w14:paraId="6299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10" w:type="dxa"/>
            <w:gridSpan w:val="10"/>
            <w:vAlign w:val="center"/>
          </w:tcPr>
          <w:p w14:paraId="5CF08D43">
            <w:pPr>
              <w:wordWrap w:val="0"/>
              <w:rPr>
                <w:rFonts w:hint="eastAsia" w:ascii="宋体" w:hAnsi="宋体" w:eastAsia="宋体" w:cs="Times New Roman"/>
                <w:kern w:val="0"/>
                <w:szCs w:val="21"/>
              </w:rPr>
            </w:pPr>
            <w:r>
              <w:rPr>
                <w:rFonts w:ascii="宋体" w:hAnsi="宋体" w:eastAsia="宋体" w:cs="Times New Roman"/>
                <w:kern w:val="0"/>
                <w:szCs w:val="21"/>
              </w:rPr>
              <w:t>公司近3年营业额情况（万元）</w:t>
            </w:r>
          </w:p>
        </w:tc>
      </w:tr>
      <w:tr w14:paraId="6DC6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31" w:type="dxa"/>
            <w:gridSpan w:val="3"/>
            <w:vAlign w:val="center"/>
          </w:tcPr>
          <w:p w14:paraId="02B603C1">
            <w:pPr>
              <w:wordWrap w:val="0"/>
              <w:jc w:val="center"/>
              <w:rPr>
                <w:rFonts w:hint="eastAsia" w:ascii="宋体" w:hAnsi="宋体" w:eastAsia="宋体" w:cs="Times New Roman"/>
                <w:kern w:val="0"/>
                <w:szCs w:val="21"/>
                <w:u w:val="single"/>
              </w:rPr>
            </w:pPr>
            <w:r>
              <w:rPr>
                <w:rFonts w:hint="eastAsia" w:ascii="宋体" w:hAnsi="宋体" w:eastAsia="宋体" w:cs="Times New Roman"/>
                <w:kern w:val="0"/>
                <w:szCs w:val="21"/>
                <w:u w:val="single"/>
              </w:rPr>
              <w:t xml:space="preserve">   </w:t>
            </w:r>
          </w:p>
        </w:tc>
        <w:tc>
          <w:tcPr>
            <w:tcW w:w="3215" w:type="dxa"/>
            <w:gridSpan w:val="4"/>
            <w:vAlign w:val="center"/>
          </w:tcPr>
          <w:p w14:paraId="3AC1AA24">
            <w:pPr>
              <w:wordWrap w:val="0"/>
              <w:jc w:val="center"/>
              <w:rPr>
                <w:rFonts w:hint="eastAsia" w:ascii="宋体" w:hAnsi="宋体" w:eastAsia="宋体" w:cs="Times New Roman"/>
                <w:kern w:val="0"/>
                <w:szCs w:val="21"/>
                <w:u w:val="single"/>
              </w:rPr>
            </w:pPr>
            <w:r>
              <w:rPr>
                <w:rFonts w:hint="eastAsia" w:ascii="宋体" w:hAnsi="宋体" w:eastAsia="宋体" w:cs="Times New Roman"/>
                <w:kern w:val="0"/>
                <w:szCs w:val="21"/>
                <w:u w:val="single"/>
              </w:rPr>
              <w:t xml:space="preserve">     </w:t>
            </w:r>
          </w:p>
        </w:tc>
        <w:tc>
          <w:tcPr>
            <w:tcW w:w="3264" w:type="dxa"/>
            <w:gridSpan w:val="3"/>
            <w:vAlign w:val="center"/>
          </w:tcPr>
          <w:p w14:paraId="140F155D">
            <w:pPr>
              <w:wordWrap w:val="0"/>
              <w:rPr>
                <w:rFonts w:hint="eastAsia" w:ascii="宋体" w:hAnsi="宋体" w:eastAsia="宋体" w:cs="Times New Roman"/>
                <w:kern w:val="0"/>
                <w:szCs w:val="21"/>
                <w:u w:val="single"/>
              </w:rPr>
            </w:pPr>
            <w:r>
              <w:rPr>
                <w:rFonts w:hint="eastAsia" w:ascii="宋体" w:hAnsi="宋体" w:eastAsia="宋体" w:cs="Times New Roman"/>
                <w:kern w:val="0"/>
                <w:szCs w:val="21"/>
              </w:rPr>
              <w:t xml:space="preserve">        </w:t>
            </w:r>
            <w:r>
              <w:rPr>
                <w:rFonts w:hint="eastAsia" w:ascii="宋体" w:hAnsi="宋体" w:eastAsia="宋体" w:cs="Times New Roman"/>
                <w:kern w:val="0"/>
                <w:szCs w:val="21"/>
                <w:u w:val="single"/>
              </w:rPr>
              <w:t xml:space="preserve">      </w:t>
            </w:r>
          </w:p>
        </w:tc>
      </w:tr>
      <w:tr w14:paraId="5143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31" w:type="dxa"/>
            <w:gridSpan w:val="3"/>
            <w:vAlign w:val="center"/>
          </w:tcPr>
          <w:p w14:paraId="158F9A53">
            <w:pPr>
              <w:wordWrap w:val="0"/>
              <w:rPr>
                <w:rFonts w:hint="eastAsia" w:ascii="宋体" w:hAnsi="宋体" w:eastAsia="宋体" w:cs="Times New Roman"/>
                <w:kern w:val="0"/>
                <w:szCs w:val="21"/>
              </w:rPr>
            </w:pPr>
          </w:p>
        </w:tc>
        <w:tc>
          <w:tcPr>
            <w:tcW w:w="3215" w:type="dxa"/>
            <w:gridSpan w:val="4"/>
            <w:vAlign w:val="center"/>
          </w:tcPr>
          <w:p w14:paraId="7913FFB1">
            <w:pPr>
              <w:wordWrap w:val="0"/>
              <w:rPr>
                <w:rFonts w:hint="eastAsia" w:ascii="宋体" w:hAnsi="宋体" w:eastAsia="宋体" w:cs="Times New Roman"/>
                <w:kern w:val="0"/>
                <w:szCs w:val="21"/>
              </w:rPr>
            </w:pPr>
          </w:p>
        </w:tc>
        <w:tc>
          <w:tcPr>
            <w:tcW w:w="3264" w:type="dxa"/>
            <w:gridSpan w:val="3"/>
            <w:vAlign w:val="center"/>
          </w:tcPr>
          <w:p w14:paraId="1B35F92E">
            <w:pPr>
              <w:wordWrap w:val="0"/>
              <w:rPr>
                <w:rFonts w:hint="eastAsia" w:ascii="宋体" w:hAnsi="宋体" w:eastAsia="宋体" w:cs="Times New Roman"/>
                <w:kern w:val="0"/>
                <w:szCs w:val="21"/>
              </w:rPr>
            </w:pPr>
          </w:p>
        </w:tc>
      </w:tr>
    </w:tbl>
    <w:p w14:paraId="5336EAFD">
      <w:pPr>
        <w:wordWrap w:val="0"/>
        <w:spacing w:line="360" w:lineRule="auto"/>
        <w:rPr>
          <w:rFonts w:hint="eastAsia" w:ascii="宋体" w:hAnsi="宋体" w:eastAsia="宋体" w:cs="Times New Roman"/>
          <w:kern w:val="0"/>
          <w:szCs w:val="21"/>
        </w:rPr>
      </w:pPr>
    </w:p>
    <w:p w14:paraId="2E44E6FC">
      <w:pPr>
        <w:wordWrap w:val="0"/>
        <w:spacing w:before="120" w:beforeLines="50" w:line="360" w:lineRule="auto"/>
        <w:ind w:left="-103" w:leftChars="-49" w:right="-57" w:rightChars="-27" w:firstLine="15"/>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投标人：（公章）</w:t>
      </w:r>
      <w:r>
        <w:rPr>
          <w:rFonts w:ascii="Times New Roman" w:hAnsi="Times New Roman" w:eastAsia="宋体" w:cs="Times New Roman"/>
          <w:szCs w:val="24"/>
          <w:lang w:bidi="ar"/>
        </w:rPr>
        <w:t xml:space="preserve"> </w:t>
      </w:r>
    </w:p>
    <w:p w14:paraId="2ED6EA75">
      <w:pPr>
        <w:wordWrap w:val="0"/>
        <w:spacing w:before="120" w:beforeLines="50" w:line="360" w:lineRule="auto"/>
        <w:ind w:left="606" w:leftChars="-49" w:right="-57" w:rightChars="-27" w:hanging="709"/>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法定代表人或其委托代理人：（签字或盖章）</w:t>
      </w:r>
    </w:p>
    <w:p w14:paraId="6ADD164F">
      <w:pPr>
        <w:wordWrap w:val="0"/>
        <w:spacing w:before="120" w:beforeLines="50" w:line="360" w:lineRule="auto"/>
        <w:ind w:left="606" w:leftChars="-49" w:right="-57" w:rightChars="-27" w:hanging="709"/>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日</w:t>
      </w:r>
      <w:r>
        <w:rPr>
          <w:rFonts w:ascii="Times New Roman" w:hAnsi="Times New Roman" w:eastAsia="宋体" w:cs="Times New Roman"/>
          <w:szCs w:val="24"/>
          <w:lang w:bidi="ar"/>
        </w:rPr>
        <w:t xml:space="preserve">    </w:t>
      </w:r>
      <w:r>
        <w:rPr>
          <w:rFonts w:hint="eastAsia" w:ascii="Times New Roman" w:hAnsi="Times New Roman" w:eastAsia="宋体" w:cs="宋体"/>
          <w:szCs w:val="24"/>
          <w:lang w:bidi="ar"/>
        </w:rPr>
        <w:t>期：</w:t>
      </w:r>
    </w:p>
    <w:p w14:paraId="6A16174B">
      <w:pPr>
        <w:widowControl/>
        <w:wordWrap w:val="0"/>
        <w:jc w:val="left"/>
        <w:rPr>
          <w:rFonts w:ascii="宋体" w:hAnsi="宋体" w:eastAsia="Times New Roman" w:cs="Times New Roman"/>
          <w:bCs/>
          <w:kern w:val="0"/>
          <w:sz w:val="24"/>
          <w:szCs w:val="24"/>
        </w:rPr>
      </w:pPr>
    </w:p>
    <w:p w14:paraId="4D306D5E">
      <w:pPr>
        <w:keepNext/>
        <w:keepLines/>
        <w:wordWrap w:val="0"/>
        <w:spacing w:line="480" w:lineRule="auto"/>
        <w:outlineLvl w:val="3"/>
        <w:rPr>
          <w:rFonts w:hint="eastAsia" w:ascii="宋体" w:hAnsi="宋体" w:eastAsia="宋体" w:cs="Times New Roman"/>
          <w:bCs/>
          <w:szCs w:val="21"/>
        </w:rPr>
      </w:pPr>
      <w:r>
        <w:rPr>
          <w:rFonts w:hint="eastAsia" w:ascii="宋体" w:hAnsi="宋体" w:eastAsia="宋体" w:cs="Times New Roman"/>
          <w:b/>
          <w:szCs w:val="28"/>
        </w:rPr>
        <w:t>格式B2：企业</w:t>
      </w:r>
      <w:r>
        <w:rPr>
          <w:rFonts w:hint="eastAsia" w:ascii="宋体" w:hAnsi="宋体" w:eastAsia="宋体" w:cs="Times New Roman"/>
          <w:b/>
          <w:szCs w:val="21"/>
        </w:rPr>
        <w:t>业绩表</w:t>
      </w:r>
    </w:p>
    <w:p w14:paraId="239A26B2">
      <w:pPr>
        <w:wordWrap w:val="0"/>
        <w:spacing w:line="480" w:lineRule="auto"/>
        <w:jc w:val="center"/>
        <w:rPr>
          <w:rFonts w:hint="eastAsia" w:ascii="宋体" w:hAnsi="宋体" w:eastAsia="宋体" w:cs="Times New Roman"/>
          <w:b/>
          <w:kern w:val="0"/>
          <w:sz w:val="28"/>
          <w:szCs w:val="28"/>
        </w:rPr>
      </w:pPr>
      <w:r>
        <w:rPr>
          <w:rFonts w:hint="eastAsia" w:ascii="宋体" w:hAnsi="宋体" w:eastAsia="宋体" w:cs="Times New Roman"/>
          <w:b/>
          <w:bCs/>
          <w:kern w:val="0"/>
          <w:sz w:val="28"/>
          <w:szCs w:val="28"/>
        </w:rPr>
        <w:t>企业业绩表</w:t>
      </w:r>
    </w:p>
    <w:tbl>
      <w:tblPr>
        <w:tblStyle w:val="9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371"/>
        <w:gridCol w:w="1599"/>
        <w:gridCol w:w="1788"/>
        <w:gridCol w:w="1188"/>
        <w:gridCol w:w="1022"/>
        <w:gridCol w:w="1436"/>
      </w:tblGrid>
      <w:tr w14:paraId="6045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4" w:type="dxa"/>
            <w:vAlign w:val="center"/>
          </w:tcPr>
          <w:p w14:paraId="249BD616">
            <w:pPr>
              <w:wordWrap w:val="0"/>
              <w:spacing w:before="120" w:beforeLines="50"/>
              <w:rPr>
                <w:rFonts w:ascii="Times New Roman" w:hAnsi="Times New Roman" w:eastAsia="Times New Roman" w:cs="Times New Roman"/>
                <w:kern w:val="0"/>
                <w:szCs w:val="21"/>
              </w:rPr>
            </w:pPr>
            <w:r>
              <w:rPr>
                <w:rFonts w:hint="eastAsia" w:ascii="Times New Roman" w:hAnsi="Times New Roman" w:eastAsia="宋体" w:cs="宋体"/>
                <w:szCs w:val="21"/>
                <w:lang w:bidi="ar"/>
              </w:rPr>
              <w:t>序号</w:t>
            </w:r>
          </w:p>
        </w:tc>
        <w:tc>
          <w:tcPr>
            <w:tcW w:w="1371" w:type="dxa"/>
            <w:vAlign w:val="center"/>
          </w:tcPr>
          <w:p w14:paraId="27D0FDDB">
            <w:pPr>
              <w:wordWrap w:val="0"/>
              <w:spacing w:before="120" w:beforeLines="50"/>
              <w:rPr>
                <w:rFonts w:ascii="Times New Roman" w:hAnsi="Times New Roman" w:eastAsia="Times New Roman" w:cs="Times New Roman"/>
                <w:kern w:val="0"/>
                <w:szCs w:val="21"/>
              </w:rPr>
            </w:pPr>
            <w:r>
              <w:rPr>
                <w:rFonts w:hint="eastAsia" w:ascii="Times New Roman" w:hAnsi="Times New Roman" w:eastAsia="宋体" w:cs="宋体"/>
                <w:szCs w:val="21"/>
                <w:lang w:bidi="ar"/>
              </w:rPr>
              <w:t>项目名称</w:t>
            </w:r>
          </w:p>
        </w:tc>
        <w:tc>
          <w:tcPr>
            <w:tcW w:w="1599" w:type="dxa"/>
            <w:vAlign w:val="center"/>
          </w:tcPr>
          <w:p w14:paraId="097B9C49">
            <w:pPr>
              <w:wordWrap w:val="0"/>
              <w:spacing w:before="120" w:beforeLines="50"/>
              <w:jc w:val="center"/>
              <w:rPr>
                <w:rFonts w:ascii="Times New Roman" w:hAnsi="Times New Roman" w:eastAsia="宋体" w:cs="Times New Roman"/>
                <w:kern w:val="0"/>
                <w:szCs w:val="21"/>
              </w:rPr>
            </w:pPr>
            <w:r>
              <w:rPr>
                <w:rFonts w:hint="eastAsia" w:ascii="Times New Roman" w:hAnsi="Times New Roman" w:eastAsia="宋体" w:cs="宋体"/>
                <w:szCs w:val="21"/>
                <w:lang w:bidi="ar"/>
              </w:rPr>
              <w:t>单项合同金额</w:t>
            </w:r>
          </w:p>
        </w:tc>
        <w:tc>
          <w:tcPr>
            <w:tcW w:w="1788" w:type="dxa"/>
            <w:vAlign w:val="center"/>
          </w:tcPr>
          <w:p w14:paraId="567D2406">
            <w:pPr>
              <w:wordWrap w:val="0"/>
              <w:spacing w:before="120" w:beforeLines="5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合同服务时间</w:t>
            </w:r>
          </w:p>
        </w:tc>
        <w:tc>
          <w:tcPr>
            <w:tcW w:w="1188" w:type="dxa"/>
            <w:vAlign w:val="center"/>
          </w:tcPr>
          <w:p w14:paraId="4A42F7B3">
            <w:pPr>
              <w:wordWrap w:val="0"/>
              <w:spacing w:before="120" w:beforeLines="50"/>
              <w:jc w:val="center"/>
              <w:rPr>
                <w:rFonts w:ascii="Times New Roman" w:hAnsi="Times New Roman" w:eastAsia="Times New Roman" w:cs="Times New Roman"/>
                <w:kern w:val="0"/>
                <w:szCs w:val="21"/>
              </w:rPr>
            </w:pPr>
            <w:r>
              <w:rPr>
                <w:rFonts w:hint="eastAsia" w:ascii="Times New Roman" w:hAnsi="Times New Roman" w:eastAsia="宋体" w:cs="宋体"/>
                <w:szCs w:val="21"/>
                <w:lang w:bidi="ar"/>
              </w:rPr>
              <w:t>招标人</w:t>
            </w:r>
          </w:p>
        </w:tc>
        <w:tc>
          <w:tcPr>
            <w:tcW w:w="1022" w:type="dxa"/>
            <w:vAlign w:val="center"/>
          </w:tcPr>
          <w:p w14:paraId="139AA1F5">
            <w:pPr>
              <w:wordWrap w:val="0"/>
              <w:spacing w:before="120" w:beforeLines="50"/>
              <w:jc w:val="center"/>
              <w:rPr>
                <w:rFonts w:ascii="Times New Roman" w:hAnsi="Times New Roman" w:eastAsia="宋体" w:cs="宋体"/>
                <w:szCs w:val="21"/>
                <w:lang w:bidi="ar"/>
              </w:rPr>
            </w:pPr>
            <w:r>
              <w:rPr>
                <w:rFonts w:hint="eastAsia" w:ascii="Times New Roman" w:hAnsi="Times New Roman" w:eastAsia="宋体" w:cs="宋体"/>
                <w:szCs w:val="21"/>
                <w:lang w:bidi="ar"/>
              </w:rPr>
              <w:t>联系人</w:t>
            </w:r>
          </w:p>
        </w:tc>
        <w:tc>
          <w:tcPr>
            <w:tcW w:w="1436" w:type="dxa"/>
            <w:vAlign w:val="center"/>
          </w:tcPr>
          <w:p w14:paraId="54B8FFAC">
            <w:pPr>
              <w:wordWrap w:val="0"/>
              <w:spacing w:before="120" w:beforeLines="50"/>
              <w:jc w:val="center"/>
              <w:rPr>
                <w:rFonts w:ascii="Times New Roman" w:hAnsi="Times New Roman" w:eastAsia="宋体" w:cs="宋体"/>
                <w:szCs w:val="21"/>
                <w:lang w:bidi="ar"/>
              </w:rPr>
            </w:pPr>
            <w:r>
              <w:rPr>
                <w:rFonts w:hint="eastAsia" w:ascii="Times New Roman" w:hAnsi="Times New Roman" w:eastAsia="宋体" w:cs="宋体"/>
                <w:szCs w:val="21"/>
                <w:lang w:bidi="ar"/>
              </w:rPr>
              <w:t>联系电话</w:t>
            </w:r>
          </w:p>
        </w:tc>
      </w:tr>
      <w:tr w14:paraId="1976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tcPr>
          <w:p w14:paraId="13E39382">
            <w:pPr>
              <w:wordWrap w:val="0"/>
              <w:spacing w:before="120" w:beforeLines="50"/>
              <w:jc w:val="center"/>
              <w:rPr>
                <w:rFonts w:ascii="Times New Roman" w:hAnsi="Times New Roman" w:eastAsia="Times New Roman" w:cs="Times New Roman"/>
                <w:kern w:val="0"/>
                <w:sz w:val="24"/>
                <w:szCs w:val="21"/>
              </w:rPr>
            </w:pPr>
          </w:p>
        </w:tc>
        <w:tc>
          <w:tcPr>
            <w:tcW w:w="1371" w:type="dxa"/>
          </w:tcPr>
          <w:p w14:paraId="5DC6DD68">
            <w:pPr>
              <w:wordWrap w:val="0"/>
              <w:spacing w:before="120" w:beforeLines="50"/>
              <w:jc w:val="center"/>
              <w:rPr>
                <w:rFonts w:ascii="Times New Roman" w:hAnsi="Times New Roman" w:eastAsia="Times New Roman" w:cs="Times New Roman"/>
                <w:kern w:val="0"/>
                <w:sz w:val="24"/>
                <w:szCs w:val="21"/>
              </w:rPr>
            </w:pPr>
          </w:p>
        </w:tc>
        <w:tc>
          <w:tcPr>
            <w:tcW w:w="1599" w:type="dxa"/>
          </w:tcPr>
          <w:p w14:paraId="2C99A7F8">
            <w:pPr>
              <w:wordWrap w:val="0"/>
              <w:spacing w:before="120" w:beforeLines="50"/>
              <w:jc w:val="center"/>
              <w:rPr>
                <w:rFonts w:ascii="Times New Roman" w:hAnsi="Times New Roman" w:eastAsia="Times New Roman" w:cs="Times New Roman"/>
                <w:kern w:val="0"/>
                <w:sz w:val="24"/>
                <w:szCs w:val="21"/>
              </w:rPr>
            </w:pPr>
          </w:p>
        </w:tc>
        <w:tc>
          <w:tcPr>
            <w:tcW w:w="1788" w:type="dxa"/>
          </w:tcPr>
          <w:p w14:paraId="5F982F6C">
            <w:pPr>
              <w:wordWrap w:val="0"/>
              <w:spacing w:before="120" w:beforeLines="50"/>
              <w:jc w:val="center"/>
              <w:rPr>
                <w:rFonts w:ascii="Times New Roman" w:hAnsi="Times New Roman" w:eastAsia="Times New Roman" w:cs="Times New Roman"/>
                <w:kern w:val="0"/>
                <w:sz w:val="24"/>
                <w:szCs w:val="21"/>
              </w:rPr>
            </w:pPr>
          </w:p>
        </w:tc>
        <w:tc>
          <w:tcPr>
            <w:tcW w:w="1188" w:type="dxa"/>
          </w:tcPr>
          <w:p w14:paraId="303C6E4F">
            <w:pPr>
              <w:wordWrap w:val="0"/>
              <w:spacing w:before="120" w:beforeLines="50"/>
              <w:jc w:val="center"/>
              <w:rPr>
                <w:rFonts w:ascii="Times New Roman" w:hAnsi="Times New Roman" w:eastAsia="Times New Roman" w:cs="Times New Roman"/>
                <w:kern w:val="0"/>
                <w:sz w:val="24"/>
                <w:szCs w:val="21"/>
              </w:rPr>
            </w:pPr>
          </w:p>
        </w:tc>
        <w:tc>
          <w:tcPr>
            <w:tcW w:w="1022" w:type="dxa"/>
          </w:tcPr>
          <w:p w14:paraId="072C9E10">
            <w:pPr>
              <w:wordWrap w:val="0"/>
              <w:spacing w:before="120" w:beforeLines="50"/>
              <w:jc w:val="center"/>
              <w:rPr>
                <w:rFonts w:ascii="Times New Roman" w:hAnsi="Times New Roman" w:eastAsia="Times New Roman" w:cs="Times New Roman"/>
                <w:kern w:val="0"/>
                <w:sz w:val="24"/>
                <w:szCs w:val="21"/>
              </w:rPr>
            </w:pPr>
          </w:p>
        </w:tc>
        <w:tc>
          <w:tcPr>
            <w:tcW w:w="1436" w:type="dxa"/>
          </w:tcPr>
          <w:p w14:paraId="197C17C8">
            <w:pPr>
              <w:wordWrap w:val="0"/>
              <w:spacing w:before="120" w:beforeLines="50"/>
              <w:jc w:val="center"/>
              <w:rPr>
                <w:rFonts w:ascii="Times New Roman" w:hAnsi="Times New Roman" w:eastAsia="Times New Roman" w:cs="Times New Roman"/>
                <w:kern w:val="0"/>
                <w:sz w:val="24"/>
                <w:szCs w:val="21"/>
              </w:rPr>
            </w:pPr>
          </w:p>
        </w:tc>
      </w:tr>
      <w:tr w14:paraId="1E48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1C2E7E68">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4AD8EFA5">
            <w:pPr>
              <w:wordWrap w:val="0"/>
              <w:spacing w:before="120" w:beforeLines="50"/>
              <w:jc w:val="center"/>
              <w:rPr>
                <w:rFonts w:ascii="Times New Roman" w:hAnsi="Times New Roman" w:eastAsia="Times New Roman" w:cs="Times New Roman"/>
                <w:kern w:val="0"/>
                <w:sz w:val="24"/>
                <w:szCs w:val="21"/>
              </w:rPr>
            </w:pPr>
          </w:p>
        </w:tc>
        <w:tc>
          <w:tcPr>
            <w:tcW w:w="1599" w:type="dxa"/>
          </w:tcPr>
          <w:p w14:paraId="54E2E319">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722C8F4D">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0A594F83">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2519E52B">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1DFEA60E">
            <w:pPr>
              <w:wordWrap w:val="0"/>
              <w:spacing w:before="120" w:beforeLines="50"/>
              <w:jc w:val="center"/>
              <w:rPr>
                <w:rFonts w:ascii="Times New Roman" w:hAnsi="Times New Roman" w:eastAsia="Times New Roman" w:cs="Times New Roman"/>
                <w:kern w:val="0"/>
                <w:sz w:val="24"/>
                <w:szCs w:val="21"/>
              </w:rPr>
            </w:pPr>
          </w:p>
        </w:tc>
      </w:tr>
      <w:tr w14:paraId="1183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682CCF46">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08555FE7">
            <w:pPr>
              <w:wordWrap w:val="0"/>
              <w:spacing w:before="120" w:beforeLines="50"/>
              <w:jc w:val="center"/>
              <w:rPr>
                <w:rFonts w:ascii="Times New Roman" w:hAnsi="Times New Roman" w:eastAsia="Times New Roman" w:cs="Times New Roman"/>
                <w:kern w:val="0"/>
                <w:sz w:val="24"/>
                <w:szCs w:val="21"/>
              </w:rPr>
            </w:pPr>
          </w:p>
        </w:tc>
        <w:tc>
          <w:tcPr>
            <w:tcW w:w="1599" w:type="dxa"/>
          </w:tcPr>
          <w:p w14:paraId="132FFB60">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5BAD7ABE">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1E6A92B3">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7901914E">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67CE40FF">
            <w:pPr>
              <w:wordWrap w:val="0"/>
              <w:spacing w:before="120" w:beforeLines="50"/>
              <w:jc w:val="center"/>
              <w:rPr>
                <w:rFonts w:ascii="Times New Roman" w:hAnsi="Times New Roman" w:eastAsia="Times New Roman" w:cs="Times New Roman"/>
                <w:kern w:val="0"/>
                <w:sz w:val="24"/>
                <w:szCs w:val="21"/>
              </w:rPr>
            </w:pPr>
          </w:p>
        </w:tc>
      </w:tr>
      <w:tr w14:paraId="0189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7F657B2C">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2D77BB46">
            <w:pPr>
              <w:wordWrap w:val="0"/>
              <w:spacing w:before="120" w:beforeLines="50"/>
              <w:jc w:val="center"/>
              <w:rPr>
                <w:rFonts w:ascii="Times New Roman" w:hAnsi="Times New Roman" w:eastAsia="Times New Roman" w:cs="Times New Roman"/>
                <w:kern w:val="0"/>
                <w:sz w:val="24"/>
                <w:szCs w:val="21"/>
              </w:rPr>
            </w:pPr>
          </w:p>
        </w:tc>
        <w:tc>
          <w:tcPr>
            <w:tcW w:w="1599" w:type="dxa"/>
          </w:tcPr>
          <w:p w14:paraId="039C55CD">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3A6CB469">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71261E53">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33878294">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6B6B8A02">
            <w:pPr>
              <w:wordWrap w:val="0"/>
              <w:spacing w:before="120" w:beforeLines="50"/>
              <w:jc w:val="center"/>
              <w:rPr>
                <w:rFonts w:ascii="Times New Roman" w:hAnsi="Times New Roman" w:eastAsia="Times New Roman" w:cs="Times New Roman"/>
                <w:kern w:val="0"/>
                <w:sz w:val="24"/>
                <w:szCs w:val="21"/>
              </w:rPr>
            </w:pPr>
          </w:p>
        </w:tc>
      </w:tr>
      <w:tr w14:paraId="21F0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3029FB5A">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2F0ED5A7">
            <w:pPr>
              <w:wordWrap w:val="0"/>
              <w:spacing w:before="120" w:beforeLines="50"/>
              <w:jc w:val="center"/>
              <w:rPr>
                <w:rFonts w:ascii="Times New Roman" w:hAnsi="Times New Roman" w:eastAsia="Times New Roman" w:cs="Times New Roman"/>
                <w:kern w:val="0"/>
                <w:sz w:val="24"/>
                <w:szCs w:val="21"/>
              </w:rPr>
            </w:pPr>
          </w:p>
        </w:tc>
        <w:tc>
          <w:tcPr>
            <w:tcW w:w="1599" w:type="dxa"/>
          </w:tcPr>
          <w:p w14:paraId="74E0B796">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7EE96D26">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4C4B0CC3">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224C1154">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4F9420CF">
            <w:pPr>
              <w:wordWrap w:val="0"/>
              <w:spacing w:before="120" w:beforeLines="50"/>
              <w:jc w:val="center"/>
              <w:rPr>
                <w:rFonts w:ascii="Times New Roman" w:hAnsi="Times New Roman" w:eastAsia="Times New Roman" w:cs="Times New Roman"/>
                <w:kern w:val="0"/>
                <w:sz w:val="24"/>
                <w:szCs w:val="21"/>
              </w:rPr>
            </w:pPr>
          </w:p>
        </w:tc>
      </w:tr>
      <w:tr w14:paraId="15DC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43C56BF9">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0CE2DC59">
            <w:pPr>
              <w:wordWrap w:val="0"/>
              <w:spacing w:before="120" w:beforeLines="50"/>
              <w:jc w:val="center"/>
              <w:rPr>
                <w:rFonts w:ascii="Times New Roman" w:hAnsi="Times New Roman" w:eastAsia="Times New Roman" w:cs="Times New Roman"/>
                <w:kern w:val="0"/>
                <w:sz w:val="24"/>
                <w:szCs w:val="21"/>
              </w:rPr>
            </w:pPr>
          </w:p>
        </w:tc>
        <w:tc>
          <w:tcPr>
            <w:tcW w:w="1599" w:type="dxa"/>
          </w:tcPr>
          <w:p w14:paraId="49AA6C98">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32AE199D">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2662CB69">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17CB3601">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3F865C0C">
            <w:pPr>
              <w:wordWrap w:val="0"/>
              <w:spacing w:before="120" w:beforeLines="50"/>
              <w:jc w:val="center"/>
              <w:rPr>
                <w:rFonts w:ascii="Times New Roman" w:hAnsi="Times New Roman" w:eastAsia="Times New Roman" w:cs="Times New Roman"/>
                <w:kern w:val="0"/>
                <w:sz w:val="24"/>
                <w:szCs w:val="21"/>
              </w:rPr>
            </w:pPr>
          </w:p>
        </w:tc>
      </w:tr>
      <w:tr w14:paraId="5748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3A00AC45">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61D3757E">
            <w:pPr>
              <w:wordWrap w:val="0"/>
              <w:spacing w:before="120" w:beforeLines="50"/>
              <w:jc w:val="center"/>
              <w:rPr>
                <w:rFonts w:ascii="Times New Roman" w:hAnsi="Times New Roman" w:eastAsia="Times New Roman" w:cs="Times New Roman"/>
                <w:kern w:val="0"/>
                <w:sz w:val="24"/>
                <w:szCs w:val="21"/>
              </w:rPr>
            </w:pPr>
          </w:p>
        </w:tc>
        <w:tc>
          <w:tcPr>
            <w:tcW w:w="1599" w:type="dxa"/>
          </w:tcPr>
          <w:p w14:paraId="3B7E6640">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08BB5FE5">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4427C8E9">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00D34E4C">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098EDE6F">
            <w:pPr>
              <w:wordWrap w:val="0"/>
              <w:spacing w:before="120" w:beforeLines="50"/>
              <w:jc w:val="center"/>
              <w:rPr>
                <w:rFonts w:ascii="Times New Roman" w:hAnsi="Times New Roman" w:eastAsia="Times New Roman" w:cs="Times New Roman"/>
                <w:kern w:val="0"/>
                <w:sz w:val="24"/>
                <w:szCs w:val="21"/>
              </w:rPr>
            </w:pPr>
          </w:p>
        </w:tc>
      </w:tr>
      <w:tr w14:paraId="6952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48FE9B9F">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017000C9">
            <w:pPr>
              <w:wordWrap w:val="0"/>
              <w:spacing w:before="120" w:beforeLines="50"/>
              <w:jc w:val="center"/>
              <w:rPr>
                <w:rFonts w:ascii="Times New Roman" w:hAnsi="Times New Roman" w:eastAsia="Times New Roman" w:cs="Times New Roman"/>
                <w:kern w:val="0"/>
                <w:sz w:val="24"/>
                <w:szCs w:val="21"/>
              </w:rPr>
            </w:pPr>
          </w:p>
        </w:tc>
        <w:tc>
          <w:tcPr>
            <w:tcW w:w="1599" w:type="dxa"/>
          </w:tcPr>
          <w:p w14:paraId="5679CCD9">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10ACC6A5">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1FEDDCCF">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55E856B4">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7107A29E">
            <w:pPr>
              <w:wordWrap w:val="0"/>
              <w:spacing w:before="120" w:beforeLines="50"/>
              <w:jc w:val="center"/>
              <w:rPr>
                <w:rFonts w:ascii="Times New Roman" w:hAnsi="Times New Roman" w:eastAsia="Times New Roman" w:cs="Times New Roman"/>
                <w:kern w:val="0"/>
                <w:sz w:val="24"/>
                <w:szCs w:val="21"/>
              </w:rPr>
            </w:pPr>
          </w:p>
        </w:tc>
      </w:tr>
      <w:tr w14:paraId="62A1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56F7A06C">
            <w:pPr>
              <w:wordWrap w:val="0"/>
              <w:spacing w:before="120" w:beforeLines="50"/>
              <w:jc w:val="center"/>
              <w:rPr>
                <w:rFonts w:ascii="Times New Roman" w:hAnsi="Times New Roman" w:eastAsia="Times New Roman" w:cs="Times New Roman"/>
                <w:kern w:val="0"/>
                <w:sz w:val="24"/>
                <w:szCs w:val="21"/>
              </w:rPr>
            </w:pPr>
          </w:p>
        </w:tc>
        <w:tc>
          <w:tcPr>
            <w:tcW w:w="1371" w:type="dxa"/>
            <w:vAlign w:val="center"/>
          </w:tcPr>
          <w:p w14:paraId="76261F9A">
            <w:pPr>
              <w:wordWrap w:val="0"/>
              <w:spacing w:before="120" w:beforeLines="50"/>
              <w:jc w:val="center"/>
              <w:rPr>
                <w:rFonts w:ascii="Times New Roman" w:hAnsi="Times New Roman" w:eastAsia="Times New Roman" w:cs="Times New Roman"/>
                <w:kern w:val="0"/>
                <w:sz w:val="24"/>
                <w:szCs w:val="21"/>
              </w:rPr>
            </w:pPr>
          </w:p>
        </w:tc>
        <w:tc>
          <w:tcPr>
            <w:tcW w:w="1599" w:type="dxa"/>
          </w:tcPr>
          <w:p w14:paraId="2BC1D1F8">
            <w:pPr>
              <w:wordWrap w:val="0"/>
              <w:spacing w:before="120" w:beforeLines="50"/>
              <w:jc w:val="center"/>
              <w:rPr>
                <w:rFonts w:ascii="Times New Roman" w:hAnsi="Times New Roman" w:eastAsia="Times New Roman" w:cs="Times New Roman"/>
                <w:kern w:val="0"/>
                <w:sz w:val="24"/>
                <w:szCs w:val="21"/>
              </w:rPr>
            </w:pPr>
          </w:p>
        </w:tc>
        <w:tc>
          <w:tcPr>
            <w:tcW w:w="1788" w:type="dxa"/>
            <w:vAlign w:val="center"/>
          </w:tcPr>
          <w:p w14:paraId="5EE08BD0">
            <w:pPr>
              <w:wordWrap w:val="0"/>
              <w:spacing w:before="120" w:beforeLines="50"/>
              <w:jc w:val="center"/>
              <w:rPr>
                <w:rFonts w:ascii="Times New Roman" w:hAnsi="Times New Roman" w:eastAsia="Times New Roman" w:cs="Times New Roman"/>
                <w:kern w:val="0"/>
                <w:sz w:val="24"/>
                <w:szCs w:val="21"/>
              </w:rPr>
            </w:pPr>
          </w:p>
        </w:tc>
        <w:tc>
          <w:tcPr>
            <w:tcW w:w="1188" w:type="dxa"/>
            <w:vAlign w:val="center"/>
          </w:tcPr>
          <w:p w14:paraId="7BE26600">
            <w:pPr>
              <w:wordWrap w:val="0"/>
              <w:spacing w:before="120" w:beforeLines="50"/>
              <w:jc w:val="center"/>
              <w:rPr>
                <w:rFonts w:ascii="Times New Roman" w:hAnsi="Times New Roman" w:eastAsia="Times New Roman" w:cs="Times New Roman"/>
                <w:kern w:val="0"/>
                <w:sz w:val="24"/>
                <w:szCs w:val="21"/>
              </w:rPr>
            </w:pPr>
          </w:p>
        </w:tc>
        <w:tc>
          <w:tcPr>
            <w:tcW w:w="1022" w:type="dxa"/>
            <w:vAlign w:val="center"/>
          </w:tcPr>
          <w:p w14:paraId="09AA5488">
            <w:pPr>
              <w:wordWrap w:val="0"/>
              <w:spacing w:before="120" w:beforeLines="50"/>
              <w:jc w:val="center"/>
              <w:rPr>
                <w:rFonts w:ascii="Times New Roman" w:hAnsi="Times New Roman" w:eastAsia="Times New Roman" w:cs="Times New Roman"/>
                <w:kern w:val="0"/>
                <w:sz w:val="24"/>
                <w:szCs w:val="21"/>
              </w:rPr>
            </w:pPr>
          </w:p>
        </w:tc>
        <w:tc>
          <w:tcPr>
            <w:tcW w:w="1436" w:type="dxa"/>
            <w:vAlign w:val="center"/>
          </w:tcPr>
          <w:p w14:paraId="541427DC">
            <w:pPr>
              <w:wordWrap w:val="0"/>
              <w:spacing w:before="120" w:beforeLines="50"/>
              <w:jc w:val="center"/>
              <w:rPr>
                <w:rFonts w:ascii="Times New Roman" w:hAnsi="Times New Roman" w:eastAsia="Times New Roman" w:cs="Times New Roman"/>
                <w:kern w:val="0"/>
                <w:sz w:val="24"/>
                <w:szCs w:val="21"/>
              </w:rPr>
            </w:pPr>
          </w:p>
        </w:tc>
      </w:tr>
    </w:tbl>
    <w:p w14:paraId="5D51263F">
      <w:pPr>
        <w:wordWrap w:val="0"/>
        <w:spacing w:before="120" w:beforeLines="50" w:line="360" w:lineRule="auto"/>
        <w:ind w:left="705" w:leftChars="202" w:right="-57" w:rightChars="-27" w:hanging="281" w:hangingChars="134"/>
        <w:jc w:val="left"/>
        <w:rPr>
          <w:rFonts w:hint="eastAsia" w:ascii="宋体" w:hAnsi="宋体" w:eastAsia="宋体" w:cs="Times New Roman"/>
          <w:kern w:val="0"/>
          <w:sz w:val="24"/>
          <w:szCs w:val="21"/>
        </w:rPr>
      </w:pPr>
      <w:r>
        <w:rPr>
          <w:rFonts w:hint="eastAsia" w:ascii="宋体" w:hAnsi="宋体" w:eastAsia="宋体" w:cs="宋体"/>
          <w:szCs w:val="18"/>
          <w:lang w:bidi="ar"/>
        </w:rPr>
        <w:t>注：</w:t>
      </w:r>
    </w:p>
    <w:p w14:paraId="316177A3">
      <w:pPr>
        <w:wordWrap w:val="0"/>
        <w:spacing w:before="120" w:beforeLines="50" w:line="360" w:lineRule="auto"/>
        <w:ind w:left="705" w:leftChars="202" w:right="-57" w:rightChars="-27" w:hanging="281" w:hangingChars="134"/>
        <w:jc w:val="left"/>
        <w:rPr>
          <w:rFonts w:hint="eastAsia" w:ascii="宋体" w:hAnsi="宋体" w:eastAsia="宋体" w:cs="Times New Roman"/>
          <w:kern w:val="0"/>
          <w:sz w:val="24"/>
          <w:szCs w:val="21"/>
        </w:rPr>
      </w:pPr>
      <w:r>
        <w:rPr>
          <w:rFonts w:ascii="宋体" w:hAnsi="宋体" w:eastAsia="宋体" w:cs="Times New Roman"/>
          <w:szCs w:val="21"/>
          <w:lang w:bidi="ar"/>
        </w:rPr>
        <w:t xml:space="preserve">1. </w:t>
      </w:r>
      <w:r>
        <w:rPr>
          <w:rFonts w:hint="eastAsia" w:ascii="宋体" w:hAnsi="宋体" w:eastAsia="宋体" w:cs="宋体"/>
          <w:szCs w:val="21"/>
          <w:lang w:bidi="ar"/>
        </w:rPr>
        <w:t>项目按照时间顺序排列。</w:t>
      </w:r>
    </w:p>
    <w:p w14:paraId="69D943F2">
      <w:pPr>
        <w:wordWrap w:val="0"/>
        <w:spacing w:before="120" w:beforeLines="50" w:line="360" w:lineRule="auto"/>
        <w:ind w:left="705" w:leftChars="202" w:right="-57" w:rightChars="-27" w:hanging="281" w:hangingChars="134"/>
        <w:jc w:val="left"/>
        <w:rPr>
          <w:rFonts w:hint="eastAsia" w:ascii="宋体" w:hAnsi="宋体" w:eastAsia="宋体" w:cs="Times New Roman"/>
          <w:kern w:val="0"/>
          <w:sz w:val="24"/>
          <w:szCs w:val="21"/>
        </w:rPr>
      </w:pPr>
      <w:r>
        <w:rPr>
          <w:rFonts w:ascii="宋体" w:hAnsi="宋体" w:eastAsia="宋体" w:cs="Times New Roman"/>
          <w:szCs w:val="21"/>
          <w:lang w:bidi="ar"/>
        </w:rPr>
        <w:t xml:space="preserve">2. </w:t>
      </w:r>
      <w:r>
        <w:rPr>
          <w:rFonts w:hint="eastAsia" w:ascii="宋体" w:hAnsi="宋体" w:eastAsia="宋体" w:cs="宋体"/>
          <w:szCs w:val="21"/>
          <w:lang w:bidi="ar"/>
        </w:rPr>
        <w:t>投标人须按招标文件要求提供相应的</w:t>
      </w:r>
      <w:r>
        <w:rPr>
          <w:rFonts w:hint="eastAsia" w:ascii="宋体" w:hAnsi="宋体" w:eastAsia="宋体" w:cs="宋体"/>
          <w:szCs w:val="24"/>
          <w:lang w:bidi="ar"/>
        </w:rPr>
        <w:t>业绩证明材料</w:t>
      </w:r>
      <w:r>
        <w:rPr>
          <w:rFonts w:hint="eastAsia" w:ascii="宋体" w:hAnsi="宋体" w:eastAsia="宋体" w:cs="宋体"/>
          <w:szCs w:val="21"/>
          <w:lang w:bidi="ar"/>
        </w:rPr>
        <w:t>。</w:t>
      </w:r>
    </w:p>
    <w:p w14:paraId="54FBEE7D">
      <w:pPr>
        <w:wordWrap w:val="0"/>
        <w:spacing w:before="120" w:beforeLines="50" w:line="360" w:lineRule="auto"/>
        <w:ind w:right="-57" w:rightChars="-27"/>
        <w:rPr>
          <w:rFonts w:hint="eastAsia" w:ascii="宋体" w:hAnsi="宋体" w:eastAsia="宋体" w:cs="Times New Roman"/>
          <w:kern w:val="0"/>
          <w:sz w:val="24"/>
          <w:szCs w:val="24"/>
        </w:rPr>
      </w:pPr>
    </w:p>
    <w:p w14:paraId="4FAE5B4B">
      <w:pPr>
        <w:wordWrap w:val="0"/>
        <w:spacing w:before="120" w:beforeLines="50" w:line="360" w:lineRule="auto"/>
        <w:ind w:left="479" w:leftChars="220" w:right="-57" w:rightChars="-27" w:hanging="17"/>
        <w:rPr>
          <w:rFonts w:hint="eastAsia" w:ascii="宋体" w:hAnsi="宋体" w:eastAsia="宋体" w:cs="Times New Roman"/>
          <w:kern w:val="0"/>
          <w:sz w:val="24"/>
          <w:szCs w:val="24"/>
        </w:rPr>
      </w:pPr>
      <w:r>
        <w:rPr>
          <w:rFonts w:hint="eastAsia" w:ascii="宋体" w:hAnsi="宋体" w:eastAsia="宋体" w:cs="宋体"/>
          <w:szCs w:val="24"/>
          <w:lang w:bidi="ar"/>
        </w:rPr>
        <w:t>投标人：（公章）</w:t>
      </w:r>
      <w:r>
        <w:rPr>
          <w:rFonts w:ascii="宋体" w:hAnsi="宋体" w:eastAsia="宋体" w:cs="Times New Roman"/>
          <w:szCs w:val="24"/>
          <w:lang w:bidi="ar"/>
        </w:rPr>
        <w:t xml:space="preserve"> </w:t>
      </w:r>
    </w:p>
    <w:p w14:paraId="74A5FF89">
      <w:pPr>
        <w:wordWrap w:val="0"/>
        <w:spacing w:before="120" w:beforeLines="50" w:line="360" w:lineRule="auto"/>
        <w:ind w:left="478" w:leftChars="227" w:right="-57" w:rightChars="-27" w:hanging="1"/>
        <w:rPr>
          <w:rFonts w:hint="eastAsia" w:ascii="宋体" w:hAnsi="宋体" w:eastAsia="宋体" w:cs="Times New Roman"/>
          <w:kern w:val="0"/>
          <w:sz w:val="24"/>
          <w:szCs w:val="24"/>
        </w:rPr>
      </w:pPr>
      <w:r>
        <w:rPr>
          <w:rFonts w:hint="eastAsia" w:ascii="宋体" w:hAnsi="宋体" w:eastAsia="宋体" w:cs="宋体"/>
          <w:szCs w:val="24"/>
          <w:lang w:bidi="ar"/>
        </w:rPr>
        <w:t>法定代表人或其委托代理人：（签字或盖章）</w:t>
      </w:r>
    </w:p>
    <w:p w14:paraId="65037AF2">
      <w:pPr>
        <w:wordWrap w:val="0"/>
        <w:spacing w:before="120" w:beforeLines="50" w:line="360" w:lineRule="auto"/>
        <w:ind w:left="463" w:leftChars="220" w:right="-57" w:rightChars="-27" w:hanging="1"/>
        <w:rPr>
          <w:rFonts w:hint="eastAsia" w:ascii="宋体" w:hAnsi="宋体" w:eastAsia="宋体" w:cs="宋体"/>
          <w:szCs w:val="24"/>
          <w:lang w:bidi="ar"/>
        </w:rPr>
      </w:pPr>
      <w:r>
        <w:rPr>
          <w:rFonts w:hint="eastAsia" w:ascii="宋体" w:hAnsi="宋体" w:eastAsia="宋体" w:cs="宋体"/>
          <w:szCs w:val="24"/>
          <w:lang w:bidi="ar"/>
        </w:rPr>
        <w:t>日</w:t>
      </w:r>
      <w:r>
        <w:rPr>
          <w:rFonts w:ascii="宋体" w:hAnsi="宋体" w:eastAsia="宋体" w:cs="Times New Roman"/>
          <w:szCs w:val="24"/>
          <w:lang w:bidi="ar"/>
        </w:rPr>
        <w:t xml:space="preserve">    </w:t>
      </w:r>
      <w:r>
        <w:rPr>
          <w:rFonts w:hint="eastAsia" w:ascii="宋体" w:hAnsi="宋体" w:eastAsia="宋体" w:cs="宋体"/>
          <w:szCs w:val="24"/>
          <w:lang w:bidi="ar"/>
        </w:rPr>
        <w:t>期：</w:t>
      </w:r>
    </w:p>
    <w:p w14:paraId="23B15F3E">
      <w:pPr>
        <w:keepNext/>
        <w:keepLines/>
        <w:wordWrap w:val="0"/>
        <w:spacing w:line="360" w:lineRule="auto"/>
        <w:jc w:val="left"/>
        <w:outlineLvl w:val="3"/>
        <w:rPr>
          <w:rFonts w:hint="eastAsia" w:ascii="宋体" w:hAnsi="宋体" w:eastAsia="宋体" w:cs="Times New Roman"/>
          <w:b/>
          <w:szCs w:val="28"/>
        </w:rPr>
      </w:pPr>
      <w:r>
        <w:rPr>
          <w:rFonts w:ascii="Times New Roman" w:hAnsi="Times New Roman" w:eastAsia="宋体" w:cs="Times New Roman"/>
          <w:szCs w:val="24"/>
          <w:lang w:bidi="ar"/>
        </w:rPr>
        <w:br w:type="page"/>
      </w:r>
      <w:r>
        <w:rPr>
          <w:rFonts w:hint="eastAsia" w:ascii="宋体" w:hAnsi="宋体" w:eastAsia="宋体" w:cs="Times New Roman"/>
          <w:b/>
          <w:szCs w:val="28"/>
        </w:rPr>
        <w:t>格式B3：投标人</w:t>
      </w:r>
      <w:r>
        <w:rPr>
          <w:rFonts w:ascii="宋体" w:hAnsi="宋体" w:eastAsia="宋体" w:cs="Times New Roman"/>
          <w:b/>
          <w:szCs w:val="28"/>
        </w:rPr>
        <w:t>组织机构框图</w:t>
      </w:r>
      <w:r>
        <w:rPr>
          <w:rFonts w:hint="eastAsia" w:ascii="宋体" w:hAnsi="宋体" w:eastAsia="宋体" w:cs="Times New Roman"/>
          <w:b/>
          <w:szCs w:val="28"/>
        </w:rPr>
        <w:t>格式</w:t>
      </w:r>
    </w:p>
    <w:p w14:paraId="095FB533">
      <w:pPr>
        <w:wordWrap w:val="0"/>
        <w:spacing w:line="480" w:lineRule="auto"/>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投标人</w:t>
      </w:r>
      <w:r>
        <w:rPr>
          <w:rFonts w:ascii="宋体" w:hAnsi="宋体" w:eastAsia="宋体" w:cs="Times New Roman"/>
          <w:b/>
          <w:bCs/>
          <w:kern w:val="0"/>
          <w:sz w:val="28"/>
          <w:szCs w:val="28"/>
        </w:rPr>
        <w:t>组织机构框图</w:t>
      </w:r>
    </w:p>
    <w:tbl>
      <w:tblPr>
        <w:tblStyle w:val="90"/>
        <w:tblW w:w="86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07"/>
      </w:tblGrid>
      <w:tr w14:paraId="571C32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64" w:hRule="atLeast"/>
          <w:jc w:val="center"/>
        </w:trPr>
        <w:tc>
          <w:tcPr>
            <w:tcW w:w="8607" w:type="dxa"/>
          </w:tcPr>
          <w:p w14:paraId="3D78B349">
            <w:pPr>
              <w:wordWrap w:val="0"/>
              <w:spacing w:line="360" w:lineRule="auto"/>
              <w:rPr>
                <w:rFonts w:hint="eastAsia" w:ascii="宋体" w:hAnsi="宋体" w:eastAsia="宋体" w:cs="Times New Roman"/>
                <w:kern w:val="0"/>
                <w:szCs w:val="21"/>
              </w:rPr>
            </w:pPr>
          </w:p>
          <w:p w14:paraId="693B1B18">
            <w:pPr>
              <w:wordWrap w:val="0"/>
              <w:spacing w:line="360" w:lineRule="auto"/>
              <w:rPr>
                <w:rFonts w:hint="eastAsia" w:ascii="宋体" w:hAnsi="宋体" w:eastAsia="宋体" w:cs="Times New Roman"/>
                <w:kern w:val="0"/>
                <w:szCs w:val="21"/>
              </w:rPr>
            </w:pPr>
          </w:p>
          <w:p w14:paraId="6CFA63E5">
            <w:pPr>
              <w:wordWrap w:val="0"/>
              <w:spacing w:line="360" w:lineRule="auto"/>
              <w:jc w:val="center"/>
              <w:rPr>
                <w:rFonts w:hint="eastAsia"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母子公司关系框图</w:t>
            </w:r>
          </w:p>
          <w:p w14:paraId="772F3D87">
            <w:pPr>
              <w:wordWrap w:val="0"/>
              <w:spacing w:line="360" w:lineRule="auto"/>
              <w:jc w:val="center"/>
              <w:rPr>
                <w:rFonts w:hint="eastAsia" w:ascii="宋体" w:hAnsi="宋体" w:eastAsia="宋体" w:cs="Times New Roman"/>
                <w:kern w:val="0"/>
                <w:szCs w:val="21"/>
              </w:rPr>
            </w:pPr>
          </w:p>
          <w:p w14:paraId="5B20EDEB">
            <w:pPr>
              <w:wordWrap w:val="0"/>
              <w:spacing w:line="360" w:lineRule="auto"/>
              <w:rPr>
                <w:rFonts w:hint="eastAsia" w:ascii="宋体" w:hAnsi="宋体" w:eastAsia="宋体" w:cs="Times New Roman"/>
                <w:kern w:val="0"/>
                <w:szCs w:val="21"/>
              </w:rPr>
            </w:pPr>
          </w:p>
          <w:p w14:paraId="4DF11079">
            <w:pPr>
              <w:wordWrap w:val="0"/>
              <w:spacing w:line="360" w:lineRule="auto"/>
              <w:jc w:val="center"/>
              <w:rPr>
                <w:rFonts w:hint="eastAsia" w:ascii="宋体" w:hAnsi="宋体" w:eastAsia="宋体" w:cs="Times New Roman"/>
                <w:kern w:val="0"/>
                <w:szCs w:val="21"/>
              </w:rPr>
            </w:pPr>
          </w:p>
          <w:p w14:paraId="5C1B6153">
            <w:pPr>
              <w:wordWrap w:val="0"/>
              <w:spacing w:line="360" w:lineRule="auto"/>
              <w:jc w:val="center"/>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2</w:t>
            </w:r>
            <w:r>
              <w:rPr>
                <w:rFonts w:ascii="宋体" w:hAnsi="宋体" w:eastAsia="宋体" w:cs="Times New Roman"/>
                <w:kern w:val="0"/>
                <w:szCs w:val="21"/>
              </w:rPr>
              <w:t>）</w:t>
            </w:r>
            <w:r>
              <w:rPr>
                <w:rFonts w:hint="eastAsia" w:ascii="宋体" w:hAnsi="宋体" w:eastAsia="宋体" w:cs="Times New Roman"/>
                <w:kern w:val="0"/>
                <w:szCs w:val="21"/>
              </w:rPr>
              <w:t>公司</w:t>
            </w:r>
            <w:r>
              <w:rPr>
                <w:rFonts w:ascii="宋体" w:hAnsi="宋体" w:eastAsia="宋体" w:cs="Times New Roman"/>
                <w:kern w:val="0"/>
                <w:szCs w:val="21"/>
              </w:rPr>
              <w:t>组织机构框图</w:t>
            </w:r>
          </w:p>
          <w:p w14:paraId="4B9CDD5E">
            <w:pPr>
              <w:wordWrap w:val="0"/>
              <w:spacing w:line="360" w:lineRule="auto"/>
              <w:jc w:val="center"/>
              <w:rPr>
                <w:rFonts w:hint="eastAsia" w:ascii="宋体" w:hAnsi="宋体" w:eastAsia="宋体" w:cs="Times New Roman"/>
                <w:kern w:val="0"/>
                <w:szCs w:val="21"/>
              </w:rPr>
            </w:pPr>
          </w:p>
          <w:p w14:paraId="638D167E">
            <w:pPr>
              <w:wordWrap w:val="0"/>
              <w:spacing w:line="360" w:lineRule="auto"/>
              <w:jc w:val="center"/>
              <w:rPr>
                <w:rFonts w:hint="eastAsia" w:ascii="宋体" w:hAnsi="宋体" w:eastAsia="宋体" w:cs="Times New Roman"/>
                <w:kern w:val="0"/>
                <w:szCs w:val="21"/>
              </w:rPr>
            </w:pPr>
          </w:p>
          <w:p w14:paraId="71E71A2D">
            <w:pPr>
              <w:wordWrap w:val="0"/>
              <w:spacing w:line="360" w:lineRule="auto"/>
              <w:jc w:val="center"/>
              <w:rPr>
                <w:rFonts w:hint="eastAsia" w:ascii="宋体" w:hAnsi="宋体" w:eastAsia="宋体" w:cs="Times New Roman"/>
                <w:kern w:val="0"/>
                <w:szCs w:val="21"/>
              </w:rPr>
            </w:pPr>
          </w:p>
          <w:p w14:paraId="1146CF8D">
            <w:pPr>
              <w:wordWrap w:val="0"/>
              <w:spacing w:line="360" w:lineRule="auto"/>
              <w:jc w:val="center"/>
              <w:rPr>
                <w:rFonts w:hint="eastAsia" w:ascii="宋体" w:hAnsi="宋体" w:eastAsia="宋体" w:cs="Times New Roman"/>
                <w:kern w:val="0"/>
                <w:szCs w:val="21"/>
              </w:rPr>
            </w:pPr>
          </w:p>
          <w:p w14:paraId="7511074B">
            <w:pPr>
              <w:wordWrap w:val="0"/>
              <w:spacing w:line="360" w:lineRule="auto"/>
              <w:jc w:val="center"/>
              <w:rPr>
                <w:rFonts w:hint="eastAsia" w:ascii="宋体" w:hAnsi="宋体" w:eastAsia="宋体" w:cs="Times New Roman"/>
                <w:kern w:val="0"/>
                <w:szCs w:val="21"/>
              </w:rPr>
            </w:pPr>
          </w:p>
          <w:p w14:paraId="78A7087E">
            <w:pPr>
              <w:wordWrap w:val="0"/>
              <w:spacing w:line="360" w:lineRule="auto"/>
              <w:jc w:val="center"/>
              <w:rPr>
                <w:rFonts w:hint="eastAsia"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3</w:t>
            </w:r>
            <w:r>
              <w:rPr>
                <w:rFonts w:ascii="宋体" w:hAnsi="宋体" w:eastAsia="宋体" w:cs="Times New Roman"/>
                <w:kern w:val="0"/>
                <w:szCs w:val="21"/>
              </w:rPr>
              <w:t>）项目组织机构图</w:t>
            </w:r>
          </w:p>
          <w:p w14:paraId="33DFAF0B">
            <w:pPr>
              <w:wordWrap w:val="0"/>
              <w:spacing w:line="360" w:lineRule="auto"/>
              <w:rPr>
                <w:rFonts w:hint="eastAsia" w:ascii="宋体" w:hAnsi="宋体" w:eastAsia="宋体" w:cs="Times New Roman"/>
                <w:kern w:val="0"/>
                <w:szCs w:val="21"/>
              </w:rPr>
            </w:pPr>
          </w:p>
          <w:p w14:paraId="73C99CED">
            <w:pPr>
              <w:wordWrap w:val="0"/>
              <w:spacing w:line="360" w:lineRule="auto"/>
              <w:jc w:val="center"/>
              <w:rPr>
                <w:rFonts w:hint="eastAsia" w:ascii="宋体" w:hAnsi="宋体" w:eastAsia="宋体" w:cs="Times New Roman"/>
                <w:kern w:val="0"/>
                <w:szCs w:val="21"/>
              </w:rPr>
            </w:pPr>
          </w:p>
        </w:tc>
      </w:tr>
    </w:tbl>
    <w:p w14:paraId="6A574C28">
      <w:pPr>
        <w:wordWrap w:val="0"/>
        <w:spacing w:line="360" w:lineRule="auto"/>
        <w:rPr>
          <w:rFonts w:hint="eastAsia" w:ascii="宋体" w:hAnsi="宋体" w:eastAsia="宋体" w:cs="Times New Roman"/>
          <w:kern w:val="0"/>
          <w:sz w:val="24"/>
          <w:szCs w:val="24"/>
        </w:rPr>
      </w:pPr>
    </w:p>
    <w:p w14:paraId="58F4F399">
      <w:pPr>
        <w:wordWrap w:val="0"/>
        <w:spacing w:before="120" w:beforeLines="50" w:line="360" w:lineRule="auto"/>
        <w:ind w:left="210" w:leftChars="100"/>
        <w:jc w:val="left"/>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投标人：（公章）</w:t>
      </w:r>
      <w:r>
        <w:rPr>
          <w:rFonts w:ascii="Times New Roman" w:hAnsi="Times New Roman" w:eastAsia="宋体" w:cs="Times New Roman"/>
          <w:szCs w:val="24"/>
          <w:lang w:bidi="ar"/>
        </w:rPr>
        <w:t xml:space="preserve"> </w:t>
      </w:r>
    </w:p>
    <w:p w14:paraId="52A376C0">
      <w:pPr>
        <w:wordWrap w:val="0"/>
        <w:spacing w:before="120" w:beforeLines="50" w:line="360" w:lineRule="auto"/>
        <w:ind w:left="210" w:leftChars="100"/>
        <w:jc w:val="left"/>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法定代表人或其委托代理人：（签字或盖章）</w:t>
      </w:r>
    </w:p>
    <w:p w14:paraId="5B87E6C1">
      <w:pPr>
        <w:wordWrap w:val="0"/>
        <w:spacing w:before="120" w:beforeLines="50" w:line="360" w:lineRule="auto"/>
        <w:ind w:left="210" w:leftChars="100"/>
        <w:jc w:val="left"/>
        <w:rPr>
          <w:rFonts w:ascii="Times New Roman" w:hAnsi="Times New Roman" w:eastAsia="宋体" w:cs="Times New Roman"/>
          <w:kern w:val="0"/>
          <w:sz w:val="24"/>
          <w:szCs w:val="24"/>
        </w:rPr>
      </w:pPr>
      <w:r>
        <w:rPr>
          <w:rFonts w:hint="eastAsia" w:ascii="Times New Roman" w:hAnsi="Times New Roman" w:eastAsia="宋体" w:cs="宋体"/>
          <w:szCs w:val="24"/>
          <w:lang w:bidi="ar"/>
        </w:rPr>
        <w:t>日</w:t>
      </w:r>
      <w:r>
        <w:rPr>
          <w:rFonts w:ascii="Times New Roman" w:hAnsi="Times New Roman" w:eastAsia="宋体" w:cs="Times New Roman"/>
          <w:szCs w:val="24"/>
          <w:lang w:bidi="ar"/>
        </w:rPr>
        <w:t xml:space="preserve">  </w:t>
      </w:r>
      <w:r>
        <w:rPr>
          <w:rFonts w:hint="eastAsia" w:ascii="Times New Roman" w:hAnsi="Times New Roman" w:eastAsia="宋体" w:cs="宋体"/>
          <w:szCs w:val="24"/>
          <w:lang w:bidi="ar"/>
        </w:rPr>
        <w:t>期：</w:t>
      </w:r>
    </w:p>
    <w:p w14:paraId="6D550273">
      <w:pPr>
        <w:wordWrap w:val="0"/>
        <w:spacing w:after="120"/>
        <w:rPr>
          <w:rFonts w:ascii="Times New Roman" w:hAnsi="Times New Roman" w:eastAsia="宋体" w:cs="Times New Roman"/>
          <w:szCs w:val="24"/>
          <w:lang w:bidi="ar"/>
        </w:rPr>
      </w:pPr>
    </w:p>
    <w:p w14:paraId="7EA50259">
      <w:pPr>
        <w:keepNext/>
        <w:keepLines/>
        <w:widowControl/>
        <w:wordWrap w:val="0"/>
        <w:spacing w:line="360" w:lineRule="auto"/>
        <w:jc w:val="left"/>
        <w:outlineLvl w:val="3"/>
        <w:rPr>
          <w:rFonts w:hint="eastAsia" w:ascii="宋体" w:hAnsi="宋体" w:eastAsia="宋体" w:cs="Times New Roman"/>
          <w:b/>
          <w:szCs w:val="21"/>
        </w:rPr>
      </w:pPr>
      <w:r>
        <w:rPr>
          <w:rFonts w:ascii="Times New Roman" w:hAnsi="Times New Roman" w:eastAsia="宋体" w:cs="Times New Roman"/>
          <w:szCs w:val="24"/>
          <w:lang w:bidi="ar"/>
        </w:rPr>
        <w:br w:type="page"/>
      </w:r>
      <w:r>
        <w:rPr>
          <w:rFonts w:hint="eastAsia" w:ascii="宋体" w:hAnsi="宋体" w:eastAsia="宋体" w:cs="Times New Roman"/>
          <w:b/>
          <w:szCs w:val="28"/>
        </w:rPr>
        <w:t>格式B4：拟投入本项目人员情况表格式</w:t>
      </w:r>
    </w:p>
    <w:p w14:paraId="69AB31C2">
      <w:pPr>
        <w:wordWrap w:val="0"/>
        <w:spacing w:before="120" w:beforeLines="50" w:line="360" w:lineRule="auto"/>
        <w:ind w:left="709" w:right="-57" w:rightChars="-27" w:hanging="709"/>
        <w:jc w:val="center"/>
        <w:rPr>
          <w:rFonts w:ascii="Times New Roman" w:hAnsi="Times New Roman" w:eastAsia="宋体" w:cs="宋体"/>
          <w:sz w:val="24"/>
          <w:szCs w:val="24"/>
          <w:lang w:bidi="ar"/>
        </w:rPr>
      </w:pPr>
      <w:r>
        <w:rPr>
          <w:rFonts w:hint="eastAsia" w:ascii="Times New Roman" w:hAnsi="Times New Roman" w:eastAsia="宋体" w:cs="宋体"/>
          <w:sz w:val="24"/>
          <w:szCs w:val="24"/>
          <w:lang w:bidi="ar"/>
        </w:rPr>
        <w:t>拟投入本项目人员情况表</w:t>
      </w:r>
    </w:p>
    <w:p w14:paraId="623050F4">
      <w:pPr>
        <w:wordWrap w:val="0"/>
        <w:spacing w:before="120" w:beforeLines="50" w:line="360" w:lineRule="auto"/>
        <w:ind w:left="709" w:right="-57" w:rightChars="-27" w:hanging="709"/>
        <w:rPr>
          <w:rFonts w:ascii="Times New Roman" w:hAnsi="Times New Roman" w:eastAsia="Times New Roman" w:cs="Times New Roman"/>
          <w:b/>
          <w:kern w:val="0"/>
          <w:sz w:val="24"/>
          <w:szCs w:val="21"/>
        </w:rPr>
      </w:pPr>
      <w:r>
        <w:rPr>
          <w:rFonts w:hint="eastAsia" w:ascii="Times New Roman" w:hAnsi="Times New Roman" w:eastAsia="宋体" w:cs="宋体"/>
          <w:szCs w:val="21"/>
          <w:lang w:bidi="ar"/>
        </w:rPr>
        <w:t>项目名称：</w:t>
      </w:r>
    </w:p>
    <w:tbl>
      <w:tblPr>
        <w:tblStyle w:val="9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91"/>
        <w:gridCol w:w="695"/>
        <w:gridCol w:w="691"/>
        <w:gridCol w:w="693"/>
        <w:gridCol w:w="893"/>
        <w:gridCol w:w="1119"/>
        <w:gridCol w:w="1138"/>
        <w:gridCol w:w="1065"/>
        <w:gridCol w:w="637"/>
        <w:gridCol w:w="679"/>
        <w:gridCol w:w="538"/>
      </w:tblGrid>
      <w:tr w14:paraId="3ADA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6" w:type="dxa"/>
            <w:vAlign w:val="center"/>
          </w:tcPr>
          <w:p w14:paraId="519846A1">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序号</w:t>
            </w:r>
          </w:p>
        </w:tc>
        <w:tc>
          <w:tcPr>
            <w:tcW w:w="691" w:type="dxa"/>
            <w:vAlign w:val="center"/>
          </w:tcPr>
          <w:p w14:paraId="6ED36616">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姓名</w:t>
            </w:r>
          </w:p>
        </w:tc>
        <w:tc>
          <w:tcPr>
            <w:tcW w:w="695" w:type="dxa"/>
            <w:vAlign w:val="center"/>
          </w:tcPr>
          <w:p w14:paraId="6FD96E11">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性别</w:t>
            </w:r>
          </w:p>
        </w:tc>
        <w:tc>
          <w:tcPr>
            <w:tcW w:w="691" w:type="dxa"/>
            <w:vAlign w:val="center"/>
          </w:tcPr>
          <w:p w14:paraId="40F104E3">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学历</w:t>
            </w:r>
          </w:p>
        </w:tc>
        <w:tc>
          <w:tcPr>
            <w:tcW w:w="693" w:type="dxa"/>
            <w:vAlign w:val="center"/>
          </w:tcPr>
          <w:p w14:paraId="0580800A">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专业</w:t>
            </w:r>
          </w:p>
        </w:tc>
        <w:tc>
          <w:tcPr>
            <w:tcW w:w="893" w:type="dxa"/>
            <w:vAlign w:val="center"/>
          </w:tcPr>
          <w:p w14:paraId="0647970D">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拟在本项目中的职务</w:t>
            </w:r>
          </w:p>
        </w:tc>
        <w:tc>
          <w:tcPr>
            <w:tcW w:w="1119" w:type="dxa"/>
            <w:vAlign w:val="center"/>
          </w:tcPr>
          <w:p w14:paraId="70A91F1C">
            <w:pPr>
              <w:wordWrap w:val="0"/>
              <w:snapToGrid w:val="0"/>
              <w:spacing w:before="50" w:after="120" w:afterLines="50"/>
              <w:jc w:val="center"/>
              <w:rPr>
                <w:rFonts w:hint="eastAsia" w:ascii="宋体" w:hAnsi="宋体" w:eastAsia="宋体" w:cs="Times New Roman"/>
                <w:szCs w:val="21"/>
              </w:rPr>
            </w:pPr>
            <w:r>
              <w:rPr>
                <w:rFonts w:hint="eastAsia" w:ascii="Times New Roman" w:hAnsi="宋体" w:eastAsia="宋体" w:cs="Times New Roman"/>
                <w:szCs w:val="21"/>
              </w:rPr>
              <w:t>职称或职业资格</w:t>
            </w:r>
          </w:p>
        </w:tc>
        <w:tc>
          <w:tcPr>
            <w:tcW w:w="1138" w:type="dxa"/>
            <w:vAlign w:val="center"/>
          </w:tcPr>
          <w:p w14:paraId="60996185">
            <w:pPr>
              <w:wordWrap w:val="0"/>
              <w:snapToGrid w:val="0"/>
              <w:spacing w:before="50" w:after="120" w:afterLines="50"/>
              <w:jc w:val="center"/>
              <w:rPr>
                <w:rFonts w:hint="eastAsia" w:ascii="宋体" w:hAnsi="宋体" w:eastAsia="宋体" w:cs="Times New Roman"/>
                <w:szCs w:val="21"/>
              </w:rPr>
            </w:pPr>
            <w:r>
              <w:rPr>
                <w:rFonts w:hint="eastAsia" w:ascii="Times New Roman" w:hAnsi="宋体" w:eastAsia="宋体" w:cs="Times New Roman"/>
                <w:szCs w:val="21"/>
              </w:rPr>
              <w:t>工作经验</w:t>
            </w:r>
          </w:p>
        </w:tc>
        <w:tc>
          <w:tcPr>
            <w:tcW w:w="1065" w:type="dxa"/>
            <w:vAlign w:val="center"/>
          </w:tcPr>
          <w:p w14:paraId="59BE2A56">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637" w:type="dxa"/>
            <w:vAlign w:val="center"/>
          </w:tcPr>
          <w:p w14:paraId="0D7EA2C9">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联系电话</w:t>
            </w:r>
          </w:p>
        </w:tc>
        <w:tc>
          <w:tcPr>
            <w:tcW w:w="679" w:type="dxa"/>
            <w:vAlign w:val="center"/>
          </w:tcPr>
          <w:p w14:paraId="1D5EF4E2">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是否驻场</w:t>
            </w:r>
          </w:p>
        </w:tc>
        <w:tc>
          <w:tcPr>
            <w:tcW w:w="538" w:type="dxa"/>
            <w:vAlign w:val="center"/>
          </w:tcPr>
          <w:p w14:paraId="79105878">
            <w:pPr>
              <w:wordWrap w:val="0"/>
              <w:snapToGrid w:val="0"/>
              <w:spacing w:before="50" w:after="120" w:afterLines="50"/>
              <w:jc w:val="center"/>
              <w:rPr>
                <w:rFonts w:hint="eastAsia" w:ascii="宋体" w:hAnsi="宋体" w:eastAsia="宋体" w:cs="Times New Roman"/>
                <w:szCs w:val="21"/>
              </w:rPr>
            </w:pPr>
            <w:r>
              <w:rPr>
                <w:rFonts w:hint="eastAsia" w:ascii="宋体" w:hAnsi="宋体" w:eastAsia="宋体" w:cs="Times New Roman"/>
                <w:szCs w:val="21"/>
              </w:rPr>
              <w:t>备注</w:t>
            </w:r>
          </w:p>
        </w:tc>
      </w:tr>
      <w:tr w14:paraId="5E8E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Align w:val="center"/>
          </w:tcPr>
          <w:p w14:paraId="2C70C32E">
            <w:pPr>
              <w:wordWrap w:val="0"/>
              <w:snapToGrid w:val="0"/>
              <w:spacing w:before="50" w:after="120" w:afterLines="50"/>
              <w:jc w:val="center"/>
              <w:rPr>
                <w:rFonts w:hint="eastAsia" w:ascii="宋体" w:hAnsi="宋体" w:eastAsia="宋体" w:cs="Times New Roman"/>
                <w:szCs w:val="21"/>
              </w:rPr>
            </w:pPr>
          </w:p>
        </w:tc>
        <w:tc>
          <w:tcPr>
            <w:tcW w:w="691" w:type="dxa"/>
            <w:vAlign w:val="center"/>
          </w:tcPr>
          <w:p w14:paraId="2C445577">
            <w:pPr>
              <w:wordWrap w:val="0"/>
              <w:snapToGrid w:val="0"/>
              <w:spacing w:before="50" w:after="120" w:afterLines="50"/>
              <w:jc w:val="center"/>
              <w:rPr>
                <w:rFonts w:hint="eastAsia" w:ascii="宋体" w:hAnsi="宋体" w:eastAsia="宋体" w:cs="Times New Roman"/>
                <w:szCs w:val="21"/>
              </w:rPr>
            </w:pPr>
          </w:p>
        </w:tc>
        <w:tc>
          <w:tcPr>
            <w:tcW w:w="695" w:type="dxa"/>
            <w:vAlign w:val="center"/>
          </w:tcPr>
          <w:p w14:paraId="2A6BEF80">
            <w:pPr>
              <w:wordWrap w:val="0"/>
              <w:snapToGrid w:val="0"/>
              <w:spacing w:before="50" w:after="120" w:afterLines="50"/>
              <w:jc w:val="center"/>
              <w:rPr>
                <w:rFonts w:hint="eastAsia" w:ascii="宋体" w:hAnsi="宋体" w:eastAsia="宋体" w:cs="Times New Roman"/>
                <w:szCs w:val="21"/>
              </w:rPr>
            </w:pPr>
          </w:p>
        </w:tc>
        <w:tc>
          <w:tcPr>
            <w:tcW w:w="691" w:type="dxa"/>
            <w:vAlign w:val="center"/>
          </w:tcPr>
          <w:p w14:paraId="3886A389">
            <w:pPr>
              <w:wordWrap w:val="0"/>
              <w:snapToGrid w:val="0"/>
              <w:spacing w:before="50" w:after="120" w:afterLines="50"/>
              <w:jc w:val="center"/>
              <w:rPr>
                <w:rFonts w:hint="eastAsia" w:ascii="宋体" w:hAnsi="宋体" w:eastAsia="宋体" w:cs="Times New Roman"/>
                <w:szCs w:val="21"/>
              </w:rPr>
            </w:pPr>
          </w:p>
        </w:tc>
        <w:tc>
          <w:tcPr>
            <w:tcW w:w="693" w:type="dxa"/>
            <w:vAlign w:val="center"/>
          </w:tcPr>
          <w:p w14:paraId="16C14FCF">
            <w:pPr>
              <w:wordWrap w:val="0"/>
              <w:snapToGrid w:val="0"/>
              <w:spacing w:before="50" w:after="120" w:afterLines="50"/>
              <w:jc w:val="center"/>
              <w:rPr>
                <w:rFonts w:hint="eastAsia" w:ascii="宋体" w:hAnsi="宋体" w:eastAsia="宋体" w:cs="Times New Roman"/>
                <w:szCs w:val="21"/>
              </w:rPr>
            </w:pPr>
          </w:p>
        </w:tc>
        <w:tc>
          <w:tcPr>
            <w:tcW w:w="893" w:type="dxa"/>
            <w:vAlign w:val="center"/>
          </w:tcPr>
          <w:p w14:paraId="42CE60F8">
            <w:pPr>
              <w:wordWrap w:val="0"/>
              <w:snapToGrid w:val="0"/>
              <w:spacing w:before="50" w:after="120" w:afterLines="50"/>
              <w:jc w:val="center"/>
              <w:rPr>
                <w:rFonts w:hint="eastAsia" w:ascii="宋体" w:hAnsi="宋体" w:eastAsia="宋体" w:cs="Times New Roman"/>
                <w:szCs w:val="21"/>
              </w:rPr>
            </w:pPr>
          </w:p>
        </w:tc>
        <w:tc>
          <w:tcPr>
            <w:tcW w:w="1119" w:type="dxa"/>
            <w:vAlign w:val="center"/>
          </w:tcPr>
          <w:p w14:paraId="75148B8B">
            <w:pPr>
              <w:wordWrap w:val="0"/>
              <w:snapToGrid w:val="0"/>
              <w:spacing w:before="50" w:after="120" w:afterLines="50"/>
              <w:jc w:val="center"/>
              <w:rPr>
                <w:rFonts w:hint="eastAsia" w:ascii="宋体" w:hAnsi="宋体" w:eastAsia="宋体" w:cs="Times New Roman"/>
                <w:szCs w:val="21"/>
              </w:rPr>
            </w:pPr>
          </w:p>
        </w:tc>
        <w:tc>
          <w:tcPr>
            <w:tcW w:w="1138" w:type="dxa"/>
            <w:vAlign w:val="center"/>
          </w:tcPr>
          <w:p w14:paraId="5EA27ECC">
            <w:pPr>
              <w:wordWrap w:val="0"/>
              <w:snapToGrid w:val="0"/>
              <w:spacing w:before="50" w:after="120" w:afterLines="50"/>
              <w:jc w:val="center"/>
              <w:rPr>
                <w:rFonts w:hint="eastAsia" w:ascii="宋体" w:hAnsi="宋体" w:eastAsia="宋体" w:cs="Times New Roman"/>
                <w:szCs w:val="21"/>
              </w:rPr>
            </w:pPr>
          </w:p>
        </w:tc>
        <w:tc>
          <w:tcPr>
            <w:tcW w:w="1065" w:type="dxa"/>
            <w:vAlign w:val="center"/>
          </w:tcPr>
          <w:p w14:paraId="44A17AA9">
            <w:pPr>
              <w:wordWrap w:val="0"/>
              <w:snapToGrid w:val="0"/>
              <w:spacing w:before="50" w:after="120" w:afterLines="50"/>
              <w:jc w:val="center"/>
              <w:rPr>
                <w:rFonts w:hint="eastAsia" w:ascii="宋体" w:hAnsi="宋体" w:eastAsia="宋体" w:cs="Times New Roman"/>
                <w:szCs w:val="21"/>
              </w:rPr>
            </w:pPr>
          </w:p>
        </w:tc>
        <w:tc>
          <w:tcPr>
            <w:tcW w:w="637" w:type="dxa"/>
            <w:vAlign w:val="center"/>
          </w:tcPr>
          <w:p w14:paraId="4232C606">
            <w:pPr>
              <w:wordWrap w:val="0"/>
              <w:snapToGrid w:val="0"/>
              <w:spacing w:before="50" w:after="120" w:afterLines="50"/>
              <w:jc w:val="center"/>
              <w:rPr>
                <w:rFonts w:hint="eastAsia" w:ascii="宋体" w:hAnsi="宋体" w:eastAsia="宋体" w:cs="Times New Roman"/>
                <w:szCs w:val="21"/>
              </w:rPr>
            </w:pPr>
          </w:p>
        </w:tc>
        <w:tc>
          <w:tcPr>
            <w:tcW w:w="679" w:type="dxa"/>
            <w:vAlign w:val="center"/>
          </w:tcPr>
          <w:p w14:paraId="3F9AB5ED">
            <w:pPr>
              <w:wordWrap w:val="0"/>
              <w:snapToGrid w:val="0"/>
              <w:spacing w:before="50" w:after="120" w:afterLines="50"/>
              <w:jc w:val="center"/>
              <w:rPr>
                <w:rFonts w:hint="eastAsia" w:ascii="宋体" w:hAnsi="宋体" w:eastAsia="宋体" w:cs="Times New Roman"/>
                <w:szCs w:val="21"/>
              </w:rPr>
            </w:pPr>
          </w:p>
        </w:tc>
        <w:tc>
          <w:tcPr>
            <w:tcW w:w="538" w:type="dxa"/>
            <w:vAlign w:val="center"/>
          </w:tcPr>
          <w:p w14:paraId="52285D63">
            <w:pPr>
              <w:wordWrap w:val="0"/>
              <w:snapToGrid w:val="0"/>
              <w:spacing w:before="50" w:after="120" w:afterLines="50"/>
              <w:jc w:val="center"/>
              <w:rPr>
                <w:rFonts w:hint="eastAsia" w:ascii="宋体" w:hAnsi="宋体" w:eastAsia="宋体" w:cs="Times New Roman"/>
                <w:szCs w:val="21"/>
              </w:rPr>
            </w:pPr>
          </w:p>
        </w:tc>
      </w:tr>
      <w:tr w14:paraId="7F74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Align w:val="center"/>
          </w:tcPr>
          <w:p w14:paraId="1B7745F8">
            <w:pPr>
              <w:wordWrap w:val="0"/>
              <w:snapToGrid w:val="0"/>
              <w:spacing w:before="50" w:after="120" w:afterLines="50"/>
              <w:jc w:val="center"/>
              <w:rPr>
                <w:rFonts w:hint="eastAsia" w:ascii="宋体" w:hAnsi="宋体" w:eastAsia="宋体" w:cs="Times New Roman"/>
                <w:szCs w:val="21"/>
              </w:rPr>
            </w:pPr>
          </w:p>
        </w:tc>
        <w:tc>
          <w:tcPr>
            <w:tcW w:w="691" w:type="dxa"/>
            <w:vAlign w:val="center"/>
          </w:tcPr>
          <w:p w14:paraId="72D27017">
            <w:pPr>
              <w:wordWrap w:val="0"/>
              <w:snapToGrid w:val="0"/>
              <w:spacing w:before="50" w:after="120" w:afterLines="50"/>
              <w:jc w:val="center"/>
              <w:rPr>
                <w:rFonts w:hint="eastAsia" w:ascii="宋体" w:hAnsi="宋体" w:eastAsia="宋体" w:cs="Times New Roman"/>
                <w:szCs w:val="21"/>
              </w:rPr>
            </w:pPr>
          </w:p>
        </w:tc>
        <w:tc>
          <w:tcPr>
            <w:tcW w:w="695" w:type="dxa"/>
            <w:vAlign w:val="center"/>
          </w:tcPr>
          <w:p w14:paraId="0C1FCB6D">
            <w:pPr>
              <w:wordWrap w:val="0"/>
              <w:snapToGrid w:val="0"/>
              <w:spacing w:before="50" w:after="120" w:afterLines="50"/>
              <w:jc w:val="center"/>
              <w:rPr>
                <w:rFonts w:hint="eastAsia" w:ascii="宋体" w:hAnsi="宋体" w:eastAsia="宋体" w:cs="Times New Roman"/>
                <w:szCs w:val="21"/>
              </w:rPr>
            </w:pPr>
          </w:p>
        </w:tc>
        <w:tc>
          <w:tcPr>
            <w:tcW w:w="691" w:type="dxa"/>
            <w:vAlign w:val="center"/>
          </w:tcPr>
          <w:p w14:paraId="1A3D6F8F">
            <w:pPr>
              <w:wordWrap w:val="0"/>
              <w:snapToGrid w:val="0"/>
              <w:spacing w:before="50" w:after="120" w:afterLines="50"/>
              <w:jc w:val="center"/>
              <w:rPr>
                <w:rFonts w:hint="eastAsia" w:ascii="宋体" w:hAnsi="宋体" w:eastAsia="宋体" w:cs="Times New Roman"/>
                <w:szCs w:val="21"/>
              </w:rPr>
            </w:pPr>
          </w:p>
        </w:tc>
        <w:tc>
          <w:tcPr>
            <w:tcW w:w="693" w:type="dxa"/>
            <w:vAlign w:val="center"/>
          </w:tcPr>
          <w:p w14:paraId="4570BDC2">
            <w:pPr>
              <w:wordWrap w:val="0"/>
              <w:snapToGrid w:val="0"/>
              <w:spacing w:before="50" w:after="120" w:afterLines="50"/>
              <w:jc w:val="center"/>
              <w:rPr>
                <w:rFonts w:hint="eastAsia" w:ascii="宋体" w:hAnsi="宋体" w:eastAsia="宋体" w:cs="Times New Roman"/>
                <w:szCs w:val="21"/>
              </w:rPr>
            </w:pPr>
          </w:p>
        </w:tc>
        <w:tc>
          <w:tcPr>
            <w:tcW w:w="893" w:type="dxa"/>
            <w:vAlign w:val="center"/>
          </w:tcPr>
          <w:p w14:paraId="43CCC917">
            <w:pPr>
              <w:wordWrap w:val="0"/>
              <w:snapToGrid w:val="0"/>
              <w:spacing w:before="50" w:after="120" w:afterLines="50"/>
              <w:jc w:val="center"/>
              <w:rPr>
                <w:rFonts w:hint="eastAsia" w:ascii="宋体" w:hAnsi="宋体" w:eastAsia="宋体" w:cs="Times New Roman"/>
                <w:szCs w:val="21"/>
              </w:rPr>
            </w:pPr>
          </w:p>
        </w:tc>
        <w:tc>
          <w:tcPr>
            <w:tcW w:w="1119" w:type="dxa"/>
            <w:vAlign w:val="center"/>
          </w:tcPr>
          <w:p w14:paraId="18C17E74">
            <w:pPr>
              <w:wordWrap w:val="0"/>
              <w:snapToGrid w:val="0"/>
              <w:spacing w:before="50" w:after="120" w:afterLines="50"/>
              <w:jc w:val="center"/>
              <w:rPr>
                <w:rFonts w:hint="eastAsia" w:ascii="宋体" w:hAnsi="宋体" w:eastAsia="宋体" w:cs="Times New Roman"/>
                <w:szCs w:val="21"/>
              </w:rPr>
            </w:pPr>
          </w:p>
        </w:tc>
        <w:tc>
          <w:tcPr>
            <w:tcW w:w="1138" w:type="dxa"/>
            <w:vAlign w:val="center"/>
          </w:tcPr>
          <w:p w14:paraId="367CDC17">
            <w:pPr>
              <w:wordWrap w:val="0"/>
              <w:snapToGrid w:val="0"/>
              <w:spacing w:before="50" w:after="120" w:afterLines="50"/>
              <w:jc w:val="center"/>
              <w:rPr>
                <w:rFonts w:hint="eastAsia" w:ascii="宋体" w:hAnsi="宋体" w:eastAsia="宋体" w:cs="Times New Roman"/>
                <w:szCs w:val="21"/>
              </w:rPr>
            </w:pPr>
          </w:p>
        </w:tc>
        <w:tc>
          <w:tcPr>
            <w:tcW w:w="1065" w:type="dxa"/>
            <w:vAlign w:val="center"/>
          </w:tcPr>
          <w:p w14:paraId="3FF6385D">
            <w:pPr>
              <w:wordWrap w:val="0"/>
              <w:snapToGrid w:val="0"/>
              <w:spacing w:before="50" w:after="120" w:afterLines="50"/>
              <w:jc w:val="center"/>
              <w:rPr>
                <w:rFonts w:hint="eastAsia" w:ascii="宋体" w:hAnsi="宋体" w:eastAsia="宋体" w:cs="Times New Roman"/>
                <w:szCs w:val="21"/>
              </w:rPr>
            </w:pPr>
          </w:p>
        </w:tc>
        <w:tc>
          <w:tcPr>
            <w:tcW w:w="637" w:type="dxa"/>
            <w:vAlign w:val="center"/>
          </w:tcPr>
          <w:p w14:paraId="4E0FB428">
            <w:pPr>
              <w:wordWrap w:val="0"/>
              <w:snapToGrid w:val="0"/>
              <w:spacing w:before="50" w:after="120" w:afterLines="50"/>
              <w:jc w:val="center"/>
              <w:rPr>
                <w:rFonts w:hint="eastAsia" w:ascii="宋体" w:hAnsi="宋体" w:eastAsia="宋体" w:cs="Times New Roman"/>
                <w:szCs w:val="21"/>
              </w:rPr>
            </w:pPr>
          </w:p>
        </w:tc>
        <w:tc>
          <w:tcPr>
            <w:tcW w:w="679" w:type="dxa"/>
            <w:vAlign w:val="center"/>
          </w:tcPr>
          <w:p w14:paraId="28AAA9F4">
            <w:pPr>
              <w:wordWrap w:val="0"/>
              <w:snapToGrid w:val="0"/>
              <w:spacing w:before="50" w:after="120" w:afterLines="50"/>
              <w:jc w:val="center"/>
              <w:rPr>
                <w:rFonts w:hint="eastAsia" w:ascii="宋体" w:hAnsi="宋体" w:eastAsia="宋体" w:cs="Times New Roman"/>
                <w:szCs w:val="21"/>
              </w:rPr>
            </w:pPr>
          </w:p>
        </w:tc>
        <w:tc>
          <w:tcPr>
            <w:tcW w:w="538" w:type="dxa"/>
            <w:vAlign w:val="center"/>
          </w:tcPr>
          <w:p w14:paraId="60077F90">
            <w:pPr>
              <w:wordWrap w:val="0"/>
              <w:snapToGrid w:val="0"/>
              <w:spacing w:before="50" w:after="120" w:afterLines="50"/>
              <w:jc w:val="center"/>
              <w:rPr>
                <w:rFonts w:hint="eastAsia" w:ascii="宋体" w:hAnsi="宋体" w:eastAsia="宋体" w:cs="Times New Roman"/>
                <w:szCs w:val="21"/>
              </w:rPr>
            </w:pPr>
          </w:p>
        </w:tc>
      </w:tr>
      <w:tr w14:paraId="4F56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Align w:val="center"/>
          </w:tcPr>
          <w:p w14:paraId="7A8FE0CD">
            <w:pPr>
              <w:wordWrap w:val="0"/>
              <w:snapToGrid w:val="0"/>
              <w:spacing w:before="50" w:after="120" w:afterLines="50"/>
              <w:jc w:val="center"/>
              <w:rPr>
                <w:rFonts w:hint="eastAsia" w:ascii="宋体" w:hAnsi="宋体" w:eastAsia="宋体" w:cs="Times New Roman"/>
                <w:szCs w:val="21"/>
              </w:rPr>
            </w:pPr>
          </w:p>
        </w:tc>
        <w:tc>
          <w:tcPr>
            <w:tcW w:w="691" w:type="dxa"/>
            <w:vAlign w:val="center"/>
          </w:tcPr>
          <w:p w14:paraId="562CB2BB">
            <w:pPr>
              <w:wordWrap w:val="0"/>
              <w:snapToGrid w:val="0"/>
              <w:spacing w:before="50" w:after="120" w:afterLines="50"/>
              <w:jc w:val="center"/>
              <w:rPr>
                <w:rFonts w:hint="eastAsia" w:ascii="宋体" w:hAnsi="宋体" w:eastAsia="宋体" w:cs="Times New Roman"/>
                <w:szCs w:val="21"/>
              </w:rPr>
            </w:pPr>
          </w:p>
        </w:tc>
        <w:tc>
          <w:tcPr>
            <w:tcW w:w="695" w:type="dxa"/>
            <w:vAlign w:val="center"/>
          </w:tcPr>
          <w:p w14:paraId="561D175A">
            <w:pPr>
              <w:wordWrap w:val="0"/>
              <w:snapToGrid w:val="0"/>
              <w:spacing w:before="50" w:after="120" w:afterLines="50"/>
              <w:jc w:val="center"/>
              <w:rPr>
                <w:rFonts w:hint="eastAsia" w:ascii="宋体" w:hAnsi="宋体" w:eastAsia="宋体" w:cs="Times New Roman"/>
                <w:szCs w:val="21"/>
              </w:rPr>
            </w:pPr>
          </w:p>
        </w:tc>
        <w:tc>
          <w:tcPr>
            <w:tcW w:w="691" w:type="dxa"/>
            <w:vAlign w:val="center"/>
          </w:tcPr>
          <w:p w14:paraId="41113BF1">
            <w:pPr>
              <w:wordWrap w:val="0"/>
              <w:snapToGrid w:val="0"/>
              <w:spacing w:before="50" w:after="120" w:afterLines="50"/>
              <w:jc w:val="center"/>
              <w:rPr>
                <w:rFonts w:hint="eastAsia" w:ascii="宋体" w:hAnsi="宋体" w:eastAsia="宋体" w:cs="Times New Roman"/>
                <w:szCs w:val="21"/>
              </w:rPr>
            </w:pPr>
          </w:p>
        </w:tc>
        <w:tc>
          <w:tcPr>
            <w:tcW w:w="693" w:type="dxa"/>
            <w:vAlign w:val="center"/>
          </w:tcPr>
          <w:p w14:paraId="7B05E246">
            <w:pPr>
              <w:wordWrap w:val="0"/>
              <w:snapToGrid w:val="0"/>
              <w:spacing w:before="50" w:after="120" w:afterLines="50"/>
              <w:jc w:val="center"/>
              <w:rPr>
                <w:rFonts w:hint="eastAsia" w:ascii="宋体" w:hAnsi="宋体" w:eastAsia="宋体" w:cs="Times New Roman"/>
                <w:szCs w:val="21"/>
              </w:rPr>
            </w:pPr>
          </w:p>
        </w:tc>
        <w:tc>
          <w:tcPr>
            <w:tcW w:w="893" w:type="dxa"/>
            <w:vAlign w:val="center"/>
          </w:tcPr>
          <w:p w14:paraId="077D86A8">
            <w:pPr>
              <w:wordWrap w:val="0"/>
              <w:snapToGrid w:val="0"/>
              <w:spacing w:before="50" w:after="120" w:afterLines="50"/>
              <w:jc w:val="center"/>
              <w:rPr>
                <w:rFonts w:hint="eastAsia" w:ascii="宋体" w:hAnsi="宋体" w:eastAsia="宋体" w:cs="Times New Roman"/>
                <w:szCs w:val="21"/>
              </w:rPr>
            </w:pPr>
          </w:p>
        </w:tc>
        <w:tc>
          <w:tcPr>
            <w:tcW w:w="1119" w:type="dxa"/>
            <w:vAlign w:val="center"/>
          </w:tcPr>
          <w:p w14:paraId="1973469E">
            <w:pPr>
              <w:wordWrap w:val="0"/>
              <w:snapToGrid w:val="0"/>
              <w:spacing w:before="50" w:after="120" w:afterLines="50"/>
              <w:jc w:val="center"/>
              <w:rPr>
                <w:rFonts w:hint="eastAsia" w:ascii="宋体" w:hAnsi="宋体" w:eastAsia="宋体" w:cs="Times New Roman"/>
                <w:szCs w:val="21"/>
              </w:rPr>
            </w:pPr>
          </w:p>
        </w:tc>
        <w:tc>
          <w:tcPr>
            <w:tcW w:w="1138" w:type="dxa"/>
            <w:vAlign w:val="center"/>
          </w:tcPr>
          <w:p w14:paraId="520E6B99">
            <w:pPr>
              <w:wordWrap w:val="0"/>
              <w:snapToGrid w:val="0"/>
              <w:spacing w:before="50" w:after="120" w:afterLines="50"/>
              <w:jc w:val="center"/>
              <w:rPr>
                <w:rFonts w:hint="eastAsia" w:ascii="宋体" w:hAnsi="宋体" w:eastAsia="宋体" w:cs="Times New Roman"/>
                <w:szCs w:val="21"/>
              </w:rPr>
            </w:pPr>
          </w:p>
        </w:tc>
        <w:tc>
          <w:tcPr>
            <w:tcW w:w="1065" w:type="dxa"/>
            <w:vAlign w:val="center"/>
          </w:tcPr>
          <w:p w14:paraId="464F59A4">
            <w:pPr>
              <w:wordWrap w:val="0"/>
              <w:snapToGrid w:val="0"/>
              <w:spacing w:before="50" w:after="120" w:afterLines="50"/>
              <w:jc w:val="center"/>
              <w:rPr>
                <w:rFonts w:hint="eastAsia" w:ascii="宋体" w:hAnsi="宋体" w:eastAsia="宋体" w:cs="Times New Roman"/>
                <w:szCs w:val="21"/>
              </w:rPr>
            </w:pPr>
          </w:p>
        </w:tc>
        <w:tc>
          <w:tcPr>
            <w:tcW w:w="637" w:type="dxa"/>
            <w:vAlign w:val="center"/>
          </w:tcPr>
          <w:p w14:paraId="401B9B47">
            <w:pPr>
              <w:wordWrap w:val="0"/>
              <w:snapToGrid w:val="0"/>
              <w:spacing w:before="50" w:after="120" w:afterLines="50"/>
              <w:jc w:val="center"/>
              <w:rPr>
                <w:rFonts w:hint="eastAsia" w:ascii="宋体" w:hAnsi="宋体" w:eastAsia="宋体" w:cs="Times New Roman"/>
                <w:szCs w:val="21"/>
              </w:rPr>
            </w:pPr>
          </w:p>
        </w:tc>
        <w:tc>
          <w:tcPr>
            <w:tcW w:w="679" w:type="dxa"/>
            <w:vAlign w:val="center"/>
          </w:tcPr>
          <w:p w14:paraId="4D81EEF2">
            <w:pPr>
              <w:wordWrap w:val="0"/>
              <w:snapToGrid w:val="0"/>
              <w:spacing w:before="50" w:after="120" w:afterLines="50"/>
              <w:jc w:val="center"/>
              <w:rPr>
                <w:rFonts w:hint="eastAsia" w:ascii="宋体" w:hAnsi="宋体" w:eastAsia="宋体" w:cs="Times New Roman"/>
                <w:szCs w:val="21"/>
              </w:rPr>
            </w:pPr>
          </w:p>
        </w:tc>
        <w:tc>
          <w:tcPr>
            <w:tcW w:w="538" w:type="dxa"/>
            <w:vAlign w:val="center"/>
          </w:tcPr>
          <w:p w14:paraId="2D4E4B35">
            <w:pPr>
              <w:wordWrap w:val="0"/>
              <w:snapToGrid w:val="0"/>
              <w:spacing w:before="50" w:after="120" w:afterLines="50"/>
              <w:jc w:val="center"/>
              <w:rPr>
                <w:rFonts w:hint="eastAsia" w:ascii="宋体" w:hAnsi="宋体" w:eastAsia="宋体" w:cs="Times New Roman"/>
                <w:szCs w:val="21"/>
              </w:rPr>
            </w:pPr>
          </w:p>
        </w:tc>
      </w:tr>
    </w:tbl>
    <w:p w14:paraId="2CB51CF0">
      <w:pPr>
        <w:wordWrap w:val="0"/>
        <w:snapToGrid w:val="0"/>
        <w:spacing w:line="360" w:lineRule="auto"/>
        <w:rPr>
          <w:rFonts w:hint="eastAsia" w:ascii="宋体" w:hAnsi="宋体" w:eastAsia="宋体" w:cs="Times New Roman"/>
          <w:szCs w:val="21"/>
        </w:rPr>
      </w:pPr>
      <w:r>
        <w:rPr>
          <w:rFonts w:hint="eastAsia" w:ascii="Times New Roman" w:hAnsi="Times New Roman" w:eastAsia="宋体" w:cs="宋体"/>
          <w:szCs w:val="18"/>
          <w:lang w:bidi="ar"/>
        </w:rPr>
        <w:t>注：</w:t>
      </w:r>
      <w:r>
        <w:rPr>
          <w:rFonts w:hint="eastAsia" w:ascii="Times New Roman" w:hAnsi="Times New Roman" w:eastAsia="宋体" w:cs="宋体"/>
          <w:szCs w:val="21"/>
          <w:lang w:bidi="ar"/>
        </w:rPr>
        <w:t>此表应后附招标文件要求提供的相应证明文件。</w:t>
      </w:r>
    </w:p>
    <w:p w14:paraId="369EEA28">
      <w:pPr>
        <w:wordWrap w:val="0"/>
        <w:snapToGrid w:val="0"/>
        <w:spacing w:line="360" w:lineRule="auto"/>
        <w:rPr>
          <w:rFonts w:hint="eastAsia" w:ascii="宋体" w:hAnsi="宋体" w:eastAsia="宋体" w:cs="Times New Roman"/>
          <w:szCs w:val="21"/>
        </w:rPr>
      </w:pPr>
    </w:p>
    <w:p w14:paraId="45D34FB1">
      <w:pPr>
        <w:wordWrap w:val="0"/>
        <w:spacing w:before="120" w:beforeLines="50" w:line="360" w:lineRule="auto"/>
        <w:ind w:left="-103" w:leftChars="-49" w:right="-57" w:rightChars="-27" w:firstLine="15"/>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投标人：（公章）</w:t>
      </w:r>
    </w:p>
    <w:p w14:paraId="41B695F1">
      <w:pPr>
        <w:wordWrap w:val="0"/>
        <w:spacing w:before="120" w:beforeLines="50" w:line="360" w:lineRule="auto"/>
        <w:ind w:left="606" w:leftChars="-49" w:right="-57" w:rightChars="-27" w:hanging="709"/>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法定代表人或其委托代理人：（签字或盖章）</w:t>
      </w:r>
    </w:p>
    <w:p w14:paraId="6B8CCE41">
      <w:pPr>
        <w:wordWrap w:val="0"/>
        <w:spacing w:before="120" w:beforeLines="50" w:line="360" w:lineRule="auto"/>
        <w:ind w:left="606" w:leftChars="-49" w:right="-57" w:rightChars="-27" w:hanging="709"/>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日</w:t>
      </w:r>
      <w:r>
        <w:rPr>
          <w:rFonts w:ascii="Times New Roman" w:hAnsi="Times New Roman" w:eastAsia="宋体" w:cs="Times New Roman"/>
          <w:szCs w:val="24"/>
          <w:lang w:bidi="ar"/>
        </w:rPr>
        <w:t xml:space="preserve">    </w:t>
      </w:r>
      <w:r>
        <w:rPr>
          <w:rFonts w:hint="eastAsia" w:ascii="Times New Roman" w:hAnsi="Times New Roman" w:eastAsia="宋体" w:cs="宋体"/>
          <w:szCs w:val="24"/>
          <w:lang w:bidi="ar"/>
        </w:rPr>
        <w:t>期：</w:t>
      </w:r>
    </w:p>
    <w:p w14:paraId="71F7AD5C">
      <w:pPr>
        <w:widowControl/>
        <w:jc w:val="left"/>
        <w:rPr>
          <w:rFonts w:hint="eastAsia" w:ascii="宋体" w:hAnsi="宋体" w:eastAsia="宋体" w:cs="Times New Roman"/>
          <w:b/>
          <w:szCs w:val="28"/>
        </w:rPr>
      </w:pPr>
      <w:r>
        <w:rPr>
          <w:rFonts w:hint="eastAsia" w:ascii="宋体" w:hAnsi="宋体" w:eastAsia="宋体" w:cs="Times New Roman"/>
          <w:b/>
          <w:szCs w:val="28"/>
        </w:rPr>
        <w:br w:type="page"/>
      </w:r>
    </w:p>
    <w:p w14:paraId="6FAEA19A">
      <w:pPr>
        <w:keepNext/>
        <w:keepLines/>
        <w:widowControl/>
        <w:wordWrap w:val="0"/>
        <w:spacing w:line="360" w:lineRule="auto"/>
        <w:jc w:val="left"/>
        <w:outlineLvl w:val="3"/>
        <w:rPr>
          <w:rFonts w:hint="eastAsia" w:ascii="宋体" w:hAnsi="宋体" w:eastAsia="宋体" w:cs="宋体"/>
          <w:b/>
          <w:bCs/>
          <w:szCs w:val="21"/>
        </w:rPr>
      </w:pPr>
      <w:r>
        <w:rPr>
          <w:rFonts w:hint="eastAsia" w:ascii="宋体" w:hAnsi="宋体" w:eastAsia="宋体" w:cs="Times New Roman"/>
          <w:b/>
          <w:szCs w:val="28"/>
        </w:rPr>
        <w:t>格式B5：</w:t>
      </w:r>
      <w:r>
        <w:rPr>
          <w:rFonts w:hint="eastAsia" w:ascii="宋体" w:hAnsi="宋体" w:eastAsia="宋体" w:cs="宋体"/>
          <w:b/>
          <w:bCs/>
          <w:szCs w:val="21"/>
        </w:rPr>
        <w:t>项目负责人简历表格式</w:t>
      </w:r>
    </w:p>
    <w:p w14:paraId="6336F264">
      <w:pPr>
        <w:wordWrap w:val="0"/>
        <w:spacing w:before="120" w:beforeLines="50" w:line="360" w:lineRule="auto"/>
        <w:ind w:left="709" w:right="-57" w:rightChars="-27" w:hanging="709"/>
        <w:jc w:val="center"/>
        <w:rPr>
          <w:rFonts w:ascii="Times New Roman" w:hAnsi="Times New Roman" w:eastAsia="Times New Roman" w:cs="Times New Roman"/>
          <w:b/>
          <w:spacing w:val="20"/>
          <w:kern w:val="0"/>
          <w:sz w:val="24"/>
          <w:szCs w:val="24"/>
        </w:rPr>
      </w:pPr>
      <w:r>
        <w:rPr>
          <w:rFonts w:hint="eastAsia" w:ascii="Times New Roman" w:hAnsi="Times New Roman" w:eastAsia="宋体" w:cs="宋体"/>
          <w:b/>
          <w:spacing w:val="20"/>
          <w:sz w:val="24"/>
          <w:szCs w:val="24"/>
          <w:lang w:bidi="ar"/>
        </w:rPr>
        <w:t>项目负责人简历表</w:t>
      </w:r>
    </w:p>
    <w:p w14:paraId="164B8160">
      <w:pPr>
        <w:wordWrap w:val="0"/>
        <w:spacing w:before="120" w:beforeLines="50" w:line="360" w:lineRule="auto"/>
        <w:ind w:left="709" w:right="-57" w:rightChars="-27" w:hanging="709"/>
        <w:rPr>
          <w:rFonts w:ascii="Times New Roman" w:hAnsi="Times New Roman" w:eastAsia="Times New Roman" w:cs="Times New Roman"/>
          <w:b/>
          <w:kern w:val="0"/>
          <w:sz w:val="24"/>
          <w:szCs w:val="21"/>
        </w:rPr>
      </w:pPr>
      <w:r>
        <w:rPr>
          <w:rFonts w:hint="eastAsia" w:ascii="Times New Roman" w:hAnsi="Times New Roman" w:eastAsia="宋体" w:cs="宋体"/>
          <w:szCs w:val="21"/>
          <w:lang w:bidi="ar"/>
        </w:rPr>
        <w:t>项目名称：</w:t>
      </w:r>
    </w:p>
    <w:tbl>
      <w:tblPr>
        <w:tblStyle w:val="90"/>
        <w:tblW w:w="877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605"/>
        <w:gridCol w:w="75"/>
        <w:gridCol w:w="203"/>
        <w:gridCol w:w="840"/>
        <w:gridCol w:w="537"/>
        <w:gridCol w:w="1143"/>
        <w:gridCol w:w="417"/>
        <w:gridCol w:w="1065"/>
        <w:gridCol w:w="384"/>
        <w:gridCol w:w="1184"/>
      </w:tblGrid>
      <w:tr w14:paraId="0C15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vAlign w:val="center"/>
          </w:tcPr>
          <w:p w14:paraId="767803B7">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姓名</w:t>
            </w:r>
          </w:p>
        </w:tc>
        <w:tc>
          <w:tcPr>
            <w:tcW w:w="1883" w:type="dxa"/>
            <w:gridSpan w:val="3"/>
            <w:vAlign w:val="center"/>
          </w:tcPr>
          <w:p w14:paraId="0F03C156">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840" w:type="dxa"/>
            <w:vAlign w:val="center"/>
          </w:tcPr>
          <w:p w14:paraId="4924BFAF">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性别</w:t>
            </w:r>
          </w:p>
        </w:tc>
        <w:tc>
          <w:tcPr>
            <w:tcW w:w="1680" w:type="dxa"/>
            <w:gridSpan w:val="2"/>
            <w:vAlign w:val="center"/>
          </w:tcPr>
          <w:p w14:paraId="517EAFB0">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82" w:type="dxa"/>
            <w:gridSpan w:val="2"/>
            <w:vAlign w:val="center"/>
          </w:tcPr>
          <w:p w14:paraId="61C9E3B4">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年龄</w:t>
            </w:r>
          </w:p>
        </w:tc>
        <w:tc>
          <w:tcPr>
            <w:tcW w:w="1568" w:type="dxa"/>
            <w:gridSpan w:val="2"/>
            <w:vAlign w:val="center"/>
          </w:tcPr>
          <w:p w14:paraId="1D4079AC">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3CA7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18" w:type="dxa"/>
            <w:vAlign w:val="center"/>
          </w:tcPr>
          <w:p w14:paraId="7181DB0B">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职务</w:t>
            </w:r>
          </w:p>
        </w:tc>
        <w:tc>
          <w:tcPr>
            <w:tcW w:w="1883" w:type="dxa"/>
            <w:gridSpan w:val="3"/>
            <w:vAlign w:val="center"/>
          </w:tcPr>
          <w:p w14:paraId="363A9670">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840" w:type="dxa"/>
            <w:vAlign w:val="center"/>
          </w:tcPr>
          <w:p w14:paraId="5DDCB41C">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职称</w:t>
            </w:r>
          </w:p>
        </w:tc>
        <w:tc>
          <w:tcPr>
            <w:tcW w:w="1680" w:type="dxa"/>
            <w:gridSpan w:val="2"/>
            <w:vAlign w:val="center"/>
          </w:tcPr>
          <w:p w14:paraId="3058684B">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82" w:type="dxa"/>
            <w:gridSpan w:val="2"/>
            <w:vAlign w:val="center"/>
          </w:tcPr>
          <w:p w14:paraId="6867B9A8">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学历</w:t>
            </w:r>
          </w:p>
        </w:tc>
        <w:tc>
          <w:tcPr>
            <w:tcW w:w="1568" w:type="dxa"/>
            <w:gridSpan w:val="2"/>
            <w:vAlign w:val="center"/>
          </w:tcPr>
          <w:p w14:paraId="161492DF">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30F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23" w:type="dxa"/>
            <w:gridSpan w:val="2"/>
            <w:vAlign w:val="center"/>
          </w:tcPr>
          <w:p w14:paraId="556ACB7B">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参加工作时间</w:t>
            </w:r>
          </w:p>
        </w:tc>
        <w:tc>
          <w:tcPr>
            <w:tcW w:w="1655" w:type="dxa"/>
            <w:gridSpan w:val="4"/>
            <w:vAlign w:val="center"/>
          </w:tcPr>
          <w:p w14:paraId="46672975">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2625" w:type="dxa"/>
            <w:gridSpan w:val="3"/>
            <w:vAlign w:val="center"/>
          </w:tcPr>
          <w:p w14:paraId="4B13A486">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担任项目负责人年限</w:t>
            </w:r>
          </w:p>
        </w:tc>
        <w:tc>
          <w:tcPr>
            <w:tcW w:w="1568" w:type="dxa"/>
            <w:gridSpan w:val="2"/>
            <w:vAlign w:val="center"/>
          </w:tcPr>
          <w:p w14:paraId="13365B57">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2BAA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71" w:type="dxa"/>
            <w:gridSpan w:val="11"/>
            <w:vAlign w:val="center"/>
          </w:tcPr>
          <w:p w14:paraId="3926E2FD">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r>
              <w:rPr>
                <w:rFonts w:hint="eastAsia" w:ascii="Times New Roman" w:hAnsi="Times New Roman" w:eastAsia="宋体" w:cs="宋体"/>
                <w:szCs w:val="21"/>
                <w:lang w:bidi="ar"/>
              </w:rPr>
              <w:t>完成类似项目情况</w:t>
            </w:r>
          </w:p>
        </w:tc>
      </w:tr>
      <w:tr w14:paraId="3757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vAlign w:val="center"/>
          </w:tcPr>
          <w:p w14:paraId="7A8188D2">
            <w:pPr>
              <w:tabs>
                <w:tab w:val="left" w:pos="540"/>
              </w:tabs>
              <w:wordWrap w:val="0"/>
              <w:jc w:val="center"/>
              <w:rPr>
                <w:rFonts w:ascii="Times New Roman" w:hAnsi="Times New Roman" w:eastAsia="Times New Roman" w:cs="Times New Roman"/>
                <w:kern w:val="0"/>
                <w:szCs w:val="21"/>
              </w:rPr>
            </w:pPr>
            <w:r>
              <w:rPr>
                <w:rFonts w:hint="eastAsia" w:ascii="Times New Roman" w:hAnsi="Times New Roman" w:eastAsia="宋体" w:cs="宋体"/>
                <w:szCs w:val="21"/>
                <w:lang w:bidi="ar"/>
              </w:rPr>
              <w:t>建设单位</w:t>
            </w:r>
          </w:p>
        </w:tc>
        <w:tc>
          <w:tcPr>
            <w:tcW w:w="1680" w:type="dxa"/>
            <w:gridSpan w:val="2"/>
            <w:vAlign w:val="center"/>
          </w:tcPr>
          <w:p w14:paraId="2C904EDB">
            <w:pPr>
              <w:tabs>
                <w:tab w:val="left" w:pos="540"/>
              </w:tabs>
              <w:wordWrap w:val="0"/>
              <w:jc w:val="center"/>
              <w:rPr>
                <w:rFonts w:ascii="Times New Roman" w:hAnsi="Times New Roman" w:eastAsia="Times New Roman" w:cs="Times New Roman"/>
                <w:kern w:val="0"/>
                <w:szCs w:val="21"/>
              </w:rPr>
            </w:pPr>
            <w:r>
              <w:rPr>
                <w:rFonts w:hint="eastAsia" w:ascii="Times New Roman" w:hAnsi="Times New Roman" w:eastAsia="宋体" w:cs="宋体"/>
                <w:szCs w:val="21"/>
                <w:lang w:bidi="ar"/>
              </w:rPr>
              <w:t>项目名称</w:t>
            </w:r>
          </w:p>
        </w:tc>
        <w:tc>
          <w:tcPr>
            <w:tcW w:w="1580" w:type="dxa"/>
            <w:gridSpan w:val="3"/>
            <w:vAlign w:val="center"/>
          </w:tcPr>
          <w:p w14:paraId="326227D9">
            <w:pPr>
              <w:tabs>
                <w:tab w:val="left" w:pos="540"/>
              </w:tabs>
              <w:wordWrap w:val="0"/>
              <w:jc w:val="center"/>
              <w:rPr>
                <w:rFonts w:ascii="Times New Roman" w:hAnsi="Times New Roman" w:eastAsia="宋体" w:cs="Times New Roman"/>
                <w:kern w:val="0"/>
                <w:szCs w:val="21"/>
              </w:rPr>
            </w:pPr>
            <w:r>
              <w:rPr>
                <w:rFonts w:hint="eastAsia" w:ascii="Times New Roman" w:hAnsi="Times New Roman" w:eastAsia="宋体" w:cs="宋体"/>
                <w:szCs w:val="21"/>
                <w:lang w:bidi="ar"/>
              </w:rPr>
              <w:t>单项合同金额</w:t>
            </w:r>
          </w:p>
        </w:tc>
        <w:tc>
          <w:tcPr>
            <w:tcW w:w="1560" w:type="dxa"/>
            <w:gridSpan w:val="2"/>
            <w:vAlign w:val="center"/>
          </w:tcPr>
          <w:p w14:paraId="61FD9A3A">
            <w:pPr>
              <w:tabs>
                <w:tab w:val="left" w:pos="540"/>
              </w:tabs>
              <w:wordWrap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合同服务期</w:t>
            </w:r>
          </w:p>
        </w:tc>
        <w:tc>
          <w:tcPr>
            <w:tcW w:w="1449" w:type="dxa"/>
            <w:gridSpan w:val="2"/>
            <w:vAlign w:val="center"/>
          </w:tcPr>
          <w:p w14:paraId="61EF24A0">
            <w:pPr>
              <w:tabs>
                <w:tab w:val="left" w:pos="540"/>
              </w:tabs>
              <w:wordWrap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担任的职位</w:t>
            </w:r>
          </w:p>
        </w:tc>
        <w:tc>
          <w:tcPr>
            <w:tcW w:w="1184" w:type="dxa"/>
            <w:vAlign w:val="center"/>
          </w:tcPr>
          <w:p w14:paraId="44D6BD76">
            <w:pPr>
              <w:tabs>
                <w:tab w:val="left" w:pos="540"/>
              </w:tabs>
              <w:wordWrap w:val="0"/>
              <w:jc w:val="center"/>
              <w:rPr>
                <w:rFonts w:ascii="Times New Roman" w:hAnsi="Times New Roman" w:eastAsia="宋体" w:cs="Times New Roman"/>
                <w:kern w:val="0"/>
                <w:szCs w:val="21"/>
              </w:rPr>
            </w:pPr>
            <w:r>
              <w:rPr>
                <w:rFonts w:hint="eastAsia" w:ascii="Times New Roman" w:hAnsi="Times New Roman" w:eastAsia="宋体" w:cs="宋体"/>
                <w:szCs w:val="21"/>
                <w:lang w:bidi="ar"/>
              </w:rPr>
              <w:t>联系方式</w:t>
            </w:r>
          </w:p>
        </w:tc>
      </w:tr>
      <w:tr w14:paraId="1AA8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5A3A485B">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680" w:type="dxa"/>
            <w:gridSpan w:val="2"/>
            <w:vAlign w:val="center"/>
          </w:tcPr>
          <w:p w14:paraId="1B7C9553">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80" w:type="dxa"/>
            <w:gridSpan w:val="3"/>
            <w:vAlign w:val="center"/>
          </w:tcPr>
          <w:p w14:paraId="5FCB14F9">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60" w:type="dxa"/>
            <w:gridSpan w:val="2"/>
            <w:vAlign w:val="center"/>
          </w:tcPr>
          <w:p w14:paraId="5177FAFA">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49" w:type="dxa"/>
            <w:gridSpan w:val="2"/>
            <w:vAlign w:val="center"/>
          </w:tcPr>
          <w:p w14:paraId="53DDBB4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184" w:type="dxa"/>
            <w:vAlign w:val="center"/>
          </w:tcPr>
          <w:p w14:paraId="71CD241A">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4058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61F1678C">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680" w:type="dxa"/>
            <w:gridSpan w:val="2"/>
            <w:vAlign w:val="center"/>
          </w:tcPr>
          <w:p w14:paraId="38C6565E">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80" w:type="dxa"/>
            <w:gridSpan w:val="3"/>
            <w:vAlign w:val="center"/>
          </w:tcPr>
          <w:p w14:paraId="6B3A2454">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60" w:type="dxa"/>
            <w:gridSpan w:val="2"/>
            <w:vAlign w:val="center"/>
          </w:tcPr>
          <w:p w14:paraId="79D56DC6">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49" w:type="dxa"/>
            <w:gridSpan w:val="2"/>
            <w:vAlign w:val="center"/>
          </w:tcPr>
          <w:p w14:paraId="599588D0">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184" w:type="dxa"/>
            <w:vAlign w:val="center"/>
          </w:tcPr>
          <w:p w14:paraId="19D9248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0136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14296CBE">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680" w:type="dxa"/>
            <w:gridSpan w:val="2"/>
            <w:vAlign w:val="center"/>
          </w:tcPr>
          <w:p w14:paraId="282B766B">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80" w:type="dxa"/>
            <w:gridSpan w:val="3"/>
            <w:vAlign w:val="center"/>
          </w:tcPr>
          <w:p w14:paraId="3703EEF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60" w:type="dxa"/>
            <w:gridSpan w:val="2"/>
            <w:vAlign w:val="center"/>
          </w:tcPr>
          <w:p w14:paraId="6645E7FE">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49" w:type="dxa"/>
            <w:gridSpan w:val="2"/>
            <w:vAlign w:val="center"/>
          </w:tcPr>
          <w:p w14:paraId="5E29C5C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184" w:type="dxa"/>
            <w:vAlign w:val="center"/>
          </w:tcPr>
          <w:p w14:paraId="596440EF">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254D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7C142748">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680" w:type="dxa"/>
            <w:gridSpan w:val="2"/>
            <w:vAlign w:val="center"/>
          </w:tcPr>
          <w:p w14:paraId="7794A5C9">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80" w:type="dxa"/>
            <w:gridSpan w:val="3"/>
            <w:vAlign w:val="center"/>
          </w:tcPr>
          <w:p w14:paraId="6A3B13EC">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60" w:type="dxa"/>
            <w:gridSpan w:val="2"/>
            <w:vAlign w:val="center"/>
          </w:tcPr>
          <w:p w14:paraId="40A23743">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49" w:type="dxa"/>
            <w:gridSpan w:val="2"/>
            <w:vAlign w:val="center"/>
          </w:tcPr>
          <w:p w14:paraId="7ABD3BD5">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184" w:type="dxa"/>
            <w:vAlign w:val="center"/>
          </w:tcPr>
          <w:p w14:paraId="4CECFCE6">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79ED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7837CEC5">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680" w:type="dxa"/>
            <w:gridSpan w:val="2"/>
            <w:vAlign w:val="center"/>
          </w:tcPr>
          <w:p w14:paraId="3C68993B">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80" w:type="dxa"/>
            <w:gridSpan w:val="3"/>
            <w:vAlign w:val="center"/>
          </w:tcPr>
          <w:p w14:paraId="16299166">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60" w:type="dxa"/>
            <w:gridSpan w:val="2"/>
            <w:vAlign w:val="center"/>
          </w:tcPr>
          <w:p w14:paraId="2D833D92">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49" w:type="dxa"/>
            <w:gridSpan w:val="2"/>
            <w:vAlign w:val="center"/>
          </w:tcPr>
          <w:p w14:paraId="0D6DF9C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184" w:type="dxa"/>
            <w:vAlign w:val="center"/>
          </w:tcPr>
          <w:p w14:paraId="1B6A1BF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r w14:paraId="1AAD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08CEB801">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680" w:type="dxa"/>
            <w:gridSpan w:val="2"/>
            <w:vAlign w:val="center"/>
          </w:tcPr>
          <w:p w14:paraId="56A6DA74">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80" w:type="dxa"/>
            <w:gridSpan w:val="3"/>
            <w:vAlign w:val="center"/>
          </w:tcPr>
          <w:p w14:paraId="5335ABA4">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560" w:type="dxa"/>
            <w:gridSpan w:val="2"/>
            <w:vAlign w:val="center"/>
          </w:tcPr>
          <w:p w14:paraId="403392C4">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449" w:type="dxa"/>
            <w:gridSpan w:val="2"/>
            <w:vAlign w:val="center"/>
          </w:tcPr>
          <w:p w14:paraId="2B2C5C9A">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c>
          <w:tcPr>
            <w:tcW w:w="1184" w:type="dxa"/>
            <w:vAlign w:val="center"/>
          </w:tcPr>
          <w:p w14:paraId="3950E3B2">
            <w:pPr>
              <w:tabs>
                <w:tab w:val="left" w:pos="540"/>
              </w:tabs>
              <w:wordWrap w:val="0"/>
              <w:spacing w:before="120" w:beforeLines="50"/>
              <w:ind w:left="709" w:right="-57" w:rightChars="-27" w:hanging="709"/>
              <w:jc w:val="center"/>
              <w:rPr>
                <w:rFonts w:ascii="Times New Roman" w:hAnsi="Times New Roman" w:eastAsia="Times New Roman" w:cs="Times New Roman"/>
                <w:kern w:val="0"/>
                <w:sz w:val="24"/>
                <w:szCs w:val="21"/>
              </w:rPr>
            </w:pPr>
          </w:p>
        </w:tc>
      </w:tr>
    </w:tbl>
    <w:p w14:paraId="7293AED9">
      <w:pPr>
        <w:wordWrap w:val="0"/>
        <w:spacing w:before="120" w:beforeLines="50" w:line="360" w:lineRule="auto"/>
        <w:ind w:left="755" w:leftChars="23" w:right="-57" w:rightChars="-27" w:hanging="707" w:hangingChars="337"/>
        <w:jc w:val="left"/>
        <w:rPr>
          <w:rFonts w:ascii="Times New Roman" w:hAnsi="Times New Roman" w:eastAsia="宋体" w:cs="宋体"/>
          <w:szCs w:val="21"/>
          <w:lang w:bidi="ar"/>
        </w:rPr>
      </w:pPr>
      <w:r>
        <w:rPr>
          <w:rFonts w:hint="eastAsia" w:ascii="Times New Roman" w:hAnsi="Times New Roman" w:eastAsia="宋体" w:cs="宋体"/>
          <w:szCs w:val="18"/>
          <w:lang w:bidi="ar"/>
        </w:rPr>
        <w:t>注：1.</w:t>
      </w:r>
      <w:r>
        <w:rPr>
          <w:rFonts w:hint="eastAsia" w:ascii="Times New Roman" w:hAnsi="Times New Roman" w:eastAsia="宋体" w:cs="宋体"/>
          <w:szCs w:val="21"/>
          <w:lang w:bidi="ar"/>
        </w:rPr>
        <w:t>此表应后附招标文件要求提供的相应证明文件。</w:t>
      </w:r>
    </w:p>
    <w:p w14:paraId="0CE92C87">
      <w:pPr>
        <w:wordWrap w:val="0"/>
        <w:spacing w:before="120" w:beforeLines="50" w:line="360" w:lineRule="auto"/>
        <w:ind w:left="705" w:leftChars="202" w:right="-57" w:rightChars="-27" w:hanging="281" w:hangingChars="134"/>
        <w:jc w:val="left"/>
        <w:rPr>
          <w:rFonts w:hint="eastAsia" w:ascii="宋体" w:hAnsi="宋体" w:eastAsia="宋体" w:cs="Times New Roman"/>
          <w:kern w:val="0"/>
          <w:sz w:val="24"/>
          <w:szCs w:val="21"/>
        </w:rPr>
      </w:pPr>
      <w:r>
        <w:rPr>
          <w:rFonts w:hint="eastAsia" w:ascii="宋体" w:hAnsi="宋体" w:eastAsia="宋体" w:cs="Times New Roman"/>
          <w:szCs w:val="21"/>
          <w:lang w:bidi="ar"/>
        </w:rPr>
        <w:t>2</w:t>
      </w:r>
      <w:r>
        <w:rPr>
          <w:rFonts w:ascii="宋体" w:hAnsi="宋体" w:eastAsia="宋体" w:cs="Times New Roman"/>
          <w:szCs w:val="21"/>
          <w:lang w:bidi="ar"/>
        </w:rPr>
        <w:t xml:space="preserve">. </w:t>
      </w:r>
      <w:r>
        <w:rPr>
          <w:rFonts w:hint="eastAsia" w:ascii="宋体" w:hAnsi="宋体" w:eastAsia="宋体" w:cs="宋体"/>
          <w:szCs w:val="21"/>
          <w:lang w:bidi="ar"/>
        </w:rPr>
        <w:t>项目按照时间顺序排列。</w:t>
      </w:r>
    </w:p>
    <w:p w14:paraId="6F39191B">
      <w:pPr>
        <w:pStyle w:val="87"/>
        <w:ind w:firstLine="480"/>
      </w:pPr>
    </w:p>
    <w:p w14:paraId="6487044F">
      <w:pPr>
        <w:wordWrap w:val="0"/>
        <w:spacing w:after="120"/>
        <w:rPr>
          <w:rFonts w:ascii="Times New Roman" w:hAnsi="Times New Roman" w:eastAsia="宋体" w:cs="Times New Roman"/>
          <w:szCs w:val="24"/>
          <w:lang w:bidi="ar"/>
        </w:rPr>
      </w:pPr>
    </w:p>
    <w:p w14:paraId="624DF51C">
      <w:pPr>
        <w:wordWrap w:val="0"/>
        <w:spacing w:before="120" w:beforeLines="50" w:line="360" w:lineRule="auto"/>
        <w:ind w:left="-103" w:leftChars="-49" w:right="-57" w:rightChars="-27" w:firstLine="15"/>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投标人：（公章）</w:t>
      </w:r>
      <w:r>
        <w:rPr>
          <w:rFonts w:ascii="Times New Roman" w:hAnsi="Times New Roman" w:eastAsia="宋体" w:cs="Times New Roman"/>
          <w:szCs w:val="24"/>
          <w:lang w:bidi="ar"/>
        </w:rPr>
        <w:t xml:space="preserve"> </w:t>
      </w:r>
    </w:p>
    <w:p w14:paraId="14F5D154">
      <w:pPr>
        <w:wordWrap w:val="0"/>
        <w:spacing w:before="120" w:beforeLines="50" w:line="360" w:lineRule="auto"/>
        <w:ind w:left="606" w:leftChars="-49" w:right="-57" w:rightChars="-27" w:hanging="709"/>
        <w:outlineLvl w:val="9"/>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法定代表人或其委托代理人：（签字或盖章）</w:t>
      </w:r>
    </w:p>
    <w:p w14:paraId="12BB56D5">
      <w:pPr>
        <w:wordWrap w:val="0"/>
        <w:spacing w:before="120" w:beforeLines="50" w:line="360" w:lineRule="auto"/>
        <w:ind w:left="606" w:leftChars="-49" w:right="-57" w:rightChars="-27" w:hanging="709"/>
        <w:rPr>
          <w:rFonts w:ascii="Times New Roman" w:hAnsi="Times New Roman" w:eastAsia="Times New Roman" w:cs="Times New Roman"/>
          <w:kern w:val="0"/>
          <w:sz w:val="24"/>
          <w:szCs w:val="24"/>
        </w:rPr>
      </w:pPr>
      <w:r>
        <w:rPr>
          <w:rFonts w:hint="eastAsia" w:ascii="Times New Roman" w:hAnsi="Times New Roman" w:eastAsia="宋体" w:cs="宋体"/>
          <w:szCs w:val="24"/>
          <w:lang w:bidi="ar"/>
        </w:rPr>
        <w:t>日</w:t>
      </w:r>
      <w:r>
        <w:rPr>
          <w:rFonts w:ascii="Times New Roman" w:hAnsi="Times New Roman" w:eastAsia="宋体" w:cs="Times New Roman"/>
          <w:szCs w:val="24"/>
          <w:lang w:bidi="ar"/>
        </w:rPr>
        <w:t xml:space="preserve">  </w:t>
      </w:r>
      <w:r>
        <w:rPr>
          <w:rFonts w:hint="eastAsia" w:ascii="Times New Roman" w:hAnsi="Times New Roman" w:eastAsia="宋体" w:cs="宋体"/>
          <w:szCs w:val="24"/>
          <w:lang w:bidi="ar"/>
        </w:rPr>
        <w:t>期：</w:t>
      </w:r>
    </w:p>
    <w:p w14:paraId="791E6E1B">
      <w:pPr>
        <w:wordWrap w:val="0"/>
        <w:spacing w:before="120" w:beforeLines="50" w:line="360" w:lineRule="auto"/>
        <w:ind w:left="606" w:leftChars="-49" w:right="-57" w:rightChars="-27" w:hanging="709"/>
        <w:rPr>
          <w:rFonts w:ascii="Times New Roman" w:hAnsi="Times New Roman" w:eastAsia="Times New Roman" w:cs="Times New Roman"/>
          <w:kern w:val="0"/>
          <w:sz w:val="24"/>
          <w:szCs w:val="24"/>
        </w:rPr>
      </w:pPr>
      <w:r>
        <w:rPr>
          <w:rFonts w:ascii="Times New Roman" w:hAnsi="Times New Roman" w:eastAsia="宋体" w:cs="Times New Roman"/>
          <w:szCs w:val="24"/>
          <w:lang w:bidi="ar"/>
        </w:rPr>
        <w:br w:type="page"/>
      </w:r>
    </w:p>
    <w:p w14:paraId="213F87DC">
      <w:pPr>
        <w:wordWrap w:val="0"/>
        <w:spacing w:after="120"/>
        <w:rPr>
          <w:rFonts w:ascii="Times New Roman" w:hAnsi="Times New Roman" w:eastAsia="宋体" w:cs="Times New Roman"/>
          <w:szCs w:val="24"/>
          <w:lang w:bidi="ar"/>
        </w:rPr>
        <w:sectPr>
          <w:pgSz w:w="11906" w:h="16838"/>
          <w:pgMar w:top="1440" w:right="1417" w:bottom="1440" w:left="1440" w:header="567" w:footer="590" w:gutter="0"/>
          <w:cols w:space="720" w:num="1"/>
          <w:docGrid w:linePitch="312" w:charSpace="0"/>
        </w:sectPr>
      </w:pPr>
    </w:p>
    <w:p w14:paraId="5885D476">
      <w:pPr>
        <w:keepNext/>
        <w:keepLines/>
        <w:wordWrap w:val="0"/>
        <w:spacing w:line="480" w:lineRule="auto"/>
        <w:outlineLvl w:val="3"/>
        <w:rPr>
          <w:rFonts w:hint="eastAsia" w:ascii="宋体" w:hAnsi="宋体" w:eastAsia="宋体" w:cs="Times New Roman"/>
          <w:bCs/>
          <w:szCs w:val="21"/>
        </w:rPr>
      </w:pPr>
      <w:bookmarkStart w:id="584" w:name="_Toc340674997"/>
      <w:bookmarkStart w:id="585" w:name="_Toc389124171"/>
      <w:bookmarkStart w:id="586" w:name="_Toc310610533"/>
      <w:bookmarkStart w:id="587" w:name="_Toc320083344"/>
      <w:r>
        <w:rPr>
          <w:rFonts w:hint="eastAsia" w:ascii="宋体" w:hAnsi="宋体" w:eastAsia="宋体" w:cs="Times New Roman"/>
          <w:b/>
          <w:szCs w:val="28"/>
        </w:rPr>
        <w:t>格式B6：</w:t>
      </w:r>
      <w:r>
        <w:rPr>
          <w:rFonts w:hint="eastAsia" w:ascii="宋体" w:hAnsi="宋体" w:eastAsia="宋体" w:cs="Times New Roman"/>
          <w:b/>
          <w:bCs/>
          <w:szCs w:val="21"/>
        </w:rPr>
        <w:t>商务条款响应表格式</w:t>
      </w:r>
    </w:p>
    <w:p w14:paraId="3532E395">
      <w:pPr>
        <w:wordWrap w:val="0"/>
        <w:spacing w:line="360" w:lineRule="auto"/>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商务</w:t>
      </w:r>
      <w:bookmarkEnd w:id="584"/>
      <w:bookmarkEnd w:id="585"/>
      <w:bookmarkEnd w:id="586"/>
      <w:bookmarkEnd w:id="587"/>
      <w:r>
        <w:rPr>
          <w:rFonts w:hint="eastAsia" w:ascii="宋体" w:hAnsi="宋体" w:eastAsia="宋体" w:cs="Times New Roman"/>
          <w:b/>
          <w:bCs/>
          <w:kern w:val="0"/>
          <w:sz w:val="28"/>
          <w:szCs w:val="28"/>
        </w:rPr>
        <w:t>条款响应表</w:t>
      </w:r>
    </w:p>
    <w:tbl>
      <w:tblPr>
        <w:tblStyle w:val="9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5"/>
        <w:gridCol w:w="1428"/>
        <w:gridCol w:w="1778"/>
        <w:gridCol w:w="1785"/>
        <w:gridCol w:w="1605"/>
        <w:gridCol w:w="1606"/>
      </w:tblGrid>
      <w:tr w14:paraId="282F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 w:hRule="atLeast"/>
          <w:jc w:val="center"/>
        </w:trPr>
        <w:tc>
          <w:tcPr>
            <w:tcW w:w="725" w:type="dxa"/>
            <w:vAlign w:val="center"/>
          </w:tcPr>
          <w:p w14:paraId="2BAB0E68">
            <w:pPr>
              <w:wordWrap w:val="0"/>
              <w:adjustRightInd w:val="0"/>
              <w:jc w:val="center"/>
              <w:rPr>
                <w:rFonts w:ascii="Arial" w:hAnsi="Arial" w:eastAsia="宋体" w:cs="Arial"/>
                <w:b/>
                <w:szCs w:val="21"/>
              </w:rPr>
            </w:pPr>
            <w:r>
              <w:rPr>
                <w:rFonts w:hint="eastAsia" w:ascii="Arial" w:hAnsi="Arial" w:eastAsia="宋体" w:cs="Arial"/>
                <w:b/>
                <w:szCs w:val="21"/>
              </w:rPr>
              <w:t>序号</w:t>
            </w:r>
          </w:p>
        </w:tc>
        <w:tc>
          <w:tcPr>
            <w:tcW w:w="1428" w:type="dxa"/>
            <w:vAlign w:val="center"/>
          </w:tcPr>
          <w:p w14:paraId="401B0254">
            <w:pPr>
              <w:wordWrap w:val="0"/>
              <w:adjustRightInd w:val="0"/>
              <w:jc w:val="center"/>
              <w:rPr>
                <w:rFonts w:ascii="Arial" w:hAnsi="Arial" w:eastAsia="宋体" w:cs="Arial"/>
                <w:b/>
                <w:szCs w:val="21"/>
              </w:rPr>
            </w:pPr>
            <w:r>
              <w:rPr>
                <w:rFonts w:hint="eastAsia" w:ascii="Arial" w:hAnsi="Arial" w:eastAsia="宋体" w:cs="Arial"/>
                <w:b/>
                <w:szCs w:val="21"/>
              </w:rPr>
              <w:t>招标文件</w:t>
            </w:r>
          </w:p>
          <w:p w14:paraId="1D12AD4B">
            <w:pPr>
              <w:wordWrap w:val="0"/>
              <w:adjustRightInd w:val="0"/>
              <w:jc w:val="center"/>
              <w:rPr>
                <w:rFonts w:ascii="Arial" w:hAnsi="Arial" w:eastAsia="宋体" w:cs="Arial"/>
                <w:b/>
                <w:szCs w:val="21"/>
              </w:rPr>
            </w:pPr>
            <w:r>
              <w:rPr>
                <w:rFonts w:hint="eastAsia" w:ascii="Arial" w:hAnsi="Arial" w:eastAsia="宋体" w:cs="Arial"/>
                <w:b/>
                <w:szCs w:val="21"/>
              </w:rPr>
              <w:t>条目号</w:t>
            </w:r>
          </w:p>
        </w:tc>
        <w:tc>
          <w:tcPr>
            <w:tcW w:w="1778" w:type="dxa"/>
            <w:vAlign w:val="center"/>
          </w:tcPr>
          <w:p w14:paraId="41E5C923">
            <w:pPr>
              <w:wordWrap w:val="0"/>
              <w:adjustRightInd w:val="0"/>
              <w:jc w:val="center"/>
              <w:rPr>
                <w:rFonts w:ascii="Arial" w:hAnsi="Arial" w:eastAsia="宋体" w:cs="Arial"/>
                <w:b/>
                <w:szCs w:val="21"/>
              </w:rPr>
            </w:pPr>
            <w:r>
              <w:rPr>
                <w:rFonts w:hint="eastAsia" w:ascii="Arial" w:hAnsi="Arial" w:eastAsia="宋体" w:cs="Arial"/>
                <w:b/>
                <w:szCs w:val="21"/>
              </w:rPr>
              <w:t>招标文件要求</w:t>
            </w:r>
          </w:p>
        </w:tc>
        <w:tc>
          <w:tcPr>
            <w:tcW w:w="1785" w:type="dxa"/>
            <w:vAlign w:val="center"/>
          </w:tcPr>
          <w:p w14:paraId="09E582BD">
            <w:pPr>
              <w:wordWrap w:val="0"/>
              <w:adjustRightInd w:val="0"/>
              <w:jc w:val="center"/>
              <w:rPr>
                <w:rFonts w:ascii="Arial" w:hAnsi="Arial" w:eastAsia="宋体" w:cs="Arial"/>
                <w:b/>
                <w:szCs w:val="21"/>
              </w:rPr>
            </w:pPr>
            <w:r>
              <w:rPr>
                <w:rFonts w:hint="eastAsia" w:ascii="Arial" w:hAnsi="Arial" w:eastAsia="宋体" w:cs="Arial"/>
                <w:b/>
                <w:szCs w:val="21"/>
              </w:rPr>
              <w:t>投标文件</w:t>
            </w:r>
          </w:p>
          <w:p w14:paraId="4CCF088D">
            <w:pPr>
              <w:wordWrap w:val="0"/>
              <w:adjustRightInd w:val="0"/>
              <w:jc w:val="center"/>
              <w:rPr>
                <w:rFonts w:ascii="Arial" w:hAnsi="Arial" w:eastAsia="宋体" w:cs="Arial"/>
                <w:b/>
                <w:szCs w:val="21"/>
              </w:rPr>
            </w:pPr>
            <w:r>
              <w:rPr>
                <w:rFonts w:hint="eastAsia" w:ascii="Arial" w:hAnsi="Arial" w:eastAsia="宋体" w:cs="Arial"/>
                <w:b/>
                <w:szCs w:val="21"/>
              </w:rPr>
              <w:t>响应</w:t>
            </w:r>
          </w:p>
        </w:tc>
        <w:tc>
          <w:tcPr>
            <w:tcW w:w="1605" w:type="dxa"/>
            <w:vAlign w:val="center"/>
          </w:tcPr>
          <w:p w14:paraId="50B69A44">
            <w:pPr>
              <w:wordWrap w:val="0"/>
              <w:adjustRightInd w:val="0"/>
              <w:jc w:val="center"/>
              <w:rPr>
                <w:rFonts w:ascii="Arial" w:hAnsi="Arial" w:eastAsia="宋体" w:cs="Arial"/>
                <w:b/>
                <w:szCs w:val="21"/>
              </w:rPr>
            </w:pPr>
            <w:r>
              <w:rPr>
                <w:rFonts w:hint="eastAsia" w:ascii="Arial" w:hAnsi="Arial" w:eastAsia="宋体" w:cs="Arial"/>
                <w:b/>
                <w:szCs w:val="21"/>
              </w:rPr>
              <w:t>偏离</w:t>
            </w:r>
          </w:p>
        </w:tc>
        <w:tc>
          <w:tcPr>
            <w:tcW w:w="1606" w:type="dxa"/>
            <w:vAlign w:val="center"/>
          </w:tcPr>
          <w:p w14:paraId="07043597">
            <w:pPr>
              <w:wordWrap w:val="0"/>
              <w:adjustRightInd w:val="0"/>
              <w:jc w:val="center"/>
              <w:rPr>
                <w:rFonts w:ascii="Arial" w:hAnsi="Arial" w:eastAsia="宋体" w:cs="Arial"/>
                <w:b/>
                <w:szCs w:val="21"/>
              </w:rPr>
            </w:pPr>
            <w:r>
              <w:rPr>
                <w:rFonts w:hint="eastAsia" w:ascii="Arial" w:hAnsi="Arial" w:eastAsia="宋体" w:cs="Arial"/>
                <w:b/>
                <w:szCs w:val="21"/>
              </w:rPr>
              <w:t>说明</w:t>
            </w:r>
          </w:p>
        </w:tc>
      </w:tr>
      <w:tr w14:paraId="36BE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42D3A0ED">
            <w:pPr>
              <w:wordWrap w:val="0"/>
              <w:adjustRightInd w:val="0"/>
              <w:spacing w:line="440" w:lineRule="exact"/>
              <w:jc w:val="center"/>
              <w:rPr>
                <w:rFonts w:ascii="Arial" w:hAnsi="Arial" w:eastAsia="宋体" w:cs="Arial"/>
                <w:sz w:val="24"/>
                <w:szCs w:val="24"/>
                <w:u w:val="single"/>
              </w:rPr>
            </w:pPr>
          </w:p>
        </w:tc>
        <w:tc>
          <w:tcPr>
            <w:tcW w:w="1428" w:type="dxa"/>
            <w:vAlign w:val="center"/>
          </w:tcPr>
          <w:p w14:paraId="713E3018">
            <w:pPr>
              <w:wordWrap w:val="0"/>
              <w:adjustRightInd w:val="0"/>
              <w:spacing w:line="440" w:lineRule="exact"/>
              <w:jc w:val="center"/>
              <w:rPr>
                <w:rFonts w:ascii="Arial" w:hAnsi="Arial" w:eastAsia="宋体" w:cs="Arial"/>
                <w:sz w:val="24"/>
                <w:szCs w:val="24"/>
                <w:u w:val="single"/>
              </w:rPr>
            </w:pPr>
          </w:p>
        </w:tc>
        <w:tc>
          <w:tcPr>
            <w:tcW w:w="1778" w:type="dxa"/>
            <w:vAlign w:val="center"/>
          </w:tcPr>
          <w:p w14:paraId="257A2DF5">
            <w:pPr>
              <w:wordWrap w:val="0"/>
              <w:adjustRightInd w:val="0"/>
              <w:spacing w:line="440" w:lineRule="exact"/>
              <w:jc w:val="center"/>
              <w:rPr>
                <w:rFonts w:ascii="Arial" w:hAnsi="Arial" w:eastAsia="宋体" w:cs="Arial"/>
                <w:sz w:val="24"/>
                <w:szCs w:val="24"/>
                <w:u w:val="single"/>
              </w:rPr>
            </w:pPr>
          </w:p>
        </w:tc>
        <w:tc>
          <w:tcPr>
            <w:tcW w:w="1785" w:type="dxa"/>
            <w:vAlign w:val="center"/>
          </w:tcPr>
          <w:p w14:paraId="7F1F3A8B">
            <w:pPr>
              <w:wordWrap w:val="0"/>
              <w:adjustRightInd w:val="0"/>
              <w:spacing w:line="440" w:lineRule="exact"/>
              <w:jc w:val="center"/>
              <w:rPr>
                <w:rFonts w:ascii="Arial" w:hAnsi="Arial" w:eastAsia="宋体" w:cs="Arial"/>
                <w:sz w:val="24"/>
                <w:szCs w:val="24"/>
                <w:u w:val="single"/>
              </w:rPr>
            </w:pPr>
          </w:p>
        </w:tc>
        <w:tc>
          <w:tcPr>
            <w:tcW w:w="1605" w:type="dxa"/>
            <w:vAlign w:val="center"/>
          </w:tcPr>
          <w:p w14:paraId="15A736CE">
            <w:pPr>
              <w:wordWrap w:val="0"/>
              <w:adjustRightInd w:val="0"/>
              <w:spacing w:line="440" w:lineRule="exact"/>
              <w:jc w:val="center"/>
              <w:rPr>
                <w:rFonts w:ascii="Arial" w:hAnsi="Arial" w:eastAsia="宋体" w:cs="Arial"/>
                <w:sz w:val="24"/>
                <w:szCs w:val="24"/>
                <w:u w:val="single"/>
              </w:rPr>
            </w:pPr>
          </w:p>
        </w:tc>
        <w:tc>
          <w:tcPr>
            <w:tcW w:w="1606" w:type="dxa"/>
          </w:tcPr>
          <w:p w14:paraId="27767E64">
            <w:pPr>
              <w:wordWrap w:val="0"/>
              <w:adjustRightInd w:val="0"/>
              <w:spacing w:line="440" w:lineRule="exact"/>
              <w:jc w:val="center"/>
              <w:rPr>
                <w:rFonts w:ascii="Arial" w:hAnsi="Arial" w:eastAsia="宋体" w:cs="Arial"/>
                <w:sz w:val="24"/>
                <w:szCs w:val="24"/>
                <w:u w:val="single"/>
              </w:rPr>
            </w:pPr>
          </w:p>
        </w:tc>
      </w:tr>
      <w:tr w14:paraId="0602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3916058E">
            <w:pPr>
              <w:wordWrap w:val="0"/>
              <w:adjustRightInd w:val="0"/>
              <w:spacing w:line="440" w:lineRule="exact"/>
              <w:jc w:val="center"/>
              <w:rPr>
                <w:rFonts w:ascii="Arial" w:hAnsi="Arial" w:eastAsia="宋体" w:cs="Arial"/>
                <w:sz w:val="24"/>
                <w:szCs w:val="24"/>
                <w:u w:val="single"/>
              </w:rPr>
            </w:pPr>
          </w:p>
        </w:tc>
        <w:tc>
          <w:tcPr>
            <w:tcW w:w="1428" w:type="dxa"/>
            <w:vAlign w:val="center"/>
          </w:tcPr>
          <w:p w14:paraId="5C3F1F98">
            <w:pPr>
              <w:wordWrap w:val="0"/>
              <w:adjustRightInd w:val="0"/>
              <w:spacing w:line="440" w:lineRule="exact"/>
              <w:jc w:val="center"/>
              <w:rPr>
                <w:rFonts w:ascii="Arial" w:hAnsi="Arial" w:eastAsia="宋体" w:cs="Arial"/>
                <w:sz w:val="24"/>
                <w:szCs w:val="24"/>
                <w:u w:val="single"/>
              </w:rPr>
            </w:pPr>
          </w:p>
        </w:tc>
        <w:tc>
          <w:tcPr>
            <w:tcW w:w="1778" w:type="dxa"/>
            <w:vAlign w:val="center"/>
          </w:tcPr>
          <w:p w14:paraId="24576653">
            <w:pPr>
              <w:wordWrap w:val="0"/>
              <w:adjustRightInd w:val="0"/>
              <w:spacing w:line="440" w:lineRule="exact"/>
              <w:jc w:val="center"/>
              <w:rPr>
                <w:rFonts w:ascii="Arial" w:hAnsi="Arial" w:eastAsia="宋体" w:cs="Arial"/>
                <w:sz w:val="24"/>
                <w:szCs w:val="24"/>
                <w:u w:val="single"/>
              </w:rPr>
            </w:pPr>
          </w:p>
        </w:tc>
        <w:tc>
          <w:tcPr>
            <w:tcW w:w="1785" w:type="dxa"/>
            <w:vAlign w:val="center"/>
          </w:tcPr>
          <w:p w14:paraId="7E77E35A">
            <w:pPr>
              <w:wordWrap w:val="0"/>
              <w:adjustRightInd w:val="0"/>
              <w:spacing w:line="440" w:lineRule="exact"/>
              <w:jc w:val="center"/>
              <w:rPr>
                <w:rFonts w:ascii="Arial" w:hAnsi="Arial" w:eastAsia="宋体" w:cs="Arial"/>
                <w:sz w:val="24"/>
                <w:szCs w:val="24"/>
                <w:u w:val="single"/>
              </w:rPr>
            </w:pPr>
          </w:p>
        </w:tc>
        <w:tc>
          <w:tcPr>
            <w:tcW w:w="1605" w:type="dxa"/>
            <w:vAlign w:val="center"/>
          </w:tcPr>
          <w:p w14:paraId="707D327B">
            <w:pPr>
              <w:wordWrap w:val="0"/>
              <w:adjustRightInd w:val="0"/>
              <w:spacing w:line="440" w:lineRule="exact"/>
              <w:jc w:val="center"/>
              <w:rPr>
                <w:rFonts w:ascii="Arial" w:hAnsi="Arial" w:eastAsia="宋体" w:cs="Arial"/>
                <w:sz w:val="24"/>
                <w:szCs w:val="24"/>
                <w:u w:val="single"/>
              </w:rPr>
            </w:pPr>
          </w:p>
        </w:tc>
        <w:tc>
          <w:tcPr>
            <w:tcW w:w="1606" w:type="dxa"/>
          </w:tcPr>
          <w:p w14:paraId="4AB65031">
            <w:pPr>
              <w:wordWrap w:val="0"/>
              <w:adjustRightInd w:val="0"/>
              <w:spacing w:line="440" w:lineRule="exact"/>
              <w:jc w:val="center"/>
              <w:rPr>
                <w:rFonts w:ascii="Arial" w:hAnsi="Arial" w:eastAsia="宋体" w:cs="Arial"/>
                <w:sz w:val="24"/>
                <w:szCs w:val="24"/>
                <w:u w:val="single"/>
              </w:rPr>
            </w:pPr>
          </w:p>
        </w:tc>
      </w:tr>
      <w:tr w14:paraId="54D4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6F3C380D">
            <w:pPr>
              <w:wordWrap w:val="0"/>
              <w:adjustRightInd w:val="0"/>
              <w:spacing w:line="440" w:lineRule="exact"/>
              <w:jc w:val="center"/>
              <w:rPr>
                <w:rFonts w:ascii="Arial" w:hAnsi="Arial" w:eastAsia="宋体" w:cs="Arial"/>
                <w:sz w:val="24"/>
                <w:szCs w:val="24"/>
                <w:u w:val="single"/>
              </w:rPr>
            </w:pPr>
          </w:p>
        </w:tc>
        <w:tc>
          <w:tcPr>
            <w:tcW w:w="1428" w:type="dxa"/>
            <w:vAlign w:val="center"/>
          </w:tcPr>
          <w:p w14:paraId="0FC67AD4">
            <w:pPr>
              <w:wordWrap w:val="0"/>
              <w:adjustRightInd w:val="0"/>
              <w:spacing w:line="440" w:lineRule="exact"/>
              <w:jc w:val="center"/>
              <w:rPr>
                <w:rFonts w:ascii="Arial" w:hAnsi="Arial" w:eastAsia="宋体" w:cs="Arial"/>
                <w:sz w:val="24"/>
                <w:szCs w:val="24"/>
                <w:u w:val="single"/>
              </w:rPr>
            </w:pPr>
          </w:p>
        </w:tc>
        <w:tc>
          <w:tcPr>
            <w:tcW w:w="1778" w:type="dxa"/>
            <w:vAlign w:val="center"/>
          </w:tcPr>
          <w:p w14:paraId="5307E2F1">
            <w:pPr>
              <w:wordWrap w:val="0"/>
              <w:adjustRightInd w:val="0"/>
              <w:spacing w:line="440" w:lineRule="exact"/>
              <w:jc w:val="center"/>
              <w:rPr>
                <w:rFonts w:ascii="Arial" w:hAnsi="Arial" w:eastAsia="宋体" w:cs="Arial"/>
                <w:sz w:val="24"/>
                <w:szCs w:val="24"/>
                <w:u w:val="single"/>
              </w:rPr>
            </w:pPr>
          </w:p>
        </w:tc>
        <w:tc>
          <w:tcPr>
            <w:tcW w:w="1785" w:type="dxa"/>
            <w:vAlign w:val="center"/>
          </w:tcPr>
          <w:p w14:paraId="26F7A592">
            <w:pPr>
              <w:wordWrap w:val="0"/>
              <w:adjustRightInd w:val="0"/>
              <w:spacing w:line="440" w:lineRule="exact"/>
              <w:jc w:val="center"/>
              <w:rPr>
                <w:rFonts w:ascii="Arial" w:hAnsi="Arial" w:eastAsia="宋体" w:cs="Arial"/>
                <w:sz w:val="24"/>
                <w:szCs w:val="24"/>
                <w:u w:val="single"/>
              </w:rPr>
            </w:pPr>
          </w:p>
        </w:tc>
        <w:tc>
          <w:tcPr>
            <w:tcW w:w="1605" w:type="dxa"/>
            <w:vAlign w:val="center"/>
          </w:tcPr>
          <w:p w14:paraId="73F32E2A">
            <w:pPr>
              <w:wordWrap w:val="0"/>
              <w:adjustRightInd w:val="0"/>
              <w:spacing w:line="440" w:lineRule="exact"/>
              <w:jc w:val="center"/>
              <w:rPr>
                <w:rFonts w:ascii="Arial" w:hAnsi="Arial" w:eastAsia="宋体" w:cs="Arial"/>
                <w:sz w:val="24"/>
                <w:szCs w:val="24"/>
                <w:u w:val="single"/>
              </w:rPr>
            </w:pPr>
          </w:p>
        </w:tc>
        <w:tc>
          <w:tcPr>
            <w:tcW w:w="1606" w:type="dxa"/>
          </w:tcPr>
          <w:p w14:paraId="5F45F089">
            <w:pPr>
              <w:wordWrap w:val="0"/>
              <w:adjustRightInd w:val="0"/>
              <w:spacing w:line="440" w:lineRule="exact"/>
              <w:jc w:val="center"/>
              <w:rPr>
                <w:rFonts w:ascii="Arial" w:hAnsi="Arial" w:eastAsia="宋体" w:cs="Arial"/>
                <w:sz w:val="24"/>
                <w:szCs w:val="24"/>
                <w:u w:val="single"/>
              </w:rPr>
            </w:pPr>
          </w:p>
        </w:tc>
      </w:tr>
      <w:tr w14:paraId="577B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0DA4A720">
            <w:pPr>
              <w:wordWrap w:val="0"/>
              <w:adjustRightInd w:val="0"/>
              <w:spacing w:line="440" w:lineRule="exact"/>
              <w:jc w:val="center"/>
              <w:rPr>
                <w:rFonts w:ascii="Arial" w:hAnsi="Arial" w:eastAsia="宋体" w:cs="Arial"/>
                <w:sz w:val="24"/>
                <w:szCs w:val="24"/>
                <w:u w:val="single"/>
              </w:rPr>
            </w:pPr>
          </w:p>
        </w:tc>
        <w:tc>
          <w:tcPr>
            <w:tcW w:w="1428" w:type="dxa"/>
            <w:vAlign w:val="center"/>
          </w:tcPr>
          <w:p w14:paraId="5A42163A">
            <w:pPr>
              <w:wordWrap w:val="0"/>
              <w:adjustRightInd w:val="0"/>
              <w:spacing w:line="440" w:lineRule="exact"/>
              <w:jc w:val="center"/>
              <w:rPr>
                <w:rFonts w:ascii="Arial" w:hAnsi="Arial" w:eastAsia="宋体" w:cs="Arial"/>
                <w:sz w:val="24"/>
                <w:szCs w:val="24"/>
                <w:u w:val="single"/>
              </w:rPr>
            </w:pPr>
          </w:p>
        </w:tc>
        <w:tc>
          <w:tcPr>
            <w:tcW w:w="1778" w:type="dxa"/>
            <w:vAlign w:val="center"/>
          </w:tcPr>
          <w:p w14:paraId="570BCB44">
            <w:pPr>
              <w:wordWrap w:val="0"/>
              <w:adjustRightInd w:val="0"/>
              <w:spacing w:line="440" w:lineRule="exact"/>
              <w:jc w:val="center"/>
              <w:rPr>
                <w:rFonts w:ascii="Arial" w:hAnsi="Arial" w:eastAsia="宋体" w:cs="Arial"/>
                <w:sz w:val="24"/>
                <w:szCs w:val="24"/>
                <w:u w:val="single"/>
              </w:rPr>
            </w:pPr>
          </w:p>
        </w:tc>
        <w:tc>
          <w:tcPr>
            <w:tcW w:w="1785" w:type="dxa"/>
            <w:vAlign w:val="center"/>
          </w:tcPr>
          <w:p w14:paraId="76863E86">
            <w:pPr>
              <w:wordWrap w:val="0"/>
              <w:adjustRightInd w:val="0"/>
              <w:spacing w:line="440" w:lineRule="exact"/>
              <w:jc w:val="center"/>
              <w:rPr>
                <w:rFonts w:ascii="Arial" w:hAnsi="Arial" w:eastAsia="宋体" w:cs="Arial"/>
                <w:sz w:val="24"/>
                <w:szCs w:val="24"/>
                <w:u w:val="single"/>
              </w:rPr>
            </w:pPr>
          </w:p>
        </w:tc>
        <w:tc>
          <w:tcPr>
            <w:tcW w:w="1605" w:type="dxa"/>
            <w:vAlign w:val="center"/>
          </w:tcPr>
          <w:p w14:paraId="12774CEF">
            <w:pPr>
              <w:wordWrap w:val="0"/>
              <w:adjustRightInd w:val="0"/>
              <w:spacing w:line="440" w:lineRule="exact"/>
              <w:jc w:val="center"/>
              <w:rPr>
                <w:rFonts w:ascii="Arial" w:hAnsi="Arial" w:eastAsia="宋体" w:cs="Arial"/>
                <w:sz w:val="24"/>
                <w:szCs w:val="24"/>
                <w:u w:val="single"/>
              </w:rPr>
            </w:pPr>
          </w:p>
        </w:tc>
        <w:tc>
          <w:tcPr>
            <w:tcW w:w="1606" w:type="dxa"/>
          </w:tcPr>
          <w:p w14:paraId="60D1AB01">
            <w:pPr>
              <w:wordWrap w:val="0"/>
              <w:adjustRightInd w:val="0"/>
              <w:spacing w:line="440" w:lineRule="exact"/>
              <w:jc w:val="center"/>
              <w:rPr>
                <w:rFonts w:ascii="Arial" w:hAnsi="Arial" w:eastAsia="宋体" w:cs="Arial"/>
                <w:sz w:val="24"/>
                <w:szCs w:val="24"/>
                <w:u w:val="single"/>
              </w:rPr>
            </w:pPr>
          </w:p>
        </w:tc>
      </w:tr>
      <w:tr w14:paraId="110F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743B6AD1">
            <w:pPr>
              <w:wordWrap w:val="0"/>
              <w:adjustRightInd w:val="0"/>
              <w:spacing w:line="440" w:lineRule="exact"/>
              <w:jc w:val="center"/>
              <w:rPr>
                <w:rFonts w:ascii="Arial" w:hAnsi="Arial" w:eastAsia="宋体" w:cs="Arial"/>
                <w:sz w:val="24"/>
                <w:szCs w:val="24"/>
                <w:u w:val="single"/>
              </w:rPr>
            </w:pPr>
          </w:p>
        </w:tc>
        <w:tc>
          <w:tcPr>
            <w:tcW w:w="1428" w:type="dxa"/>
            <w:vAlign w:val="center"/>
          </w:tcPr>
          <w:p w14:paraId="6AA55861">
            <w:pPr>
              <w:wordWrap w:val="0"/>
              <w:adjustRightInd w:val="0"/>
              <w:spacing w:line="440" w:lineRule="exact"/>
              <w:jc w:val="center"/>
              <w:rPr>
                <w:rFonts w:ascii="Arial" w:hAnsi="Arial" w:eastAsia="宋体" w:cs="Arial"/>
                <w:sz w:val="24"/>
                <w:szCs w:val="24"/>
                <w:u w:val="single"/>
              </w:rPr>
            </w:pPr>
          </w:p>
        </w:tc>
        <w:tc>
          <w:tcPr>
            <w:tcW w:w="1778" w:type="dxa"/>
            <w:vAlign w:val="center"/>
          </w:tcPr>
          <w:p w14:paraId="07D8DF90">
            <w:pPr>
              <w:wordWrap w:val="0"/>
              <w:adjustRightInd w:val="0"/>
              <w:spacing w:line="440" w:lineRule="exact"/>
              <w:jc w:val="center"/>
              <w:rPr>
                <w:rFonts w:ascii="Arial" w:hAnsi="Arial" w:eastAsia="宋体" w:cs="Arial"/>
                <w:sz w:val="24"/>
                <w:szCs w:val="24"/>
                <w:u w:val="single"/>
              </w:rPr>
            </w:pPr>
          </w:p>
        </w:tc>
        <w:tc>
          <w:tcPr>
            <w:tcW w:w="1785" w:type="dxa"/>
            <w:vAlign w:val="center"/>
          </w:tcPr>
          <w:p w14:paraId="0CA0DBA4">
            <w:pPr>
              <w:wordWrap w:val="0"/>
              <w:adjustRightInd w:val="0"/>
              <w:spacing w:line="440" w:lineRule="exact"/>
              <w:jc w:val="center"/>
              <w:rPr>
                <w:rFonts w:ascii="Arial" w:hAnsi="Arial" w:eastAsia="宋体" w:cs="Arial"/>
                <w:sz w:val="24"/>
                <w:szCs w:val="24"/>
                <w:u w:val="single"/>
              </w:rPr>
            </w:pPr>
          </w:p>
        </w:tc>
        <w:tc>
          <w:tcPr>
            <w:tcW w:w="1605" w:type="dxa"/>
            <w:vAlign w:val="center"/>
          </w:tcPr>
          <w:p w14:paraId="0E3CEFDA">
            <w:pPr>
              <w:wordWrap w:val="0"/>
              <w:adjustRightInd w:val="0"/>
              <w:spacing w:line="440" w:lineRule="exact"/>
              <w:jc w:val="center"/>
              <w:rPr>
                <w:rFonts w:ascii="Arial" w:hAnsi="Arial" w:eastAsia="宋体" w:cs="Arial"/>
                <w:sz w:val="24"/>
                <w:szCs w:val="24"/>
                <w:u w:val="single"/>
              </w:rPr>
            </w:pPr>
          </w:p>
        </w:tc>
        <w:tc>
          <w:tcPr>
            <w:tcW w:w="1606" w:type="dxa"/>
          </w:tcPr>
          <w:p w14:paraId="05BF4F7C">
            <w:pPr>
              <w:wordWrap w:val="0"/>
              <w:adjustRightInd w:val="0"/>
              <w:spacing w:line="440" w:lineRule="exact"/>
              <w:jc w:val="center"/>
              <w:rPr>
                <w:rFonts w:ascii="Arial" w:hAnsi="Arial" w:eastAsia="宋体" w:cs="Arial"/>
                <w:sz w:val="24"/>
                <w:szCs w:val="24"/>
                <w:u w:val="single"/>
              </w:rPr>
            </w:pPr>
          </w:p>
        </w:tc>
      </w:tr>
      <w:tr w14:paraId="7E72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8927" w:type="dxa"/>
            <w:gridSpan w:val="6"/>
            <w:vAlign w:val="center"/>
          </w:tcPr>
          <w:p w14:paraId="2705D3BD">
            <w:pPr>
              <w:wordWrap w:val="0"/>
              <w:spacing w:line="440" w:lineRule="exact"/>
              <w:rPr>
                <w:rFonts w:ascii="Arial" w:hAnsi="Arial" w:eastAsia="宋体" w:cs="Arial"/>
                <w:szCs w:val="21"/>
                <w:highlight w:val="none"/>
              </w:rPr>
            </w:pPr>
            <w:r>
              <w:rPr>
                <w:rFonts w:hint="eastAsia" w:ascii="Arial" w:hAnsi="Arial" w:eastAsia="宋体" w:cs="Arial"/>
                <w:szCs w:val="21"/>
                <w:highlight w:val="none"/>
              </w:rPr>
              <w:t>我方确认：除了表中所列的条款外，我方的投标函将依从招标文件对于商务的全部要求和规定。</w:t>
            </w:r>
          </w:p>
        </w:tc>
      </w:tr>
    </w:tbl>
    <w:p w14:paraId="5652DC56">
      <w:pPr>
        <w:tabs>
          <w:tab w:val="left" w:pos="9120"/>
        </w:tabs>
        <w:wordWrap w:val="0"/>
        <w:ind w:firstLine="420" w:firstLineChars="200"/>
        <w:rPr>
          <w:rFonts w:hint="eastAsia" w:ascii="宋体" w:hAnsi="宋体" w:eastAsia="宋体" w:cs="Arial"/>
          <w:szCs w:val="24"/>
          <w:highlight w:val="none"/>
        </w:rPr>
      </w:pPr>
      <w:r>
        <w:rPr>
          <w:rFonts w:hint="eastAsia" w:ascii="宋体" w:hAnsi="宋体" w:eastAsia="宋体" w:cs="Arial"/>
          <w:szCs w:val="24"/>
          <w:highlight w:val="none"/>
        </w:rPr>
        <w:t>注：</w:t>
      </w:r>
    </w:p>
    <w:p w14:paraId="758702B8">
      <w:pPr>
        <w:tabs>
          <w:tab w:val="left" w:pos="9120"/>
        </w:tabs>
        <w:wordWrap w:val="0"/>
        <w:spacing w:line="360" w:lineRule="auto"/>
        <w:ind w:firstLine="420" w:firstLineChars="200"/>
        <w:rPr>
          <w:rFonts w:hint="eastAsia" w:ascii="宋体" w:hAnsi="宋体" w:eastAsia="宋体" w:cs="Arial"/>
          <w:kern w:val="0"/>
          <w:szCs w:val="24"/>
          <w:highlight w:val="none"/>
        </w:rPr>
      </w:pPr>
      <w:r>
        <w:rPr>
          <w:rFonts w:hint="eastAsia" w:ascii="宋体" w:hAnsi="宋体" w:eastAsia="宋体" w:cs="Arial"/>
          <w:szCs w:val="24"/>
          <w:highlight w:val="none"/>
        </w:rPr>
        <w:t>1、</w:t>
      </w:r>
      <w:r>
        <w:rPr>
          <w:rFonts w:hint="eastAsia" w:ascii="宋体" w:hAnsi="宋体" w:eastAsia="宋体" w:cs="Arial"/>
          <w:kern w:val="0"/>
          <w:szCs w:val="24"/>
          <w:highlight w:val="none"/>
        </w:rPr>
        <w:t>投标人必须仔细阅读招标文件所有条款（含合同条款），并对所有偏离的条目列入上表，未列入上表的视作投标人完全接受。</w:t>
      </w:r>
    </w:p>
    <w:p w14:paraId="7D3DBE88">
      <w:pPr>
        <w:tabs>
          <w:tab w:val="left" w:pos="9120"/>
        </w:tabs>
        <w:wordWrap w:val="0"/>
        <w:spacing w:line="360" w:lineRule="auto"/>
        <w:ind w:firstLine="420" w:firstLineChars="200"/>
        <w:rPr>
          <w:rFonts w:hint="eastAsia" w:ascii="宋体" w:hAnsi="宋体" w:eastAsia="宋体" w:cs="Arial"/>
          <w:b/>
          <w:szCs w:val="24"/>
          <w:highlight w:val="none"/>
        </w:rPr>
      </w:pPr>
      <w:r>
        <w:rPr>
          <w:rFonts w:hint="eastAsia" w:ascii="宋体" w:hAnsi="宋体" w:eastAsia="宋体" w:cs="Arial"/>
          <w:kern w:val="0"/>
          <w:szCs w:val="24"/>
          <w:highlight w:val="none"/>
        </w:rPr>
        <w:t>2、投标人如无偏离，可在上表空格中填写内容 “/”或者“完全响应”表示。</w:t>
      </w:r>
    </w:p>
    <w:p w14:paraId="413BC144">
      <w:pPr>
        <w:tabs>
          <w:tab w:val="left" w:pos="9120"/>
        </w:tabs>
        <w:wordWrap w:val="0"/>
        <w:spacing w:line="360" w:lineRule="auto"/>
        <w:ind w:firstLine="420" w:firstLineChars="200"/>
        <w:rPr>
          <w:rFonts w:hint="eastAsia" w:ascii="宋体" w:hAnsi="宋体" w:eastAsia="宋体" w:cs="Arial"/>
          <w:kern w:val="0"/>
          <w:szCs w:val="24"/>
          <w:highlight w:val="none"/>
        </w:rPr>
      </w:pPr>
      <w:r>
        <w:rPr>
          <w:rFonts w:hint="eastAsia" w:ascii="宋体" w:hAnsi="宋体" w:eastAsia="宋体" w:cs="Arial"/>
          <w:kern w:val="0"/>
          <w:szCs w:val="24"/>
          <w:highlight w:val="none"/>
        </w:rPr>
        <w:t>3、如有任意一项负偏离，投标无效。</w:t>
      </w:r>
    </w:p>
    <w:p w14:paraId="1999C72F">
      <w:pPr>
        <w:tabs>
          <w:tab w:val="left" w:pos="9120"/>
        </w:tabs>
        <w:wordWrap w:val="0"/>
        <w:spacing w:line="360" w:lineRule="auto"/>
        <w:ind w:firstLine="420" w:firstLineChars="200"/>
        <w:rPr>
          <w:rFonts w:hint="eastAsia" w:ascii="宋体" w:hAnsi="宋体" w:eastAsia="宋体" w:cs="Arial"/>
          <w:szCs w:val="24"/>
        </w:rPr>
      </w:pPr>
    </w:p>
    <w:p w14:paraId="7EFD2828">
      <w:pPr>
        <w:wordWrap w:val="0"/>
        <w:spacing w:before="120" w:beforeLines="50" w:line="360" w:lineRule="auto"/>
        <w:ind w:left="479" w:leftChars="220" w:right="-57" w:rightChars="-27" w:hanging="17"/>
        <w:rPr>
          <w:rFonts w:hint="eastAsia" w:ascii="宋体" w:hAnsi="宋体" w:eastAsia="宋体" w:cs="Times New Roman"/>
          <w:kern w:val="0"/>
          <w:sz w:val="24"/>
          <w:szCs w:val="24"/>
        </w:rPr>
      </w:pPr>
      <w:r>
        <w:rPr>
          <w:rFonts w:hint="eastAsia" w:ascii="宋体" w:hAnsi="宋体" w:eastAsia="宋体" w:cs="宋体"/>
          <w:szCs w:val="24"/>
          <w:lang w:bidi="ar"/>
        </w:rPr>
        <w:t>投标人：（公章）</w:t>
      </w:r>
    </w:p>
    <w:p w14:paraId="185C1B38">
      <w:pPr>
        <w:wordWrap w:val="0"/>
        <w:spacing w:before="120" w:beforeLines="50" w:line="360" w:lineRule="auto"/>
        <w:ind w:left="478" w:leftChars="227" w:right="-57" w:rightChars="-27" w:hanging="1"/>
        <w:rPr>
          <w:rFonts w:hint="eastAsia" w:ascii="宋体" w:hAnsi="宋体" w:eastAsia="宋体" w:cs="Times New Roman"/>
          <w:kern w:val="0"/>
          <w:sz w:val="24"/>
          <w:szCs w:val="24"/>
        </w:rPr>
      </w:pPr>
      <w:r>
        <w:rPr>
          <w:rFonts w:hint="eastAsia" w:ascii="宋体" w:hAnsi="宋体" w:eastAsia="宋体" w:cs="宋体"/>
          <w:szCs w:val="24"/>
          <w:lang w:bidi="ar"/>
        </w:rPr>
        <w:t>法定代表人或其委托代理人：（签字或盖章）</w:t>
      </w:r>
    </w:p>
    <w:p w14:paraId="1643DD9B">
      <w:pPr>
        <w:wordWrap w:val="0"/>
        <w:spacing w:before="120" w:beforeLines="50" w:line="360" w:lineRule="auto"/>
        <w:ind w:left="463" w:leftChars="220" w:right="-57" w:rightChars="-27" w:hanging="1"/>
        <w:rPr>
          <w:rFonts w:hint="eastAsia" w:ascii="宋体" w:hAnsi="宋体" w:eastAsia="宋体" w:cs="宋体"/>
          <w:szCs w:val="24"/>
          <w:lang w:bidi="ar"/>
        </w:rPr>
      </w:pPr>
      <w:r>
        <w:rPr>
          <w:rFonts w:hint="eastAsia" w:ascii="宋体" w:hAnsi="宋体" w:eastAsia="宋体" w:cs="宋体"/>
          <w:szCs w:val="24"/>
          <w:lang w:bidi="ar"/>
        </w:rPr>
        <w:t>日</w:t>
      </w:r>
      <w:r>
        <w:rPr>
          <w:rFonts w:ascii="宋体" w:hAnsi="宋体" w:eastAsia="宋体" w:cs="Times New Roman"/>
          <w:szCs w:val="24"/>
          <w:lang w:bidi="ar"/>
        </w:rPr>
        <w:t xml:space="preserve">  </w:t>
      </w:r>
      <w:r>
        <w:rPr>
          <w:rFonts w:hint="eastAsia" w:ascii="宋体" w:hAnsi="宋体" w:eastAsia="宋体" w:cs="宋体"/>
          <w:szCs w:val="24"/>
          <w:lang w:bidi="ar"/>
        </w:rPr>
        <w:t>期：</w:t>
      </w:r>
    </w:p>
    <w:p w14:paraId="2FB69350">
      <w:pPr>
        <w:keepNext/>
        <w:keepLines/>
        <w:wordWrap w:val="0"/>
        <w:spacing w:before="60" w:after="60" w:line="413" w:lineRule="auto"/>
        <w:jc w:val="left"/>
        <w:outlineLvl w:val="1"/>
        <w:rPr>
          <w:rFonts w:hint="eastAsia" w:ascii="宋体" w:hAnsi="宋体" w:eastAsia="宋体" w:cs="Times New Roman"/>
          <w:b/>
          <w:bCs/>
          <w:sz w:val="28"/>
          <w:szCs w:val="28"/>
        </w:rPr>
      </w:pPr>
      <w:r>
        <w:rPr>
          <w:rFonts w:hint="eastAsia" w:ascii="宋体" w:hAnsi="宋体" w:eastAsia="宋体" w:cs="宋体"/>
          <w:szCs w:val="24"/>
          <w:lang w:bidi="ar"/>
        </w:rPr>
        <w:br w:type="page"/>
      </w:r>
      <w:bookmarkStart w:id="588" w:name="_Toc29786944"/>
      <w:bookmarkStart w:id="589" w:name="_Toc11400"/>
      <w:bookmarkStart w:id="590" w:name="_Toc23117"/>
      <w:bookmarkStart w:id="591" w:name="_Toc4039"/>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4519295</wp:posOffset>
                </wp:positionH>
                <wp:positionV relativeFrom="paragraph">
                  <wp:posOffset>89535</wp:posOffset>
                </wp:positionV>
                <wp:extent cx="1003300" cy="406400"/>
                <wp:effectExtent l="0" t="0" r="25400" b="1270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5B49AF1A">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5.85pt;margin-top:7.05pt;height:32pt;width:79pt;z-index:251661312;mso-width-relative:page;mso-height-relative:page;" fillcolor="#FFFFFF" filled="t" stroked="t" coordsize="21600,21600" o:gfxdata="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GcQk9YAAAAJAQAADwAAAAAAAAABACAAAAAiAAAAZHJzL2Rvd25yZXYu&#10;eG1sUEsBAhQAFAAAAAgAh07iQPvzUCg2AgAAegQAAA4AAAAAAAAAAQAgAAAAJQEAAGRycy9lMm9E&#10;b2MueG1sUEsFBgAAAAAGAAYAWQEAAM0FAAAAAA==&#10;">
                <v:fill on="t" focussize="0,0"/>
                <v:stroke color="#000000" miterlimit="8" joinstyle="miter"/>
                <v:imagedata o:title=""/>
                <o:lock v:ext="edit" aspectratio="f"/>
                <v:textbox>
                  <w:txbxContent>
                    <w:p w14:paraId="5B49AF1A">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sz w:val="24"/>
          <w:szCs w:val="24"/>
        </w:rPr>
        <w:t>三、技术文件格式</w:t>
      </w:r>
      <w:bookmarkEnd w:id="588"/>
      <w:bookmarkEnd w:id="589"/>
      <w:bookmarkEnd w:id="590"/>
      <w:bookmarkEnd w:id="591"/>
    </w:p>
    <w:p w14:paraId="21E1B7B5">
      <w:pPr>
        <w:wordWrap w:val="0"/>
        <w:spacing w:line="360" w:lineRule="auto"/>
        <w:jc w:val="left"/>
        <w:outlineLvl w:val="1"/>
        <w:rPr>
          <w:rFonts w:hint="eastAsia" w:ascii="宋体" w:hAnsi="宋体" w:eastAsia="宋体" w:cs="Times New Roman"/>
          <w:kern w:val="0"/>
          <w:szCs w:val="21"/>
        </w:rPr>
      </w:pPr>
      <w:r>
        <w:rPr>
          <w:rFonts w:hint="eastAsia" w:ascii="宋体" w:hAnsi="宋体" w:eastAsia="宋体" w:cs="Times New Roman"/>
          <w:kern w:val="0"/>
          <w:szCs w:val="21"/>
        </w:rPr>
        <w:t>（一）封面格式</w:t>
      </w:r>
    </w:p>
    <w:p w14:paraId="26B42262">
      <w:pPr>
        <w:wordWrap w:val="0"/>
        <w:jc w:val="left"/>
        <w:rPr>
          <w:rFonts w:hint="eastAsia" w:ascii="宋体" w:hAnsi="宋体" w:eastAsia="宋体" w:cs="Times New Roman"/>
          <w:kern w:val="0"/>
          <w:szCs w:val="21"/>
        </w:rPr>
      </w:pPr>
    </w:p>
    <w:p w14:paraId="739368FD">
      <w:pPr>
        <w:wordWrap w:val="0"/>
        <w:ind w:right="840"/>
        <w:rPr>
          <w:rFonts w:hint="eastAsia" w:ascii="宋体" w:hAnsi="宋体" w:eastAsia="宋体" w:cs="Times New Roman"/>
          <w:kern w:val="0"/>
          <w:szCs w:val="21"/>
        </w:rPr>
      </w:pPr>
    </w:p>
    <w:p w14:paraId="4AD24627">
      <w:pPr>
        <w:wordWrap w:val="0"/>
        <w:ind w:right="840"/>
        <w:rPr>
          <w:rFonts w:hint="eastAsia" w:ascii="宋体" w:hAnsi="宋体" w:eastAsia="宋体" w:cs="Times New Roman"/>
          <w:kern w:val="0"/>
          <w:szCs w:val="21"/>
        </w:rPr>
      </w:pPr>
    </w:p>
    <w:p w14:paraId="78F5AF0F">
      <w:pPr>
        <w:wordWrap w:val="0"/>
        <w:jc w:val="center"/>
        <w:rPr>
          <w:rFonts w:hint="eastAsia" w:ascii="宋体" w:hAnsi="宋体" w:eastAsia="宋体" w:cs="Times New Roman"/>
          <w:kern w:val="0"/>
          <w:sz w:val="32"/>
          <w:szCs w:val="32"/>
        </w:rPr>
      </w:pPr>
    </w:p>
    <w:p w14:paraId="515F4ED5">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u w:val="single"/>
        </w:rPr>
        <w:t>（项目名称）</w:t>
      </w:r>
      <w:r>
        <w:rPr>
          <w:rFonts w:hint="eastAsia" w:ascii="宋体" w:hAnsi="宋体" w:eastAsia="宋体" w:cs="Times New Roman"/>
          <w:kern w:val="0"/>
          <w:sz w:val="28"/>
          <w:szCs w:val="28"/>
          <w:u w:val="single"/>
        </w:rPr>
        <w:t>项目</w:t>
      </w:r>
    </w:p>
    <w:p w14:paraId="69283AA2">
      <w:pPr>
        <w:wordWrap w:val="0"/>
        <w:jc w:val="center"/>
        <w:rPr>
          <w:rFonts w:hint="eastAsia" w:ascii="宋体" w:hAnsi="宋体" w:eastAsia="宋体" w:cs="Times New Roman"/>
          <w:kern w:val="0"/>
          <w:sz w:val="28"/>
          <w:szCs w:val="28"/>
        </w:rPr>
      </w:pPr>
    </w:p>
    <w:p w14:paraId="6C86C3EC">
      <w:pPr>
        <w:wordWrap w:val="0"/>
        <w:jc w:val="center"/>
        <w:rPr>
          <w:rFonts w:hint="eastAsia" w:ascii="宋体" w:hAnsi="宋体" w:eastAsia="宋体" w:cs="Times New Roman"/>
          <w:kern w:val="0"/>
          <w:sz w:val="28"/>
          <w:szCs w:val="28"/>
        </w:rPr>
      </w:pPr>
    </w:p>
    <w:p w14:paraId="59A38C59">
      <w:pPr>
        <w:wordWrap w:val="0"/>
        <w:jc w:val="center"/>
        <w:rPr>
          <w:rFonts w:hint="eastAsia" w:ascii="宋体" w:hAnsi="宋体" w:eastAsia="宋体" w:cs="Times New Roman"/>
          <w:kern w:val="0"/>
          <w:sz w:val="28"/>
          <w:szCs w:val="28"/>
        </w:rPr>
      </w:pPr>
    </w:p>
    <w:p w14:paraId="5E5B696C">
      <w:pPr>
        <w:wordWrap w:val="0"/>
        <w:jc w:val="center"/>
        <w:rPr>
          <w:rFonts w:hint="eastAsia" w:ascii="宋体" w:hAnsi="宋体" w:eastAsia="宋体" w:cs="Times New Roman"/>
          <w:kern w:val="0"/>
          <w:sz w:val="28"/>
          <w:szCs w:val="28"/>
        </w:rPr>
      </w:pPr>
    </w:p>
    <w:p w14:paraId="2D6E6851">
      <w:pPr>
        <w:wordWrap w:val="0"/>
        <w:jc w:val="center"/>
        <w:rPr>
          <w:rFonts w:hint="eastAsia" w:ascii="宋体" w:hAnsi="宋体" w:eastAsia="宋体" w:cs="Times New Roman"/>
          <w:kern w:val="0"/>
          <w:sz w:val="28"/>
          <w:szCs w:val="28"/>
        </w:rPr>
      </w:pPr>
    </w:p>
    <w:p w14:paraId="6973A9A1">
      <w:pPr>
        <w:wordWrap w:val="0"/>
        <w:jc w:val="center"/>
        <w:rPr>
          <w:rFonts w:hint="eastAsia" w:ascii="宋体" w:hAnsi="宋体" w:eastAsia="宋体" w:cs="Times New Roman"/>
          <w:kern w:val="0"/>
          <w:sz w:val="28"/>
          <w:szCs w:val="28"/>
        </w:rPr>
      </w:pPr>
    </w:p>
    <w:p w14:paraId="2A5A65DD">
      <w:pPr>
        <w:wordWrap w:val="0"/>
        <w:spacing w:before="240" w:beforeLines="100" w:line="360" w:lineRule="auto"/>
        <w:jc w:val="center"/>
        <w:rPr>
          <w:rFonts w:hint="eastAsia" w:ascii="宋体" w:hAnsi="宋体" w:eastAsia="宋体" w:cs="Times New Roman"/>
          <w:kern w:val="0"/>
          <w:sz w:val="56"/>
          <w:szCs w:val="56"/>
        </w:rPr>
      </w:pPr>
      <w:r>
        <w:rPr>
          <w:rFonts w:ascii="宋体" w:hAnsi="宋体" w:eastAsia="宋体" w:cs="Times New Roman"/>
          <w:kern w:val="0"/>
          <w:sz w:val="56"/>
          <w:szCs w:val="56"/>
        </w:rPr>
        <w:t>投  标  文  件</w:t>
      </w:r>
    </w:p>
    <w:p w14:paraId="58D4F75A">
      <w:pPr>
        <w:wordWrap w:val="0"/>
        <w:spacing w:line="360" w:lineRule="auto"/>
        <w:jc w:val="center"/>
        <w:rPr>
          <w:rFonts w:hint="eastAsia" w:ascii="宋体" w:hAnsi="宋体" w:eastAsia="宋体" w:cs="Times New Roman"/>
          <w:kern w:val="0"/>
          <w:sz w:val="36"/>
          <w:szCs w:val="36"/>
          <w:u w:val="single"/>
        </w:rPr>
      </w:pPr>
      <w:r>
        <w:rPr>
          <w:rFonts w:hint="eastAsia" w:ascii="宋体" w:hAnsi="宋体" w:eastAsia="宋体" w:cs="Times New Roman"/>
          <w:kern w:val="0"/>
          <w:sz w:val="36"/>
          <w:szCs w:val="36"/>
          <w:u w:val="single"/>
        </w:rPr>
        <w:t>技术文件</w:t>
      </w:r>
    </w:p>
    <w:p w14:paraId="56275690">
      <w:pPr>
        <w:wordWrap w:val="0"/>
        <w:spacing w:line="360" w:lineRule="auto"/>
        <w:jc w:val="center"/>
        <w:rPr>
          <w:rFonts w:hint="eastAsia" w:ascii="宋体" w:hAnsi="宋体" w:eastAsia="宋体" w:cs="Times New Roman"/>
          <w:kern w:val="0"/>
          <w:sz w:val="32"/>
          <w:szCs w:val="32"/>
          <w:u w:val="single"/>
        </w:rPr>
      </w:pPr>
      <w:r>
        <w:rPr>
          <w:rFonts w:hint="eastAsia" w:ascii="宋体" w:hAnsi="宋体" w:eastAsia="宋体" w:cs="Times New Roman"/>
          <w:kern w:val="0"/>
          <w:sz w:val="32"/>
          <w:szCs w:val="32"/>
          <w:u w:val="single"/>
        </w:rPr>
        <w:t>第   册（如有分册）</w:t>
      </w:r>
    </w:p>
    <w:p w14:paraId="1074E35E">
      <w:pPr>
        <w:wordWrap w:val="0"/>
        <w:rPr>
          <w:rFonts w:hint="eastAsia" w:ascii="宋体" w:hAnsi="宋体" w:eastAsia="宋体" w:cs="Times New Roman"/>
          <w:kern w:val="0"/>
          <w:sz w:val="32"/>
          <w:szCs w:val="32"/>
        </w:rPr>
      </w:pPr>
    </w:p>
    <w:p w14:paraId="1AA90B87">
      <w:pPr>
        <w:wordWrap w:val="0"/>
        <w:spacing w:line="360" w:lineRule="auto"/>
        <w:ind w:firstLine="2380" w:firstLineChars="850"/>
        <w:rPr>
          <w:rFonts w:hint="eastAsia" w:ascii="宋体" w:hAnsi="宋体" w:eastAsia="宋体" w:cs="Times New Roman"/>
          <w:kern w:val="0"/>
          <w:sz w:val="28"/>
          <w:szCs w:val="28"/>
          <w:u w:val="single"/>
        </w:rPr>
      </w:pPr>
      <w:r>
        <w:rPr>
          <w:rFonts w:ascii="宋体" w:hAnsi="宋体" w:eastAsia="宋体" w:cs="Times New Roman"/>
          <w:kern w:val="0"/>
          <w:sz w:val="28"/>
          <w:szCs w:val="28"/>
        </w:rPr>
        <w:t>招标编号：</w:t>
      </w:r>
    </w:p>
    <w:p w14:paraId="11BB0C37">
      <w:pPr>
        <w:wordWrap w:val="0"/>
        <w:jc w:val="center"/>
        <w:rPr>
          <w:rFonts w:hint="eastAsia" w:ascii="宋体" w:hAnsi="宋体" w:eastAsia="宋体" w:cs="Times New Roman"/>
          <w:kern w:val="0"/>
          <w:sz w:val="32"/>
          <w:szCs w:val="32"/>
        </w:rPr>
      </w:pPr>
    </w:p>
    <w:p w14:paraId="4BDF7DDE">
      <w:pPr>
        <w:wordWrap w:val="0"/>
        <w:jc w:val="center"/>
        <w:rPr>
          <w:rFonts w:hint="eastAsia" w:ascii="宋体" w:hAnsi="宋体" w:eastAsia="宋体" w:cs="Times New Roman"/>
          <w:kern w:val="0"/>
          <w:sz w:val="32"/>
          <w:szCs w:val="32"/>
        </w:rPr>
      </w:pPr>
    </w:p>
    <w:p w14:paraId="7FFD61B2">
      <w:pPr>
        <w:wordWrap w:val="0"/>
        <w:rPr>
          <w:rFonts w:hint="eastAsia" w:ascii="宋体" w:hAnsi="宋体" w:eastAsia="宋体" w:cs="Times New Roman"/>
          <w:kern w:val="0"/>
          <w:sz w:val="32"/>
          <w:szCs w:val="32"/>
        </w:rPr>
      </w:pPr>
    </w:p>
    <w:p w14:paraId="20B7C445">
      <w:pPr>
        <w:wordWrap w:val="0"/>
        <w:jc w:val="center"/>
        <w:rPr>
          <w:rFonts w:hint="eastAsia" w:ascii="宋体" w:hAnsi="宋体" w:eastAsia="宋体" w:cs="Times New Roman"/>
          <w:kern w:val="0"/>
          <w:sz w:val="32"/>
          <w:szCs w:val="32"/>
        </w:rPr>
      </w:pPr>
    </w:p>
    <w:p w14:paraId="683112FA">
      <w:pPr>
        <w:wordWrap w:val="0"/>
        <w:jc w:val="center"/>
        <w:rPr>
          <w:rFonts w:hint="eastAsia" w:ascii="宋体" w:hAnsi="宋体" w:eastAsia="宋体" w:cs="Times New Roman"/>
          <w:kern w:val="0"/>
          <w:sz w:val="32"/>
          <w:szCs w:val="32"/>
        </w:rPr>
      </w:pPr>
    </w:p>
    <w:p w14:paraId="38F9CD9A">
      <w:pPr>
        <w:wordWrap w:val="0"/>
        <w:jc w:val="center"/>
        <w:rPr>
          <w:rFonts w:hint="eastAsia" w:ascii="宋体" w:hAnsi="宋体" w:eastAsia="宋体" w:cs="Times New Roman"/>
          <w:kern w:val="0"/>
          <w:sz w:val="32"/>
          <w:szCs w:val="32"/>
        </w:rPr>
      </w:pPr>
    </w:p>
    <w:p w14:paraId="2C8747BE">
      <w:pPr>
        <w:wordWrap w:val="0"/>
        <w:jc w:val="center"/>
        <w:rPr>
          <w:rFonts w:hint="eastAsia" w:ascii="宋体" w:hAnsi="宋体" w:eastAsia="宋体" w:cs="Times New Roman"/>
          <w:kern w:val="0"/>
          <w:sz w:val="32"/>
          <w:szCs w:val="32"/>
        </w:rPr>
      </w:pPr>
    </w:p>
    <w:p w14:paraId="1F04A07D">
      <w:pPr>
        <w:wordWrap w:val="0"/>
        <w:spacing w:line="360" w:lineRule="auto"/>
        <w:ind w:firstLine="1400" w:firstLineChars="500"/>
        <w:rPr>
          <w:rFonts w:hint="eastAsia" w:ascii="宋体" w:hAnsi="宋体" w:eastAsia="宋体" w:cs="Times New Roman"/>
          <w:kern w:val="0"/>
          <w:sz w:val="28"/>
          <w:szCs w:val="28"/>
        </w:rPr>
      </w:pPr>
      <w:r>
        <w:rPr>
          <w:rFonts w:ascii="宋体" w:hAnsi="宋体" w:eastAsia="宋体" w:cs="Times New Roman"/>
          <w:kern w:val="0"/>
          <w:sz w:val="28"/>
          <w:szCs w:val="28"/>
        </w:rPr>
        <w:t>投标人：（盖单位</w:t>
      </w:r>
      <w:r>
        <w:rPr>
          <w:rFonts w:hint="eastAsia" w:ascii="宋体" w:hAnsi="宋体" w:eastAsia="宋体" w:cs="Times New Roman"/>
          <w:kern w:val="0"/>
          <w:sz w:val="28"/>
          <w:szCs w:val="28"/>
        </w:rPr>
        <w:t>公</w:t>
      </w:r>
      <w:r>
        <w:rPr>
          <w:rFonts w:ascii="宋体" w:hAnsi="宋体" w:eastAsia="宋体" w:cs="Times New Roman"/>
          <w:kern w:val="0"/>
          <w:sz w:val="28"/>
          <w:szCs w:val="28"/>
        </w:rPr>
        <w:t>章）</w:t>
      </w:r>
    </w:p>
    <w:p w14:paraId="6B166B1B">
      <w:pPr>
        <w:wordWrap w:val="0"/>
        <w:spacing w:line="360" w:lineRule="auto"/>
        <w:ind w:firstLine="1400" w:firstLineChars="500"/>
        <w:rPr>
          <w:rFonts w:hint="eastAsia" w:ascii="宋体" w:hAnsi="宋体" w:eastAsia="宋体" w:cs="Times New Roman"/>
          <w:kern w:val="0"/>
          <w:sz w:val="28"/>
          <w:szCs w:val="28"/>
        </w:rPr>
      </w:pPr>
      <w:r>
        <w:rPr>
          <w:rFonts w:hint="eastAsia" w:ascii="宋体" w:hAnsi="宋体" w:eastAsia="宋体" w:cs="Times New Roman"/>
          <w:kern w:val="0"/>
          <w:sz w:val="28"/>
          <w:szCs w:val="28"/>
        </w:rPr>
        <w:t>法定代表人或其委托代理人</w:t>
      </w:r>
      <w:r>
        <w:rPr>
          <w:rFonts w:ascii="宋体" w:hAnsi="宋体" w:eastAsia="宋体" w:cs="Times New Roman"/>
          <w:kern w:val="0"/>
          <w:sz w:val="28"/>
          <w:szCs w:val="28"/>
        </w:rPr>
        <w:t>：（签字</w:t>
      </w:r>
      <w:r>
        <w:rPr>
          <w:rFonts w:hint="eastAsia" w:ascii="宋体" w:hAnsi="宋体" w:eastAsia="宋体" w:cs="Times New Roman"/>
          <w:kern w:val="0"/>
          <w:sz w:val="28"/>
          <w:szCs w:val="28"/>
        </w:rPr>
        <w:t>或盖章</w:t>
      </w:r>
      <w:r>
        <w:rPr>
          <w:rFonts w:ascii="宋体" w:hAnsi="宋体" w:eastAsia="宋体" w:cs="Times New Roman"/>
          <w:kern w:val="0"/>
          <w:sz w:val="28"/>
          <w:szCs w:val="28"/>
        </w:rPr>
        <w:t>）</w:t>
      </w:r>
    </w:p>
    <w:p w14:paraId="7DD2F84D">
      <w:pPr>
        <w:wordWrap w:val="0"/>
        <w:rPr>
          <w:rFonts w:hint="eastAsia" w:ascii="宋体" w:hAnsi="宋体" w:eastAsia="宋体" w:cs="Times New Roman"/>
          <w:kern w:val="0"/>
          <w:sz w:val="28"/>
          <w:szCs w:val="28"/>
        </w:rPr>
      </w:pPr>
    </w:p>
    <w:p w14:paraId="308E609C">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rPr>
        <w:t>年</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月</w:t>
      </w:r>
    </w:p>
    <w:p w14:paraId="76C73E25">
      <w:pPr>
        <w:wordWrap w:val="0"/>
        <w:spacing w:line="360" w:lineRule="auto"/>
        <w:jc w:val="left"/>
        <w:outlineLvl w:val="1"/>
        <w:rPr>
          <w:rFonts w:hint="eastAsia" w:ascii="宋体" w:hAnsi="宋体" w:eastAsia="宋体" w:cs="Times New Roman"/>
          <w:kern w:val="0"/>
          <w:szCs w:val="21"/>
        </w:rPr>
      </w:pPr>
      <w:r>
        <w:rPr>
          <w:rFonts w:ascii="宋体" w:hAnsi="宋体" w:eastAsia="宋体" w:cs="Times New Roman"/>
          <w:kern w:val="0"/>
          <w:sz w:val="28"/>
          <w:szCs w:val="28"/>
        </w:rPr>
        <w:br w:type="page"/>
      </w:r>
      <w:r>
        <w:rPr>
          <w:rFonts w:ascii="宋体" w:hAnsi="宋体" w:eastAsia="宋体" w:cs="Times New Roman"/>
          <w:kern w:val="0"/>
          <w:szCs w:val="21"/>
        </w:rPr>
        <w:t xml:space="preserve"> </w:t>
      </w:r>
      <w:r>
        <w:rPr>
          <w:rFonts w:hint="eastAsia" w:ascii="宋体" w:hAnsi="宋体" w:eastAsia="宋体" w:cs="Times New Roman"/>
          <w:kern w:val="0"/>
          <w:szCs w:val="21"/>
        </w:rPr>
        <w:t>（二）技术文件内容格式</w:t>
      </w:r>
    </w:p>
    <w:p w14:paraId="2629A923">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投标人可根据以下内容和顺序编排投标文件：</w:t>
      </w:r>
    </w:p>
    <w:p w14:paraId="4F6BC24A">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1.技术条款响应表（详见格式</w:t>
      </w:r>
      <w:r>
        <w:rPr>
          <w:rFonts w:ascii="宋体" w:hAnsi="宋体" w:eastAsia="宋体" w:cs="Times New Roman"/>
          <w:kern w:val="0"/>
          <w:szCs w:val="21"/>
        </w:rPr>
        <w:t>C</w:t>
      </w:r>
      <w:r>
        <w:rPr>
          <w:rFonts w:hint="eastAsia" w:ascii="宋体" w:hAnsi="宋体" w:eastAsia="宋体" w:cs="Times New Roman"/>
          <w:kern w:val="0"/>
          <w:szCs w:val="21"/>
        </w:rPr>
        <w:t>1）；</w:t>
      </w:r>
    </w:p>
    <w:p w14:paraId="62F66AE8">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2.</w:t>
      </w:r>
      <w:r>
        <w:rPr>
          <w:rFonts w:hint="eastAsia" w:ascii="宋体" w:hAnsi="宋体" w:eastAsia="宋体" w:cs="Times New Roman"/>
          <w:kern w:val="0"/>
          <w:szCs w:val="21"/>
          <w:lang w:val="en-US" w:eastAsia="zh-CN"/>
        </w:rPr>
        <w:t>公共交通大数据资源中台一期</w:t>
      </w:r>
      <w:r>
        <w:rPr>
          <w:rFonts w:hint="eastAsia" w:ascii="宋体" w:hAnsi="宋体" w:eastAsia="宋体" w:cs="Times New Roman"/>
          <w:bCs w:val="0"/>
          <w:kern w:val="0"/>
          <w:szCs w:val="21"/>
        </w:rPr>
        <w:t>（格式自拟）</w:t>
      </w:r>
      <w:r>
        <w:rPr>
          <w:rFonts w:hint="eastAsia" w:ascii="宋体" w:hAnsi="宋体" w:eastAsia="宋体" w:cs="Times New Roman"/>
          <w:kern w:val="0"/>
          <w:szCs w:val="21"/>
        </w:rPr>
        <w:t>；</w:t>
      </w:r>
    </w:p>
    <w:p w14:paraId="5192B2A1">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3.</w:t>
      </w:r>
      <w:r>
        <w:rPr>
          <w:rFonts w:hint="eastAsia" w:ascii="宋体" w:hAnsi="宋体" w:eastAsia="宋体" w:cs="Times New Roman"/>
          <w:kern w:val="0"/>
          <w:szCs w:val="21"/>
          <w:lang w:val="en-US" w:eastAsia="zh-CN"/>
        </w:rPr>
        <w:t>城轨</w:t>
      </w:r>
      <w:r>
        <w:rPr>
          <w:rFonts w:hint="eastAsia" w:ascii="宋体" w:hAnsi="宋体" w:eastAsia="宋体" w:cs="Times New Roman"/>
          <w:kern w:val="0"/>
          <w:szCs w:val="21"/>
        </w:rPr>
        <w:t>与公交协同调度指挥系统</w:t>
      </w:r>
      <w:r>
        <w:rPr>
          <w:rFonts w:hint="eastAsia" w:ascii="宋体" w:hAnsi="宋体" w:eastAsia="宋体" w:cs="宋体"/>
          <w:bCs/>
          <w:sz w:val="21"/>
          <w:highlight w:val="none"/>
          <w:lang w:val="en-US" w:eastAsia="zh-CN"/>
        </w:rPr>
        <w:t>一期</w:t>
      </w:r>
      <w:r>
        <w:rPr>
          <w:rFonts w:hint="eastAsia" w:ascii="宋体" w:hAnsi="宋体" w:eastAsia="宋体" w:cs="Times New Roman"/>
          <w:bCs w:val="0"/>
          <w:kern w:val="0"/>
          <w:szCs w:val="21"/>
        </w:rPr>
        <w:t>（格式自拟）</w:t>
      </w:r>
      <w:r>
        <w:rPr>
          <w:rFonts w:hint="eastAsia" w:ascii="宋体" w:hAnsi="宋体" w:eastAsia="宋体" w:cs="Times New Roman"/>
          <w:kern w:val="0"/>
          <w:szCs w:val="21"/>
        </w:rPr>
        <w:t>；</w:t>
      </w:r>
    </w:p>
    <w:p w14:paraId="66E8A4C0">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4.</w:t>
      </w:r>
      <w:r>
        <w:rPr>
          <w:rFonts w:hint="eastAsia" w:ascii="宋体" w:hAnsi="宋体" w:eastAsia="宋体" w:cs="Times New Roman"/>
          <w:bCs w:val="0"/>
          <w:kern w:val="0"/>
          <w:sz w:val="21"/>
          <w:szCs w:val="21"/>
          <w:lang w:val="en-US" w:eastAsia="zh-CN"/>
        </w:rPr>
        <w:t>公交</w:t>
      </w:r>
      <w:r>
        <w:rPr>
          <w:rFonts w:hint="eastAsia" w:ascii="宋体" w:hAnsi="宋体" w:eastAsia="宋体" w:cs="Times New Roman"/>
          <w:bCs w:val="0"/>
          <w:kern w:val="0"/>
          <w:sz w:val="21"/>
          <w:szCs w:val="21"/>
          <w:lang w:eastAsia="zh-CN"/>
        </w:rPr>
        <w:t>智能调度系统</w:t>
      </w:r>
      <w:r>
        <w:rPr>
          <w:rFonts w:hint="eastAsia" w:ascii="宋体" w:hAnsi="宋体" w:eastAsia="宋体" w:cs="Times New Roman"/>
          <w:bCs w:val="0"/>
          <w:kern w:val="0"/>
          <w:sz w:val="21"/>
          <w:szCs w:val="21"/>
          <w:lang w:val="en-US" w:eastAsia="zh-CN"/>
        </w:rPr>
        <w:t>升级改造</w:t>
      </w:r>
      <w:r>
        <w:rPr>
          <w:rFonts w:hint="eastAsia" w:ascii="宋体" w:hAnsi="宋体" w:eastAsia="宋体" w:cs="Times New Roman"/>
          <w:bCs w:val="0"/>
          <w:kern w:val="0"/>
          <w:szCs w:val="21"/>
        </w:rPr>
        <w:t>（格式自拟）</w:t>
      </w:r>
      <w:r>
        <w:rPr>
          <w:rFonts w:hint="eastAsia" w:ascii="宋体" w:hAnsi="宋体" w:eastAsia="宋体" w:cs="Times New Roman"/>
          <w:kern w:val="0"/>
          <w:szCs w:val="21"/>
        </w:rPr>
        <w:t>；</w:t>
      </w:r>
    </w:p>
    <w:p w14:paraId="4779D84F">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5.</w:t>
      </w:r>
      <w:r>
        <w:rPr>
          <w:rFonts w:hint="eastAsia" w:ascii="宋体" w:hAnsi="宋体" w:eastAsia="宋体" w:cs="Times New Roman"/>
          <w:kern w:val="0"/>
          <w:szCs w:val="21"/>
          <w:lang w:eastAsia="zh-CN"/>
        </w:rPr>
        <w:t>共享（电）单车智慧监管系统一期</w:t>
      </w:r>
      <w:r>
        <w:rPr>
          <w:rFonts w:hint="eastAsia" w:ascii="宋体" w:hAnsi="宋体" w:eastAsia="宋体" w:cs="Times New Roman"/>
          <w:bCs w:val="0"/>
          <w:kern w:val="0"/>
          <w:szCs w:val="21"/>
        </w:rPr>
        <w:t>（格式自拟）；</w:t>
      </w:r>
    </w:p>
    <w:p w14:paraId="26FCCEB5">
      <w:pPr>
        <w:wordWrap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.投标人认为需要提交的其他资料。</w:t>
      </w:r>
      <w:r>
        <w:rPr>
          <w:rFonts w:hint="eastAsia" w:ascii="宋体" w:hAnsi="宋体" w:eastAsia="宋体" w:cs="Times New Roman"/>
          <w:szCs w:val="21"/>
        </w:rPr>
        <w:t>（如有）</w:t>
      </w:r>
    </w:p>
    <w:p w14:paraId="7FFEF990">
      <w:pPr>
        <w:keepNext/>
        <w:keepLines/>
        <w:wordWrap w:val="0"/>
        <w:spacing w:line="360" w:lineRule="auto"/>
        <w:jc w:val="left"/>
        <w:outlineLvl w:val="3"/>
        <w:rPr>
          <w:rFonts w:hint="eastAsia" w:ascii="宋体" w:hAnsi="宋体" w:eastAsia="宋体" w:cs="Times New Roman"/>
          <w:bCs/>
          <w:szCs w:val="21"/>
        </w:rPr>
      </w:pPr>
      <w:r>
        <w:rPr>
          <w:rFonts w:ascii="宋体" w:hAnsi="宋体" w:eastAsia="宋体" w:cs="Times New Roman"/>
          <w:b/>
          <w:szCs w:val="28"/>
        </w:rPr>
        <w:br w:type="page"/>
      </w:r>
      <w:r>
        <w:rPr>
          <w:rFonts w:hint="eastAsia" w:ascii="宋体" w:hAnsi="宋体" w:eastAsia="宋体" w:cs="Times New Roman"/>
          <w:b/>
          <w:szCs w:val="28"/>
        </w:rPr>
        <w:t>格式</w:t>
      </w:r>
      <w:r>
        <w:rPr>
          <w:rFonts w:ascii="宋体" w:hAnsi="宋体" w:eastAsia="宋体" w:cs="Times New Roman"/>
          <w:b/>
          <w:szCs w:val="28"/>
        </w:rPr>
        <w:t>C</w:t>
      </w:r>
      <w:r>
        <w:rPr>
          <w:rFonts w:hint="eastAsia" w:ascii="宋体" w:hAnsi="宋体" w:eastAsia="宋体" w:cs="Times New Roman"/>
          <w:b/>
          <w:szCs w:val="28"/>
        </w:rPr>
        <w:t>1：</w:t>
      </w:r>
      <w:r>
        <w:rPr>
          <w:rFonts w:hint="eastAsia" w:ascii="宋体" w:hAnsi="宋体" w:eastAsia="宋体" w:cs="Times New Roman"/>
          <w:b/>
          <w:bCs/>
          <w:szCs w:val="21"/>
        </w:rPr>
        <w:t>技术条款响应表格式</w:t>
      </w:r>
    </w:p>
    <w:p w14:paraId="24CD9C57">
      <w:pPr>
        <w:wordWrap w:val="0"/>
        <w:spacing w:line="360" w:lineRule="auto"/>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技术条款响应表</w:t>
      </w:r>
    </w:p>
    <w:tbl>
      <w:tblPr>
        <w:tblStyle w:val="9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5"/>
        <w:gridCol w:w="1428"/>
        <w:gridCol w:w="1778"/>
        <w:gridCol w:w="1785"/>
        <w:gridCol w:w="1605"/>
        <w:gridCol w:w="1606"/>
      </w:tblGrid>
      <w:tr w14:paraId="785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 w:hRule="atLeast"/>
          <w:jc w:val="center"/>
        </w:trPr>
        <w:tc>
          <w:tcPr>
            <w:tcW w:w="725" w:type="dxa"/>
            <w:vAlign w:val="center"/>
          </w:tcPr>
          <w:p w14:paraId="55A7DB33">
            <w:pPr>
              <w:wordWrap w:val="0"/>
              <w:adjustRightInd w:val="0"/>
              <w:jc w:val="center"/>
              <w:rPr>
                <w:rFonts w:ascii="Arial" w:hAnsi="Arial" w:eastAsia="宋体" w:cs="Arial"/>
                <w:b/>
                <w:szCs w:val="21"/>
              </w:rPr>
            </w:pPr>
            <w:r>
              <w:rPr>
                <w:rFonts w:hint="eastAsia" w:ascii="Arial" w:hAnsi="Arial" w:eastAsia="宋体" w:cs="Arial"/>
                <w:b/>
                <w:szCs w:val="21"/>
              </w:rPr>
              <w:t>序号</w:t>
            </w:r>
          </w:p>
        </w:tc>
        <w:tc>
          <w:tcPr>
            <w:tcW w:w="1428" w:type="dxa"/>
            <w:vAlign w:val="center"/>
          </w:tcPr>
          <w:p w14:paraId="597507DB">
            <w:pPr>
              <w:wordWrap w:val="0"/>
              <w:adjustRightInd w:val="0"/>
              <w:jc w:val="center"/>
              <w:rPr>
                <w:rFonts w:ascii="Arial" w:hAnsi="Arial" w:eastAsia="宋体" w:cs="Arial"/>
                <w:b/>
                <w:szCs w:val="21"/>
              </w:rPr>
            </w:pPr>
            <w:r>
              <w:rPr>
                <w:rFonts w:hint="eastAsia" w:ascii="Arial" w:hAnsi="Arial" w:eastAsia="宋体" w:cs="Arial"/>
                <w:b/>
                <w:szCs w:val="21"/>
              </w:rPr>
              <w:t>招标文件</w:t>
            </w:r>
          </w:p>
          <w:p w14:paraId="2F53BF9A">
            <w:pPr>
              <w:wordWrap w:val="0"/>
              <w:adjustRightInd w:val="0"/>
              <w:jc w:val="center"/>
              <w:rPr>
                <w:rFonts w:ascii="Arial" w:hAnsi="Arial" w:eastAsia="宋体" w:cs="Arial"/>
                <w:b/>
                <w:szCs w:val="21"/>
              </w:rPr>
            </w:pPr>
            <w:r>
              <w:rPr>
                <w:rFonts w:hint="eastAsia" w:ascii="Arial" w:hAnsi="Arial" w:eastAsia="宋体" w:cs="Arial"/>
                <w:b/>
                <w:szCs w:val="21"/>
              </w:rPr>
              <w:t>条目号</w:t>
            </w:r>
          </w:p>
        </w:tc>
        <w:tc>
          <w:tcPr>
            <w:tcW w:w="1778" w:type="dxa"/>
            <w:vAlign w:val="center"/>
          </w:tcPr>
          <w:p w14:paraId="5FF0071E">
            <w:pPr>
              <w:wordWrap w:val="0"/>
              <w:adjustRightInd w:val="0"/>
              <w:jc w:val="center"/>
              <w:rPr>
                <w:rFonts w:ascii="Arial" w:hAnsi="Arial" w:eastAsia="宋体" w:cs="Arial"/>
                <w:b/>
                <w:szCs w:val="21"/>
              </w:rPr>
            </w:pPr>
            <w:r>
              <w:rPr>
                <w:rFonts w:hint="eastAsia" w:ascii="Arial" w:hAnsi="Arial" w:eastAsia="宋体" w:cs="Arial"/>
                <w:b/>
                <w:szCs w:val="21"/>
              </w:rPr>
              <w:t>招标文件要求</w:t>
            </w:r>
          </w:p>
        </w:tc>
        <w:tc>
          <w:tcPr>
            <w:tcW w:w="1785" w:type="dxa"/>
            <w:vAlign w:val="center"/>
          </w:tcPr>
          <w:p w14:paraId="0A47BEA1">
            <w:pPr>
              <w:wordWrap w:val="0"/>
              <w:adjustRightInd w:val="0"/>
              <w:jc w:val="center"/>
              <w:rPr>
                <w:rFonts w:ascii="Arial" w:hAnsi="Arial" w:eastAsia="宋体" w:cs="Arial"/>
                <w:b/>
                <w:szCs w:val="21"/>
              </w:rPr>
            </w:pPr>
            <w:r>
              <w:rPr>
                <w:rFonts w:hint="eastAsia" w:ascii="Arial" w:hAnsi="Arial" w:eastAsia="宋体" w:cs="Arial"/>
                <w:b/>
                <w:szCs w:val="21"/>
              </w:rPr>
              <w:t>投标文件</w:t>
            </w:r>
          </w:p>
          <w:p w14:paraId="06A993DE">
            <w:pPr>
              <w:wordWrap w:val="0"/>
              <w:adjustRightInd w:val="0"/>
              <w:jc w:val="center"/>
              <w:rPr>
                <w:rFonts w:ascii="Arial" w:hAnsi="Arial" w:eastAsia="宋体" w:cs="Arial"/>
                <w:b/>
                <w:szCs w:val="21"/>
              </w:rPr>
            </w:pPr>
            <w:r>
              <w:rPr>
                <w:rFonts w:hint="eastAsia" w:ascii="Arial" w:hAnsi="Arial" w:eastAsia="宋体" w:cs="Arial"/>
                <w:b/>
                <w:szCs w:val="21"/>
              </w:rPr>
              <w:t>响应</w:t>
            </w:r>
          </w:p>
        </w:tc>
        <w:tc>
          <w:tcPr>
            <w:tcW w:w="1605" w:type="dxa"/>
            <w:vAlign w:val="center"/>
          </w:tcPr>
          <w:p w14:paraId="157F1D31">
            <w:pPr>
              <w:wordWrap w:val="0"/>
              <w:adjustRightInd w:val="0"/>
              <w:jc w:val="center"/>
              <w:rPr>
                <w:rFonts w:ascii="Arial" w:hAnsi="Arial" w:eastAsia="宋体" w:cs="Arial"/>
                <w:b/>
                <w:szCs w:val="21"/>
              </w:rPr>
            </w:pPr>
            <w:r>
              <w:rPr>
                <w:rFonts w:hint="eastAsia" w:ascii="Arial" w:hAnsi="Arial" w:eastAsia="宋体" w:cs="Arial"/>
                <w:b/>
                <w:szCs w:val="21"/>
              </w:rPr>
              <w:t>偏离</w:t>
            </w:r>
          </w:p>
        </w:tc>
        <w:tc>
          <w:tcPr>
            <w:tcW w:w="1606" w:type="dxa"/>
            <w:vAlign w:val="center"/>
          </w:tcPr>
          <w:p w14:paraId="59B9FBF8">
            <w:pPr>
              <w:wordWrap w:val="0"/>
              <w:adjustRightInd w:val="0"/>
              <w:jc w:val="center"/>
              <w:rPr>
                <w:rFonts w:ascii="Arial" w:hAnsi="Arial" w:eastAsia="宋体" w:cs="Arial"/>
                <w:b/>
                <w:szCs w:val="21"/>
              </w:rPr>
            </w:pPr>
            <w:r>
              <w:rPr>
                <w:rFonts w:hint="eastAsia" w:ascii="Arial" w:hAnsi="Arial" w:eastAsia="宋体" w:cs="Arial"/>
                <w:b/>
                <w:szCs w:val="21"/>
              </w:rPr>
              <w:t>说明</w:t>
            </w:r>
          </w:p>
        </w:tc>
      </w:tr>
      <w:tr w14:paraId="735D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55DE74B2">
            <w:pPr>
              <w:wordWrap w:val="0"/>
              <w:adjustRightInd w:val="0"/>
              <w:spacing w:line="440" w:lineRule="exact"/>
              <w:jc w:val="center"/>
              <w:rPr>
                <w:rFonts w:ascii="Arial" w:hAnsi="Arial" w:eastAsia="宋体" w:cs="Arial"/>
                <w:sz w:val="24"/>
                <w:szCs w:val="24"/>
                <w:u w:val="single"/>
              </w:rPr>
            </w:pPr>
          </w:p>
        </w:tc>
        <w:tc>
          <w:tcPr>
            <w:tcW w:w="1428" w:type="dxa"/>
            <w:vAlign w:val="center"/>
          </w:tcPr>
          <w:p w14:paraId="3E2B7A4B">
            <w:pPr>
              <w:wordWrap w:val="0"/>
              <w:adjustRightInd w:val="0"/>
              <w:spacing w:line="440" w:lineRule="exact"/>
              <w:jc w:val="center"/>
              <w:rPr>
                <w:rFonts w:ascii="Arial" w:hAnsi="Arial" w:eastAsia="宋体" w:cs="Arial"/>
                <w:sz w:val="24"/>
                <w:szCs w:val="24"/>
                <w:u w:val="single"/>
              </w:rPr>
            </w:pPr>
          </w:p>
        </w:tc>
        <w:tc>
          <w:tcPr>
            <w:tcW w:w="1778" w:type="dxa"/>
            <w:vAlign w:val="center"/>
          </w:tcPr>
          <w:p w14:paraId="2D7482F9">
            <w:pPr>
              <w:wordWrap w:val="0"/>
              <w:adjustRightInd w:val="0"/>
              <w:spacing w:line="440" w:lineRule="exact"/>
              <w:jc w:val="center"/>
              <w:rPr>
                <w:rFonts w:ascii="Arial" w:hAnsi="Arial" w:eastAsia="宋体" w:cs="Arial"/>
                <w:sz w:val="24"/>
                <w:szCs w:val="24"/>
                <w:u w:val="single"/>
              </w:rPr>
            </w:pPr>
          </w:p>
        </w:tc>
        <w:tc>
          <w:tcPr>
            <w:tcW w:w="1785" w:type="dxa"/>
            <w:vAlign w:val="center"/>
          </w:tcPr>
          <w:p w14:paraId="65672C2C">
            <w:pPr>
              <w:wordWrap w:val="0"/>
              <w:adjustRightInd w:val="0"/>
              <w:spacing w:line="440" w:lineRule="exact"/>
              <w:jc w:val="center"/>
              <w:rPr>
                <w:rFonts w:ascii="Arial" w:hAnsi="Arial" w:eastAsia="宋体" w:cs="Arial"/>
                <w:sz w:val="24"/>
                <w:szCs w:val="24"/>
                <w:u w:val="single"/>
              </w:rPr>
            </w:pPr>
          </w:p>
        </w:tc>
        <w:tc>
          <w:tcPr>
            <w:tcW w:w="1605" w:type="dxa"/>
            <w:vAlign w:val="center"/>
          </w:tcPr>
          <w:p w14:paraId="6F76B2C7">
            <w:pPr>
              <w:wordWrap w:val="0"/>
              <w:adjustRightInd w:val="0"/>
              <w:spacing w:line="440" w:lineRule="exact"/>
              <w:jc w:val="center"/>
              <w:rPr>
                <w:rFonts w:ascii="Arial" w:hAnsi="Arial" w:eastAsia="宋体" w:cs="Arial"/>
                <w:sz w:val="24"/>
                <w:szCs w:val="24"/>
                <w:u w:val="single"/>
              </w:rPr>
            </w:pPr>
          </w:p>
        </w:tc>
        <w:tc>
          <w:tcPr>
            <w:tcW w:w="1606" w:type="dxa"/>
          </w:tcPr>
          <w:p w14:paraId="49DFBD85">
            <w:pPr>
              <w:wordWrap w:val="0"/>
              <w:adjustRightInd w:val="0"/>
              <w:spacing w:line="440" w:lineRule="exact"/>
              <w:jc w:val="center"/>
              <w:rPr>
                <w:rFonts w:ascii="Arial" w:hAnsi="Arial" w:eastAsia="宋体" w:cs="Arial"/>
                <w:sz w:val="24"/>
                <w:szCs w:val="24"/>
                <w:u w:val="single"/>
              </w:rPr>
            </w:pPr>
          </w:p>
        </w:tc>
      </w:tr>
      <w:tr w14:paraId="6A9C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35FA6945">
            <w:pPr>
              <w:wordWrap w:val="0"/>
              <w:adjustRightInd w:val="0"/>
              <w:spacing w:line="440" w:lineRule="exact"/>
              <w:jc w:val="center"/>
              <w:rPr>
                <w:rFonts w:ascii="Arial" w:hAnsi="Arial" w:eastAsia="宋体" w:cs="Arial"/>
                <w:sz w:val="24"/>
                <w:szCs w:val="24"/>
                <w:u w:val="single"/>
              </w:rPr>
            </w:pPr>
          </w:p>
        </w:tc>
        <w:tc>
          <w:tcPr>
            <w:tcW w:w="1428" w:type="dxa"/>
            <w:vAlign w:val="center"/>
          </w:tcPr>
          <w:p w14:paraId="216CC0D9">
            <w:pPr>
              <w:wordWrap w:val="0"/>
              <w:adjustRightInd w:val="0"/>
              <w:spacing w:line="440" w:lineRule="exact"/>
              <w:jc w:val="center"/>
              <w:rPr>
                <w:rFonts w:ascii="Arial" w:hAnsi="Arial" w:eastAsia="宋体" w:cs="Arial"/>
                <w:sz w:val="24"/>
                <w:szCs w:val="24"/>
                <w:u w:val="single"/>
              </w:rPr>
            </w:pPr>
          </w:p>
        </w:tc>
        <w:tc>
          <w:tcPr>
            <w:tcW w:w="1778" w:type="dxa"/>
            <w:vAlign w:val="center"/>
          </w:tcPr>
          <w:p w14:paraId="63EBCDB0">
            <w:pPr>
              <w:wordWrap w:val="0"/>
              <w:adjustRightInd w:val="0"/>
              <w:spacing w:line="440" w:lineRule="exact"/>
              <w:jc w:val="center"/>
              <w:rPr>
                <w:rFonts w:ascii="Arial" w:hAnsi="Arial" w:eastAsia="宋体" w:cs="Arial"/>
                <w:sz w:val="24"/>
                <w:szCs w:val="24"/>
                <w:u w:val="single"/>
              </w:rPr>
            </w:pPr>
          </w:p>
        </w:tc>
        <w:tc>
          <w:tcPr>
            <w:tcW w:w="1785" w:type="dxa"/>
            <w:vAlign w:val="center"/>
          </w:tcPr>
          <w:p w14:paraId="787285C5">
            <w:pPr>
              <w:wordWrap w:val="0"/>
              <w:adjustRightInd w:val="0"/>
              <w:spacing w:line="440" w:lineRule="exact"/>
              <w:jc w:val="center"/>
              <w:rPr>
                <w:rFonts w:ascii="Arial" w:hAnsi="Arial" w:eastAsia="宋体" w:cs="Arial"/>
                <w:sz w:val="24"/>
                <w:szCs w:val="24"/>
                <w:u w:val="single"/>
              </w:rPr>
            </w:pPr>
          </w:p>
        </w:tc>
        <w:tc>
          <w:tcPr>
            <w:tcW w:w="1605" w:type="dxa"/>
            <w:vAlign w:val="center"/>
          </w:tcPr>
          <w:p w14:paraId="205D44BB">
            <w:pPr>
              <w:wordWrap w:val="0"/>
              <w:adjustRightInd w:val="0"/>
              <w:spacing w:line="440" w:lineRule="exact"/>
              <w:jc w:val="center"/>
              <w:rPr>
                <w:rFonts w:ascii="Arial" w:hAnsi="Arial" w:eastAsia="宋体" w:cs="Arial"/>
                <w:sz w:val="24"/>
                <w:szCs w:val="24"/>
                <w:u w:val="single"/>
              </w:rPr>
            </w:pPr>
          </w:p>
        </w:tc>
        <w:tc>
          <w:tcPr>
            <w:tcW w:w="1606" w:type="dxa"/>
          </w:tcPr>
          <w:p w14:paraId="690E44D2">
            <w:pPr>
              <w:wordWrap w:val="0"/>
              <w:adjustRightInd w:val="0"/>
              <w:spacing w:line="440" w:lineRule="exact"/>
              <w:jc w:val="center"/>
              <w:rPr>
                <w:rFonts w:ascii="Arial" w:hAnsi="Arial" w:eastAsia="宋体" w:cs="Arial"/>
                <w:sz w:val="24"/>
                <w:szCs w:val="24"/>
                <w:u w:val="single"/>
              </w:rPr>
            </w:pPr>
          </w:p>
        </w:tc>
      </w:tr>
      <w:tr w14:paraId="5C53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1527C433">
            <w:pPr>
              <w:wordWrap w:val="0"/>
              <w:adjustRightInd w:val="0"/>
              <w:spacing w:line="440" w:lineRule="exact"/>
              <w:jc w:val="center"/>
              <w:rPr>
                <w:rFonts w:ascii="Arial" w:hAnsi="Arial" w:eastAsia="宋体" w:cs="Arial"/>
                <w:sz w:val="24"/>
                <w:szCs w:val="24"/>
                <w:u w:val="single"/>
              </w:rPr>
            </w:pPr>
          </w:p>
        </w:tc>
        <w:tc>
          <w:tcPr>
            <w:tcW w:w="1428" w:type="dxa"/>
            <w:vAlign w:val="center"/>
          </w:tcPr>
          <w:p w14:paraId="223F9A9E">
            <w:pPr>
              <w:wordWrap w:val="0"/>
              <w:adjustRightInd w:val="0"/>
              <w:spacing w:line="440" w:lineRule="exact"/>
              <w:jc w:val="center"/>
              <w:rPr>
                <w:rFonts w:ascii="Arial" w:hAnsi="Arial" w:eastAsia="宋体" w:cs="Arial"/>
                <w:sz w:val="24"/>
                <w:szCs w:val="24"/>
                <w:u w:val="single"/>
              </w:rPr>
            </w:pPr>
          </w:p>
        </w:tc>
        <w:tc>
          <w:tcPr>
            <w:tcW w:w="1778" w:type="dxa"/>
            <w:vAlign w:val="center"/>
          </w:tcPr>
          <w:p w14:paraId="5085D2A4">
            <w:pPr>
              <w:wordWrap w:val="0"/>
              <w:adjustRightInd w:val="0"/>
              <w:spacing w:line="440" w:lineRule="exact"/>
              <w:jc w:val="center"/>
              <w:rPr>
                <w:rFonts w:ascii="Arial" w:hAnsi="Arial" w:eastAsia="宋体" w:cs="Arial"/>
                <w:sz w:val="24"/>
                <w:szCs w:val="24"/>
                <w:u w:val="single"/>
              </w:rPr>
            </w:pPr>
          </w:p>
        </w:tc>
        <w:tc>
          <w:tcPr>
            <w:tcW w:w="1785" w:type="dxa"/>
            <w:vAlign w:val="center"/>
          </w:tcPr>
          <w:p w14:paraId="5C4398B6">
            <w:pPr>
              <w:wordWrap w:val="0"/>
              <w:adjustRightInd w:val="0"/>
              <w:spacing w:line="440" w:lineRule="exact"/>
              <w:jc w:val="center"/>
              <w:rPr>
                <w:rFonts w:ascii="Arial" w:hAnsi="Arial" w:eastAsia="宋体" w:cs="Arial"/>
                <w:sz w:val="24"/>
                <w:szCs w:val="24"/>
                <w:u w:val="single"/>
              </w:rPr>
            </w:pPr>
          </w:p>
        </w:tc>
        <w:tc>
          <w:tcPr>
            <w:tcW w:w="1605" w:type="dxa"/>
            <w:vAlign w:val="center"/>
          </w:tcPr>
          <w:p w14:paraId="1305AA4D">
            <w:pPr>
              <w:wordWrap w:val="0"/>
              <w:adjustRightInd w:val="0"/>
              <w:spacing w:line="440" w:lineRule="exact"/>
              <w:jc w:val="center"/>
              <w:rPr>
                <w:rFonts w:ascii="Arial" w:hAnsi="Arial" w:eastAsia="宋体" w:cs="Arial"/>
                <w:sz w:val="24"/>
                <w:szCs w:val="24"/>
                <w:u w:val="single"/>
              </w:rPr>
            </w:pPr>
          </w:p>
        </w:tc>
        <w:tc>
          <w:tcPr>
            <w:tcW w:w="1606" w:type="dxa"/>
          </w:tcPr>
          <w:p w14:paraId="1E3182DA">
            <w:pPr>
              <w:wordWrap w:val="0"/>
              <w:adjustRightInd w:val="0"/>
              <w:spacing w:line="440" w:lineRule="exact"/>
              <w:jc w:val="center"/>
              <w:rPr>
                <w:rFonts w:ascii="Arial" w:hAnsi="Arial" w:eastAsia="宋体" w:cs="Arial"/>
                <w:sz w:val="24"/>
                <w:szCs w:val="24"/>
                <w:u w:val="single"/>
              </w:rPr>
            </w:pPr>
          </w:p>
        </w:tc>
      </w:tr>
      <w:tr w14:paraId="40A4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2ADA51C0">
            <w:pPr>
              <w:wordWrap w:val="0"/>
              <w:adjustRightInd w:val="0"/>
              <w:spacing w:line="440" w:lineRule="exact"/>
              <w:jc w:val="center"/>
              <w:rPr>
                <w:rFonts w:ascii="Arial" w:hAnsi="Arial" w:eastAsia="宋体" w:cs="Arial"/>
                <w:sz w:val="24"/>
                <w:szCs w:val="24"/>
                <w:u w:val="single"/>
              </w:rPr>
            </w:pPr>
          </w:p>
        </w:tc>
        <w:tc>
          <w:tcPr>
            <w:tcW w:w="1428" w:type="dxa"/>
            <w:vAlign w:val="center"/>
          </w:tcPr>
          <w:p w14:paraId="1958B334">
            <w:pPr>
              <w:wordWrap w:val="0"/>
              <w:adjustRightInd w:val="0"/>
              <w:spacing w:line="440" w:lineRule="exact"/>
              <w:jc w:val="center"/>
              <w:rPr>
                <w:rFonts w:ascii="Arial" w:hAnsi="Arial" w:eastAsia="宋体" w:cs="Arial"/>
                <w:sz w:val="24"/>
                <w:szCs w:val="24"/>
                <w:u w:val="single"/>
              </w:rPr>
            </w:pPr>
          </w:p>
        </w:tc>
        <w:tc>
          <w:tcPr>
            <w:tcW w:w="1778" w:type="dxa"/>
            <w:vAlign w:val="center"/>
          </w:tcPr>
          <w:p w14:paraId="1F598BEF">
            <w:pPr>
              <w:wordWrap w:val="0"/>
              <w:adjustRightInd w:val="0"/>
              <w:spacing w:line="440" w:lineRule="exact"/>
              <w:jc w:val="center"/>
              <w:rPr>
                <w:rFonts w:ascii="Arial" w:hAnsi="Arial" w:eastAsia="宋体" w:cs="Arial"/>
                <w:sz w:val="24"/>
                <w:szCs w:val="24"/>
                <w:u w:val="single"/>
              </w:rPr>
            </w:pPr>
          </w:p>
        </w:tc>
        <w:tc>
          <w:tcPr>
            <w:tcW w:w="1785" w:type="dxa"/>
            <w:vAlign w:val="center"/>
          </w:tcPr>
          <w:p w14:paraId="229BE305">
            <w:pPr>
              <w:wordWrap w:val="0"/>
              <w:adjustRightInd w:val="0"/>
              <w:spacing w:line="440" w:lineRule="exact"/>
              <w:jc w:val="center"/>
              <w:rPr>
                <w:rFonts w:ascii="Arial" w:hAnsi="Arial" w:eastAsia="宋体" w:cs="Arial"/>
                <w:sz w:val="24"/>
                <w:szCs w:val="24"/>
                <w:u w:val="single"/>
              </w:rPr>
            </w:pPr>
          </w:p>
        </w:tc>
        <w:tc>
          <w:tcPr>
            <w:tcW w:w="1605" w:type="dxa"/>
            <w:vAlign w:val="center"/>
          </w:tcPr>
          <w:p w14:paraId="1E22AECD">
            <w:pPr>
              <w:wordWrap w:val="0"/>
              <w:adjustRightInd w:val="0"/>
              <w:spacing w:line="440" w:lineRule="exact"/>
              <w:jc w:val="center"/>
              <w:rPr>
                <w:rFonts w:ascii="Arial" w:hAnsi="Arial" w:eastAsia="宋体" w:cs="Arial"/>
                <w:sz w:val="24"/>
                <w:szCs w:val="24"/>
                <w:u w:val="single"/>
              </w:rPr>
            </w:pPr>
          </w:p>
        </w:tc>
        <w:tc>
          <w:tcPr>
            <w:tcW w:w="1606" w:type="dxa"/>
          </w:tcPr>
          <w:p w14:paraId="70AF2B00">
            <w:pPr>
              <w:wordWrap w:val="0"/>
              <w:adjustRightInd w:val="0"/>
              <w:spacing w:line="440" w:lineRule="exact"/>
              <w:jc w:val="center"/>
              <w:rPr>
                <w:rFonts w:ascii="Arial" w:hAnsi="Arial" w:eastAsia="宋体" w:cs="Arial"/>
                <w:sz w:val="24"/>
                <w:szCs w:val="24"/>
                <w:u w:val="single"/>
              </w:rPr>
            </w:pPr>
          </w:p>
        </w:tc>
      </w:tr>
      <w:tr w14:paraId="227A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074A056B">
            <w:pPr>
              <w:wordWrap w:val="0"/>
              <w:adjustRightInd w:val="0"/>
              <w:spacing w:line="440" w:lineRule="exact"/>
              <w:jc w:val="center"/>
              <w:rPr>
                <w:rFonts w:ascii="Arial" w:hAnsi="Arial" w:eastAsia="宋体" w:cs="Arial"/>
                <w:sz w:val="24"/>
                <w:szCs w:val="24"/>
                <w:u w:val="single"/>
              </w:rPr>
            </w:pPr>
          </w:p>
        </w:tc>
        <w:tc>
          <w:tcPr>
            <w:tcW w:w="1428" w:type="dxa"/>
            <w:vAlign w:val="center"/>
          </w:tcPr>
          <w:p w14:paraId="1C8E9575">
            <w:pPr>
              <w:wordWrap w:val="0"/>
              <w:adjustRightInd w:val="0"/>
              <w:spacing w:line="440" w:lineRule="exact"/>
              <w:jc w:val="center"/>
              <w:rPr>
                <w:rFonts w:ascii="Arial" w:hAnsi="Arial" w:eastAsia="宋体" w:cs="Arial"/>
                <w:sz w:val="24"/>
                <w:szCs w:val="24"/>
                <w:u w:val="single"/>
              </w:rPr>
            </w:pPr>
          </w:p>
        </w:tc>
        <w:tc>
          <w:tcPr>
            <w:tcW w:w="1778" w:type="dxa"/>
            <w:vAlign w:val="center"/>
          </w:tcPr>
          <w:p w14:paraId="47515D66">
            <w:pPr>
              <w:wordWrap w:val="0"/>
              <w:adjustRightInd w:val="0"/>
              <w:spacing w:line="440" w:lineRule="exact"/>
              <w:jc w:val="center"/>
              <w:rPr>
                <w:rFonts w:ascii="Arial" w:hAnsi="Arial" w:eastAsia="宋体" w:cs="Arial"/>
                <w:sz w:val="24"/>
                <w:szCs w:val="24"/>
                <w:u w:val="single"/>
              </w:rPr>
            </w:pPr>
          </w:p>
        </w:tc>
        <w:tc>
          <w:tcPr>
            <w:tcW w:w="1785" w:type="dxa"/>
            <w:vAlign w:val="center"/>
          </w:tcPr>
          <w:p w14:paraId="427105D8">
            <w:pPr>
              <w:wordWrap w:val="0"/>
              <w:adjustRightInd w:val="0"/>
              <w:spacing w:line="440" w:lineRule="exact"/>
              <w:jc w:val="center"/>
              <w:rPr>
                <w:rFonts w:ascii="Arial" w:hAnsi="Arial" w:eastAsia="宋体" w:cs="Arial"/>
                <w:sz w:val="24"/>
                <w:szCs w:val="24"/>
                <w:u w:val="single"/>
              </w:rPr>
            </w:pPr>
          </w:p>
        </w:tc>
        <w:tc>
          <w:tcPr>
            <w:tcW w:w="1605" w:type="dxa"/>
            <w:vAlign w:val="center"/>
          </w:tcPr>
          <w:p w14:paraId="40164BC4">
            <w:pPr>
              <w:wordWrap w:val="0"/>
              <w:adjustRightInd w:val="0"/>
              <w:spacing w:line="440" w:lineRule="exact"/>
              <w:jc w:val="center"/>
              <w:rPr>
                <w:rFonts w:ascii="Arial" w:hAnsi="Arial" w:eastAsia="宋体" w:cs="Arial"/>
                <w:sz w:val="24"/>
                <w:szCs w:val="24"/>
                <w:u w:val="single"/>
              </w:rPr>
            </w:pPr>
          </w:p>
        </w:tc>
        <w:tc>
          <w:tcPr>
            <w:tcW w:w="1606" w:type="dxa"/>
          </w:tcPr>
          <w:p w14:paraId="091C4A24">
            <w:pPr>
              <w:wordWrap w:val="0"/>
              <w:adjustRightInd w:val="0"/>
              <w:spacing w:line="440" w:lineRule="exact"/>
              <w:jc w:val="center"/>
              <w:rPr>
                <w:rFonts w:ascii="Arial" w:hAnsi="Arial" w:eastAsia="宋体" w:cs="Arial"/>
                <w:sz w:val="24"/>
                <w:szCs w:val="24"/>
                <w:u w:val="single"/>
              </w:rPr>
            </w:pPr>
          </w:p>
        </w:tc>
      </w:tr>
      <w:tr w14:paraId="32BC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8927" w:type="dxa"/>
            <w:gridSpan w:val="6"/>
            <w:vAlign w:val="center"/>
          </w:tcPr>
          <w:p w14:paraId="45F3EF77">
            <w:pPr>
              <w:wordWrap w:val="0"/>
              <w:spacing w:line="440" w:lineRule="exact"/>
              <w:rPr>
                <w:rFonts w:ascii="Arial" w:hAnsi="Arial" w:eastAsia="宋体" w:cs="Arial"/>
                <w:szCs w:val="21"/>
              </w:rPr>
            </w:pPr>
            <w:r>
              <w:rPr>
                <w:rFonts w:hint="eastAsia" w:ascii="Arial" w:hAnsi="Arial" w:eastAsia="宋体" w:cs="Arial"/>
                <w:szCs w:val="21"/>
              </w:rPr>
              <w:t>我方确认：除了表中所列的条款外，我方的投标函将依从招标文件对于技术的全部要求和规定。</w:t>
            </w:r>
          </w:p>
        </w:tc>
      </w:tr>
    </w:tbl>
    <w:p w14:paraId="3943A780">
      <w:pPr>
        <w:tabs>
          <w:tab w:val="left" w:pos="9120"/>
        </w:tabs>
        <w:wordWrap w:val="0"/>
        <w:ind w:firstLine="420" w:firstLineChars="200"/>
        <w:rPr>
          <w:rFonts w:hint="eastAsia" w:ascii="宋体" w:hAnsi="宋体" w:eastAsia="宋体" w:cs="Arial"/>
          <w:szCs w:val="24"/>
        </w:rPr>
      </w:pPr>
      <w:r>
        <w:rPr>
          <w:rFonts w:hint="eastAsia" w:ascii="宋体" w:hAnsi="宋体" w:eastAsia="宋体" w:cs="Arial"/>
          <w:szCs w:val="24"/>
        </w:rPr>
        <w:t>注：</w:t>
      </w:r>
    </w:p>
    <w:p w14:paraId="5A62B38E">
      <w:pPr>
        <w:tabs>
          <w:tab w:val="left" w:pos="9120"/>
        </w:tabs>
        <w:wordWrap w:val="0"/>
        <w:spacing w:line="360" w:lineRule="auto"/>
        <w:ind w:firstLine="420" w:firstLineChars="200"/>
        <w:rPr>
          <w:rFonts w:hint="eastAsia" w:ascii="宋体" w:hAnsi="宋体" w:eastAsia="宋体" w:cs="Arial"/>
          <w:kern w:val="0"/>
          <w:szCs w:val="24"/>
          <w:highlight w:val="none"/>
        </w:rPr>
      </w:pPr>
      <w:r>
        <w:rPr>
          <w:rFonts w:hint="eastAsia" w:ascii="宋体" w:hAnsi="宋体" w:eastAsia="宋体" w:cs="Arial"/>
          <w:szCs w:val="24"/>
        </w:rPr>
        <w:t>1、</w:t>
      </w:r>
      <w:r>
        <w:rPr>
          <w:rFonts w:hint="eastAsia" w:ascii="宋体" w:hAnsi="宋体" w:eastAsia="宋体" w:cs="Arial"/>
          <w:kern w:val="0"/>
          <w:szCs w:val="24"/>
        </w:rPr>
        <w:t>投标人必须仔细阅读招</w:t>
      </w:r>
      <w:r>
        <w:rPr>
          <w:rFonts w:hint="eastAsia" w:ascii="宋体" w:hAnsi="宋体" w:eastAsia="宋体" w:cs="Arial"/>
          <w:kern w:val="0"/>
          <w:szCs w:val="24"/>
          <w:highlight w:val="none"/>
        </w:rPr>
        <w:t>标文件所有条款，并对所有偏离的条目列入上表，未列入上表的视作投标人完全接受。</w:t>
      </w:r>
    </w:p>
    <w:p w14:paraId="43D3F9E4">
      <w:pPr>
        <w:tabs>
          <w:tab w:val="left" w:pos="9120"/>
        </w:tabs>
        <w:wordWrap w:val="0"/>
        <w:spacing w:line="360" w:lineRule="auto"/>
        <w:ind w:firstLine="420" w:firstLineChars="200"/>
        <w:rPr>
          <w:rFonts w:hint="eastAsia" w:ascii="宋体" w:hAnsi="宋体" w:eastAsia="宋体" w:cs="Arial"/>
          <w:kern w:val="0"/>
          <w:szCs w:val="24"/>
          <w:highlight w:val="none"/>
        </w:rPr>
      </w:pPr>
      <w:r>
        <w:rPr>
          <w:rFonts w:hint="eastAsia" w:ascii="宋体" w:hAnsi="宋体" w:eastAsia="宋体" w:cs="Arial"/>
          <w:kern w:val="0"/>
          <w:szCs w:val="24"/>
          <w:highlight w:val="none"/>
        </w:rPr>
        <w:t>2、投标人如无偏离，可在上表空格中填写内容 “/”或者“完全响应”表示。</w:t>
      </w:r>
    </w:p>
    <w:p w14:paraId="04AFA55D">
      <w:pPr>
        <w:tabs>
          <w:tab w:val="left" w:pos="9120"/>
        </w:tabs>
        <w:wordWrap w:val="0"/>
        <w:spacing w:line="360" w:lineRule="auto"/>
        <w:ind w:firstLine="420" w:firstLineChars="200"/>
        <w:rPr>
          <w:rFonts w:hint="eastAsia" w:ascii="宋体" w:hAnsi="宋体" w:eastAsia="宋体" w:cs="Arial"/>
          <w:kern w:val="0"/>
          <w:szCs w:val="24"/>
          <w:highlight w:val="none"/>
        </w:rPr>
      </w:pPr>
      <w:r>
        <w:rPr>
          <w:rFonts w:hint="eastAsia" w:ascii="宋体" w:hAnsi="宋体" w:eastAsia="宋体" w:cs="Arial"/>
          <w:kern w:val="0"/>
          <w:szCs w:val="24"/>
          <w:highlight w:val="none"/>
        </w:rPr>
        <w:t>3、如有任意一项负偏离，投标无效。</w:t>
      </w:r>
    </w:p>
    <w:p w14:paraId="781E323C">
      <w:pPr>
        <w:tabs>
          <w:tab w:val="left" w:pos="9120"/>
        </w:tabs>
        <w:wordWrap w:val="0"/>
        <w:spacing w:line="360" w:lineRule="auto"/>
        <w:ind w:left="420" w:leftChars="200"/>
        <w:jc w:val="left"/>
        <w:rPr>
          <w:rFonts w:hint="eastAsia" w:ascii="宋体" w:hAnsi="宋体" w:eastAsia="宋体" w:cs="Arial"/>
          <w:b/>
          <w:szCs w:val="21"/>
        </w:rPr>
      </w:pPr>
    </w:p>
    <w:p w14:paraId="532F48FA">
      <w:pPr>
        <w:wordWrap w:val="0"/>
        <w:spacing w:before="120" w:beforeLines="50" w:line="360" w:lineRule="auto"/>
        <w:ind w:left="420" w:leftChars="200" w:right="-57" w:rightChars="-27"/>
        <w:jc w:val="left"/>
        <w:rPr>
          <w:rFonts w:hint="eastAsia" w:ascii="宋体" w:hAnsi="宋体" w:eastAsia="宋体" w:cs="Times New Roman"/>
          <w:kern w:val="0"/>
          <w:sz w:val="24"/>
          <w:szCs w:val="24"/>
        </w:rPr>
      </w:pPr>
      <w:r>
        <w:rPr>
          <w:rFonts w:hint="eastAsia" w:ascii="宋体" w:hAnsi="宋体" w:eastAsia="宋体" w:cs="宋体"/>
          <w:szCs w:val="24"/>
          <w:lang w:bidi="ar"/>
        </w:rPr>
        <w:t>投标人：（公章）</w:t>
      </w:r>
      <w:r>
        <w:rPr>
          <w:rFonts w:ascii="宋体" w:hAnsi="宋体" w:eastAsia="宋体" w:cs="Times New Roman"/>
          <w:szCs w:val="24"/>
          <w:lang w:bidi="ar"/>
        </w:rPr>
        <w:t xml:space="preserve"> </w:t>
      </w:r>
    </w:p>
    <w:p w14:paraId="0ED77A7A">
      <w:pPr>
        <w:wordWrap w:val="0"/>
        <w:spacing w:before="120" w:beforeLines="50" w:line="360" w:lineRule="auto"/>
        <w:ind w:left="420" w:leftChars="200" w:right="-57" w:rightChars="-27"/>
        <w:jc w:val="left"/>
        <w:outlineLvl w:val="9"/>
        <w:rPr>
          <w:rFonts w:hint="eastAsia" w:ascii="宋体" w:hAnsi="宋体" w:eastAsia="宋体" w:cs="Times New Roman"/>
          <w:kern w:val="0"/>
          <w:sz w:val="24"/>
          <w:szCs w:val="24"/>
        </w:rPr>
      </w:pPr>
      <w:r>
        <w:rPr>
          <w:rFonts w:hint="eastAsia" w:ascii="宋体" w:hAnsi="宋体" w:eastAsia="宋体" w:cs="宋体"/>
          <w:szCs w:val="24"/>
          <w:lang w:bidi="ar"/>
        </w:rPr>
        <w:t>法定代表人或其委托代理人：（签字或盖章）</w:t>
      </w:r>
    </w:p>
    <w:p w14:paraId="6B52BE7A">
      <w:pPr>
        <w:wordWrap w:val="0"/>
        <w:spacing w:before="120" w:beforeLines="50" w:line="360" w:lineRule="auto"/>
        <w:ind w:left="420" w:leftChars="200" w:right="-57" w:rightChars="-27"/>
        <w:jc w:val="left"/>
        <w:rPr>
          <w:rFonts w:hint="eastAsia" w:ascii="宋体" w:hAnsi="宋体" w:eastAsia="宋体" w:cs="Times New Roman"/>
          <w:kern w:val="0"/>
          <w:sz w:val="24"/>
          <w:szCs w:val="24"/>
        </w:rPr>
      </w:pPr>
      <w:r>
        <w:rPr>
          <w:rFonts w:hint="eastAsia" w:ascii="宋体" w:hAnsi="宋体" w:eastAsia="宋体" w:cs="宋体"/>
          <w:szCs w:val="24"/>
          <w:lang w:bidi="ar"/>
        </w:rPr>
        <w:t>日</w:t>
      </w:r>
      <w:r>
        <w:rPr>
          <w:rFonts w:ascii="宋体" w:hAnsi="宋体" w:eastAsia="宋体" w:cs="Times New Roman"/>
          <w:szCs w:val="24"/>
          <w:lang w:bidi="ar"/>
        </w:rPr>
        <w:t xml:space="preserve">    </w:t>
      </w:r>
      <w:r>
        <w:rPr>
          <w:rFonts w:hint="eastAsia" w:ascii="宋体" w:hAnsi="宋体" w:eastAsia="宋体" w:cs="宋体"/>
          <w:szCs w:val="24"/>
          <w:lang w:bidi="ar"/>
        </w:rPr>
        <w:t>期：</w:t>
      </w:r>
      <w:bookmarkStart w:id="592" w:name="_Toc395312610"/>
      <w:bookmarkStart w:id="593" w:name="_Toc27384"/>
      <w:bookmarkStart w:id="594" w:name="_Toc6480"/>
      <w:bookmarkStart w:id="595" w:name="_Toc530736606"/>
      <w:bookmarkStart w:id="596" w:name="_Toc392941013"/>
      <w:bookmarkStart w:id="597" w:name="_Toc469486625"/>
      <w:bookmarkStart w:id="598" w:name="_Toc318213168"/>
      <w:bookmarkStart w:id="599" w:name="_Toc8569"/>
    </w:p>
    <w:p w14:paraId="0526DA35">
      <w:pPr>
        <w:keepNext/>
        <w:keepLines/>
        <w:wordWrap w:val="0"/>
        <w:spacing w:before="60" w:after="60" w:line="413" w:lineRule="auto"/>
        <w:jc w:val="left"/>
        <w:outlineLvl w:val="1"/>
        <w:rPr>
          <w:rFonts w:hint="eastAsia" w:ascii="宋体" w:hAnsi="宋体" w:eastAsia="宋体" w:cs="Times New Roman"/>
          <w:b/>
          <w:bCs/>
          <w:sz w:val="28"/>
          <w:szCs w:val="28"/>
        </w:rPr>
      </w:pPr>
      <w:bookmarkStart w:id="600" w:name="_Toc10752"/>
      <w:bookmarkStart w:id="601" w:name="_Toc3883"/>
      <w:bookmarkStart w:id="602" w:name="_Toc29786945"/>
      <w:r>
        <w:rPr>
          <w:rFonts w:ascii="宋体" w:hAnsi="宋体" w:eastAsia="宋体" w:cs="Times New Roman"/>
          <w:b/>
          <w:bCs/>
          <w:sz w:val="24"/>
          <w:szCs w:val="24"/>
        </w:rPr>
        <w:br w:type="page"/>
      </w:r>
      <w:bookmarkStart w:id="603" w:name="_Toc23720"/>
      <w:r>
        <w:rPr>
          <w:rFonts w:ascii="Times New Roman" w:hAnsi="Times New Roman" w:eastAsia="宋体" w:cs="Times New Roman"/>
          <w:szCs w:val="24"/>
        </w:rPr>
        <mc:AlternateContent>
          <mc:Choice Requires="wps">
            <w:drawing>
              <wp:anchor distT="0" distB="0" distL="114300" distR="114300" simplePos="0" relativeHeight="251662336" behindDoc="0" locked="0" layoutInCell="1" allowOverlap="1">
                <wp:simplePos x="0" y="0"/>
                <wp:positionH relativeFrom="column">
                  <wp:posOffset>4347845</wp:posOffset>
                </wp:positionH>
                <wp:positionV relativeFrom="paragraph">
                  <wp:posOffset>47625</wp:posOffset>
                </wp:positionV>
                <wp:extent cx="1003300" cy="406400"/>
                <wp:effectExtent l="0" t="0" r="25400" b="1270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259F1DBC">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2.35pt;margin-top:3.75pt;height:32pt;width:79pt;z-index:251662336;mso-width-relative:page;mso-height-relative:page;" fillcolor="#FFFFFF" filled="t" stroked="t" coordsize="21600,21600" o:gfxdata="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qhsHWAAAACAEAAA8AAAAAAAAAAQAgAAAAIgAAAGRycy9kb3ducmV2&#10;LnhtbFBLAQIUABQAAAAIAIdO4kAfGJTkNwIAAHoEAAAOAAAAAAAAAAEAIAAAACUBAABkcnMvZTJv&#10;RG9jLnhtbFBLBQYAAAAABgAGAFkBAADOBQAAAAA=&#10;">
                <v:fill on="t" focussize="0,0"/>
                <v:stroke color="#000000" miterlimit="8" joinstyle="miter"/>
                <v:imagedata o:title=""/>
                <o:lock v:ext="edit" aspectratio="f"/>
                <v:textbox>
                  <w:txbxContent>
                    <w:p w14:paraId="259F1DBC">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sz w:val="24"/>
          <w:szCs w:val="24"/>
        </w:rPr>
        <w:t>四、报价文件格式</w:t>
      </w:r>
      <w:bookmarkEnd w:id="600"/>
      <w:bookmarkEnd w:id="601"/>
      <w:bookmarkEnd w:id="602"/>
      <w:bookmarkEnd w:id="603"/>
    </w:p>
    <w:p w14:paraId="345F92C8">
      <w:pPr>
        <w:wordWrap w:val="0"/>
        <w:spacing w:line="360" w:lineRule="auto"/>
        <w:jc w:val="left"/>
        <w:outlineLvl w:val="1"/>
        <w:rPr>
          <w:rFonts w:hint="eastAsia" w:ascii="宋体" w:hAnsi="宋体" w:eastAsia="宋体" w:cs="Times New Roman"/>
          <w:kern w:val="0"/>
          <w:szCs w:val="21"/>
        </w:rPr>
      </w:pPr>
      <w:r>
        <w:rPr>
          <w:rFonts w:hint="eastAsia" w:ascii="宋体" w:hAnsi="宋体" w:eastAsia="宋体" w:cs="Times New Roman"/>
          <w:kern w:val="0"/>
          <w:szCs w:val="21"/>
        </w:rPr>
        <w:t>（一）封面格式</w:t>
      </w:r>
    </w:p>
    <w:p w14:paraId="10AB54C7">
      <w:pPr>
        <w:wordWrap w:val="0"/>
        <w:jc w:val="left"/>
        <w:rPr>
          <w:rFonts w:hint="eastAsia" w:ascii="宋体" w:hAnsi="宋体" w:eastAsia="宋体" w:cs="Times New Roman"/>
          <w:kern w:val="0"/>
          <w:szCs w:val="21"/>
        </w:rPr>
      </w:pPr>
    </w:p>
    <w:p w14:paraId="2D17D7A1">
      <w:pPr>
        <w:wordWrap w:val="0"/>
        <w:ind w:right="840"/>
        <w:rPr>
          <w:rFonts w:hint="eastAsia" w:ascii="宋体" w:hAnsi="宋体" w:eastAsia="宋体" w:cs="Times New Roman"/>
          <w:kern w:val="0"/>
          <w:szCs w:val="21"/>
        </w:rPr>
      </w:pPr>
    </w:p>
    <w:p w14:paraId="1DE7548F">
      <w:pPr>
        <w:wordWrap w:val="0"/>
        <w:ind w:right="840"/>
        <w:rPr>
          <w:rFonts w:hint="eastAsia" w:ascii="宋体" w:hAnsi="宋体" w:eastAsia="宋体" w:cs="Times New Roman"/>
          <w:kern w:val="0"/>
          <w:szCs w:val="21"/>
        </w:rPr>
      </w:pPr>
    </w:p>
    <w:p w14:paraId="72BDF69D">
      <w:pPr>
        <w:wordWrap w:val="0"/>
        <w:spacing w:line="360" w:lineRule="auto"/>
        <w:jc w:val="center"/>
        <w:rPr>
          <w:rFonts w:hint="eastAsia" w:ascii="宋体" w:hAnsi="宋体" w:eastAsia="宋体" w:cs="Times New Roman"/>
          <w:kern w:val="0"/>
          <w:sz w:val="32"/>
          <w:szCs w:val="32"/>
        </w:rPr>
      </w:pPr>
    </w:p>
    <w:p w14:paraId="57E62DD3">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u w:val="single"/>
        </w:rPr>
        <w:t>（项目名称）</w:t>
      </w:r>
      <w:r>
        <w:rPr>
          <w:rFonts w:hint="eastAsia" w:ascii="宋体" w:hAnsi="宋体" w:eastAsia="宋体" w:cs="Times New Roman"/>
          <w:kern w:val="0"/>
          <w:sz w:val="28"/>
          <w:szCs w:val="28"/>
          <w:u w:val="single"/>
        </w:rPr>
        <w:t>项目</w:t>
      </w:r>
    </w:p>
    <w:p w14:paraId="67843D49">
      <w:pPr>
        <w:wordWrap w:val="0"/>
        <w:jc w:val="center"/>
        <w:rPr>
          <w:rFonts w:hint="eastAsia" w:ascii="宋体" w:hAnsi="宋体" w:eastAsia="宋体" w:cs="Times New Roman"/>
          <w:kern w:val="0"/>
          <w:sz w:val="28"/>
          <w:szCs w:val="28"/>
        </w:rPr>
      </w:pPr>
    </w:p>
    <w:p w14:paraId="483CEBD6">
      <w:pPr>
        <w:wordWrap w:val="0"/>
        <w:jc w:val="center"/>
        <w:rPr>
          <w:rFonts w:hint="eastAsia" w:ascii="宋体" w:hAnsi="宋体" w:eastAsia="宋体" w:cs="Times New Roman"/>
          <w:kern w:val="0"/>
          <w:sz w:val="28"/>
          <w:szCs w:val="28"/>
        </w:rPr>
      </w:pPr>
    </w:p>
    <w:p w14:paraId="5B120B59">
      <w:pPr>
        <w:wordWrap w:val="0"/>
        <w:jc w:val="center"/>
        <w:rPr>
          <w:rFonts w:hint="eastAsia" w:ascii="宋体" w:hAnsi="宋体" w:eastAsia="宋体" w:cs="Times New Roman"/>
          <w:kern w:val="0"/>
          <w:sz w:val="28"/>
          <w:szCs w:val="28"/>
        </w:rPr>
      </w:pPr>
    </w:p>
    <w:p w14:paraId="73345796">
      <w:pPr>
        <w:wordWrap w:val="0"/>
        <w:jc w:val="center"/>
        <w:rPr>
          <w:rFonts w:hint="eastAsia" w:ascii="宋体" w:hAnsi="宋体" w:eastAsia="宋体" w:cs="Times New Roman"/>
          <w:kern w:val="0"/>
          <w:sz w:val="28"/>
          <w:szCs w:val="28"/>
        </w:rPr>
      </w:pPr>
    </w:p>
    <w:p w14:paraId="09F816A9">
      <w:pPr>
        <w:wordWrap w:val="0"/>
        <w:jc w:val="center"/>
        <w:rPr>
          <w:rFonts w:hint="eastAsia" w:ascii="宋体" w:hAnsi="宋体" w:eastAsia="宋体" w:cs="Times New Roman"/>
          <w:kern w:val="0"/>
          <w:sz w:val="28"/>
          <w:szCs w:val="28"/>
        </w:rPr>
      </w:pPr>
    </w:p>
    <w:p w14:paraId="08C39D03">
      <w:pPr>
        <w:wordWrap w:val="0"/>
        <w:jc w:val="center"/>
        <w:rPr>
          <w:rFonts w:hint="eastAsia" w:ascii="宋体" w:hAnsi="宋体" w:eastAsia="宋体" w:cs="Times New Roman"/>
          <w:kern w:val="0"/>
          <w:sz w:val="28"/>
          <w:szCs w:val="28"/>
        </w:rPr>
      </w:pPr>
    </w:p>
    <w:p w14:paraId="65926FCA">
      <w:pPr>
        <w:wordWrap w:val="0"/>
        <w:spacing w:before="240" w:beforeLines="100" w:line="360" w:lineRule="auto"/>
        <w:jc w:val="center"/>
        <w:rPr>
          <w:rFonts w:hint="eastAsia" w:ascii="宋体" w:hAnsi="宋体" w:eastAsia="宋体" w:cs="Times New Roman"/>
          <w:kern w:val="0"/>
          <w:sz w:val="56"/>
          <w:szCs w:val="56"/>
        </w:rPr>
      </w:pPr>
      <w:r>
        <w:rPr>
          <w:rFonts w:ascii="宋体" w:hAnsi="宋体" w:eastAsia="宋体" w:cs="Times New Roman"/>
          <w:kern w:val="0"/>
          <w:sz w:val="56"/>
          <w:szCs w:val="56"/>
        </w:rPr>
        <w:t>投  标  文  件</w:t>
      </w:r>
    </w:p>
    <w:p w14:paraId="5C377E5C">
      <w:pPr>
        <w:wordWrap w:val="0"/>
        <w:spacing w:line="360" w:lineRule="auto"/>
        <w:jc w:val="center"/>
        <w:rPr>
          <w:rFonts w:hint="eastAsia" w:ascii="宋体" w:hAnsi="宋体" w:eastAsia="宋体" w:cs="Times New Roman"/>
          <w:kern w:val="0"/>
          <w:sz w:val="36"/>
          <w:szCs w:val="36"/>
          <w:u w:val="single"/>
        </w:rPr>
      </w:pPr>
      <w:r>
        <w:rPr>
          <w:rFonts w:hint="eastAsia" w:ascii="宋体" w:hAnsi="宋体" w:eastAsia="宋体" w:cs="Times New Roman"/>
          <w:kern w:val="0"/>
          <w:sz w:val="36"/>
          <w:szCs w:val="36"/>
          <w:u w:val="single"/>
        </w:rPr>
        <w:t>报价文件</w:t>
      </w:r>
    </w:p>
    <w:p w14:paraId="6A431A32">
      <w:pPr>
        <w:wordWrap w:val="0"/>
        <w:spacing w:line="360" w:lineRule="auto"/>
        <w:jc w:val="center"/>
        <w:rPr>
          <w:rFonts w:hint="eastAsia" w:ascii="宋体" w:hAnsi="宋体" w:eastAsia="宋体" w:cs="Times New Roman"/>
          <w:kern w:val="0"/>
          <w:sz w:val="32"/>
          <w:szCs w:val="32"/>
          <w:u w:val="single"/>
        </w:rPr>
      </w:pPr>
      <w:r>
        <w:rPr>
          <w:rFonts w:hint="eastAsia" w:ascii="宋体" w:hAnsi="宋体" w:eastAsia="宋体" w:cs="Times New Roman"/>
          <w:kern w:val="0"/>
          <w:sz w:val="32"/>
          <w:szCs w:val="32"/>
          <w:u w:val="single"/>
        </w:rPr>
        <w:t>第   册（如有分册）</w:t>
      </w:r>
    </w:p>
    <w:p w14:paraId="676C2547">
      <w:pPr>
        <w:wordWrap w:val="0"/>
        <w:rPr>
          <w:rFonts w:hint="eastAsia" w:ascii="宋体" w:hAnsi="宋体" w:eastAsia="宋体" w:cs="Times New Roman"/>
          <w:kern w:val="0"/>
          <w:sz w:val="32"/>
          <w:szCs w:val="32"/>
        </w:rPr>
      </w:pPr>
    </w:p>
    <w:p w14:paraId="2A412E5D">
      <w:pPr>
        <w:wordWrap w:val="0"/>
        <w:spacing w:line="360" w:lineRule="auto"/>
        <w:ind w:firstLine="2380" w:firstLineChars="850"/>
        <w:rPr>
          <w:rFonts w:hint="eastAsia" w:ascii="宋体" w:hAnsi="宋体" w:eastAsia="宋体" w:cs="Times New Roman"/>
          <w:kern w:val="0"/>
          <w:sz w:val="28"/>
          <w:szCs w:val="28"/>
          <w:u w:val="single"/>
        </w:rPr>
      </w:pPr>
      <w:r>
        <w:rPr>
          <w:rFonts w:ascii="宋体" w:hAnsi="宋体" w:eastAsia="宋体" w:cs="Times New Roman"/>
          <w:kern w:val="0"/>
          <w:sz w:val="28"/>
          <w:szCs w:val="28"/>
        </w:rPr>
        <w:t>招标编号：</w:t>
      </w:r>
    </w:p>
    <w:p w14:paraId="06AC5C52">
      <w:pPr>
        <w:wordWrap w:val="0"/>
        <w:jc w:val="center"/>
        <w:rPr>
          <w:rFonts w:hint="eastAsia" w:ascii="宋体" w:hAnsi="宋体" w:eastAsia="宋体" w:cs="Times New Roman"/>
          <w:kern w:val="0"/>
          <w:sz w:val="32"/>
          <w:szCs w:val="32"/>
        </w:rPr>
      </w:pPr>
    </w:p>
    <w:p w14:paraId="39E1C5EE">
      <w:pPr>
        <w:wordWrap w:val="0"/>
        <w:jc w:val="center"/>
        <w:rPr>
          <w:rFonts w:hint="eastAsia" w:ascii="宋体" w:hAnsi="宋体" w:eastAsia="宋体" w:cs="Times New Roman"/>
          <w:kern w:val="0"/>
          <w:sz w:val="32"/>
          <w:szCs w:val="32"/>
        </w:rPr>
      </w:pPr>
    </w:p>
    <w:p w14:paraId="0FAE9D7F">
      <w:pPr>
        <w:wordWrap w:val="0"/>
        <w:rPr>
          <w:rFonts w:hint="eastAsia" w:ascii="宋体" w:hAnsi="宋体" w:eastAsia="宋体" w:cs="Times New Roman"/>
          <w:kern w:val="0"/>
          <w:sz w:val="32"/>
          <w:szCs w:val="32"/>
        </w:rPr>
      </w:pPr>
    </w:p>
    <w:p w14:paraId="528F9E8D">
      <w:pPr>
        <w:wordWrap w:val="0"/>
        <w:jc w:val="center"/>
        <w:rPr>
          <w:rFonts w:hint="eastAsia" w:ascii="宋体" w:hAnsi="宋体" w:eastAsia="宋体" w:cs="Times New Roman"/>
          <w:kern w:val="0"/>
          <w:sz w:val="32"/>
          <w:szCs w:val="32"/>
        </w:rPr>
      </w:pPr>
    </w:p>
    <w:p w14:paraId="3FE53624">
      <w:pPr>
        <w:wordWrap w:val="0"/>
        <w:jc w:val="center"/>
        <w:rPr>
          <w:rFonts w:hint="eastAsia" w:ascii="宋体" w:hAnsi="宋体" w:eastAsia="宋体" w:cs="Times New Roman"/>
          <w:kern w:val="0"/>
          <w:sz w:val="32"/>
          <w:szCs w:val="32"/>
        </w:rPr>
      </w:pPr>
    </w:p>
    <w:p w14:paraId="2879AE3F">
      <w:pPr>
        <w:wordWrap w:val="0"/>
        <w:jc w:val="center"/>
        <w:rPr>
          <w:rFonts w:hint="eastAsia" w:ascii="宋体" w:hAnsi="宋体" w:eastAsia="宋体" w:cs="Times New Roman"/>
          <w:kern w:val="0"/>
          <w:sz w:val="32"/>
          <w:szCs w:val="32"/>
        </w:rPr>
      </w:pPr>
    </w:p>
    <w:p w14:paraId="5087EBC8">
      <w:pPr>
        <w:wordWrap w:val="0"/>
        <w:jc w:val="center"/>
        <w:rPr>
          <w:rFonts w:hint="eastAsia" w:ascii="宋体" w:hAnsi="宋体" w:eastAsia="宋体" w:cs="Times New Roman"/>
          <w:kern w:val="0"/>
          <w:sz w:val="32"/>
          <w:szCs w:val="32"/>
        </w:rPr>
      </w:pPr>
    </w:p>
    <w:p w14:paraId="3A28CF97">
      <w:pPr>
        <w:wordWrap w:val="0"/>
        <w:spacing w:line="360" w:lineRule="auto"/>
        <w:ind w:firstLine="1400" w:firstLineChars="500"/>
        <w:rPr>
          <w:rFonts w:hint="eastAsia" w:ascii="宋体" w:hAnsi="宋体" w:eastAsia="宋体" w:cs="Times New Roman"/>
          <w:kern w:val="0"/>
          <w:sz w:val="28"/>
          <w:szCs w:val="28"/>
        </w:rPr>
      </w:pPr>
      <w:r>
        <w:rPr>
          <w:rFonts w:ascii="宋体" w:hAnsi="宋体" w:eastAsia="宋体" w:cs="Times New Roman"/>
          <w:kern w:val="0"/>
          <w:sz w:val="28"/>
          <w:szCs w:val="28"/>
        </w:rPr>
        <w:t>投标人：（盖单位</w:t>
      </w:r>
      <w:r>
        <w:rPr>
          <w:rFonts w:hint="eastAsia" w:ascii="宋体" w:hAnsi="宋体" w:eastAsia="宋体" w:cs="Times New Roman"/>
          <w:kern w:val="0"/>
          <w:sz w:val="28"/>
          <w:szCs w:val="28"/>
        </w:rPr>
        <w:t>公</w:t>
      </w:r>
      <w:r>
        <w:rPr>
          <w:rFonts w:ascii="宋体" w:hAnsi="宋体" w:eastAsia="宋体" w:cs="Times New Roman"/>
          <w:kern w:val="0"/>
          <w:sz w:val="28"/>
          <w:szCs w:val="28"/>
        </w:rPr>
        <w:t>章）</w:t>
      </w:r>
    </w:p>
    <w:p w14:paraId="5D7A2456">
      <w:pPr>
        <w:wordWrap w:val="0"/>
        <w:spacing w:line="360" w:lineRule="auto"/>
        <w:ind w:firstLine="1400" w:firstLineChars="500"/>
        <w:rPr>
          <w:rFonts w:hint="eastAsia" w:ascii="宋体" w:hAnsi="宋体" w:eastAsia="宋体" w:cs="Times New Roman"/>
          <w:kern w:val="0"/>
          <w:sz w:val="28"/>
          <w:szCs w:val="28"/>
        </w:rPr>
      </w:pPr>
      <w:r>
        <w:rPr>
          <w:rFonts w:hint="eastAsia" w:ascii="宋体" w:hAnsi="宋体" w:eastAsia="宋体" w:cs="Times New Roman"/>
          <w:kern w:val="0"/>
          <w:sz w:val="28"/>
          <w:szCs w:val="28"/>
        </w:rPr>
        <w:t>法定代表人或其委托代理人</w:t>
      </w:r>
      <w:r>
        <w:rPr>
          <w:rFonts w:ascii="宋体" w:hAnsi="宋体" w:eastAsia="宋体" w:cs="Times New Roman"/>
          <w:kern w:val="0"/>
          <w:sz w:val="28"/>
          <w:szCs w:val="28"/>
        </w:rPr>
        <w:t>：（签字</w:t>
      </w:r>
      <w:r>
        <w:rPr>
          <w:rFonts w:hint="eastAsia" w:ascii="宋体" w:hAnsi="宋体" w:eastAsia="宋体" w:cs="Times New Roman"/>
          <w:kern w:val="0"/>
          <w:sz w:val="28"/>
          <w:szCs w:val="28"/>
        </w:rPr>
        <w:t>或盖章</w:t>
      </w:r>
      <w:r>
        <w:rPr>
          <w:rFonts w:ascii="宋体" w:hAnsi="宋体" w:eastAsia="宋体" w:cs="Times New Roman"/>
          <w:kern w:val="0"/>
          <w:sz w:val="28"/>
          <w:szCs w:val="28"/>
        </w:rPr>
        <w:t>）</w:t>
      </w:r>
    </w:p>
    <w:p w14:paraId="78E8933F">
      <w:pPr>
        <w:wordWrap w:val="0"/>
        <w:rPr>
          <w:rFonts w:hint="eastAsia" w:ascii="宋体" w:hAnsi="宋体" w:eastAsia="宋体" w:cs="Times New Roman"/>
          <w:kern w:val="0"/>
          <w:sz w:val="28"/>
          <w:szCs w:val="28"/>
        </w:rPr>
      </w:pPr>
    </w:p>
    <w:p w14:paraId="192269A1">
      <w:pPr>
        <w:wordWrap w:val="0"/>
        <w:jc w:val="center"/>
        <w:rPr>
          <w:rFonts w:hint="eastAsia" w:ascii="宋体" w:hAnsi="宋体" w:eastAsia="宋体" w:cs="Times New Roman"/>
          <w:kern w:val="0"/>
          <w:sz w:val="28"/>
          <w:szCs w:val="28"/>
        </w:rPr>
      </w:pPr>
      <w:r>
        <w:rPr>
          <w:rFonts w:ascii="宋体" w:hAnsi="宋体" w:eastAsia="宋体" w:cs="Times New Roman"/>
          <w:kern w:val="0"/>
          <w:sz w:val="28"/>
          <w:szCs w:val="28"/>
        </w:rPr>
        <w:t>年</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 xml:space="preserve"> </w:t>
      </w:r>
      <w:r>
        <w:rPr>
          <w:rFonts w:ascii="宋体" w:hAnsi="宋体" w:eastAsia="宋体" w:cs="Times New Roman"/>
          <w:kern w:val="0"/>
          <w:sz w:val="28"/>
          <w:szCs w:val="28"/>
        </w:rPr>
        <w:t>月</w:t>
      </w:r>
    </w:p>
    <w:p w14:paraId="4C4F1ABC">
      <w:pPr>
        <w:wordWrap w:val="0"/>
        <w:spacing w:line="360" w:lineRule="auto"/>
        <w:jc w:val="left"/>
        <w:outlineLvl w:val="1"/>
        <w:rPr>
          <w:rFonts w:hint="eastAsia" w:ascii="宋体" w:hAnsi="宋体" w:eastAsia="宋体" w:cs="Times New Roman"/>
          <w:kern w:val="0"/>
          <w:szCs w:val="21"/>
        </w:rPr>
      </w:pPr>
      <w:r>
        <w:rPr>
          <w:rFonts w:ascii="宋体" w:hAnsi="宋体" w:eastAsia="宋体" w:cs="Times New Roman"/>
          <w:kern w:val="0"/>
          <w:sz w:val="28"/>
          <w:szCs w:val="28"/>
        </w:rPr>
        <w:br w:type="page"/>
      </w:r>
      <w:r>
        <w:rPr>
          <w:rFonts w:ascii="宋体" w:hAnsi="宋体" w:eastAsia="宋体" w:cs="Times New Roman"/>
          <w:kern w:val="0"/>
          <w:szCs w:val="21"/>
        </w:rPr>
        <w:t xml:space="preserve"> </w:t>
      </w:r>
      <w:r>
        <w:rPr>
          <w:rFonts w:hint="eastAsia" w:ascii="宋体" w:hAnsi="宋体" w:eastAsia="宋体" w:cs="Times New Roman"/>
          <w:kern w:val="0"/>
          <w:szCs w:val="21"/>
        </w:rPr>
        <w:t>（二）报价文件内容格式</w:t>
      </w:r>
    </w:p>
    <w:p w14:paraId="2580C581">
      <w:pPr>
        <w:wordWrap w:val="0"/>
        <w:spacing w:line="360" w:lineRule="auto"/>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投标人可根据以下内容和顺序编排投标文件：</w:t>
      </w:r>
    </w:p>
    <w:p w14:paraId="1436B00B">
      <w:pPr>
        <w:wordWrap w:val="0"/>
        <w:spacing w:line="360" w:lineRule="auto"/>
        <w:ind w:firstLine="420" w:firstLineChars="200"/>
        <w:jc w:val="left"/>
        <w:rPr>
          <w:rFonts w:hint="eastAsia" w:ascii="宋体" w:hAnsi="宋体" w:eastAsia="宋体" w:cs="Times New Roman"/>
          <w:bCs/>
          <w:kern w:val="0"/>
          <w:szCs w:val="21"/>
        </w:rPr>
      </w:pPr>
      <w:r>
        <w:rPr>
          <w:rFonts w:hint="eastAsia" w:ascii="宋体" w:hAnsi="宋体" w:eastAsia="宋体" w:cs="Times New Roman"/>
          <w:bCs/>
          <w:kern w:val="0"/>
          <w:szCs w:val="21"/>
        </w:rPr>
        <w:t>1.投标函（详见格式D1）；</w:t>
      </w:r>
    </w:p>
    <w:p w14:paraId="0CA48573">
      <w:pPr>
        <w:wordWrap w:val="0"/>
        <w:spacing w:line="360" w:lineRule="auto"/>
        <w:ind w:firstLine="420" w:firstLineChars="200"/>
        <w:jc w:val="left"/>
        <w:rPr>
          <w:rFonts w:hint="eastAsia" w:ascii="宋体" w:hAnsi="宋体" w:eastAsia="宋体" w:cs="Times New Roman"/>
          <w:bCs/>
          <w:kern w:val="0"/>
          <w:szCs w:val="21"/>
        </w:rPr>
      </w:pPr>
      <w:r>
        <w:rPr>
          <w:rFonts w:hint="eastAsia" w:ascii="宋体" w:hAnsi="宋体" w:eastAsia="宋体" w:cs="Times New Roman"/>
          <w:kern w:val="0"/>
          <w:szCs w:val="21"/>
        </w:rPr>
        <w:t>2.投标报价表</w:t>
      </w:r>
      <w:r>
        <w:rPr>
          <w:rFonts w:hint="eastAsia" w:ascii="宋体" w:hAnsi="宋体" w:eastAsia="宋体" w:cs="Times New Roman"/>
          <w:bCs/>
          <w:kern w:val="0"/>
          <w:szCs w:val="21"/>
        </w:rPr>
        <w:t>（详见格式D2）；</w:t>
      </w:r>
    </w:p>
    <w:p w14:paraId="266BCC63">
      <w:pPr>
        <w:wordWrap w:val="0"/>
        <w:spacing w:line="360" w:lineRule="auto"/>
        <w:ind w:firstLine="420" w:firstLineChars="200"/>
        <w:jc w:val="left"/>
        <w:rPr>
          <w:rFonts w:hint="eastAsia" w:ascii="宋体" w:hAnsi="宋体" w:eastAsia="宋体" w:cs="Times New Roman"/>
          <w:bCs/>
          <w:kern w:val="0"/>
          <w:szCs w:val="21"/>
        </w:rPr>
      </w:pPr>
      <w:bookmarkStart w:id="604" w:name="OLE_LINK1"/>
      <w:r>
        <w:rPr>
          <w:rFonts w:hint="eastAsia" w:ascii="宋体" w:hAnsi="宋体" w:eastAsia="宋体" w:cs="Times New Roman"/>
          <w:kern w:val="0"/>
          <w:szCs w:val="21"/>
        </w:rPr>
        <w:t>3.</w:t>
      </w:r>
      <w:r>
        <w:rPr>
          <w:rFonts w:hint="eastAsia" w:ascii="宋体" w:hAnsi="宋体" w:eastAsia="宋体" w:cs="Times New Roman"/>
          <w:kern w:val="0"/>
          <w:szCs w:val="21"/>
          <w:lang w:val="en-US" w:eastAsia="zh-CN"/>
        </w:rPr>
        <w:t>供货清单</w:t>
      </w:r>
      <w:r>
        <w:rPr>
          <w:rFonts w:hint="eastAsia" w:ascii="宋体" w:hAnsi="宋体" w:eastAsia="宋体" w:cs="Times New Roman"/>
          <w:kern w:val="0"/>
          <w:szCs w:val="21"/>
        </w:rPr>
        <w:t>分项报价表</w:t>
      </w:r>
      <w:r>
        <w:rPr>
          <w:rFonts w:hint="eastAsia" w:ascii="宋体" w:hAnsi="宋体" w:eastAsia="宋体" w:cs="Times New Roman"/>
          <w:bCs/>
          <w:kern w:val="0"/>
          <w:szCs w:val="21"/>
        </w:rPr>
        <w:t>（详见格式D3）；</w:t>
      </w:r>
    </w:p>
    <w:bookmarkEnd w:id="604"/>
    <w:p w14:paraId="6854F63D">
      <w:pPr>
        <w:wordWrap w:val="0"/>
        <w:rPr>
          <w:rFonts w:ascii="Times New Roman" w:hAnsi="Times New Roman" w:eastAsia="宋体" w:cs="Times New Roman"/>
          <w:szCs w:val="24"/>
        </w:rPr>
      </w:pPr>
      <w:r>
        <w:rPr>
          <w:rFonts w:hint="eastAsia" w:ascii="宋体" w:hAnsi="宋体" w:eastAsia="宋体" w:cs="Times New Roman"/>
          <w:szCs w:val="21"/>
        </w:rPr>
        <w:t xml:space="preserve">    4</w:t>
      </w:r>
      <w:r>
        <w:rPr>
          <w:rFonts w:hint="eastAsia" w:ascii="宋体" w:hAnsi="宋体" w:eastAsia="宋体" w:cs="Times New Roman"/>
          <w:kern w:val="0"/>
          <w:szCs w:val="21"/>
        </w:rPr>
        <w:t>.投标人认为需要提交的其他资料。</w:t>
      </w:r>
      <w:r>
        <w:rPr>
          <w:rFonts w:hint="eastAsia" w:ascii="宋体" w:hAnsi="宋体" w:eastAsia="宋体" w:cs="宋体"/>
          <w:b w:val="0"/>
          <w:kern w:val="0"/>
          <w:szCs w:val="21"/>
          <w:highlight w:val="none"/>
        </w:rPr>
        <w:t>（如有）</w:t>
      </w:r>
    </w:p>
    <w:bookmarkEnd w:id="592"/>
    <w:bookmarkEnd w:id="593"/>
    <w:bookmarkEnd w:id="594"/>
    <w:bookmarkEnd w:id="595"/>
    <w:bookmarkEnd w:id="596"/>
    <w:bookmarkEnd w:id="597"/>
    <w:bookmarkEnd w:id="598"/>
    <w:bookmarkEnd w:id="599"/>
    <w:p w14:paraId="1BD3317E">
      <w:pPr>
        <w:wordWrap w:val="0"/>
        <w:spacing w:before="40" w:after="40"/>
        <w:ind w:firstLine="420" w:firstLineChars="200"/>
        <w:rPr>
          <w:rFonts w:ascii="Times New Roman" w:hAnsi="Times New Roman" w:eastAsia="宋体" w:cs="Times New Roman"/>
          <w:szCs w:val="24"/>
        </w:rPr>
      </w:pPr>
    </w:p>
    <w:p w14:paraId="09487A98">
      <w:pPr>
        <w:keepNext/>
        <w:keepLines/>
        <w:pageBreakBefore/>
        <w:wordWrap w:val="0"/>
        <w:spacing w:line="360" w:lineRule="auto"/>
        <w:jc w:val="left"/>
        <w:outlineLvl w:val="3"/>
        <w:rPr>
          <w:rFonts w:hint="eastAsia" w:ascii="宋体" w:hAnsi="宋体" w:eastAsia="宋体" w:cs="Times New Roman"/>
          <w:b/>
          <w:szCs w:val="28"/>
        </w:rPr>
      </w:pPr>
      <w:bookmarkStart w:id="605" w:name="_Toc318213169"/>
      <w:bookmarkStart w:id="606" w:name="_Toc392941014"/>
      <w:bookmarkStart w:id="607" w:name="_Toc395312611"/>
      <w:r>
        <w:rPr>
          <w:rFonts w:hint="eastAsia" w:ascii="宋体" w:hAnsi="宋体" w:eastAsia="宋体" w:cs="Times New Roman"/>
          <w:b/>
          <w:szCs w:val="28"/>
        </w:rPr>
        <w:t>格式D1：投标函</w:t>
      </w:r>
    </w:p>
    <w:p w14:paraId="02CE540C">
      <w:pPr>
        <w:wordWrap w:val="0"/>
        <w:spacing w:line="480" w:lineRule="auto"/>
        <w:jc w:val="center"/>
        <w:rPr>
          <w:rFonts w:hint="eastAsia" w:ascii="宋体" w:hAnsi="宋体" w:eastAsia="宋体" w:cs="Times New Roman"/>
          <w:b/>
          <w:bCs/>
          <w:kern w:val="0"/>
          <w:sz w:val="28"/>
          <w:szCs w:val="28"/>
        </w:rPr>
      </w:pPr>
      <w:r>
        <w:rPr>
          <w:rFonts w:ascii="宋体" w:hAnsi="宋体" w:eastAsia="宋体" w:cs="Times New Roman"/>
          <w:b/>
          <w:bCs/>
          <w:kern w:val="0"/>
          <w:sz w:val="28"/>
          <w:szCs w:val="28"/>
        </w:rPr>
        <w:t>投标函</w:t>
      </w:r>
    </w:p>
    <w:p w14:paraId="2DFE6E67">
      <w:pPr>
        <w:wordWrap w:val="0"/>
        <w:spacing w:line="360" w:lineRule="auto"/>
        <w:rPr>
          <w:rFonts w:hint="eastAsia" w:ascii="宋体" w:hAnsi="宋体" w:eastAsia="宋体" w:cs="Times New Roman"/>
          <w:kern w:val="0"/>
          <w:szCs w:val="21"/>
          <w:u w:val="single"/>
        </w:rPr>
      </w:pPr>
      <w:r>
        <w:rPr>
          <w:rFonts w:ascii="宋体" w:hAnsi="宋体" w:eastAsia="宋体" w:cs="Times New Roman"/>
          <w:kern w:val="0"/>
          <w:szCs w:val="21"/>
        </w:rPr>
        <w:t>致：</w:t>
      </w:r>
      <w:r>
        <w:rPr>
          <w:rFonts w:hint="eastAsia" w:ascii="宋体" w:hAnsi="宋体" w:eastAsia="宋体" w:cs="Times New Roman"/>
          <w:kern w:val="0"/>
          <w:szCs w:val="21"/>
          <w:u w:val="single"/>
        </w:rPr>
        <w:t>南宁轨道交通集团有限责任公司</w:t>
      </w:r>
    </w:p>
    <w:p w14:paraId="773BDEC2">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在研究了贵方提供的《</w:t>
      </w:r>
      <w:r>
        <w:rPr>
          <w:rFonts w:hint="eastAsia" w:ascii="宋体" w:hAnsi="宋体" w:eastAsia="宋体" w:cs="Times New Roman"/>
          <w:kern w:val="0"/>
          <w:szCs w:val="21"/>
          <w:lang w:eastAsia="zh-CN"/>
        </w:rPr>
        <w:t>南宁市智慧出行信息化工程二期项目-公共交通协同调度系统升级项目</w:t>
      </w:r>
      <w:r>
        <w:rPr>
          <w:rFonts w:ascii="宋体" w:hAnsi="宋体" w:eastAsia="宋体" w:cs="Times New Roman"/>
          <w:kern w:val="0"/>
          <w:szCs w:val="21"/>
        </w:rPr>
        <w:t>招标文件》，并考察现场后，我方在此郑重表示，愿意按照我方报送的技术文件确定的投入力量和工作方法，依据贵方招标文件中提出的各项要求，我方愿以</w:t>
      </w:r>
      <w:r>
        <w:rPr>
          <w:rFonts w:hint="eastAsia" w:ascii="宋体" w:hAnsi="宋体" w:eastAsia="宋体" w:cs="宋体"/>
          <w:kern w:val="0"/>
          <w:szCs w:val="21"/>
        </w:rPr>
        <w:t>含税价为（大写）</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Times New Roman"/>
          <w:kern w:val="0"/>
          <w:szCs w:val="21"/>
        </w:rPr>
        <w:t xml:space="preserve">¥ </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w:t>
      </w:r>
      <w:r>
        <w:rPr>
          <w:rFonts w:ascii="宋体" w:hAnsi="宋体" w:eastAsia="宋体" w:cs="Times New Roman"/>
          <w:kern w:val="0"/>
          <w:szCs w:val="21"/>
        </w:rPr>
        <w:t>的报价承担并完成上述</w:t>
      </w:r>
      <w:r>
        <w:rPr>
          <w:rFonts w:hint="eastAsia" w:ascii="宋体" w:hAnsi="宋体" w:eastAsia="宋体" w:cs="Times New Roman"/>
          <w:kern w:val="0"/>
          <w:szCs w:val="21"/>
        </w:rPr>
        <w:t>项目</w:t>
      </w:r>
      <w:r>
        <w:rPr>
          <w:rFonts w:ascii="宋体" w:hAnsi="宋体" w:eastAsia="宋体" w:cs="Times New Roman"/>
          <w:kern w:val="0"/>
          <w:szCs w:val="21"/>
        </w:rPr>
        <w:t>的服务任务</w:t>
      </w:r>
      <w:r>
        <w:rPr>
          <w:rFonts w:hint="eastAsia" w:ascii="宋体" w:hAnsi="宋体" w:eastAsia="宋体" w:cs="Times New Roman"/>
          <w:kern w:val="0"/>
          <w:szCs w:val="21"/>
        </w:rPr>
        <w:t>，项目质量</w:t>
      </w:r>
      <w:r>
        <w:rPr>
          <w:rFonts w:hint="eastAsia" w:ascii="宋体" w:hAnsi="宋体" w:eastAsia="宋体" w:cs="Times New Roman"/>
          <w:kern w:val="0"/>
          <w:szCs w:val="21"/>
          <w:u w:val="single"/>
        </w:rPr>
        <w:t>达到招标文件要求</w:t>
      </w:r>
      <w:r>
        <w:rPr>
          <w:rFonts w:hint="eastAsia" w:ascii="宋体" w:hAnsi="宋体" w:eastAsia="宋体" w:cs="Times New Roman"/>
          <w:kern w:val="0"/>
          <w:szCs w:val="21"/>
        </w:rPr>
        <w:t>。</w:t>
      </w:r>
    </w:p>
    <w:p w14:paraId="75250A87">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本投标文件是由《技术文件》</w:t>
      </w:r>
      <w:r>
        <w:rPr>
          <w:rFonts w:hint="eastAsia" w:ascii="宋体" w:hAnsi="宋体" w:eastAsia="宋体" w:cs="Times New Roman"/>
          <w:kern w:val="0"/>
          <w:szCs w:val="21"/>
        </w:rPr>
        <w:t>、</w:t>
      </w:r>
      <w:r>
        <w:rPr>
          <w:rFonts w:ascii="宋体" w:hAnsi="宋体" w:eastAsia="宋体" w:cs="Times New Roman"/>
          <w:kern w:val="0"/>
          <w:szCs w:val="21"/>
        </w:rPr>
        <w:t>《资信文件》</w:t>
      </w:r>
      <w:r>
        <w:rPr>
          <w:rFonts w:hint="eastAsia" w:ascii="宋体" w:hAnsi="宋体" w:eastAsia="宋体" w:cs="Times New Roman"/>
          <w:kern w:val="0"/>
          <w:szCs w:val="21"/>
        </w:rPr>
        <w:t>、《资格审查</w:t>
      </w:r>
      <w:r>
        <w:rPr>
          <w:rFonts w:ascii="宋体" w:hAnsi="宋体" w:eastAsia="宋体" w:cs="Times New Roman"/>
          <w:kern w:val="0"/>
          <w:szCs w:val="21"/>
        </w:rPr>
        <w:t>文件</w:t>
      </w:r>
      <w:r>
        <w:rPr>
          <w:rFonts w:hint="eastAsia" w:ascii="宋体" w:hAnsi="宋体" w:eastAsia="宋体" w:cs="Times New Roman"/>
          <w:kern w:val="0"/>
          <w:szCs w:val="21"/>
        </w:rPr>
        <w:t>》和《报价文件》四</w:t>
      </w:r>
      <w:r>
        <w:rPr>
          <w:rFonts w:ascii="宋体" w:hAnsi="宋体" w:eastAsia="宋体" w:cs="Times New Roman"/>
          <w:kern w:val="0"/>
          <w:szCs w:val="21"/>
        </w:rPr>
        <w:t>册组成。我方同意从递交投标文件起</w:t>
      </w:r>
      <w:r>
        <w:rPr>
          <w:rFonts w:hint="eastAsia" w:ascii="宋体" w:hAnsi="宋体" w:eastAsia="宋体" w:cs="Times New Roman"/>
          <w:kern w:val="0"/>
          <w:szCs w:val="21"/>
          <w:u w:val="single"/>
        </w:rPr>
        <w:t>120</w:t>
      </w:r>
      <w:r>
        <w:rPr>
          <w:rFonts w:ascii="宋体" w:hAnsi="宋体" w:eastAsia="宋体" w:cs="Times New Roman"/>
          <w:kern w:val="0"/>
          <w:szCs w:val="21"/>
          <w:u w:val="single"/>
        </w:rPr>
        <w:t>天</w:t>
      </w:r>
      <w:r>
        <w:rPr>
          <w:rFonts w:ascii="宋体" w:hAnsi="宋体" w:eastAsia="宋体" w:cs="Times New Roman"/>
          <w:kern w:val="0"/>
          <w:szCs w:val="21"/>
        </w:rPr>
        <w:t>内保持投标文件有效。在此有效期内，我方将遵守本投标文件的承诺，并同意随时解答贵方的询问，提供贵方要求的补充资料，参加贵方组织的主要人员的技术答辩，并随时准备接受中标通知。</w:t>
      </w:r>
    </w:p>
    <w:p w14:paraId="339D4D77">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我方在此承诺，我方若能中标，将在该</w:t>
      </w:r>
      <w:r>
        <w:rPr>
          <w:rFonts w:hint="eastAsia" w:ascii="宋体" w:hAnsi="宋体" w:eastAsia="宋体" w:cs="Times New Roman"/>
          <w:kern w:val="0"/>
          <w:szCs w:val="21"/>
        </w:rPr>
        <w:t>项目</w:t>
      </w:r>
      <w:r>
        <w:rPr>
          <w:rFonts w:ascii="宋体" w:hAnsi="宋体" w:eastAsia="宋体" w:cs="Times New Roman"/>
          <w:kern w:val="0"/>
          <w:szCs w:val="21"/>
        </w:rPr>
        <w:t>的实施过程中，全面履行招标文件中规定的职责和义务</w:t>
      </w:r>
      <w:r>
        <w:rPr>
          <w:rFonts w:hint="eastAsia" w:ascii="宋体" w:hAnsi="宋体" w:eastAsia="宋体" w:cs="Times New Roman"/>
          <w:kern w:val="0"/>
          <w:szCs w:val="21"/>
        </w:rPr>
        <w:t>，服务期：</w:t>
      </w:r>
      <w:r>
        <w:rPr>
          <w:rFonts w:hint="eastAsia" w:ascii="宋体" w:hAnsi="宋体" w:eastAsia="宋体" w:cs="Times New Roman"/>
          <w:kern w:val="0"/>
          <w:szCs w:val="21"/>
          <w:u w:val="single"/>
        </w:rPr>
        <w:t xml:space="preserve">                      </w:t>
      </w:r>
      <w:r>
        <w:rPr>
          <w:rFonts w:ascii="宋体" w:hAnsi="宋体" w:eastAsia="宋体" w:cs="Times New Roman"/>
          <w:kern w:val="0"/>
          <w:szCs w:val="21"/>
        </w:rPr>
        <w:t>。</w:t>
      </w:r>
    </w:p>
    <w:p w14:paraId="7B6BFACB">
      <w:pPr>
        <w:wordWrap w:val="0"/>
        <w:spacing w:line="360" w:lineRule="auto"/>
        <w:ind w:firstLine="420"/>
        <w:rPr>
          <w:rFonts w:hint="eastAsia" w:ascii="宋体" w:hAnsi="宋体" w:eastAsia="宋体" w:cs="Times New Roman"/>
          <w:szCs w:val="21"/>
        </w:rPr>
      </w:pPr>
      <w:r>
        <w:rPr>
          <w:rFonts w:ascii="宋体" w:hAnsi="宋体" w:eastAsia="宋体" w:cs="Times New Roman"/>
          <w:szCs w:val="21"/>
        </w:rPr>
        <w:t>我们理解，贵公司不一定接受最低标价的投标或其他任何投标。同时也理解，贵公司不负担我们的任何投标费用。</w:t>
      </w:r>
    </w:p>
    <w:p w14:paraId="47780F13">
      <w:pPr>
        <w:wordWrap w:val="0"/>
        <w:spacing w:line="360" w:lineRule="auto"/>
        <w:ind w:firstLine="420"/>
        <w:rPr>
          <w:rFonts w:hint="eastAsia" w:ascii="宋体" w:hAnsi="宋体" w:eastAsia="宋体" w:cs="Times New Roman"/>
          <w:szCs w:val="21"/>
        </w:rPr>
      </w:pPr>
      <w:r>
        <w:rPr>
          <w:rFonts w:ascii="宋体" w:hAnsi="宋体" w:eastAsia="宋体" w:cs="Times New Roman"/>
          <w:szCs w:val="21"/>
        </w:rPr>
        <w:t>我方在此确认招标人对招标文件具有最终解释权。</w:t>
      </w:r>
    </w:p>
    <w:p w14:paraId="10BB1191">
      <w:pPr>
        <w:wordWrap w:val="0"/>
        <w:spacing w:line="360" w:lineRule="auto"/>
        <w:ind w:firstLine="420"/>
        <w:rPr>
          <w:rFonts w:hint="eastAsia" w:ascii="宋体" w:hAnsi="宋体" w:eastAsia="宋体" w:cs="Times New Roman"/>
          <w:szCs w:val="21"/>
        </w:rPr>
      </w:pPr>
      <w:r>
        <w:rPr>
          <w:rFonts w:ascii="宋体" w:hAnsi="宋体" w:eastAsia="宋体" w:cs="Times New Roman"/>
          <w:szCs w:val="21"/>
        </w:rPr>
        <w:t>我方已详细研究了招标文件包括修改文件(如果有)和所有已提供的参考资料以及有关附件并完全明白，我方放弃在此方面提出含糊意见或误解的一切权利。</w:t>
      </w:r>
    </w:p>
    <w:p w14:paraId="1E1B9623">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在合同协议书正式签署生效之前，本投标函连同贵方的中标通知书将构成贵我双方共同遵守的文件，对双方具有约束力。</w:t>
      </w:r>
    </w:p>
    <w:p w14:paraId="671DA91C">
      <w:pPr>
        <w:wordWrap w:val="0"/>
        <w:spacing w:line="360" w:lineRule="auto"/>
        <w:ind w:firstLine="420" w:firstLineChars="200"/>
        <w:jc w:val="left"/>
        <w:rPr>
          <w:rFonts w:hint="eastAsia" w:ascii="宋体" w:hAnsi="宋体" w:eastAsia="宋体" w:cs="Times New Roman"/>
          <w:kern w:val="0"/>
          <w:szCs w:val="21"/>
        </w:rPr>
      </w:pPr>
      <w:r>
        <w:rPr>
          <w:rFonts w:ascii="宋体" w:hAnsi="宋体" w:eastAsia="宋体" w:cs="Times New Roman"/>
          <w:kern w:val="0"/>
          <w:szCs w:val="21"/>
        </w:rPr>
        <w:t>在本项目合同履约过程中，合同约定的税率必须遵照国家现行税法执行，最终税金在结算阶段按实际产生的税金进行核算，但合同不含税价格不因国家税率调整而调整。</w:t>
      </w:r>
    </w:p>
    <w:p w14:paraId="7A5DB99A">
      <w:pPr>
        <w:wordWrap w:val="0"/>
        <w:spacing w:line="360" w:lineRule="auto"/>
        <w:ind w:firstLine="420" w:firstLineChars="200"/>
        <w:rPr>
          <w:rFonts w:hint="eastAsia" w:ascii="宋体" w:hAnsi="宋体" w:eastAsia="宋体" w:cs="Times New Roman"/>
          <w:szCs w:val="21"/>
        </w:rPr>
      </w:pPr>
    </w:p>
    <w:p w14:paraId="0DCAD51A">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投标人地址：</w:t>
      </w:r>
      <w:r>
        <w:rPr>
          <w:rFonts w:ascii="宋体" w:hAnsi="宋体" w:eastAsia="宋体" w:cs="Times New Roman"/>
          <w:szCs w:val="21"/>
          <w:u w:val="single"/>
        </w:rPr>
        <w:t xml:space="preserve">                 </w:t>
      </w:r>
      <w:r>
        <w:rPr>
          <w:rFonts w:ascii="宋体" w:hAnsi="宋体" w:eastAsia="宋体" w:cs="Times New Roman"/>
          <w:szCs w:val="21"/>
        </w:rPr>
        <w:t xml:space="preserve">         投标人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(盖章)</w:t>
      </w:r>
      <w:r>
        <w:rPr>
          <w:rFonts w:hint="eastAsia" w:ascii="宋体" w:hAnsi="宋体" w:eastAsia="宋体" w:cs="Times New Roman"/>
          <w:szCs w:val="21"/>
          <w:u w:val="single"/>
        </w:rPr>
        <w:t xml:space="preserve">      </w:t>
      </w:r>
    </w:p>
    <w:p w14:paraId="26E09C52">
      <w:pPr>
        <w:wordWrap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 xml:space="preserve">邮政编码：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法定代表人或其委托代理人：</w:t>
      </w:r>
    </w:p>
    <w:p w14:paraId="38AD19C5">
      <w:pPr>
        <w:wordWrap w:val="0"/>
        <w:spacing w:line="360" w:lineRule="auto"/>
        <w:ind w:firstLine="420" w:firstLineChars="200"/>
        <w:rPr>
          <w:rFonts w:hint="eastAsia" w:ascii="宋体" w:hAnsi="宋体" w:eastAsia="宋体" w:cs="Times New Roman"/>
          <w:szCs w:val="21"/>
          <w:u w:val="single"/>
        </w:rPr>
      </w:pPr>
      <w:r>
        <w:rPr>
          <w:rFonts w:ascii="宋体" w:hAnsi="宋体" w:eastAsia="宋体" w:cs="Times New Roman"/>
          <w:szCs w:val="21"/>
        </w:rPr>
        <w:t xml:space="preserve">电    话：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(签字</w:t>
      </w:r>
      <w:r>
        <w:rPr>
          <w:rFonts w:hint="eastAsia" w:ascii="宋体" w:hAnsi="宋体" w:eastAsia="宋体" w:cs="Times New Roman"/>
          <w:szCs w:val="21"/>
          <w:u w:val="single"/>
        </w:rPr>
        <w:t>或盖章</w:t>
      </w:r>
      <w:r>
        <w:rPr>
          <w:rFonts w:ascii="宋体" w:hAnsi="宋体" w:eastAsia="宋体" w:cs="Times New Roman"/>
          <w:szCs w:val="21"/>
          <w:u w:val="single"/>
        </w:rPr>
        <w:t>)</w:t>
      </w:r>
      <w:r>
        <w:rPr>
          <w:rFonts w:hint="eastAsia" w:ascii="宋体" w:hAnsi="宋体" w:eastAsia="宋体" w:cs="Times New Roman"/>
          <w:szCs w:val="21"/>
          <w:u w:val="single"/>
        </w:rPr>
        <w:t xml:space="preserve">       </w:t>
      </w:r>
    </w:p>
    <w:p w14:paraId="2D4C08E1">
      <w:pPr>
        <w:wordWrap w:val="0"/>
        <w:spacing w:line="276" w:lineRule="auto"/>
        <w:ind w:firstLine="420" w:firstLineChars="200"/>
        <w:rPr>
          <w:rFonts w:hint="eastAsia" w:ascii="宋体" w:hAnsi="宋体" w:eastAsia="宋体" w:cs="Times New Roman"/>
          <w:szCs w:val="21"/>
        </w:rPr>
      </w:pPr>
      <w:r>
        <w:rPr>
          <w:rFonts w:ascii="宋体" w:hAnsi="宋体" w:eastAsia="宋体" w:cs="Times New Roman"/>
          <w:szCs w:val="21"/>
        </w:rPr>
        <w:t xml:space="preserve">传    真：  </w:t>
      </w:r>
      <w:r>
        <w:rPr>
          <w:rFonts w:ascii="宋体" w:hAnsi="宋体" w:eastAsia="宋体" w:cs="Times New Roman"/>
          <w:szCs w:val="21"/>
          <w:u w:val="single"/>
        </w:rPr>
        <w:t xml:space="preserve">                 </w:t>
      </w:r>
      <w:r>
        <w:rPr>
          <w:rFonts w:ascii="宋体" w:hAnsi="宋体" w:eastAsia="宋体" w:cs="Times New Roman"/>
          <w:szCs w:val="21"/>
        </w:rPr>
        <w:t xml:space="preserve">         日期：</w:t>
      </w: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ascii="宋体" w:hAnsi="宋体" w:eastAsia="宋体" w:cs="Times New Roman"/>
          <w:szCs w:val="21"/>
        </w:rPr>
        <w:t>日</w:t>
      </w:r>
      <w:bookmarkEnd w:id="605"/>
      <w:bookmarkEnd w:id="606"/>
      <w:bookmarkEnd w:id="607"/>
    </w:p>
    <w:p w14:paraId="454BC67A">
      <w:pPr>
        <w:keepNext/>
        <w:keepLines/>
        <w:wordWrap w:val="0"/>
        <w:spacing w:line="360" w:lineRule="auto"/>
        <w:jc w:val="left"/>
        <w:outlineLvl w:val="3"/>
        <w:rPr>
          <w:rFonts w:hint="eastAsia" w:ascii="宋体" w:hAnsi="宋体" w:eastAsia="宋体" w:cs="Times New Roman"/>
          <w:b/>
          <w:szCs w:val="28"/>
        </w:rPr>
      </w:pPr>
      <w:bookmarkStart w:id="608" w:name="_Toc10088"/>
      <w:bookmarkStart w:id="609" w:name="_Toc32624"/>
      <w:bookmarkStart w:id="610" w:name="_Toc11129"/>
      <w:bookmarkStart w:id="611" w:name="_Toc31938"/>
      <w:r>
        <w:rPr>
          <w:rFonts w:ascii="宋体" w:hAnsi="宋体" w:eastAsia="宋体" w:cs="Times New Roman"/>
          <w:b/>
          <w:szCs w:val="28"/>
        </w:rPr>
        <w:br w:type="page"/>
      </w:r>
      <w:r>
        <w:rPr>
          <w:rFonts w:hint="eastAsia" w:ascii="宋体" w:hAnsi="宋体" w:eastAsia="宋体" w:cs="Times New Roman"/>
          <w:b/>
          <w:szCs w:val="28"/>
        </w:rPr>
        <w:t>格式D2：投标报价表</w:t>
      </w:r>
      <w:bookmarkEnd w:id="608"/>
      <w:bookmarkEnd w:id="609"/>
      <w:bookmarkEnd w:id="610"/>
      <w:bookmarkEnd w:id="611"/>
    </w:p>
    <w:p w14:paraId="236CA1A0">
      <w:pPr>
        <w:wordWrap w:val="0"/>
        <w:spacing w:line="480" w:lineRule="auto"/>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投标报价表</w:t>
      </w:r>
    </w:p>
    <w:p w14:paraId="3EC43CC8">
      <w:pPr>
        <w:wordWrap w:val="0"/>
        <w:spacing w:line="360" w:lineRule="auto"/>
        <w:rPr>
          <w:rFonts w:hint="eastAsia" w:ascii="宋体" w:hAnsi="宋体" w:eastAsia="宋体" w:cs="Times New Roman"/>
          <w:sz w:val="28"/>
          <w:szCs w:val="28"/>
        </w:rPr>
      </w:pPr>
      <w:r>
        <w:rPr>
          <w:rFonts w:hint="eastAsia" w:ascii="宋体" w:hAnsi="宋体" w:eastAsia="宋体" w:cs="Times New Roman"/>
          <w:szCs w:val="21"/>
        </w:rPr>
        <w:t>项目名称：</w:t>
      </w:r>
      <w:r>
        <w:rPr>
          <w:rFonts w:hint="eastAsia" w:ascii="宋体" w:hAnsi="宋体" w:eastAsia="宋体" w:cs="Times New Roman"/>
          <w:szCs w:val="21"/>
          <w:lang w:eastAsia="zh-CN"/>
        </w:rPr>
        <w:t>南宁市智慧出行信息化工程二期项目-公共交通协同调度系统升级项目</w:t>
      </w:r>
    </w:p>
    <w:tbl>
      <w:tblPr>
        <w:tblStyle w:val="90"/>
        <w:tblW w:w="90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65"/>
        <w:gridCol w:w="3302"/>
        <w:gridCol w:w="1254"/>
        <w:gridCol w:w="1099"/>
      </w:tblGrid>
      <w:tr w14:paraId="74F3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3365" w:type="dxa"/>
            <w:noWrap/>
            <w:tcMar>
              <w:top w:w="15" w:type="dxa"/>
              <w:left w:w="15" w:type="dxa"/>
              <w:right w:w="15" w:type="dxa"/>
            </w:tcMar>
            <w:vAlign w:val="center"/>
          </w:tcPr>
          <w:p w14:paraId="7CEB574C">
            <w:pPr>
              <w:widowControl/>
              <w:wordWrap w:val="0"/>
              <w:jc w:val="center"/>
              <w:textAlignment w:val="center"/>
              <w:rPr>
                <w:rFonts w:hint="eastAsia" w:ascii="宋体" w:hAnsi="宋体" w:eastAsia="宋体" w:cs="宋体"/>
                <w:b/>
                <w:szCs w:val="21"/>
              </w:rPr>
            </w:pPr>
            <w:r>
              <w:rPr>
                <w:rFonts w:hint="eastAsia" w:ascii="宋体" w:hAnsi="宋体" w:eastAsia="宋体" w:cs="宋体"/>
                <w:b/>
                <w:kern w:val="0"/>
                <w:szCs w:val="21"/>
                <w:lang w:bidi="ar"/>
              </w:rPr>
              <w:t>项目名称</w:t>
            </w:r>
          </w:p>
        </w:tc>
        <w:tc>
          <w:tcPr>
            <w:tcW w:w="3302" w:type="dxa"/>
            <w:noWrap/>
            <w:tcMar>
              <w:top w:w="15" w:type="dxa"/>
              <w:left w:w="15" w:type="dxa"/>
              <w:right w:w="15" w:type="dxa"/>
            </w:tcMar>
            <w:vAlign w:val="center"/>
          </w:tcPr>
          <w:p w14:paraId="203CFCB7">
            <w:pPr>
              <w:widowControl/>
              <w:wordWrap w:val="0"/>
              <w:jc w:val="center"/>
              <w:textAlignment w:val="center"/>
              <w:rPr>
                <w:rFonts w:hint="eastAsia" w:ascii="宋体" w:hAnsi="宋体" w:eastAsia="宋体" w:cs="宋体"/>
                <w:b/>
                <w:kern w:val="0"/>
                <w:szCs w:val="21"/>
                <w:lang w:bidi="ar"/>
              </w:rPr>
            </w:pPr>
            <w:r>
              <w:rPr>
                <w:rFonts w:hint="eastAsia" w:ascii="宋体" w:hAnsi="宋体" w:eastAsia="宋体" w:cs="宋体"/>
                <w:b/>
                <w:kern w:val="0"/>
                <w:szCs w:val="21"/>
                <w:lang w:bidi="ar"/>
              </w:rPr>
              <w:t>含税投标</w:t>
            </w:r>
            <w:r>
              <w:rPr>
                <w:rFonts w:hint="eastAsia" w:ascii="宋体" w:hAnsi="宋体" w:eastAsia="宋体" w:cs="宋体"/>
                <w:b/>
                <w:kern w:val="0"/>
                <w:szCs w:val="21"/>
                <w:lang w:val="en-US" w:eastAsia="zh-CN" w:bidi="ar"/>
              </w:rPr>
              <w:t>总</w:t>
            </w:r>
            <w:r>
              <w:rPr>
                <w:rFonts w:hint="eastAsia" w:ascii="宋体" w:hAnsi="宋体" w:eastAsia="宋体" w:cs="宋体"/>
                <w:b/>
                <w:kern w:val="0"/>
                <w:szCs w:val="21"/>
                <w:lang w:bidi="ar"/>
              </w:rPr>
              <w:t>报价(元)</w:t>
            </w:r>
          </w:p>
        </w:tc>
        <w:tc>
          <w:tcPr>
            <w:tcW w:w="1254" w:type="dxa"/>
            <w:noWrap/>
            <w:tcMar>
              <w:top w:w="15" w:type="dxa"/>
              <w:left w:w="15" w:type="dxa"/>
              <w:right w:w="15" w:type="dxa"/>
            </w:tcMar>
            <w:vAlign w:val="center"/>
          </w:tcPr>
          <w:p w14:paraId="73322055">
            <w:pPr>
              <w:widowControl/>
              <w:wordWrap w:val="0"/>
              <w:jc w:val="center"/>
              <w:textAlignment w:val="center"/>
              <w:rPr>
                <w:rFonts w:hint="eastAsia" w:ascii="宋体" w:hAnsi="宋体" w:eastAsia="宋体" w:cs="宋体"/>
                <w:b/>
                <w:kern w:val="0"/>
                <w:szCs w:val="21"/>
                <w:lang w:bidi="ar"/>
              </w:rPr>
            </w:pPr>
            <w:r>
              <w:rPr>
                <w:rFonts w:hint="eastAsia" w:ascii="宋体" w:hAnsi="宋体" w:eastAsia="宋体" w:cs="宋体"/>
                <w:b/>
                <w:kern w:val="0"/>
                <w:szCs w:val="21"/>
                <w:lang w:bidi="ar"/>
              </w:rPr>
              <w:t>税率（%）</w:t>
            </w:r>
          </w:p>
        </w:tc>
        <w:tc>
          <w:tcPr>
            <w:tcW w:w="1099" w:type="dxa"/>
            <w:noWrap/>
            <w:tcMar>
              <w:top w:w="15" w:type="dxa"/>
              <w:left w:w="15" w:type="dxa"/>
              <w:right w:w="15" w:type="dxa"/>
            </w:tcMar>
            <w:vAlign w:val="center"/>
          </w:tcPr>
          <w:p w14:paraId="7262FF5A">
            <w:pPr>
              <w:widowControl/>
              <w:wordWrap w:val="0"/>
              <w:jc w:val="center"/>
              <w:textAlignment w:val="center"/>
              <w:rPr>
                <w:rFonts w:hint="eastAsia" w:ascii="宋体" w:hAnsi="宋体" w:eastAsia="宋体" w:cs="宋体"/>
                <w:b/>
                <w:szCs w:val="21"/>
              </w:rPr>
            </w:pPr>
            <w:r>
              <w:rPr>
                <w:rFonts w:hint="eastAsia" w:ascii="宋体" w:hAnsi="宋体" w:eastAsia="宋体" w:cs="宋体"/>
                <w:b/>
                <w:kern w:val="0"/>
                <w:szCs w:val="21"/>
                <w:lang w:bidi="ar"/>
              </w:rPr>
              <w:t>备注</w:t>
            </w:r>
          </w:p>
        </w:tc>
      </w:tr>
      <w:tr w14:paraId="67D0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3365" w:type="dxa"/>
            <w:tcMar>
              <w:top w:w="15" w:type="dxa"/>
              <w:left w:w="15" w:type="dxa"/>
              <w:right w:w="15" w:type="dxa"/>
            </w:tcMar>
            <w:vAlign w:val="center"/>
          </w:tcPr>
          <w:p w14:paraId="6E530870">
            <w:pPr>
              <w:widowControl/>
              <w:wordWrap w:val="0"/>
              <w:jc w:val="center"/>
              <w:textAlignment w:val="center"/>
              <w:rPr>
                <w:rFonts w:hint="eastAsia" w:ascii="宋体" w:hAnsi="宋体" w:eastAsia="宋体" w:cs="宋体"/>
                <w:szCs w:val="21"/>
              </w:rPr>
            </w:pPr>
            <w:r>
              <w:rPr>
                <w:rFonts w:hint="eastAsia" w:ascii="宋体" w:hAnsi="宋体" w:eastAsia="宋体" w:cs="Times New Roman"/>
                <w:szCs w:val="21"/>
                <w:lang w:eastAsia="zh-CN"/>
              </w:rPr>
              <w:t>南宁市智慧出行信息化工程二期项目-公共交通协同调度系统升级项目</w:t>
            </w:r>
          </w:p>
        </w:tc>
        <w:tc>
          <w:tcPr>
            <w:tcW w:w="3302" w:type="dxa"/>
            <w:noWrap/>
            <w:tcMar>
              <w:top w:w="15" w:type="dxa"/>
              <w:left w:w="15" w:type="dxa"/>
              <w:right w:w="15" w:type="dxa"/>
            </w:tcMar>
            <w:vAlign w:val="center"/>
          </w:tcPr>
          <w:p w14:paraId="48CA494C">
            <w:pPr>
              <w:wordWrap w:val="0"/>
              <w:jc w:val="left"/>
              <w:rPr>
                <w:rFonts w:hint="eastAsia" w:ascii="宋体" w:hAnsi="宋体" w:eastAsia="宋体" w:cs="宋体"/>
                <w:szCs w:val="21"/>
              </w:rPr>
            </w:pPr>
            <w:r>
              <w:rPr>
                <w:rFonts w:hint="eastAsia" w:ascii="宋体" w:hAnsi="宋体" w:eastAsia="宋体" w:cs="宋体"/>
                <w:szCs w:val="21"/>
              </w:rPr>
              <w:t>大写：</w:t>
            </w:r>
          </w:p>
          <w:p w14:paraId="4F165D6D">
            <w:pPr>
              <w:wordWrap w:val="0"/>
              <w:jc w:val="left"/>
              <w:rPr>
                <w:rFonts w:hint="eastAsia" w:ascii="宋体" w:hAnsi="宋体" w:eastAsia="宋体" w:cs="宋体"/>
                <w:szCs w:val="21"/>
              </w:rPr>
            </w:pPr>
          </w:p>
          <w:p w14:paraId="6AA92C9B">
            <w:pPr>
              <w:wordWrap w:val="0"/>
              <w:jc w:val="left"/>
              <w:rPr>
                <w:rFonts w:hint="eastAsia" w:ascii="宋体" w:hAnsi="宋体" w:eastAsia="宋体" w:cs="宋体"/>
                <w:szCs w:val="21"/>
              </w:rPr>
            </w:pPr>
            <w:r>
              <w:rPr>
                <w:rFonts w:hint="eastAsia" w:ascii="宋体" w:hAnsi="宋体" w:eastAsia="宋体" w:cs="宋体"/>
                <w:szCs w:val="21"/>
              </w:rPr>
              <w:t>小写：</w:t>
            </w:r>
          </w:p>
        </w:tc>
        <w:tc>
          <w:tcPr>
            <w:tcW w:w="1254" w:type="dxa"/>
            <w:noWrap/>
            <w:tcMar>
              <w:top w:w="15" w:type="dxa"/>
              <w:left w:w="15" w:type="dxa"/>
              <w:right w:w="15" w:type="dxa"/>
            </w:tcMar>
            <w:vAlign w:val="center"/>
          </w:tcPr>
          <w:p w14:paraId="15C5A21E">
            <w:pPr>
              <w:wordWrap w:val="0"/>
              <w:rPr>
                <w:rFonts w:hint="eastAsia" w:ascii="宋体" w:hAnsi="宋体" w:eastAsia="宋体" w:cs="宋体"/>
                <w:szCs w:val="21"/>
              </w:rPr>
            </w:pPr>
          </w:p>
        </w:tc>
        <w:tc>
          <w:tcPr>
            <w:tcW w:w="1099" w:type="dxa"/>
            <w:noWrap/>
            <w:tcMar>
              <w:top w:w="15" w:type="dxa"/>
              <w:left w:w="15" w:type="dxa"/>
              <w:right w:w="15" w:type="dxa"/>
            </w:tcMar>
            <w:vAlign w:val="center"/>
          </w:tcPr>
          <w:p w14:paraId="7B2D78D5">
            <w:pPr>
              <w:wordWrap w:val="0"/>
              <w:rPr>
                <w:rFonts w:hint="eastAsia" w:ascii="宋体" w:hAnsi="宋体" w:eastAsia="宋体" w:cs="宋体"/>
                <w:szCs w:val="21"/>
              </w:rPr>
            </w:pPr>
          </w:p>
        </w:tc>
      </w:tr>
      <w:tr w14:paraId="21B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3365" w:type="dxa"/>
            <w:tcMar>
              <w:top w:w="15" w:type="dxa"/>
              <w:left w:w="15" w:type="dxa"/>
              <w:right w:w="15" w:type="dxa"/>
            </w:tcMar>
            <w:vAlign w:val="center"/>
          </w:tcPr>
          <w:p w14:paraId="2752590B">
            <w:pPr>
              <w:widowControl/>
              <w:wordWrap w:val="0"/>
              <w:jc w:val="center"/>
              <w:textAlignment w:val="center"/>
              <w:rPr>
                <w:rFonts w:hint="eastAsia" w:ascii="宋体" w:hAnsi="宋体" w:eastAsia="宋体" w:cs="Times New Roman"/>
                <w:szCs w:val="21"/>
              </w:rPr>
            </w:pPr>
            <w:r>
              <w:rPr>
                <w:rFonts w:hint="eastAsia" w:ascii="宋体" w:hAnsi="宋体" w:eastAsia="宋体" w:cs="Times New Roman"/>
                <w:b/>
                <w:bCs/>
                <w:szCs w:val="21"/>
              </w:rPr>
              <w:t>服务期</w:t>
            </w:r>
          </w:p>
        </w:tc>
        <w:tc>
          <w:tcPr>
            <w:tcW w:w="5655" w:type="dxa"/>
            <w:gridSpan w:val="3"/>
            <w:noWrap/>
            <w:tcMar>
              <w:top w:w="15" w:type="dxa"/>
              <w:left w:w="15" w:type="dxa"/>
              <w:right w:w="15" w:type="dxa"/>
            </w:tcMar>
            <w:vAlign w:val="center"/>
          </w:tcPr>
          <w:p w14:paraId="6711F32A">
            <w:pPr>
              <w:wordWrap w:val="0"/>
              <w:rPr>
                <w:rFonts w:hint="eastAsia" w:ascii="宋体" w:hAnsi="宋体" w:eastAsia="宋体" w:cs="宋体"/>
                <w:szCs w:val="21"/>
              </w:rPr>
            </w:pPr>
          </w:p>
        </w:tc>
      </w:tr>
    </w:tbl>
    <w:p w14:paraId="582DA4A6">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宋体"/>
          <w:kern w:val="0"/>
          <w:szCs w:val="21"/>
        </w:rPr>
        <w:t>注</w:t>
      </w:r>
      <w:r>
        <w:rPr>
          <w:rFonts w:hint="eastAsia" w:ascii="宋体" w:hAnsi="宋体" w:eastAsia="宋体" w:cs="Times New Roman"/>
          <w:kern w:val="0"/>
          <w:szCs w:val="21"/>
        </w:rPr>
        <w:t>：</w:t>
      </w:r>
    </w:p>
    <w:p w14:paraId="0943F849">
      <w:pPr>
        <w:numPr>
          <w:ilvl w:val="255"/>
          <w:numId w:val="0"/>
        </w:num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1.报价精确到小数点后两位。</w:t>
      </w:r>
    </w:p>
    <w:p w14:paraId="7B15F184">
      <w:pPr>
        <w:numPr>
          <w:ilvl w:val="255"/>
          <w:numId w:val="0"/>
        </w:num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投标总报价内容包括但不限于包括但不限于项目管理、项目进展、系统设计、业务流程设计、接口设计、软件开发、设计联络、接口服务、设备生产、设备供货、包装、运输、设备安装、系统调试、联调、测试与检验、培训、文件提供、质保服务等环节，为甲方提供满足合同要求的设备、服务、备品备件、安装设施或装备、技术文件等其他技术服务，以及应由乙方提供的人员、耗材和其他物品等。</w:t>
      </w:r>
    </w:p>
    <w:p w14:paraId="128DE29E">
      <w:pPr>
        <w:numPr>
          <w:ilvl w:val="255"/>
          <w:numId w:val="0"/>
        </w:num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3.报价不允许涂改，否则其投标作否决处理。</w:t>
      </w:r>
    </w:p>
    <w:p w14:paraId="62811B7E">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4.投标人的含税投标报价不得超过含税招标控制价。</w:t>
      </w:r>
    </w:p>
    <w:p w14:paraId="27D95AC3">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5.投标人的投标报价，应包括本项目招标文件及合同条款中所列的全部内容，投标人不得以任何理由予以重复报价。</w:t>
      </w:r>
    </w:p>
    <w:p w14:paraId="5AA05744">
      <w:pPr>
        <w:wordWrap w:val="0"/>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6.本项目要求投标人开具的发票为增值税专用发票。</w:t>
      </w:r>
    </w:p>
    <w:p w14:paraId="6667B4E4">
      <w:pPr>
        <w:wordWrap w:val="0"/>
        <w:spacing w:line="360" w:lineRule="auto"/>
        <w:jc w:val="center"/>
        <w:rPr>
          <w:rFonts w:hint="eastAsia" w:ascii="宋体" w:hAnsi="宋体" w:eastAsia="宋体" w:cs="Times New Roman"/>
          <w:sz w:val="28"/>
          <w:szCs w:val="28"/>
        </w:rPr>
      </w:pPr>
    </w:p>
    <w:p w14:paraId="59332429">
      <w:pPr>
        <w:wordWrap w:val="0"/>
        <w:jc w:val="center"/>
        <w:rPr>
          <w:rFonts w:hint="eastAsia" w:ascii="宋体" w:hAnsi="宋体" w:eastAsia="宋体" w:cs="Times New Roman"/>
          <w:b/>
          <w:sz w:val="28"/>
          <w:szCs w:val="28"/>
        </w:rPr>
      </w:pPr>
    </w:p>
    <w:p w14:paraId="585CADA4">
      <w:pPr>
        <w:wordWrap w:val="0"/>
        <w:spacing w:line="360" w:lineRule="auto"/>
        <w:ind w:firstLine="3465" w:firstLineChars="1650"/>
        <w:rPr>
          <w:rFonts w:ascii="宋体" w:hAnsi="Times New Roman" w:eastAsia="宋体" w:cs="Times New Roman"/>
          <w:szCs w:val="21"/>
        </w:rPr>
      </w:pPr>
      <w:r>
        <w:rPr>
          <w:rFonts w:hint="eastAsia" w:ascii="宋体" w:hAnsi="Times New Roman" w:eastAsia="宋体" w:cs="Times New Roman"/>
          <w:szCs w:val="21"/>
        </w:rPr>
        <w:t xml:space="preserve"> 投标人：</w:t>
      </w:r>
      <w:r>
        <w:rPr>
          <w:rFonts w:hint="eastAsia" w:ascii="宋体" w:hAnsi="Times New Roman" w:eastAsia="宋体" w:cs="Times New Roman"/>
          <w:szCs w:val="21"/>
          <w:u w:val="single"/>
        </w:rPr>
        <w:t xml:space="preserve">            （公章） </w:t>
      </w:r>
    </w:p>
    <w:p w14:paraId="584A0CEB">
      <w:pPr>
        <w:wordWrap w:val="0"/>
        <w:spacing w:line="360" w:lineRule="auto"/>
        <w:ind w:left="2877" w:hanging="357"/>
        <w:outlineLvl w:val="9"/>
        <w:rPr>
          <w:rFonts w:ascii="宋体" w:hAnsi="Times New Roman" w:eastAsia="宋体" w:cs="Times New Roman"/>
          <w:szCs w:val="21"/>
        </w:rPr>
      </w:pPr>
      <w:r>
        <w:rPr>
          <w:rFonts w:hint="eastAsia" w:ascii="宋体" w:hAnsi="Times New Roman" w:eastAsia="宋体" w:cs="Times New Roman"/>
          <w:szCs w:val="21"/>
        </w:rPr>
        <w:t xml:space="preserve">          </w:t>
      </w:r>
      <w:bookmarkStart w:id="612" w:name="_Toc1646"/>
      <w:r>
        <w:rPr>
          <w:rFonts w:hint="eastAsia" w:ascii="宋体" w:hAnsi="Times New Roman" w:eastAsia="宋体" w:cs="Times New Roman"/>
          <w:szCs w:val="21"/>
        </w:rPr>
        <w:t>法定代表人或其授权委托代理人：</w:t>
      </w:r>
      <w:r>
        <w:rPr>
          <w:rFonts w:hint="eastAsia" w:ascii="宋体" w:hAnsi="Times New Roman" w:eastAsia="宋体" w:cs="Times New Roman"/>
          <w:szCs w:val="21"/>
          <w:u w:val="single"/>
        </w:rPr>
        <w:t xml:space="preserve">     （签字或盖章）</w:t>
      </w:r>
      <w:bookmarkEnd w:id="612"/>
    </w:p>
    <w:p w14:paraId="6D0DA46C">
      <w:pPr>
        <w:wordWrap w:val="0"/>
        <w:rPr>
          <w:rFonts w:ascii="宋体" w:hAnsi="Times New Roman" w:eastAsia="宋体" w:cs="Times New Roman"/>
          <w:szCs w:val="21"/>
          <w:u w:val="single"/>
        </w:rPr>
      </w:pPr>
      <w:r>
        <w:rPr>
          <w:rFonts w:hint="eastAsia" w:ascii="宋体" w:hAnsi="Times New Roman" w:eastAsia="宋体" w:cs="Times New Roman"/>
          <w:szCs w:val="21"/>
        </w:rPr>
        <w:t xml:space="preserve">                                  日期：</w:t>
      </w:r>
      <w:r>
        <w:rPr>
          <w:rFonts w:hint="eastAsia" w:ascii="宋体" w:hAnsi="Times New Roman" w:eastAsia="宋体" w:cs="Times New Roman"/>
          <w:szCs w:val="21"/>
          <w:u w:val="single"/>
        </w:rPr>
        <w:t xml:space="preserve">                </w:t>
      </w:r>
    </w:p>
    <w:p w14:paraId="3693654F">
      <w:pPr>
        <w:keepNext/>
        <w:keepLines/>
        <w:wordWrap w:val="0"/>
        <w:spacing w:line="360" w:lineRule="auto"/>
        <w:jc w:val="left"/>
        <w:outlineLvl w:val="3"/>
        <w:rPr>
          <w:rFonts w:hint="eastAsia" w:ascii="宋体" w:hAnsi="宋体" w:eastAsia="宋体" w:cs="Times New Roman"/>
          <w:b/>
          <w:szCs w:val="28"/>
        </w:rPr>
      </w:pPr>
      <w:r>
        <w:rPr>
          <w:rFonts w:ascii="Times New Roman" w:hAnsi="Times New Roman" w:eastAsia="宋体" w:cs="Times New Roman"/>
          <w:szCs w:val="24"/>
        </w:rPr>
        <w:br w:type="page"/>
      </w:r>
      <w:bookmarkStart w:id="613" w:name="_Toc21657"/>
      <w:r>
        <w:rPr>
          <w:rFonts w:hint="eastAsia" w:ascii="宋体" w:hAnsi="宋体" w:eastAsia="宋体" w:cs="Times New Roman"/>
          <w:b/>
          <w:szCs w:val="28"/>
        </w:rPr>
        <w:t>格式D3：供货清单分项报价表</w:t>
      </w:r>
      <w:bookmarkEnd w:id="613"/>
    </w:p>
    <w:tbl>
      <w:tblPr>
        <w:tblStyle w:val="90"/>
        <w:tblW w:w="5143" w:type="pct"/>
        <w:tblInd w:w="-169" w:type="dxa"/>
        <w:tblLayout w:type="fixed"/>
        <w:tblCellMar>
          <w:top w:w="0" w:type="dxa"/>
          <w:left w:w="108" w:type="dxa"/>
          <w:bottom w:w="0" w:type="dxa"/>
          <w:right w:w="108" w:type="dxa"/>
        </w:tblCellMar>
      </w:tblPr>
      <w:tblGrid>
        <w:gridCol w:w="713"/>
        <w:gridCol w:w="1478"/>
        <w:gridCol w:w="3128"/>
        <w:gridCol w:w="640"/>
        <w:gridCol w:w="667"/>
        <w:gridCol w:w="667"/>
        <w:gridCol w:w="1076"/>
        <w:gridCol w:w="1161"/>
      </w:tblGrid>
      <w:tr w14:paraId="139126C0">
        <w:tblPrEx>
          <w:tblCellMar>
            <w:top w:w="0" w:type="dxa"/>
            <w:left w:w="108" w:type="dxa"/>
            <w:bottom w:w="0" w:type="dxa"/>
            <w:right w:w="108" w:type="dxa"/>
          </w:tblCellMar>
        </w:tblPrEx>
        <w:trPr>
          <w:trHeight w:val="402" w:hRule="atLeast"/>
          <w:tblHead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74EE">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79D4">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项目</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6F4E">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具体功能需求/参数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8427">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2CF0">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数量</w:t>
            </w:r>
            <w:r>
              <w:rPr>
                <w:rFonts w:hint="eastAsia" w:ascii="宋体" w:hAnsi="宋体" w:cs="宋体"/>
                <w:b/>
                <w:bCs/>
                <w:kern w:val="0"/>
                <w:sz w:val="21"/>
                <w:szCs w:val="21"/>
                <w:lang w:val="en-US" w:eastAsia="zh-CN"/>
              </w:rPr>
              <w:t>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F9B9">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税率</w:t>
            </w:r>
          </w:p>
          <w:p w14:paraId="49FA24C9">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10D2">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含税单价（元）②</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694F">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含税合</w:t>
            </w:r>
            <w:r>
              <w:rPr>
                <w:rFonts w:hint="eastAsia" w:ascii="宋体" w:hAnsi="宋体" w:cs="宋体"/>
                <w:b/>
                <w:bCs/>
                <w:kern w:val="0"/>
                <w:sz w:val="21"/>
                <w:szCs w:val="21"/>
                <w:lang w:val="en-US" w:eastAsia="zh-CN"/>
              </w:rPr>
              <w:t>价</w:t>
            </w:r>
            <w:r>
              <w:rPr>
                <w:rFonts w:hint="eastAsia" w:ascii="宋体" w:hAnsi="宋体" w:cs="宋体"/>
                <w:b/>
                <w:bCs/>
                <w:kern w:val="0"/>
                <w:sz w:val="21"/>
                <w:szCs w:val="21"/>
              </w:rPr>
              <w:t>（元）③=①×②</w:t>
            </w:r>
          </w:p>
        </w:tc>
      </w:tr>
      <w:tr w14:paraId="71623792">
        <w:tblPrEx>
          <w:tblCellMar>
            <w:top w:w="0" w:type="dxa"/>
            <w:left w:w="108" w:type="dxa"/>
            <w:bottom w:w="0" w:type="dxa"/>
            <w:right w:w="108" w:type="dxa"/>
          </w:tblCellMar>
        </w:tblPrEx>
        <w:trPr>
          <w:trHeight w:val="4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C60D">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一</w:t>
            </w:r>
          </w:p>
        </w:tc>
        <w:tc>
          <w:tcPr>
            <w:tcW w:w="4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C9EC7C">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公共交通大数据资源中台一期</w:t>
            </w:r>
          </w:p>
        </w:tc>
      </w:tr>
      <w:tr w14:paraId="47D45BB7">
        <w:tblPrEx>
          <w:tblCellMar>
            <w:top w:w="0" w:type="dxa"/>
            <w:left w:w="108" w:type="dxa"/>
            <w:bottom w:w="0" w:type="dxa"/>
            <w:right w:w="108" w:type="dxa"/>
          </w:tblCellMar>
        </w:tblPrEx>
        <w:trPr>
          <w:trHeight w:val="16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004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88FA">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城市多源数据中台</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676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城市多源数据接入、数据扩样校核、人口岗位数量及分布分析展现模块、人口特征分析展现模块、公共设施分析与展现模块、交通接驳分析与展现模块、出行量分析与展现模块、出行OD分析与展现模块，详见系统建设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A61B">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E3A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C08F">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7CD2">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6C1C">
            <w:pPr>
              <w:widowControl/>
              <w:spacing w:line="240" w:lineRule="auto"/>
              <w:ind w:firstLine="0" w:firstLineChars="0"/>
              <w:jc w:val="center"/>
              <w:rPr>
                <w:rFonts w:hint="eastAsia" w:ascii="宋体" w:hAnsi="宋体" w:cs="宋体"/>
                <w:kern w:val="0"/>
                <w:sz w:val="20"/>
                <w:szCs w:val="20"/>
              </w:rPr>
            </w:pPr>
          </w:p>
        </w:tc>
      </w:tr>
      <w:tr w14:paraId="26E289B6">
        <w:tblPrEx>
          <w:tblCellMar>
            <w:top w:w="0" w:type="dxa"/>
            <w:left w:w="108" w:type="dxa"/>
            <w:bottom w:w="0" w:type="dxa"/>
            <w:right w:w="108" w:type="dxa"/>
          </w:tblCellMar>
        </w:tblPrEx>
        <w:trPr>
          <w:trHeight w:val="93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62C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AEA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轨道公交数据接入及治理</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FC23">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包含交通运行数据接入、交通运行数据治理。详见系统建设需求。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EB0B">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8E8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166B">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850C">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6D8B">
            <w:pPr>
              <w:widowControl/>
              <w:spacing w:line="240" w:lineRule="auto"/>
              <w:ind w:firstLine="0" w:firstLineChars="0"/>
              <w:jc w:val="center"/>
              <w:rPr>
                <w:rFonts w:hint="eastAsia" w:ascii="宋体" w:hAnsi="宋体" w:cs="宋体"/>
                <w:kern w:val="0"/>
                <w:sz w:val="20"/>
                <w:szCs w:val="20"/>
              </w:rPr>
            </w:pPr>
          </w:p>
        </w:tc>
      </w:tr>
      <w:tr w14:paraId="40B79575">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9FD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872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数据管理中心</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4E9F">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包含数据任务调度服务、数据抽取服务、数据抽取服务、非结构数据服务、结构化数据服务、数据标准化处理服务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3F6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FAB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4FC2">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B0D6">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6394">
            <w:pPr>
              <w:widowControl/>
              <w:spacing w:line="240" w:lineRule="auto"/>
              <w:ind w:firstLine="0" w:firstLineChars="0"/>
              <w:jc w:val="center"/>
              <w:rPr>
                <w:rFonts w:hint="eastAsia" w:ascii="宋体" w:hAnsi="宋体" w:cs="宋体"/>
                <w:kern w:val="0"/>
                <w:sz w:val="20"/>
                <w:szCs w:val="20"/>
              </w:rPr>
            </w:pPr>
          </w:p>
        </w:tc>
      </w:tr>
      <w:tr w14:paraId="366CC6B5">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61C0">
            <w:pPr>
              <w:widowControl/>
              <w:spacing w:line="240" w:lineRule="auto"/>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二</w:t>
            </w:r>
          </w:p>
        </w:tc>
        <w:tc>
          <w:tcPr>
            <w:tcW w:w="4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A21A3A">
            <w:pPr>
              <w:widowControl/>
              <w:spacing w:line="240" w:lineRule="auto"/>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城轨与公交协同调度指挥系统一期</w:t>
            </w:r>
          </w:p>
        </w:tc>
      </w:tr>
      <w:tr w14:paraId="487DB7CC">
        <w:tblPrEx>
          <w:tblCellMar>
            <w:top w:w="0" w:type="dxa"/>
            <w:left w:w="108" w:type="dxa"/>
            <w:bottom w:w="0" w:type="dxa"/>
            <w:right w:w="108" w:type="dxa"/>
          </w:tblCellMar>
        </w:tblPrEx>
        <w:trPr>
          <w:trHeight w:val="24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F00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0A65">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实时运行监测</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DFBB">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城轨线网车辆实时监察模块、公交线网车辆实时监察模块、公交线网车辆实时监察模块、客流热力图展示模块、城轨站点客流监察模块、实时运力监测模块、到站时间预测模块、线路/站点信息呈现模块、事件弹窗提示模块、城轨公交融合展示模块、异常事件监察模块、异常标注模块、地图可视化呈现模块、报警管理模块、大屏可视化协同调度模式管理模块、大屏可视化交通运行实时监察模块、大屏可视化指标模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B6C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123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B718">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40F0">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8B56">
            <w:pPr>
              <w:widowControl/>
              <w:spacing w:line="240" w:lineRule="auto"/>
              <w:ind w:firstLine="0" w:firstLineChars="0"/>
              <w:jc w:val="center"/>
              <w:rPr>
                <w:rFonts w:hint="eastAsia" w:ascii="宋体" w:hAnsi="宋体" w:cs="宋体"/>
                <w:kern w:val="0"/>
                <w:sz w:val="20"/>
                <w:szCs w:val="20"/>
              </w:rPr>
            </w:pPr>
          </w:p>
        </w:tc>
      </w:tr>
      <w:tr w14:paraId="72714E5D">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AFB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91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协同调度管理</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905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包含应急事件响应模块、故障区域识别模块、故障区域识别模块、公交接驳管理模块、接驳预案可视化模块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751C">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79D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67C9">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026A">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EB9D">
            <w:pPr>
              <w:widowControl/>
              <w:spacing w:line="240" w:lineRule="auto"/>
              <w:ind w:firstLine="0" w:firstLineChars="0"/>
              <w:jc w:val="center"/>
              <w:rPr>
                <w:rFonts w:hint="eastAsia" w:ascii="宋体" w:hAnsi="宋体" w:cs="宋体"/>
                <w:kern w:val="0"/>
                <w:sz w:val="20"/>
                <w:szCs w:val="20"/>
              </w:rPr>
            </w:pPr>
          </w:p>
        </w:tc>
      </w:tr>
      <w:tr w14:paraId="240105EA">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A3C0">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0462">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信息管理</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C375">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包含信息编辑管理模块、信息预录入模块、关键信息匹配生成模块、信息发布模块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223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B276">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ECD3">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D8F4">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B8E7">
            <w:pPr>
              <w:widowControl/>
              <w:spacing w:line="240" w:lineRule="auto"/>
              <w:ind w:firstLine="0" w:firstLineChars="0"/>
              <w:jc w:val="center"/>
              <w:rPr>
                <w:rFonts w:hint="eastAsia" w:ascii="宋体" w:hAnsi="宋体" w:cs="宋体"/>
                <w:kern w:val="0"/>
                <w:sz w:val="20"/>
                <w:szCs w:val="20"/>
              </w:rPr>
            </w:pPr>
          </w:p>
        </w:tc>
      </w:tr>
      <w:tr w14:paraId="7807CBC6">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8D3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776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协同调度管理优化</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4485">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包含指标管理模块、末班车衔接时间管理模块、运力资源分析模块、客流趋势分析模块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D52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447B">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3CCA">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BE5E">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909F">
            <w:pPr>
              <w:widowControl/>
              <w:spacing w:line="240" w:lineRule="auto"/>
              <w:ind w:firstLine="0" w:firstLineChars="0"/>
              <w:jc w:val="center"/>
              <w:rPr>
                <w:rFonts w:hint="eastAsia" w:ascii="宋体" w:hAnsi="宋体" w:cs="宋体"/>
                <w:kern w:val="0"/>
                <w:sz w:val="20"/>
                <w:szCs w:val="20"/>
              </w:rPr>
            </w:pPr>
          </w:p>
        </w:tc>
      </w:tr>
      <w:tr w14:paraId="0A5C0AF0">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1219">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151A">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系统接口</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8E66">
            <w:pPr>
              <w:widowControl/>
              <w:spacing w:line="240" w:lineRule="auto"/>
              <w:ind w:firstLine="0" w:firstLineChars="0"/>
              <w:jc w:val="left"/>
              <w:rPr>
                <w:rFonts w:hint="eastAsia" w:ascii="宋体" w:hAnsi="宋体" w:cs="宋体"/>
                <w:kern w:val="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3410">
            <w:pPr>
              <w:widowControl/>
              <w:spacing w:line="240" w:lineRule="auto"/>
              <w:ind w:firstLine="0" w:firstLineChars="0"/>
              <w:jc w:val="left"/>
              <w:rPr>
                <w:rFonts w:ascii="Times New Roman" w:hAnsi="Times New Roman" w:eastAsia="Times New Roman" w:cs="Times New Roman"/>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2711">
            <w:pPr>
              <w:widowControl/>
              <w:spacing w:line="240" w:lineRule="auto"/>
              <w:ind w:firstLine="0" w:firstLineChars="0"/>
              <w:jc w:val="center"/>
              <w:rPr>
                <w:rFonts w:ascii="Times New Roman" w:hAnsi="Times New Roman" w:eastAsia="Times New Roman" w:cs="Times New Roman"/>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92D7">
            <w:pPr>
              <w:widowControl/>
              <w:spacing w:line="240" w:lineRule="auto"/>
              <w:ind w:firstLine="0" w:firstLineChars="0"/>
              <w:jc w:val="center"/>
              <w:rPr>
                <w:rFonts w:ascii="Times New Roman" w:hAnsi="Times New Roman" w:eastAsia="Times New Roman" w:cs="Times New Roman"/>
                <w:kern w:val="0"/>
                <w:sz w:val="18"/>
                <w:szCs w:val="18"/>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C5E4">
            <w:pPr>
              <w:widowControl/>
              <w:spacing w:line="240" w:lineRule="auto"/>
              <w:ind w:firstLine="0" w:firstLineChars="0"/>
              <w:jc w:val="center"/>
              <w:rPr>
                <w:rFonts w:ascii="Times New Roman" w:hAnsi="Times New Roman" w:eastAsia="Times New Roman" w:cs="Times New Roman"/>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8EEA">
            <w:pPr>
              <w:widowControl/>
              <w:spacing w:line="240" w:lineRule="auto"/>
              <w:ind w:firstLine="0" w:firstLineChars="0"/>
              <w:jc w:val="center"/>
              <w:rPr>
                <w:rFonts w:ascii="Times New Roman" w:hAnsi="Times New Roman" w:eastAsia="Times New Roman" w:cs="Times New Roman"/>
                <w:kern w:val="0"/>
                <w:sz w:val="18"/>
                <w:szCs w:val="18"/>
              </w:rPr>
            </w:pPr>
          </w:p>
        </w:tc>
      </w:tr>
      <w:tr w14:paraId="6E34A0B8">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3D71">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5.1</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879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系统接口</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86E8">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与城市多源数据中台接口</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8AD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386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FF4E">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077D">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6D85">
            <w:pPr>
              <w:widowControl/>
              <w:spacing w:line="240" w:lineRule="auto"/>
              <w:ind w:firstLine="0" w:firstLineChars="0"/>
              <w:jc w:val="center"/>
              <w:rPr>
                <w:rFonts w:hint="eastAsia" w:ascii="宋体" w:hAnsi="宋体" w:cs="宋体"/>
                <w:kern w:val="0"/>
                <w:sz w:val="20"/>
                <w:szCs w:val="20"/>
              </w:rPr>
            </w:pPr>
          </w:p>
        </w:tc>
      </w:tr>
      <w:tr w14:paraId="1FEAA6B0">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ED3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D3AC">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系统接口</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F112">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与共享（电）单车智慧监管系统接口</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402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D90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555E">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D157">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210B">
            <w:pPr>
              <w:widowControl/>
              <w:spacing w:line="240" w:lineRule="auto"/>
              <w:ind w:firstLine="0" w:firstLineChars="0"/>
              <w:jc w:val="center"/>
              <w:rPr>
                <w:rFonts w:hint="eastAsia" w:ascii="宋体" w:hAnsi="宋体" w:cs="宋体"/>
                <w:kern w:val="0"/>
                <w:sz w:val="20"/>
                <w:szCs w:val="20"/>
              </w:rPr>
            </w:pPr>
          </w:p>
        </w:tc>
      </w:tr>
      <w:tr w14:paraId="67B63FBF">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6BD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F3D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系统接口</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2906">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与公交智能调度系统接口</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CF8B">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A61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4DC3">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EC2E1">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E0A6">
            <w:pPr>
              <w:widowControl/>
              <w:spacing w:line="240" w:lineRule="auto"/>
              <w:ind w:firstLine="0" w:firstLineChars="0"/>
              <w:jc w:val="center"/>
              <w:rPr>
                <w:rFonts w:hint="eastAsia" w:ascii="宋体" w:hAnsi="宋体" w:cs="宋体"/>
                <w:kern w:val="0"/>
                <w:sz w:val="20"/>
                <w:szCs w:val="20"/>
              </w:rPr>
            </w:pPr>
          </w:p>
        </w:tc>
      </w:tr>
      <w:tr w14:paraId="38DA3DA7">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938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5.4</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822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系统接口</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753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与线网（应急）指挥中心系统接口</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642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1820">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59B7">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C4CC">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C19A">
            <w:pPr>
              <w:widowControl/>
              <w:spacing w:line="240" w:lineRule="auto"/>
              <w:ind w:firstLine="0" w:firstLineChars="0"/>
              <w:jc w:val="center"/>
              <w:rPr>
                <w:rFonts w:hint="eastAsia" w:ascii="宋体" w:hAnsi="宋体" w:cs="宋体"/>
                <w:kern w:val="0"/>
                <w:sz w:val="20"/>
                <w:szCs w:val="20"/>
              </w:rPr>
            </w:pPr>
          </w:p>
        </w:tc>
      </w:tr>
      <w:tr w14:paraId="42235E19">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8AE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325F">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相关支撑硬件</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E423">
            <w:pPr>
              <w:widowControl/>
              <w:spacing w:line="240" w:lineRule="auto"/>
              <w:ind w:firstLine="0" w:firstLineChars="0"/>
              <w:jc w:val="left"/>
              <w:rPr>
                <w:rFonts w:hint="eastAsia" w:ascii="宋体" w:hAnsi="宋体" w:cs="宋体"/>
                <w:kern w:val="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33E1">
            <w:pPr>
              <w:widowControl/>
              <w:spacing w:line="240" w:lineRule="auto"/>
              <w:ind w:firstLine="0" w:firstLineChars="0"/>
              <w:jc w:val="left"/>
              <w:rPr>
                <w:rFonts w:ascii="Times New Roman" w:hAnsi="Times New Roman" w:eastAsia="Times New Roman" w:cs="Times New Roman"/>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0084">
            <w:pPr>
              <w:widowControl/>
              <w:spacing w:line="240" w:lineRule="auto"/>
              <w:ind w:firstLine="0" w:firstLineChars="0"/>
              <w:jc w:val="left"/>
              <w:rPr>
                <w:rFonts w:ascii="Times New Roman" w:hAnsi="Times New Roman" w:eastAsia="Times New Roman" w:cs="Times New Roman"/>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CBC1">
            <w:pPr>
              <w:widowControl/>
              <w:spacing w:line="240" w:lineRule="auto"/>
              <w:ind w:firstLine="0" w:firstLineChars="0"/>
              <w:jc w:val="left"/>
              <w:rPr>
                <w:rFonts w:ascii="Times New Roman" w:hAnsi="Times New Roman" w:eastAsia="Times New Roman" w:cs="Times New Roman"/>
                <w:kern w:val="0"/>
                <w:sz w:val="18"/>
                <w:szCs w:val="18"/>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C9FE">
            <w:pPr>
              <w:widowControl/>
              <w:spacing w:line="240" w:lineRule="auto"/>
              <w:ind w:firstLine="0" w:firstLineChars="0"/>
              <w:jc w:val="left"/>
              <w:rPr>
                <w:rFonts w:ascii="Times New Roman" w:hAnsi="Times New Roman" w:eastAsia="Times New Roman" w:cs="Times New Roman"/>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5B3F">
            <w:pPr>
              <w:widowControl/>
              <w:spacing w:line="240" w:lineRule="auto"/>
              <w:ind w:firstLine="0" w:firstLineChars="0"/>
              <w:jc w:val="left"/>
              <w:rPr>
                <w:rFonts w:ascii="Times New Roman" w:hAnsi="Times New Roman" w:eastAsia="Times New Roman" w:cs="Times New Roman"/>
                <w:kern w:val="0"/>
                <w:sz w:val="18"/>
                <w:szCs w:val="18"/>
              </w:rPr>
            </w:pPr>
          </w:p>
        </w:tc>
      </w:tr>
      <w:tr w14:paraId="2BF411B4">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A2D1">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6.1</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B9EB">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工作站（含显示器）</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1E84">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8F0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77D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ED1D">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D1C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8361">
            <w:pPr>
              <w:widowControl/>
              <w:spacing w:line="240" w:lineRule="auto"/>
              <w:ind w:firstLine="0" w:firstLineChars="0"/>
              <w:jc w:val="center"/>
              <w:rPr>
                <w:rFonts w:hint="eastAsia" w:ascii="宋体" w:hAnsi="宋体" w:cs="宋体"/>
                <w:kern w:val="0"/>
                <w:sz w:val="20"/>
                <w:szCs w:val="20"/>
              </w:rPr>
            </w:pPr>
          </w:p>
        </w:tc>
      </w:tr>
      <w:tr w14:paraId="14C17851">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C57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E09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智能KVM输入节点</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797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249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6287">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FA04">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11AE">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C44D">
            <w:pPr>
              <w:widowControl/>
              <w:spacing w:line="240" w:lineRule="auto"/>
              <w:ind w:firstLine="0" w:firstLineChars="0"/>
              <w:jc w:val="center"/>
              <w:rPr>
                <w:rFonts w:hint="eastAsia" w:ascii="宋体" w:hAnsi="宋体" w:cs="宋体"/>
                <w:kern w:val="0"/>
                <w:sz w:val="20"/>
                <w:szCs w:val="20"/>
              </w:rPr>
            </w:pPr>
          </w:p>
        </w:tc>
      </w:tr>
      <w:tr w14:paraId="563CF05E">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36C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C5DD">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智能KVM输出节点</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4A6B">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1D4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3B67">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3AA1">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DDFD">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7D53">
            <w:pPr>
              <w:widowControl/>
              <w:spacing w:line="240" w:lineRule="auto"/>
              <w:ind w:firstLine="0" w:firstLineChars="0"/>
              <w:jc w:val="center"/>
              <w:rPr>
                <w:rFonts w:hint="eastAsia" w:ascii="宋体" w:hAnsi="宋体" w:cs="宋体"/>
                <w:kern w:val="0"/>
                <w:sz w:val="20"/>
                <w:szCs w:val="20"/>
              </w:rPr>
            </w:pPr>
          </w:p>
        </w:tc>
      </w:tr>
      <w:tr w14:paraId="5F62FF5E">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EBD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6.4</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4737">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交换机</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355A">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5387">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BB66">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8711">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694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DB3A">
            <w:pPr>
              <w:widowControl/>
              <w:spacing w:line="240" w:lineRule="auto"/>
              <w:ind w:firstLine="0" w:firstLineChars="0"/>
              <w:jc w:val="center"/>
              <w:rPr>
                <w:rFonts w:hint="eastAsia" w:ascii="宋体" w:hAnsi="宋体" w:cs="宋体"/>
                <w:kern w:val="0"/>
                <w:sz w:val="20"/>
                <w:szCs w:val="20"/>
              </w:rPr>
            </w:pPr>
          </w:p>
        </w:tc>
      </w:tr>
      <w:tr w14:paraId="5614F001">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1DB9">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B63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云平台存储服务器</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1159">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9E46">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180B">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E6C3">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282D">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FAB2">
            <w:pPr>
              <w:widowControl/>
              <w:spacing w:line="240" w:lineRule="auto"/>
              <w:ind w:firstLine="0" w:firstLineChars="0"/>
              <w:jc w:val="center"/>
              <w:rPr>
                <w:rFonts w:hint="eastAsia" w:ascii="宋体" w:hAnsi="宋体" w:cs="宋体"/>
                <w:kern w:val="0"/>
                <w:sz w:val="20"/>
                <w:szCs w:val="20"/>
              </w:rPr>
            </w:pPr>
          </w:p>
        </w:tc>
      </w:tr>
      <w:tr w14:paraId="707EC4D7">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C852">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F39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云平台存储资源扩容</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B9E8">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E33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8DA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7F4E">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2132">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F97E">
            <w:pPr>
              <w:widowControl/>
              <w:spacing w:line="240" w:lineRule="auto"/>
              <w:ind w:firstLine="0" w:firstLineChars="0"/>
              <w:jc w:val="center"/>
              <w:rPr>
                <w:rFonts w:hint="eastAsia" w:ascii="宋体" w:hAnsi="宋体" w:cs="宋体"/>
                <w:kern w:val="0"/>
                <w:sz w:val="20"/>
                <w:szCs w:val="20"/>
              </w:rPr>
            </w:pPr>
          </w:p>
        </w:tc>
      </w:tr>
      <w:tr w14:paraId="464B88AB">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58D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6.7</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E604">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千兆防火墙</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0376">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DCC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8599">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2D62">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23E2">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ED82">
            <w:pPr>
              <w:widowControl/>
              <w:spacing w:line="240" w:lineRule="auto"/>
              <w:ind w:firstLine="0" w:firstLineChars="0"/>
              <w:jc w:val="center"/>
              <w:rPr>
                <w:rFonts w:hint="eastAsia" w:ascii="宋体" w:hAnsi="宋体" w:cs="宋体"/>
                <w:kern w:val="0"/>
                <w:sz w:val="20"/>
                <w:szCs w:val="20"/>
              </w:rPr>
            </w:pPr>
          </w:p>
        </w:tc>
      </w:tr>
      <w:tr w14:paraId="099035B1">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1B0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426B">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入侵检测</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32DC">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详见3.2.5.2硬件资源需求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CA8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AD4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62C1">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4CBA">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9933">
            <w:pPr>
              <w:widowControl/>
              <w:spacing w:line="240" w:lineRule="auto"/>
              <w:ind w:firstLine="0" w:firstLineChars="0"/>
              <w:jc w:val="center"/>
              <w:rPr>
                <w:rFonts w:hint="eastAsia" w:ascii="宋体" w:hAnsi="宋体" w:cs="宋体"/>
                <w:kern w:val="0"/>
                <w:sz w:val="20"/>
                <w:szCs w:val="20"/>
              </w:rPr>
            </w:pPr>
          </w:p>
        </w:tc>
      </w:tr>
      <w:tr w14:paraId="156FA182">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C527">
            <w:pPr>
              <w:widowControl/>
              <w:spacing w:line="240" w:lineRule="auto"/>
              <w:ind w:firstLine="0" w:firstLineChars="0"/>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836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设备施工安装</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3C76">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含设备安装、配套线缆敷设</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6847">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EFE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70F4">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A275">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561E">
            <w:pPr>
              <w:widowControl/>
              <w:spacing w:line="240" w:lineRule="auto"/>
              <w:ind w:firstLine="0" w:firstLineChars="0"/>
              <w:jc w:val="center"/>
              <w:rPr>
                <w:rFonts w:hint="eastAsia" w:ascii="宋体" w:hAnsi="宋体" w:cs="宋体"/>
                <w:kern w:val="0"/>
                <w:sz w:val="20"/>
                <w:szCs w:val="20"/>
              </w:rPr>
            </w:pPr>
          </w:p>
        </w:tc>
      </w:tr>
      <w:tr w14:paraId="0E700C57">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9989">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三</w:t>
            </w:r>
          </w:p>
        </w:tc>
        <w:tc>
          <w:tcPr>
            <w:tcW w:w="4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88BFF6">
            <w:pPr>
              <w:widowControl/>
              <w:spacing w:line="240" w:lineRule="auto"/>
              <w:ind w:firstLine="0" w:firstLineChars="0"/>
              <w:jc w:val="center"/>
              <w:rPr>
                <w:rFonts w:hint="eastAsia" w:ascii="宋体" w:hAnsi="宋体" w:cs="宋体"/>
                <w:b/>
                <w:bCs/>
                <w:kern w:val="0"/>
                <w:sz w:val="21"/>
                <w:szCs w:val="21"/>
              </w:rPr>
            </w:pPr>
            <w:r>
              <w:rPr>
                <w:rFonts w:hint="eastAsia" w:ascii="宋体" w:hAnsi="宋体" w:cs="宋体"/>
                <w:b/>
                <w:bCs/>
                <w:kern w:val="0"/>
                <w:sz w:val="21"/>
                <w:szCs w:val="21"/>
              </w:rPr>
              <w:t>公交智能调度系统升级改造</w:t>
            </w:r>
          </w:p>
        </w:tc>
      </w:tr>
      <w:tr w14:paraId="1E75C355">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5C0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ADF8">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客流仿真统计预测模块</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C4C3">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实时客流分析、时间客流分析、客流特征分析、客流排班；详见系统建设需求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4656">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5C7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C979">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31A0">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1F57">
            <w:pPr>
              <w:widowControl/>
              <w:spacing w:line="240" w:lineRule="auto"/>
              <w:ind w:firstLine="0" w:firstLineChars="0"/>
              <w:jc w:val="center"/>
              <w:rPr>
                <w:rFonts w:hint="eastAsia" w:ascii="宋体" w:hAnsi="宋体" w:cs="宋体"/>
                <w:kern w:val="0"/>
                <w:sz w:val="20"/>
                <w:szCs w:val="20"/>
              </w:rPr>
            </w:pPr>
          </w:p>
        </w:tc>
      </w:tr>
      <w:tr w14:paraId="446F3065">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95A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1675">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线网实时运行监测与分析模块</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3267">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实时路况分析、预测到站时间、动态调度优化、线网路况大屏； 详见系统建设需求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19A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CC9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3E31">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2F7C">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6785">
            <w:pPr>
              <w:widowControl/>
              <w:spacing w:line="240" w:lineRule="auto"/>
              <w:ind w:firstLine="0" w:firstLineChars="0"/>
              <w:jc w:val="center"/>
              <w:rPr>
                <w:rFonts w:hint="eastAsia" w:ascii="宋体" w:hAnsi="宋体" w:cs="宋体"/>
                <w:kern w:val="0"/>
                <w:sz w:val="20"/>
                <w:szCs w:val="20"/>
              </w:rPr>
            </w:pPr>
          </w:p>
        </w:tc>
      </w:tr>
      <w:tr w14:paraId="673F5902">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918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9BA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协同地铁调度模块</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F6F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双网运行大屏、应急接驳预案、应急接驳调度；详见系统建设需求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B692">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721C">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0773">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DE2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4D06">
            <w:pPr>
              <w:widowControl/>
              <w:spacing w:line="240" w:lineRule="auto"/>
              <w:ind w:firstLine="0" w:firstLineChars="0"/>
              <w:jc w:val="center"/>
              <w:rPr>
                <w:rFonts w:hint="eastAsia" w:ascii="宋体" w:hAnsi="宋体" w:cs="宋体"/>
                <w:kern w:val="0"/>
                <w:sz w:val="20"/>
                <w:szCs w:val="20"/>
              </w:rPr>
            </w:pPr>
          </w:p>
        </w:tc>
      </w:tr>
      <w:tr w14:paraId="2FE1363B">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234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634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车辆运行监控与分析模块</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D34A">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车辆监控、故障告警、驾驶安全、能耗管理、数据可视化；详见系统建设需求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15C6">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835B">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2FD6">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515E">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0B8E">
            <w:pPr>
              <w:widowControl/>
              <w:spacing w:line="240" w:lineRule="auto"/>
              <w:ind w:firstLine="0" w:firstLineChars="0"/>
              <w:jc w:val="center"/>
              <w:rPr>
                <w:rFonts w:hint="eastAsia" w:ascii="宋体" w:hAnsi="宋体" w:cs="宋体"/>
                <w:kern w:val="0"/>
                <w:sz w:val="20"/>
                <w:szCs w:val="20"/>
              </w:rPr>
            </w:pPr>
          </w:p>
        </w:tc>
      </w:tr>
      <w:tr w14:paraId="25B0B904">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5BA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A28A">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配套服务器要求</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0838">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在邕城现有机房上进行扩容物理服务器；详见3.3.6配套服务器要求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2919">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574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D1FF">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BE33">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C8CD">
            <w:pPr>
              <w:widowControl/>
              <w:spacing w:line="240" w:lineRule="auto"/>
              <w:ind w:firstLine="0" w:firstLineChars="0"/>
              <w:jc w:val="center"/>
              <w:rPr>
                <w:rFonts w:hint="eastAsia" w:ascii="宋体" w:hAnsi="宋体" w:cs="宋体"/>
                <w:kern w:val="0"/>
                <w:sz w:val="20"/>
                <w:szCs w:val="20"/>
              </w:rPr>
            </w:pPr>
          </w:p>
        </w:tc>
      </w:tr>
      <w:tr w14:paraId="6BCDF887">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49D0">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BAC9">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CAN数据采集终端</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38C4">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采集车辆CAN数据，详见CAN数据采集终端要求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3CD7">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20A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500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5F9A">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3ED2">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3057">
            <w:pPr>
              <w:widowControl/>
              <w:spacing w:line="240" w:lineRule="auto"/>
              <w:ind w:firstLine="0" w:firstLineChars="0"/>
              <w:jc w:val="center"/>
              <w:rPr>
                <w:rFonts w:hint="eastAsia" w:ascii="宋体" w:hAnsi="宋体" w:cs="宋体"/>
                <w:kern w:val="0"/>
                <w:sz w:val="20"/>
                <w:szCs w:val="20"/>
              </w:rPr>
            </w:pPr>
          </w:p>
        </w:tc>
      </w:tr>
      <w:tr w14:paraId="3A203812">
        <w:tblPrEx>
          <w:tblCellMar>
            <w:top w:w="0" w:type="dxa"/>
            <w:left w:w="108" w:type="dxa"/>
            <w:bottom w:w="0" w:type="dxa"/>
            <w:right w:w="108" w:type="dxa"/>
          </w:tblCellMar>
        </w:tblPrEx>
        <w:trPr>
          <w:trHeight w:val="280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60D1">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7</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32CE">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CAN数据采集终端安装</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65AC">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1、设备接电安装，隐藏布线，线材、线槽等辅材；</w:t>
            </w:r>
          </w:p>
          <w:p w14:paraId="5123E5E2">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2、完成设备数据采集和录入、现场安装、调试等；</w:t>
            </w:r>
          </w:p>
          <w:p w14:paraId="6C139D6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3、完成与设备相关运营系统的采集和录入、设备与系统的联调、数据；</w:t>
            </w:r>
          </w:p>
          <w:p w14:paraId="02FF555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4、备品备件(按本节CAN数据采集终端所列设备报价总</w:t>
            </w:r>
            <w:r>
              <w:rPr>
                <w:rFonts w:ascii="宋体" w:hAnsi="宋体" w:cs="宋体"/>
                <w:kern w:val="0"/>
                <w:sz w:val="20"/>
                <w:szCs w:val="20"/>
              </w:rPr>
              <w:t>额的3%计取</w:t>
            </w:r>
            <w:r>
              <w:rPr>
                <w:rFonts w:hint="eastAsia" w:ascii="宋体" w:hAnsi="宋体" w:cs="宋体"/>
                <w:kern w:val="0"/>
                <w:sz w:val="20"/>
                <w:szCs w:val="20"/>
              </w:rPr>
              <w:t>)</w:t>
            </w:r>
          </w:p>
          <w:p w14:paraId="01868C77">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现场安装实施，达到正常调度运行、可验收状态。</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3F67">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C40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DC8D">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647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B649">
            <w:pPr>
              <w:widowControl/>
              <w:spacing w:line="240" w:lineRule="auto"/>
              <w:ind w:firstLine="0" w:firstLineChars="0"/>
              <w:jc w:val="center"/>
              <w:rPr>
                <w:rFonts w:hint="eastAsia" w:ascii="宋体" w:hAnsi="宋体" w:cs="宋体"/>
                <w:kern w:val="0"/>
                <w:sz w:val="20"/>
                <w:szCs w:val="20"/>
              </w:rPr>
            </w:pPr>
          </w:p>
        </w:tc>
      </w:tr>
      <w:tr w14:paraId="364F1FA6">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8E1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四</w:t>
            </w:r>
          </w:p>
        </w:tc>
        <w:tc>
          <w:tcPr>
            <w:tcW w:w="4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38A37C">
            <w:pPr>
              <w:widowControl/>
              <w:spacing w:line="240" w:lineRule="auto"/>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共享（电）单车智慧监管系统一期</w:t>
            </w:r>
          </w:p>
        </w:tc>
      </w:tr>
      <w:tr w14:paraId="4CDEC2FA">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898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ED15">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信息采集设备</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00F2">
            <w:pPr>
              <w:widowControl/>
              <w:spacing w:line="240" w:lineRule="auto"/>
              <w:ind w:firstLine="0" w:firstLineChars="0"/>
              <w:jc w:val="left"/>
              <w:rPr>
                <w:rFonts w:hint="eastAsia" w:ascii="宋体" w:hAnsi="宋体" w:cs="宋体"/>
                <w:kern w:val="0"/>
                <w:sz w:val="20"/>
                <w:szCs w:val="20"/>
              </w:rPr>
            </w:pPr>
            <w:r>
              <w:rPr>
                <w:rFonts w:ascii="宋体" w:hAnsi="宋体" w:cs="宋体"/>
                <w:kern w:val="0"/>
                <w:sz w:val="20"/>
                <w:szCs w:val="20"/>
              </w:rPr>
              <w:t>详见3.</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3硬件支撑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0B5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6B8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50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1DB9">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003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AF87">
            <w:pPr>
              <w:widowControl/>
              <w:spacing w:line="240" w:lineRule="auto"/>
              <w:ind w:firstLine="0" w:firstLineChars="0"/>
              <w:jc w:val="center"/>
              <w:rPr>
                <w:rFonts w:hint="eastAsia" w:ascii="宋体" w:hAnsi="宋体" w:cs="宋体"/>
                <w:kern w:val="0"/>
                <w:sz w:val="20"/>
                <w:szCs w:val="20"/>
              </w:rPr>
            </w:pPr>
          </w:p>
        </w:tc>
      </w:tr>
      <w:tr w14:paraId="36B580A9">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E12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87B8">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监控摄像头+视频传输流量费用（1年流量费）</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4DFB">
            <w:pPr>
              <w:widowControl/>
              <w:spacing w:line="240" w:lineRule="auto"/>
              <w:ind w:firstLine="0" w:firstLineChars="0"/>
              <w:jc w:val="left"/>
              <w:rPr>
                <w:rFonts w:hint="eastAsia" w:ascii="宋体" w:hAnsi="宋体" w:cs="宋体"/>
                <w:kern w:val="0"/>
                <w:sz w:val="20"/>
                <w:szCs w:val="20"/>
              </w:rPr>
            </w:pPr>
            <w:r>
              <w:rPr>
                <w:rFonts w:ascii="宋体" w:hAnsi="宋体" w:cs="宋体"/>
                <w:kern w:val="0"/>
                <w:sz w:val="20"/>
                <w:szCs w:val="20"/>
              </w:rPr>
              <w:t>详见3.</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3硬件支撑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254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11EE">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30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C250">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8C5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62E9">
            <w:pPr>
              <w:widowControl/>
              <w:spacing w:line="240" w:lineRule="auto"/>
              <w:ind w:firstLine="0" w:firstLineChars="0"/>
              <w:jc w:val="center"/>
              <w:rPr>
                <w:rFonts w:hint="eastAsia" w:ascii="宋体" w:hAnsi="宋体" w:cs="宋体"/>
                <w:kern w:val="0"/>
                <w:sz w:val="20"/>
                <w:szCs w:val="20"/>
              </w:rPr>
            </w:pPr>
          </w:p>
        </w:tc>
      </w:tr>
      <w:tr w14:paraId="5DE1DC47">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7A8A">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BE5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AI算法开发</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D386">
            <w:pPr>
              <w:widowControl/>
              <w:spacing w:line="240" w:lineRule="auto"/>
              <w:ind w:firstLine="0" w:firstLineChars="0"/>
              <w:jc w:val="left"/>
              <w:rPr>
                <w:rFonts w:hint="eastAsia" w:ascii="宋体" w:hAnsi="宋体" w:cs="宋体"/>
                <w:kern w:val="0"/>
                <w:sz w:val="20"/>
                <w:szCs w:val="20"/>
              </w:rPr>
            </w:pPr>
            <w:r>
              <w:rPr>
                <w:rFonts w:ascii="宋体" w:hAnsi="宋体" w:cs="宋体"/>
                <w:kern w:val="0"/>
                <w:sz w:val="20"/>
                <w:szCs w:val="20"/>
              </w:rPr>
              <w:t>详见3.</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3硬件支撑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5BDF">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D1F8">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F89A">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AFD7">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F22D">
            <w:pPr>
              <w:widowControl/>
              <w:spacing w:line="240" w:lineRule="auto"/>
              <w:ind w:firstLine="0" w:firstLineChars="0"/>
              <w:jc w:val="center"/>
              <w:rPr>
                <w:rFonts w:hint="eastAsia" w:ascii="宋体" w:hAnsi="宋体" w:cs="宋体"/>
                <w:kern w:val="0"/>
                <w:sz w:val="20"/>
                <w:szCs w:val="20"/>
              </w:rPr>
            </w:pPr>
          </w:p>
        </w:tc>
      </w:tr>
      <w:tr w14:paraId="0A06FD3F">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973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3C50">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监管平台（总量控制模块、杜绝非法未备案电单车投放运行模块源码）及其他功能使用权</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77FE">
            <w:pPr>
              <w:widowControl/>
              <w:spacing w:line="240" w:lineRule="auto"/>
              <w:ind w:firstLine="0" w:firstLineChars="0"/>
              <w:jc w:val="left"/>
              <w:rPr>
                <w:rFonts w:hint="eastAsia" w:ascii="宋体" w:hAnsi="宋体" w:cs="宋体"/>
                <w:kern w:val="0"/>
                <w:sz w:val="20"/>
                <w:szCs w:val="20"/>
              </w:rPr>
            </w:pPr>
            <w:r>
              <w:rPr>
                <w:rFonts w:ascii="宋体" w:hAnsi="宋体" w:cs="宋体"/>
                <w:kern w:val="0"/>
                <w:sz w:val="20"/>
                <w:szCs w:val="20"/>
              </w:rPr>
              <w:t>详见3.</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2功能要求，详见3.3.4硬件支撑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388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3E6C">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E9BF">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9528">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9C8D">
            <w:pPr>
              <w:widowControl/>
              <w:spacing w:line="240" w:lineRule="auto"/>
              <w:ind w:firstLine="0" w:firstLineChars="0"/>
              <w:jc w:val="center"/>
              <w:rPr>
                <w:rFonts w:hint="eastAsia" w:ascii="宋体" w:hAnsi="宋体" w:cs="宋体"/>
                <w:kern w:val="0"/>
                <w:sz w:val="20"/>
                <w:szCs w:val="20"/>
              </w:rPr>
            </w:pPr>
          </w:p>
        </w:tc>
      </w:tr>
      <w:tr w14:paraId="31F94BF7">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CBF6">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五</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1A61">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系统软件测评</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9434">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进行第三方测评，评测报告作为项目验收依据。</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5ED5">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C3FD">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F6D1">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420A">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D875">
            <w:pPr>
              <w:widowControl/>
              <w:spacing w:line="240" w:lineRule="auto"/>
              <w:ind w:firstLine="0" w:firstLineChars="0"/>
              <w:jc w:val="center"/>
              <w:rPr>
                <w:rFonts w:hint="eastAsia" w:ascii="宋体" w:hAnsi="宋体" w:cs="宋体"/>
                <w:kern w:val="0"/>
                <w:sz w:val="20"/>
                <w:szCs w:val="20"/>
              </w:rPr>
            </w:pPr>
          </w:p>
        </w:tc>
      </w:tr>
      <w:tr w14:paraId="3194BC38">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B245">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六</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D4F2">
            <w:pPr>
              <w:widowControl/>
              <w:spacing w:line="240" w:lineRule="auto"/>
              <w:ind w:firstLine="0" w:firstLineChars="0"/>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网络专线</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8482">
            <w:pPr>
              <w:widowControl/>
              <w:spacing w:line="240" w:lineRule="auto"/>
              <w:ind w:firstLine="0" w:firstLineChars="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城轨与公交协同调度指挥系统与公交智能调度系统接口</w:t>
            </w:r>
            <w:r>
              <w:rPr>
                <w:rFonts w:hint="eastAsia" w:ascii="宋体" w:hAnsi="宋体" w:cs="宋体"/>
                <w:kern w:val="0"/>
                <w:sz w:val="20"/>
                <w:szCs w:val="20"/>
                <w:lang w:val="en-US" w:eastAsia="zh-CN"/>
              </w:rPr>
              <w:t>点对点网络</w:t>
            </w:r>
            <w:r>
              <w:rPr>
                <w:rFonts w:hint="eastAsia" w:ascii="宋体" w:hAnsi="宋体" w:eastAsia="宋体" w:cs="宋体"/>
                <w:kern w:val="0"/>
                <w:sz w:val="20"/>
                <w:szCs w:val="20"/>
                <w:lang w:val="en-US" w:eastAsia="zh-CN"/>
              </w:rPr>
              <w:t>专线</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4D82">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09C2">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EF3E">
            <w:pPr>
              <w:widowControl/>
              <w:spacing w:line="240" w:lineRule="auto"/>
              <w:ind w:firstLine="0" w:firstLineChars="0"/>
              <w:jc w:val="center"/>
              <w:rPr>
                <w:rFonts w:hint="eastAsia" w:ascii="宋体" w:hAnsi="宋体" w:cs="宋体"/>
                <w:kern w:val="0"/>
                <w:sz w:val="20"/>
                <w:szCs w:val="20"/>
                <w:lang w:val="en-US" w:eastAsia="zh-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8EE0">
            <w:pPr>
              <w:widowControl/>
              <w:spacing w:line="240" w:lineRule="auto"/>
              <w:ind w:firstLine="0" w:firstLineChars="0"/>
              <w:jc w:val="center"/>
              <w:rPr>
                <w:rFonts w:hint="eastAsia" w:ascii="宋体" w:hAnsi="宋体" w:cs="宋体"/>
                <w:kern w:val="0"/>
                <w:sz w:val="20"/>
                <w:szCs w:val="20"/>
                <w:lang w:val="en-US" w:eastAsia="zh-CN"/>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B729">
            <w:pPr>
              <w:widowControl/>
              <w:spacing w:line="240" w:lineRule="auto"/>
              <w:ind w:firstLine="0" w:firstLineChars="0"/>
              <w:jc w:val="center"/>
              <w:rPr>
                <w:rFonts w:hint="eastAsia" w:ascii="宋体" w:hAnsi="宋体" w:cs="宋体"/>
                <w:kern w:val="0"/>
                <w:sz w:val="20"/>
                <w:szCs w:val="20"/>
                <w:lang w:val="en-US" w:eastAsia="zh-CN"/>
              </w:rPr>
            </w:pPr>
          </w:p>
        </w:tc>
      </w:tr>
      <w:tr w14:paraId="6EABCFC8">
        <w:tblPrEx>
          <w:tblCellMar>
            <w:top w:w="0" w:type="dxa"/>
            <w:left w:w="108" w:type="dxa"/>
            <w:bottom w:w="0" w:type="dxa"/>
            <w:right w:w="108" w:type="dxa"/>
          </w:tblCellMar>
        </w:tblPrEx>
        <w:trPr>
          <w:trHeight w:val="67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97A0">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lang w:val="en-US" w:eastAsia="zh-CN"/>
              </w:rPr>
              <w:t>七</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1E45">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培训及售后服务</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FADC">
            <w:pPr>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培训、质保及和售后服务。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BF54">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3FA3">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E1B1">
            <w:pPr>
              <w:widowControl/>
              <w:spacing w:line="240" w:lineRule="auto"/>
              <w:ind w:firstLine="0" w:firstLineChars="0"/>
              <w:jc w:val="center"/>
              <w:rPr>
                <w:rFonts w:hint="eastAsia" w:ascii="宋体" w:hAnsi="宋体" w:cs="宋体"/>
                <w:kern w:val="0"/>
                <w:sz w:val="20"/>
                <w:szCs w:val="20"/>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A517">
            <w:pPr>
              <w:widowControl/>
              <w:spacing w:line="240" w:lineRule="auto"/>
              <w:ind w:firstLine="0" w:firstLineChars="0"/>
              <w:jc w:val="center"/>
              <w:rPr>
                <w:rFonts w:hint="eastAsia" w:ascii="宋体" w:hAnsi="宋体" w:cs="宋体"/>
                <w:kern w:val="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19DC">
            <w:pPr>
              <w:widowControl/>
              <w:spacing w:line="240" w:lineRule="auto"/>
              <w:ind w:firstLine="0" w:firstLineChars="0"/>
              <w:jc w:val="center"/>
              <w:rPr>
                <w:rFonts w:hint="eastAsia" w:ascii="宋体" w:hAnsi="宋体" w:cs="宋体"/>
                <w:kern w:val="0"/>
                <w:sz w:val="20"/>
                <w:szCs w:val="20"/>
              </w:rPr>
            </w:pPr>
          </w:p>
        </w:tc>
      </w:tr>
      <w:tr w14:paraId="3FE3981B">
        <w:tblPrEx>
          <w:tblCellMar>
            <w:top w:w="0" w:type="dxa"/>
            <w:left w:w="108" w:type="dxa"/>
            <w:bottom w:w="0" w:type="dxa"/>
            <w:right w:w="108" w:type="dxa"/>
          </w:tblCellMar>
        </w:tblPrEx>
        <w:trPr>
          <w:trHeight w:val="679" w:hRule="atLeast"/>
        </w:trPr>
        <w:tc>
          <w:tcPr>
            <w:tcW w:w="439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699B32">
            <w:pPr>
              <w:widowControl/>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lang w:val="en-US" w:eastAsia="zh-CN"/>
              </w:rPr>
              <w:t>合计</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E8AC">
            <w:pPr>
              <w:widowControl/>
              <w:spacing w:line="240" w:lineRule="auto"/>
              <w:ind w:firstLine="0" w:firstLineChars="0"/>
              <w:jc w:val="center"/>
              <w:rPr>
                <w:rFonts w:hint="eastAsia" w:ascii="宋体" w:hAnsi="宋体" w:cs="宋体"/>
                <w:kern w:val="0"/>
                <w:sz w:val="20"/>
                <w:szCs w:val="20"/>
              </w:rPr>
            </w:pPr>
          </w:p>
        </w:tc>
      </w:tr>
    </w:tbl>
    <w:p w14:paraId="730D4955">
      <w:pPr>
        <w:tabs>
          <w:tab w:val="left" w:pos="229"/>
        </w:tabs>
        <w:wordWrap w:val="0"/>
        <w:spacing w:line="360" w:lineRule="auto"/>
        <w:ind w:firstLine="0" w:firstLineChars="0"/>
        <w:jc w:val="left"/>
        <w:rPr>
          <w:rFonts w:hint="eastAsia" w:ascii="宋体" w:hAnsi="宋体" w:eastAsia="宋体" w:cs="宋体"/>
          <w:kern w:val="0"/>
          <w:szCs w:val="21"/>
        </w:rPr>
      </w:pPr>
    </w:p>
    <w:p w14:paraId="756B1638">
      <w:pPr>
        <w:tabs>
          <w:tab w:val="left" w:pos="229"/>
        </w:tabs>
        <w:wordWrap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注：1.本项目采用含增值税报价，报价精确到小数点后两位。</w:t>
      </w:r>
    </w:p>
    <w:p w14:paraId="182FEC91">
      <w:pPr>
        <w:widowControl/>
        <w:tabs>
          <w:tab w:val="left" w:pos="229"/>
        </w:tabs>
        <w:wordWrap w:val="0"/>
        <w:spacing w:line="360" w:lineRule="auto"/>
        <w:ind w:firstLine="840" w:firstLineChars="400"/>
        <w:jc w:val="left"/>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投标报价应包含所需各种明示或隐含的材料、产品的设计、开发、制作、包装、保险、运输、装卸、安装、调试、培训、验收、保修、辅材等一切费用和相关税费、规费等的综合报价，如供货清单未明列，投标人应将未明列部分并入其它项一并报价。</w:t>
      </w:r>
    </w:p>
    <w:p w14:paraId="02F9903D">
      <w:pPr>
        <w:tabs>
          <w:tab w:val="left" w:pos="229"/>
        </w:tabs>
        <w:wordWrap w:val="0"/>
        <w:spacing w:after="120"/>
        <w:jc w:val="left"/>
        <w:rPr>
          <w:rFonts w:hint="eastAsia" w:ascii="宋体" w:hAnsi="宋体" w:eastAsia="宋体" w:cs="Times New Roman"/>
          <w:kern w:val="0"/>
          <w:sz w:val="24"/>
          <w:szCs w:val="21"/>
        </w:rPr>
      </w:pPr>
    </w:p>
    <w:p w14:paraId="74987105">
      <w:pPr>
        <w:wordWrap w:val="0"/>
        <w:spacing w:line="360" w:lineRule="auto"/>
        <w:ind w:firstLine="3570" w:firstLineChars="1700"/>
        <w:rPr>
          <w:rFonts w:ascii="宋体" w:hAnsi="Times New Roman" w:eastAsia="宋体" w:cs="Times New Roman"/>
          <w:szCs w:val="21"/>
        </w:rPr>
      </w:pPr>
      <w:r>
        <w:rPr>
          <w:rFonts w:hint="eastAsia" w:ascii="宋体" w:hAnsi="Times New Roman" w:eastAsia="宋体" w:cs="Times New Roman"/>
          <w:szCs w:val="21"/>
        </w:rPr>
        <w:t>投标人：</w:t>
      </w:r>
      <w:r>
        <w:rPr>
          <w:rFonts w:hint="eastAsia" w:ascii="宋体" w:hAnsi="Times New Roman" w:eastAsia="宋体" w:cs="Times New Roman"/>
          <w:szCs w:val="21"/>
          <w:u w:val="single"/>
        </w:rPr>
        <w:t xml:space="preserve">            （公章） </w:t>
      </w:r>
    </w:p>
    <w:p w14:paraId="50F59887">
      <w:pPr>
        <w:wordWrap w:val="0"/>
        <w:spacing w:line="360" w:lineRule="auto"/>
        <w:ind w:left="2877" w:hanging="357"/>
        <w:outlineLvl w:val="9"/>
        <w:rPr>
          <w:rFonts w:ascii="宋体" w:hAnsi="Times New Roman" w:eastAsia="宋体" w:cs="Times New Roman"/>
          <w:szCs w:val="21"/>
        </w:rPr>
      </w:pPr>
      <w:r>
        <w:rPr>
          <w:rFonts w:hint="eastAsia" w:ascii="宋体" w:hAnsi="Times New Roman" w:eastAsia="宋体" w:cs="Times New Roman"/>
          <w:szCs w:val="21"/>
        </w:rPr>
        <w:t xml:space="preserve">          </w:t>
      </w:r>
      <w:bookmarkStart w:id="614" w:name="_Toc22323"/>
      <w:r>
        <w:rPr>
          <w:rFonts w:hint="eastAsia" w:ascii="宋体" w:hAnsi="Times New Roman" w:eastAsia="宋体" w:cs="Times New Roman"/>
          <w:szCs w:val="21"/>
        </w:rPr>
        <w:t>法定代表人或其委托代理人：</w:t>
      </w:r>
      <w:r>
        <w:rPr>
          <w:rFonts w:hint="eastAsia" w:ascii="宋体" w:hAnsi="Times New Roman" w:eastAsia="宋体" w:cs="Times New Roman"/>
          <w:szCs w:val="21"/>
          <w:u w:val="single"/>
        </w:rPr>
        <w:t xml:space="preserve">     （签字或盖章）</w:t>
      </w:r>
      <w:bookmarkEnd w:id="614"/>
    </w:p>
    <w:p w14:paraId="6AC4CC3E">
      <w:pPr>
        <w:wordWrap w:val="0"/>
        <w:ind w:left="2877" w:hanging="357"/>
        <w:rPr>
          <w:rFonts w:ascii="宋体" w:hAnsi="Times New Roman" w:eastAsia="宋体" w:cs="Times New Roman"/>
          <w:szCs w:val="21"/>
          <w:u w:val="single"/>
        </w:rPr>
      </w:pPr>
      <w:r>
        <w:rPr>
          <w:rFonts w:hint="eastAsia" w:ascii="宋体" w:hAnsi="Times New Roman" w:eastAsia="宋体" w:cs="Times New Roman"/>
          <w:szCs w:val="21"/>
        </w:rPr>
        <w:t xml:space="preserve">          日期：</w:t>
      </w:r>
      <w:r>
        <w:rPr>
          <w:rFonts w:hint="eastAsia" w:ascii="宋体" w:hAnsi="Times New Roman" w:eastAsia="宋体" w:cs="Times New Roman"/>
          <w:szCs w:val="21"/>
          <w:u w:val="single"/>
        </w:rPr>
        <w:t xml:space="preserve">                </w:t>
      </w:r>
    </w:p>
    <w:sectPr>
      <w:pgSz w:w="11906" w:h="16838"/>
      <w:pgMar w:top="1440" w:right="1417" w:bottom="1440"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 w:name="创艺简行楷">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方正舒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Roman 12cpi">
    <w:altName w:val="Lucida Console"/>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MS Mincho">
    <w:altName w:val="Yu Gothic UI"/>
    <w:panose1 w:val="02020609040205080304"/>
    <w:charset w:val="80"/>
    <w:family w:val="modern"/>
    <w:pitch w:val="default"/>
    <w:sig w:usb0="00000000" w:usb1="00000000" w:usb2="08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FuturaA Bk BT">
    <w:altName w:val="Times New Roman"/>
    <w:panose1 w:val="00000000000000000000"/>
    <w:charset w:val="00"/>
    <w:family w:val="auto"/>
    <w:pitch w:val="default"/>
    <w:sig w:usb0="00000000" w:usb1="00000000" w:usb2="00000000" w:usb3="00000000" w:csb0="00000001" w:csb1="00000000"/>
  </w:font>
  <w:font w:name="Ascom Frutiger-Light">
    <w:altName w:val="Segoe Print"/>
    <w:panose1 w:val="00000000000000000000"/>
    <w:charset w:val="00"/>
    <w:family w:val="swiss"/>
    <w:pitch w:val="default"/>
    <w:sig w:usb0="00000000" w:usb1="00000000" w:usb2="00000000" w:usb3="00000000" w:csb0="00000001" w:csb1="00000000"/>
  </w:font>
  <w:font w:name="Univers (W1)">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DFKai-SB">
    <w:altName w:val="Microsoft JhengHei Light"/>
    <w:panose1 w:val="00000000000000000000"/>
    <w:charset w:val="88"/>
    <w:family w:val="script"/>
    <w:pitch w:val="default"/>
    <w:sig w:usb0="00000000" w:usb1="00000000" w:usb2="00000016" w:usb3="00000000" w:csb0="00100001" w:csb1="00000000"/>
  </w:font>
  <w:font w:name="Times New Roman Bold">
    <w:altName w:val="Times New Roman"/>
    <w:panose1 w:val="02020803070505020304"/>
    <w:charset w:val="00"/>
    <w:family w:val="auto"/>
    <w:pitch w:val="default"/>
    <w:sig w:usb0="00000000" w:usb1="00000000"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Palatino">
    <w:altName w:val="Palatino Linotype"/>
    <w:panose1 w:val="00000000000000000000"/>
    <w:charset w:val="00"/>
    <w:family w:val="auto"/>
    <w:pitch w:val="default"/>
    <w:sig w:usb0="00000000" w:usb1="00000000" w:usb2="14600000" w:usb3="00000000" w:csb0="00000193" w:csb1="00000000"/>
  </w:font>
  <w:font w:name="Dutch801 Rm BT">
    <w:altName w:val="Times New Roman"/>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Invensys Andale">
    <w:altName w:val="Tahoma"/>
    <w:panose1 w:val="00000000000000000000"/>
    <w:charset w:val="00"/>
    <w:family w:val="swiss"/>
    <w:pitch w:val="default"/>
    <w:sig w:usb0="00000000" w:usb1="00000000" w:usb2="00000000" w:usb3="00000000" w:csb0="00000001" w:csb1="00000000"/>
  </w:font>
  <w:font w:name="方正黑体简体">
    <w:altName w:val="微软雅黑"/>
    <w:panose1 w:val="02000000000000000000"/>
    <w:charset w:val="86"/>
    <w:family w:val="script"/>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Palatino Linotype">
    <w:panose1 w:val="02040502050505030304"/>
    <w:charset w:val="00"/>
    <w:family w:val="auto"/>
    <w:pitch w:val="default"/>
    <w:sig w:usb0="E0000287" w:usb1="40000013"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8951">
    <w:pPr>
      <w:pStyle w:val="56"/>
      <w:jc w:val="both"/>
    </w:pPr>
  </w:p>
  <w:p w14:paraId="22144853">
    <w:pPr>
      <w:pStyle w:val="56"/>
      <w:tabs>
        <w:tab w:val="left" w:pos="441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09D72">
    <w:pPr>
      <w:pStyle w:val="56"/>
      <w:framePr w:wrap="around" w:vAnchor="text" w:hAnchor="margin" w:xAlign="center" w:y="1"/>
      <w:rPr>
        <w:rStyle w:val="97"/>
      </w:rPr>
    </w:pPr>
    <w:r>
      <w:fldChar w:fldCharType="begin"/>
    </w:r>
    <w:r>
      <w:rPr>
        <w:rStyle w:val="97"/>
      </w:rPr>
      <w:instrText xml:space="preserve">PAGE  </w:instrText>
    </w:r>
    <w:r>
      <w:fldChar w:fldCharType="end"/>
    </w:r>
  </w:p>
  <w:p w14:paraId="0A78D813">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21EE">
    <w:pPr>
      <w:pStyle w:val="56"/>
      <w:jc w:val="center"/>
    </w:pPr>
    <w:r>
      <w:fldChar w:fldCharType="begin"/>
    </w:r>
    <w:r>
      <w:instrText xml:space="preserve">PAGE   \* MERGEFORMAT</w:instrText>
    </w:r>
    <w:r>
      <w:fldChar w:fldCharType="separate"/>
    </w:r>
    <w:r>
      <w:rPr>
        <w:lang w:val="zh-CN"/>
      </w:rPr>
      <w:t>0</w:t>
    </w:r>
    <w:r>
      <w:fldChar w:fldCharType="end"/>
    </w:r>
  </w:p>
  <w:p w14:paraId="3BE8B663">
    <w:pPr>
      <w:pStyle w:val="5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A263">
    <w:pPr>
      <w:pStyle w:val="56"/>
      <w:tabs>
        <w:tab w:val="left" w:pos="441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8091">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905"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6A3861A">
                          <w:pPr>
                            <w:pStyle w:val="56"/>
                            <w:jc w:val="center"/>
                          </w:pPr>
                          <w:r>
                            <w:fldChar w:fldCharType="begin"/>
                          </w:r>
                          <w:r>
                            <w:instrText xml:space="preserve">PAGE   \* MERGEFORMAT</w:instrText>
                          </w:r>
                          <w:r>
                            <w:fldChar w:fldCharType="separate"/>
                          </w:r>
                          <w:r>
                            <w:rPr>
                              <w:lang w:val="zh-CN"/>
                            </w:rPr>
                            <w:t>30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9SjALAgAABA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6FoY4ffnw//Px9&#10;+PWN0RkZ1DlfUN6to8zQv4GekpNY725AfvHMwnUj7EZdIULXKFERwTy+zB48HXB8BFl376GiQmIb&#10;IAH1NZroHvnBCJ2asz81R/WByVgyn70+v+BM0lV+ns9mF6mCKMbHDn14q8CwGJQcqfcJXOxufIhk&#10;RDGmxFoWVrptU/9b+9cBJcaTRD7yHZiHft0fzVhDtScZCMM40WeioAH8yllHo1RySz+Hs/adJSPi&#10;1I0BjsF6DISV9LDkgbMhvA7DdG4d6k1DuKPVV2TWSich0dWBw5ElDUfSdxzkOH0P9ynrz+dd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X1KMAsCAAAEBAAADgAAAAAAAAABACAAAAAfAQAA&#10;ZHJzL2Uyb0RvYy54bWxQSwUGAAAAAAYABgBZAQAAnAUAAAAA&#10;">
              <v:fill on="f" focussize="0,0"/>
              <v:stroke on="f"/>
              <v:imagedata o:title=""/>
              <o:lock v:ext="edit" aspectratio="f"/>
              <v:textbox inset="0mm,0mm,0mm,0mm" style="mso-fit-shape-to-text:t;">
                <w:txbxContent>
                  <w:p w14:paraId="26A3861A">
                    <w:pPr>
                      <w:pStyle w:val="56"/>
                      <w:jc w:val="center"/>
                    </w:pPr>
                    <w:r>
                      <w:fldChar w:fldCharType="begin"/>
                    </w:r>
                    <w:r>
                      <w:instrText xml:space="preserve">PAGE   \* MERGEFORMAT</w:instrText>
                    </w:r>
                    <w:r>
                      <w:fldChar w:fldCharType="separate"/>
                    </w:r>
                    <w:r>
                      <w:rPr>
                        <w:lang w:val="zh-CN"/>
                      </w:rP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6E57">
    <w:pPr>
      <w:pStyle w:val="56"/>
      <w:ind w:left="84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882">
    <w:pPr>
      <w:pStyle w:val="56"/>
      <w:jc w:val="center"/>
    </w:pPr>
    <w:r>
      <w:fldChar w:fldCharType="begin"/>
    </w:r>
    <w:r>
      <w:instrText xml:space="preserve">PAGE   \* MERGEFORMAT</w:instrText>
    </w:r>
    <w:r>
      <w:fldChar w:fldCharType="separate"/>
    </w:r>
    <w:r>
      <w:rPr>
        <w:lang w:val="zh-CN"/>
      </w:rPr>
      <w:t>98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B946">
    <w:pPr>
      <w:pStyle w:val="5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2725">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A1BB">
    <w:pPr>
      <w:pStyle w:val="57"/>
    </w:pPr>
    <w:r>
      <w:rPr>
        <w:rFonts w:hint="eastAsia" w:ascii="宋体" w:hAnsi="宋体"/>
        <w:kern w:val="0"/>
      </w:rPr>
      <w:t>南宁市智慧出行信息化工程二期公交机具更换及系统升级项目招标文件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ECE9">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F5B36"/>
    <w:multiLevelType w:val="singleLevel"/>
    <w:tmpl w:val="8A5F5B36"/>
    <w:lvl w:ilvl="0" w:tentative="0">
      <w:start w:val="1"/>
      <w:numFmt w:val="decimal"/>
      <w:lvlText w:val="%1)"/>
      <w:lvlJc w:val="left"/>
      <w:pPr>
        <w:tabs>
          <w:tab w:val="left" w:pos="420"/>
        </w:tabs>
        <w:ind w:left="845" w:hanging="425"/>
      </w:pPr>
      <w:rPr>
        <w:rFonts w:hint="default"/>
      </w:rPr>
    </w:lvl>
  </w:abstractNum>
  <w:abstractNum w:abstractNumId="1">
    <w:nsid w:val="AAA7846D"/>
    <w:multiLevelType w:val="singleLevel"/>
    <w:tmpl w:val="AAA7846D"/>
    <w:lvl w:ilvl="0" w:tentative="0">
      <w:start w:val="1"/>
      <w:numFmt w:val="decimal"/>
      <w:lvlText w:val="%1)"/>
      <w:lvlJc w:val="left"/>
      <w:pPr>
        <w:tabs>
          <w:tab w:val="left" w:pos="420"/>
        </w:tabs>
        <w:ind w:left="845" w:hanging="425"/>
      </w:pPr>
      <w:rPr>
        <w:rFonts w:hint="default"/>
      </w:rPr>
    </w:lvl>
  </w:abstractNum>
  <w:abstractNum w:abstractNumId="2">
    <w:nsid w:val="B03AA8A3"/>
    <w:multiLevelType w:val="singleLevel"/>
    <w:tmpl w:val="B03AA8A3"/>
    <w:lvl w:ilvl="0" w:tentative="0">
      <w:start w:val="1"/>
      <w:numFmt w:val="decimal"/>
      <w:lvlText w:val="%1)"/>
      <w:lvlJc w:val="left"/>
      <w:pPr>
        <w:tabs>
          <w:tab w:val="left" w:pos="420"/>
        </w:tabs>
        <w:ind w:left="845" w:hanging="425"/>
      </w:pPr>
      <w:rPr>
        <w:rFonts w:hint="default"/>
      </w:rPr>
    </w:lvl>
  </w:abstractNum>
  <w:abstractNum w:abstractNumId="3">
    <w:nsid w:val="E2C9D2DE"/>
    <w:multiLevelType w:val="singleLevel"/>
    <w:tmpl w:val="E2C9D2DE"/>
    <w:lvl w:ilvl="0" w:tentative="0">
      <w:start w:val="1"/>
      <w:numFmt w:val="decimal"/>
      <w:lvlText w:val="%1)"/>
      <w:lvlJc w:val="left"/>
      <w:pPr>
        <w:tabs>
          <w:tab w:val="left" w:pos="420"/>
        </w:tabs>
        <w:ind w:left="845" w:hanging="425"/>
      </w:pPr>
      <w:rPr>
        <w:rFonts w:hint="default"/>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14"/>
    <w:multiLevelType w:val="multilevel"/>
    <w:tmpl w:val="00000014"/>
    <w:lvl w:ilvl="0" w:tentative="0">
      <w:start w:val="1"/>
      <w:numFmt w:val="chineseCountingThousand"/>
      <w:lvlText w:val="%1、"/>
      <w:lvlJc w:val="left"/>
      <w:pPr>
        <w:tabs>
          <w:tab w:val="left" w:pos="840"/>
        </w:tabs>
        <w:ind w:left="840" w:hanging="420"/>
      </w:pPr>
      <w:rPr>
        <w:rFonts w:hint="eastAsia"/>
      </w:rPr>
    </w:lvl>
    <w:lvl w:ilvl="1" w:tentative="0">
      <w:start w:val="1"/>
      <w:numFmt w:val="upperLetter"/>
      <w:lvlText w:val="%2."/>
      <w:lvlJc w:val="left"/>
      <w:pPr>
        <w:tabs>
          <w:tab w:val="left" w:pos="987"/>
        </w:tabs>
        <w:ind w:left="987" w:hanging="420"/>
      </w:pPr>
      <w:rPr>
        <w:rFonts w:hint="eastAsia"/>
      </w:rPr>
    </w:lvl>
    <w:lvl w:ilvl="2" w:tentative="0">
      <w:start w:val="1"/>
      <w:numFmt w:val="upperLetter"/>
      <w:lvlText w:val="%3."/>
      <w:lvlJc w:val="left"/>
      <w:pPr>
        <w:tabs>
          <w:tab w:val="left" w:pos="1680"/>
        </w:tabs>
        <w:ind w:left="1680" w:hanging="420"/>
      </w:pPr>
      <w:rPr>
        <w:rFonts w:hint="eastAsia"/>
      </w:rPr>
    </w:lvl>
    <w:lvl w:ilvl="3" w:tentative="0">
      <w:start w:val="1"/>
      <w:numFmt w:val="decimal"/>
      <w:pStyle w:val="1538"/>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6">
    <w:nsid w:val="000000DB"/>
    <w:multiLevelType w:val="multilevel"/>
    <w:tmpl w:val="000000DB"/>
    <w:lvl w:ilvl="0" w:tentative="0">
      <w:start w:val="1"/>
      <w:numFmt w:val="decimal"/>
      <w:pStyle w:val="507"/>
      <w:lvlText w:val="2.%1"/>
      <w:lvlJc w:val="left"/>
      <w:pPr>
        <w:tabs>
          <w:tab w:val="left" w:pos="1134"/>
        </w:tabs>
        <w:ind w:left="1134" w:hanging="1134"/>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7">
    <w:nsid w:val="02301FC3"/>
    <w:multiLevelType w:val="singleLevel"/>
    <w:tmpl w:val="02301FC3"/>
    <w:lvl w:ilvl="0" w:tentative="0">
      <w:start w:val="1"/>
      <w:numFmt w:val="bullet"/>
      <w:pStyle w:val="1472"/>
      <w:lvlText w:val=""/>
      <w:lvlJc w:val="left"/>
      <w:pPr>
        <w:tabs>
          <w:tab w:val="left" w:pos="720"/>
        </w:tabs>
        <w:ind w:left="720" w:hanging="360"/>
      </w:pPr>
      <w:rPr>
        <w:rFonts w:hint="default" w:ascii="Symbol" w:hAnsi="Symbol"/>
      </w:rPr>
    </w:lvl>
  </w:abstractNum>
  <w:abstractNum w:abstractNumId="8">
    <w:nsid w:val="072F4724"/>
    <w:multiLevelType w:val="multilevel"/>
    <w:tmpl w:val="072F4724"/>
    <w:lvl w:ilvl="0" w:tentative="0">
      <w:start w:val="1"/>
      <w:numFmt w:val="bullet"/>
      <w:pStyle w:val="1579"/>
      <w:lvlText w:val=""/>
      <w:lvlJc w:val="left"/>
      <w:pPr>
        <w:tabs>
          <w:tab w:val="left" w:pos="2041"/>
        </w:tabs>
        <w:ind w:left="2041" w:hanging="34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F0F702D"/>
    <w:multiLevelType w:val="multilevel"/>
    <w:tmpl w:val="0F0F702D"/>
    <w:lvl w:ilvl="0" w:tentative="0">
      <w:start w:val="1"/>
      <w:numFmt w:val="decimal"/>
      <w:pStyle w:val="1282"/>
      <w:suff w:val="nothing"/>
      <w:lvlText w:val="第%1章  "/>
      <w:lvlJc w:val="left"/>
      <w:pPr>
        <w:ind w:left="425" w:hanging="425"/>
      </w:pPr>
      <w:rPr>
        <w:rFonts w:hint="eastAsia"/>
      </w:rPr>
    </w:lvl>
    <w:lvl w:ilvl="1" w:tentative="0">
      <w:start w:val="1"/>
      <w:numFmt w:val="decimal"/>
      <w:suff w:val="nothing"/>
      <w:lvlText w:val="%1.%2 "/>
      <w:lvlJc w:val="left"/>
      <w:pPr>
        <w:ind w:left="567" w:hanging="567"/>
      </w:pPr>
      <w:rPr>
        <w:rFonts w:hint="eastAsia"/>
      </w:rPr>
    </w:lvl>
    <w:lvl w:ilvl="2" w:tentative="0">
      <w:start w:val="1"/>
      <w:numFmt w:val="decimal"/>
      <w:suff w:val="nothing"/>
      <w:lvlText w:val="%1.%2.%3 "/>
      <w:lvlJc w:val="left"/>
      <w:pPr>
        <w:ind w:left="709" w:hanging="709"/>
      </w:pPr>
      <w:rPr>
        <w:rFonts w:hint="eastAsia"/>
      </w:rPr>
    </w:lvl>
    <w:lvl w:ilvl="3" w:tentative="0">
      <w:start w:val="1"/>
      <w:numFmt w:val="decimal"/>
      <w:suff w:val="nothing"/>
      <w:lvlText w:val="%1.%2.%3.%4 "/>
      <w:lvlJc w:val="left"/>
      <w:pPr>
        <w:ind w:left="851" w:hanging="851"/>
      </w:pPr>
      <w:rPr>
        <w:rFonts w:hint="eastAsia"/>
      </w:rPr>
    </w:lvl>
    <w:lvl w:ilvl="4" w:tentative="0">
      <w:start w:val="1"/>
      <w:numFmt w:val="decimal"/>
      <w:suff w:val="nothing"/>
      <w:lvlText w:val="   （%5）"/>
      <w:lvlJc w:val="left"/>
      <w:pPr>
        <w:ind w:left="992" w:hanging="992"/>
      </w:pPr>
      <w:rPr>
        <w:rFonts w:hint="eastAsia"/>
      </w:rPr>
    </w:lvl>
    <w:lvl w:ilvl="5" w:tentative="0">
      <w:start w:val="1"/>
      <w:numFmt w:val="decimal"/>
      <w:suff w:val="nothing"/>
      <w:lvlText w:val="     %6）"/>
      <w:lvlJc w:val="left"/>
      <w:pPr>
        <w:ind w:left="1134" w:hanging="1134"/>
      </w:pPr>
      <w:rPr>
        <w:rFonts w:hint="eastAsia"/>
      </w:rPr>
    </w:lvl>
    <w:lvl w:ilvl="6" w:tentative="0">
      <w:start w:val="1"/>
      <w:numFmt w:val="lowerLetter"/>
      <w:suff w:val="space"/>
      <w:lvlText w:val="     %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105D0378"/>
    <w:multiLevelType w:val="multilevel"/>
    <w:tmpl w:val="105D0378"/>
    <w:lvl w:ilvl="0" w:tentative="0">
      <w:start w:val="4"/>
      <w:numFmt w:val="decimal"/>
      <w:lvlText w:val="%1"/>
      <w:lvlJc w:val="left"/>
      <w:pPr>
        <w:tabs>
          <w:tab w:val="left" w:pos="840"/>
        </w:tabs>
        <w:ind w:left="840" w:hanging="840"/>
      </w:pPr>
      <w:rPr>
        <w:rFonts w:hint="default"/>
      </w:rPr>
    </w:lvl>
    <w:lvl w:ilvl="1" w:tentative="0">
      <w:start w:val="1"/>
      <w:numFmt w:val="decimal"/>
      <w:pStyle w:val="1544"/>
      <w:lvlText w:val="%1.%2"/>
      <w:lvlJc w:val="left"/>
      <w:pPr>
        <w:tabs>
          <w:tab w:val="left" w:pos="840"/>
        </w:tabs>
        <w:ind w:left="840" w:hanging="840"/>
      </w:pPr>
      <w:rPr>
        <w:rFonts w:hint="default"/>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840"/>
        </w:tabs>
        <w:ind w:left="840" w:hanging="840"/>
      </w:pPr>
      <w:rPr>
        <w:rFonts w:hint="default"/>
      </w:rPr>
    </w:lvl>
    <w:lvl w:ilvl="4" w:tentative="0">
      <w:start w:val="1"/>
      <w:numFmt w:val="decimal"/>
      <w:lvlText w:val="%1．%2.%3.%4.%5"/>
      <w:lvlJc w:val="left"/>
      <w:pPr>
        <w:tabs>
          <w:tab w:val="left" w:pos="840"/>
        </w:tabs>
        <w:ind w:left="840" w:hanging="840"/>
      </w:pPr>
      <w:rPr>
        <w:rFonts w:hint="default"/>
      </w:rPr>
    </w:lvl>
    <w:lvl w:ilvl="5" w:tentative="0">
      <w:start w:val="1"/>
      <w:numFmt w:val="decimal"/>
      <w:lvlText w:val="%1．%2.%3.%4.%5.%6"/>
      <w:lvlJc w:val="left"/>
      <w:pPr>
        <w:tabs>
          <w:tab w:val="left" w:pos="840"/>
        </w:tabs>
        <w:ind w:left="840" w:hanging="840"/>
      </w:pPr>
      <w:rPr>
        <w:rFonts w:hint="default"/>
      </w:rPr>
    </w:lvl>
    <w:lvl w:ilvl="6" w:tentative="0">
      <w:start w:val="1"/>
      <w:numFmt w:val="decimal"/>
      <w:lvlText w:val="%1．%2.%3.%4.%5.%6.%7"/>
      <w:lvlJc w:val="left"/>
      <w:pPr>
        <w:tabs>
          <w:tab w:val="left" w:pos="840"/>
        </w:tabs>
        <w:ind w:left="840" w:hanging="840"/>
      </w:pPr>
      <w:rPr>
        <w:rFonts w:hint="default"/>
      </w:rPr>
    </w:lvl>
    <w:lvl w:ilvl="7" w:tentative="0">
      <w:start w:val="1"/>
      <w:numFmt w:val="decimal"/>
      <w:lvlText w:val="%1．%2.%3.%4.%5.%6.%7.%8"/>
      <w:lvlJc w:val="left"/>
      <w:pPr>
        <w:tabs>
          <w:tab w:val="left" w:pos="840"/>
        </w:tabs>
        <w:ind w:left="840" w:hanging="840"/>
      </w:pPr>
      <w:rPr>
        <w:rFonts w:hint="default"/>
      </w:rPr>
    </w:lvl>
    <w:lvl w:ilvl="8" w:tentative="0">
      <w:start w:val="1"/>
      <w:numFmt w:val="decimal"/>
      <w:lvlText w:val="%1．%2.%3.%4.%5.%6.%7.%8.%9"/>
      <w:lvlJc w:val="left"/>
      <w:pPr>
        <w:tabs>
          <w:tab w:val="left" w:pos="840"/>
        </w:tabs>
        <w:ind w:left="840" w:hanging="840"/>
      </w:pPr>
      <w:rPr>
        <w:rFonts w:hint="default"/>
      </w:rPr>
    </w:lvl>
  </w:abstractNum>
  <w:abstractNum w:abstractNumId="11">
    <w:nsid w:val="127A421D"/>
    <w:multiLevelType w:val="singleLevel"/>
    <w:tmpl w:val="127A421D"/>
    <w:lvl w:ilvl="0" w:tentative="0">
      <w:start w:val="1"/>
      <w:numFmt w:val="decimal"/>
      <w:lvlText w:val="%1)"/>
      <w:lvlJc w:val="left"/>
      <w:pPr>
        <w:tabs>
          <w:tab w:val="left" w:pos="420"/>
        </w:tabs>
        <w:ind w:left="845" w:hanging="425"/>
      </w:pPr>
      <w:rPr>
        <w:rFonts w:hint="default"/>
      </w:rPr>
    </w:lvl>
  </w:abstractNum>
  <w:abstractNum w:abstractNumId="12">
    <w:nsid w:val="17FD522D"/>
    <w:multiLevelType w:val="singleLevel"/>
    <w:tmpl w:val="17FD522D"/>
    <w:lvl w:ilvl="0" w:tentative="0">
      <w:start w:val="1"/>
      <w:numFmt w:val="decimal"/>
      <w:lvlText w:val="%1)"/>
      <w:lvlJc w:val="left"/>
      <w:pPr>
        <w:tabs>
          <w:tab w:val="left" w:pos="420"/>
        </w:tabs>
        <w:ind w:left="845" w:hanging="425"/>
      </w:pPr>
      <w:rPr>
        <w:rFonts w:hint="default"/>
      </w:rPr>
    </w:lvl>
  </w:abstractNum>
  <w:abstractNum w:abstractNumId="13">
    <w:nsid w:val="18E07E42"/>
    <w:multiLevelType w:val="multilevel"/>
    <w:tmpl w:val="18E07E42"/>
    <w:lvl w:ilvl="0" w:tentative="0">
      <w:start w:val="1"/>
      <w:numFmt w:val="bullet"/>
      <w:pStyle w:val="1596"/>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4">
    <w:nsid w:val="1C964BCC"/>
    <w:multiLevelType w:val="multilevel"/>
    <w:tmpl w:val="1C964BCC"/>
    <w:lvl w:ilvl="0" w:tentative="0">
      <w:start w:val="1"/>
      <w:numFmt w:val="bullet"/>
      <w:pStyle w:val="1464"/>
      <w:lvlText w:val=""/>
      <w:lvlJc w:val="left"/>
      <w:pPr>
        <w:tabs>
          <w:tab w:val="left" w:pos="1680"/>
        </w:tabs>
        <w:ind w:left="1680" w:hanging="420"/>
      </w:pPr>
      <w:rPr>
        <w:rFonts w:hint="default" w:ascii="Wingdings" w:hAnsi="Wingdings"/>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5">
    <w:nsid w:val="1F8686A1"/>
    <w:multiLevelType w:val="multilevel"/>
    <w:tmpl w:val="1F8686A1"/>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20F63E36"/>
    <w:multiLevelType w:val="multilevel"/>
    <w:tmpl w:val="20F63E36"/>
    <w:lvl w:ilvl="0" w:tentative="0">
      <w:start w:val="1"/>
      <w:numFmt w:val="decimal"/>
      <w:lvlText w:val="%1"/>
      <w:lvlJc w:val="left"/>
      <w:pPr>
        <w:tabs>
          <w:tab w:val="left" w:pos="1152"/>
        </w:tabs>
        <w:ind w:left="1152" w:hanging="1152"/>
      </w:pPr>
      <w:rPr>
        <w:rFonts w:hint="default" w:ascii="Arial" w:hAnsi="Arial"/>
        <w:b/>
        <w:i w:val="0"/>
        <w:sz w:val="24"/>
      </w:rPr>
    </w:lvl>
    <w:lvl w:ilvl="1" w:tentative="0">
      <w:start w:val="1"/>
      <w:numFmt w:val="decimal"/>
      <w:lvlText w:val="%1.%2"/>
      <w:lvlJc w:val="left"/>
      <w:pPr>
        <w:tabs>
          <w:tab w:val="left" w:pos="1152"/>
        </w:tabs>
        <w:ind w:left="1152" w:hanging="1152"/>
      </w:pPr>
      <w:rPr>
        <w:rFonts w:hint="default" w:ascii="Arial" w:hAnsi="Arial"/>
        <w:b w:val="0"/>
        <w:i w:val="0"/>
        <w:sz w:val="24"/>
      </w:rPr>
    </w:lvl>
    <w:lvl w:ilvl="2" w:tentative="0">
      <w:start w:val="1"/>
      <w:numFmt w:val="decimal"/>
      <w:lvlText w:val="%1.%2.%3"/>
      <w:lvlJc w:val="left"/>
      <w:pPr>
        <w:tabs>
          <w:tab w:val="left" w:pos="1152"/>
        </w:tabs>
        <w:ind w:left="1152" w:hanging="1152"/>
      </w:pPr>
      <w:rPr>
        <w:rFonts w:hint="default" w:ascii="Arial" w:hAnsi="Arial"/>
        <w:b w:val="0"/>
        <w:i w:val="0"/>
        <w:sz w:val="24"/>
      </w:rPr>
    </w:lvl>
    <w:lvl w:ilvl="3" w:tentative="0">
      <w:start w:val="1"/>
      <w:numFmt w:val="lowerLetter"/>
      <w:lvlText w:val="%4)"/>
      <w:lvlJc w:val="left"/>
      <w:pPr>
        <w:tabs>
          <w:tab w:val="left" w:pos="1728"/>
        </w:tabs>
        <w:ind w:left="1728" w:hanging="576"/>
      </w:pPr>
      <w:rPr>
        <w:rFonts w:hint="default" w:ascii="Arial" w:hAnsi="Arial"/>
        <w:b w:val="0"/>
        <w:i w:val="0"/>
        <w:sz w:val="24"/>
      </w:rPr>
    </w:lvl>
    <w:lvl w:ilvl="4" w:tentative="0">
      <w:start w:val="1"/>
      <w:numFmt w:val="lowerRoman"/>
      <w:pStyle w:val="944"/>
      <w:lvlText w:val="%5)"/>
      <w:lvlJc w:val="left"/>
      <w:pPr>
        <w:tabs>
          <w:tab w:val="left" w:pos="2160"/>
        </w:tabs>
        <w:ind w:left="2160" w:hanging="432"/>
      </w:pPr>
      <w:rPr>
        <w:rFonts w:hint="default" w:ascii="Arial" w:hAnsi="Arial"/>
        <w:b w:val="0"/>
        <w:i w:val="0"/>
        <w:sz w:val="24"/>
      </w:rPr>
    </w:lvl>
    <w:lvl w:ilvl="5" w:tentative="0">
      <w:start w:val="1"/>
      <w:numFmt w:val="decimal"/>
      <w:lvlText w:val="%6)"/>
      <w:lvlJc w:val="left"/>
      <w:pPr>
        <w:tabs>
          <w:tab w:val="left" w:pos="1728"/>
        </w:tabs>
        <w:ind w:left="1728" w:hanging="576"/>
      </w:pPr>
      <w:rPr>
        <w:rFonts w:hint="default" w:ascii="Arial" w:hAnsi="Arial"/>
        <w:b w:val="0"/>
        <w:i w:val="0"/>
        <w:sz w:val="24"/>
      </w:rPr>
    </w:lvl>
    <w:lvl w:ilvl="6" w:tentative="0">
      <w:start w:val="1"/>
      <w:numFmt w:val="lowerLetter"/>
      <w:lvlText w:val="%7)"/>
      <w:lvlJc w:val="left"/>
      <w:pPr>
        <w:tabs>
          <w:tab w:val="left" w:pos="2304"/>
        </w:tabs>
        <w:ind w:left="2304" w:hanging="576"/>
      </w:pPr>
      <w:rPr>
        <w:rFonts w:hint="default" w:ascii="Arial" w:hAnsi="Arial"/>
        <w:b w:val="0"/>
        <w:i w:val="0"/>
        <w:sz w:val="24"/>
      </w:rPr>
    </w:lvl>
    <w:lvl w:ilvl="7" w:tentative="0">
      <w:start w:val="1"/>
      <w:numFmt w:val="lowerRoman"/>
      <w:lvlText w:val="%8)"/>
      <w:lvlJc w:val="left"/>
      <w:pPr>
        <w:tabs>
          <w:tab w:val="left" w:pos="2880"/>
        </w:tabs>
        <w:ind w:left="2880" w:hanging="576"/>
      </w:pPr>
      <w:rPr>
        <w:rFonts w:hint="default" w:ascii="Arial" w:hAnsi="Arial"/>
        <w:b w:val="0"/>
        <w:i w:val="0"/>
        <w:sz w:val="24"/>
      </w:rPr>
    </w:lvl>
    <w:lvl w:ilvl="8" w:tentative="0">
      <w:start w:val="1"/>
      <w:numFmt w:val="decimal"/>
      <w:lvlText w:val="%7.%8.%9."/>
      <w:lvlJc w:val="left"/>
      <w:pPr>
        <w:tabs>
          <w:tab w:val="left" w:pos="0"/>
        </w:tabs>
        <w:ind w:left="6372" w:hanging="708"/>
      </w:pPr>
      <w:rPr>
        <w:rFonts w:hint="eastAsia"/>
      </w:rPr>
    </w:lvl>
  </w:abstractNum>
  <w:abstractNum w:abstractNumId="17">
    <w:nsid w:val="24041A39"/>
    <w:multiLevelType w:val="singleLevel"/>
    <w:tmpl w:val="24041A39"/>
    <w:lvl w:ilvl="0" w:tentative="0">
      <w:start w:val="1"/>
      <w:numFmt w:val="decimal"/>
      <w:lvlText w:val="%1)"/>
      <w:lvlJc w:val="left"/>
      <w:pPr>
        <w:tabs>
          <w:tab w:val="left" w:pos="420"/>
        </w:tabs>
        <w:ind w:left="845" w:hanging="425"/>
      </w:pPr>
      <w:rPr>
        <w:rFonts w:hint="default"/>
      </w:rPr>
    </w:lvl>
  </w:abstractNum>
  <w:abstractNum w:abstractNumId="18">
    <w:nsid w:val="25351AA3"/>
    <w:multiLevelType w:val="multilevel"/>
    <w:tmpl w:val="25351AA3"/>
    <w:lvl w:ilvl="0" w:tentative="0">
      <w:start w:val="1"/>
      <w:numFmt w:val="lowerLetter"/>
      <w:lvlText w:val="%1)"/>
      <w:lvlJc w:val="left"/>
      <w:pPr>
        <w:tabs>
          <w:tab w:val="left" w:pos="620"/>
        </w:tabs>
        <w:ind w:left="620" w:hanging="420"/>
      </w:pPr>
      <w:rPr>
        <w:rFonts w:hint="eastAsia"/>
      </w:rPr>
    </w:lvl>
    <w:lvl w:ilvl="1" w:tentative="0">
      <w:start w:val="1"/>
      <w:numFmt w:val="bullet"/>
      <w:pStyle w:val="1470"/>
      <w:lvlText w:val=""/>
      <w:lvlJc w:val="left"/>
      <w:pPr>
        <w:tabs>
          <w:tab w:val="left" w:pos="1320"/>
        </w:tabs>
        <w:ind w:left="1320" w:hanging="420"/>
      </w:pPr>
      <w:rPr>
        <w:rFonts w:hint="default" w:ascii="Wingdings" w:hAnsi="Wingdings"/>
      </w:rPr>
    </w:lvl>
    <w:lvl w:ilvl="2" w:tentative="0">
      <w:start w:val="1"/>
      <w:numFmt w:val="lowerLetter"/>
      <w:lvlText w:val="%3)"/>
      <w:lvlJc w:val="left"/>
      <w:pPr>
        <w:tabs>
          <w:tab w:val="left" w:pos="1740"/>
        </w:tabs>
        <w:ind w:left="1740" w:hanging="420"/>
      </w:pPr>
      <w:rPr>
        <w:rFonts w:hint="eastAsia"/>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2B7F56F2"/>
    <w:multiLevelType w:val="multilevel"/>
    <w:tmpl w:val="2B7F56F2"/>
    <w:lvl w:ilvl="0" w:tentative="0">
      <w:start w:val="1"/>
      <w:numFmt w:val="decimal"/>
      <w:lvlText w:val="%1."/>
      <w:lvlJc w:val="left"/>
      <w:pPr>
        <w:tabs>
          <w:tab w:val="left" w:pos="992"/>
        </w:tabs>
        <w:ind w:left="992" w:hanging="992"/>
      </w:pPr>
      <w:rPr>
        <w:rFonts w:hint="eastAsia" w:ascii="宋体" w:eastAsia="宋体"/>
        <w:b/>
        <w:i w:val="0"/>
        <w:sz w:val="24"/>
      </w:rPr>
    </w:lvl>
    <w:lvl w:ilvl="1" w:tentative="0">
      <w:start w:val="1"/>
      <w:numFmt w:val="decimal"/>
      <w:lvlText w:val="%1.%2"/>
      <w:lvlJc w:val="left"/>
      <w:pPr>
        <w:tabs>
          <w:tab w:val="left" w:pos="992"/>
        </w:tabs>
        <w:ind w:left="992" w:hanging="992"/>
      </w:pPr>
      <w:rPr>
        <w:rFonts w:hint="eastAsia" w:ascii="宋体" w:eastAsia="宋体"/>
        <w:b w:val="0"/>
        <w:i w:val="0"/>
        <w:sz w:val="24"/>
      </w:rPr>
    </w:lvl>
    <w:lvl w:ilvl="2" w:tentative="0">
      <w:start w:val="1"/>
      <w:numFmt w:val="decimal"/>
      <w:lvlText w:val="%1.%2.%3"/>
      <w:lvlJc w:val="left"/>
      <w:pPr>
        <w:tabs>
          <w:tab w:val="left" w:pos="992"/>
        </w:tabs>
        <w:ind w:left="992" w:hanging="992"/>
      </w:pPr>
      <w:rPr>
        <w:rFonts w:hint="eastAsia" w:ascii="宋体" w:eastAsia="宋体"/>
        <w:b w:val="0"/>
        <w:i w:val="0"/>
        <w:sz w:val="24"/>
      </w:rPr>
    </w:lvl>
    <w:lvl w:ilvl="3" w:tentative="0">
      <w:start w:val="1"/>
      <w:numFmt w:val="decimal"/>
      <w:pStyle w:val="1576"/>
      <w:lvlText w:val="%4)"/>
      <w:lvlJc w:val="left"/>
      <w:pPr>
        <w:tabs>
          <w:tab w:val="left" w:pos="420"/>
        </w:tabs>
        <w:ind w:left="420" w:hanging="420"/>
      </w:pPr>
      <w:rPr>
        <w:rFonts w:hint="eastAsia"/>
        <w:b/>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303473CE"/>
    <w:multiLevelType w:val="multilevel"/>
    <w:tmpl w:val="303473CE"/>
    <w:lvl w:ilvl="0" w:tentative="0">
      <w:start w:val="1"/>
      <w:numFmt w:val="decimal"/>
      <w:suff w:val="space"/>
      <w:lvlText w:val="%1"/>
      <w:lvlJc w:val="left"/>
      <w:pPr>
        <w:ind w:left="0" w:firstLine="0"/>
      </w:pPr>
      <w:rPr>
        <w:rFonts w:hint="eastAsia"/>
        <w:i w:val="0"/>
        <w:caps w:val="0"/>
        <w:smallCaps/>
        <w:strike w:val="0"/>
        <w:color w:val="000000"/>
        <w14:shadow w14:blurRad="0" w14:dist="0" w14:dir="0" w14:sx="0" w14:sy="0" w14:kx="0" w14:ky="0" w14:algn="none">
          <w14:srgbClr w14:val="000000"/>
        </w14:shadow>
      </w:rPr>
    </w:lvl>
    <w:lvl w:ilvl="1" w:tentative="0">
      <w:start w:val="1"/>
      <w:numFmt w:val="decimal"/>
      <w:lvlText w:val="%1.%2"/>
      <w:lvlJc w:val="left"/>
      <w:pPr>
        <w:tabs>
          <w:tab w:val="left" w:pos="618"/>
        </w:tabs>
        <w:ind w:left="0" w:firstLine="0"/>
      </w:pPr>
      <w:rPr>
        <w:rFonts w:hint="eastAsia" w:eastAsia="黑体"/>
        <w:color w:val="auto"/>
        <w:szCs w:val="28"/>
        <w:lang w:val="en-US" w:eastAsia="zh-CN" w:bidi="ar-SA"/>
      </w:rPr>
    </w:lvl>
    <w:lvl w:ilvl="2" w:tentative="0">
      <w:start w:val="1"/>
      <w:numFmt w:val="decimal"/>
      <w:suff w:val="space"/>
      <w:lvlText w:val="%1.%2.%3"/>
      <w:lvlJc w:val="left"/>
      <w:pPr>
        <w:ind w:left="0" w:firstLine="0"/>
      </w:pPr>
      <w:rPr>
        <w:rFonts w:hint="eastAsia"/>
        <w:color w:val="auto"/>
      </w:rPr>
    </w:lvl>
    <w:lvl w:ilvl="3" w:tentative="0">
      <w:start w:val="1"/>
      <w:numFmt w:val="decimal"/>
      <w:lvlText w:val="%1.%2.%3.%4"/>
      <w:lvlJc w:val="left"/>
      <w:pPr>
        <w:tabs>
          <w:tab w:val="left" w:pos="1051"/>
        </w:tabs>
        <w:ind w:left="0" w:firstLine="0"/>
      </w:pPr>
      <w:rPr>
        <w:rFonts w:hint="eastAsia"/>
      </w:rPr>
    </w:lvl>
    <w:lvl w:ilvl="4" w:tentative="0">
      <w:start w:val="1"/>
      <w:numFmt w:val="decimal"/>
      <w:suff w:val="space"/>
      <w:lvlText w:val="（%5）"/>
      <w:lvlJc w:val="left"/>
      <w:pPr>
        <w:ind w:left="-425" w:firstLine="567"/>
      </w:pPr>
      <w:rPr>
        <w:rFonts w:hint="eastAsia" w:cs="Times New Roman"/>
        <w:b w:val="0"/>
        <w:lang w:val="en-US"/>
      </w:rPr>
    </w:lvl>
    <w:lvl w:ilvl="5" w:tentative="0">
      <w:start w:val="1"/>
      <w:numFmt w:val="decimal"/>
      <w:suff w:val="space"/>
      <w:lvlText w:val="%6）"/>
      <w:lvlJc w:val="left"/>
      <w:pPr>
        <w:ind w:left="-426" w:firstLine="851"/>
      </w:pPr>
      <w:rPr>
        <w:rFonts w:hint="eastAsia"/>
        <w:sz w:val="24"/>
        <w:szCs w:val="10351"/>
        <w:lang w:val="en-US" w:eastAsia="zh-CN"/>
      </w:rPr>
    </w:lvl>
    <w:lvl w:ilvl="6" w:tentative="0">
      <w:start w:val="1"/>
      <w:numFmt w:val="lowerLetter"/>
      <w:suff w:val="space"/>
      <w:lvlText w:val="%7."/>
      <w:lvlJc w:val="left"/>
      <w:pPr>
        <w:ind w:left="0" w:firstLine="851"/>
      </w:pPr>
      <w:rPr>
        <w:rFonts w:hint="eastAsia"/>
        <w:sz w:val="24"/>
        <w:lang w:val="en-US" w:eastAsia="zh-CN"/>
      </w:rPr>
    </w:lvl>
    <w:lvl w:ilvl="7" w:tentative="0">
      <w:start w:val="1"/>
      <w:numFmt w:val="decimal"/>
      <w:lvlText w:val="%1.%2.%3.%4.%5.%6.%7.%8"/>
      <w:lvlJc w:val="left"/>
      <w:pPr>
        <w:tabs>
          <w:tab w:val="left" w:pos="2432"/>
        </w:tabs>
        <w:ind w:left="805" w:firstLine="187"/>
      </w:pPr>
      <w:rPr>
        <w:rFonts w:hint="eastAsia"/>
      </w:rPr>
    </w:lvl>
    <w:lvl w:ilvl="8" w:tentative="0">
      <w:start w:val="1"/>
      <w:numFmt w:val="decimal"/>
      <w:lvlText w:val="%1.%2.%3.%4.%5.%6.%7.%8.%9"/>
      <w:lvlJc w:val="left"/>
      <w:pPr>
        <w:tabs>
          <w:tab w:val="left" w:pos="1771"/>
        </w:tabs>
        <w:ind w:left="0" w:firstLine="187"/>
      </w:pPr>
      <w:rPr>
        <w:rFonts w:hint="eastAsia"/>
      </w:rPr>
    </w:lvl>
  </w:abstractNum>
  <w:abstractNum w:abstractNumId="21">
    <w:nsid w:val="306F432D"/>
    <w:multiLevelType w:val="multilevel"/>
    <w:tmpl w:val="306F432D"/>
    <w:lvl w:ilvl="0" w:tentative="0">
      <w:start w:val="1"/>
      <w:numFmt w:val="decimal"/>
      <w:pStyle w:val="1471"/>
      <w:lvlText w:val="图6-%1"/>
      <w:lvlJc w:val="left"/>
      <w:pPr>
        <w:tabs>
          <w:tab w:val="left" w:pos="1530"/>
        </w:tabs>
        <w:ind w:left="1530" w:firstLine="0"/>
      </w:pPr>
      <w:rPr>
        <w:rFonts w:hint="default"/>
      </w:rPr>
    </w:lvl>
    <w:lvl w:ilvl="1" w:tentative="0">
      <w:start w:val="1"/>
      <w:numFmt w:val="none"/>
      <w:suff w:val="nothing"/>
      <w:lvlText w:val=""/>
      <w:lvlJc w:val="left"/>
      <w:pPr>
        <w:ind w:left="728" w:firstLine="0"/>
      </w:pPr>
      <w:rPr>
        <w:rFonts w:hint="default"/>
      </w:rPr>
    </w:lvl>
    <w:lvl w:ilvl="2" w:tentative="0">
      <w:start w:val="1"/>
      <w:numFmt w:val="none"/>
      <w:suff w:val="nothing"/>
      <w:lvlText w:val=""/>
      <w:lvlJc w:val="left"/>
      <w:pPr>
        <w:ind w:left="728" w:firstLine="0"/>
      </w:pPr>
      <w:rPr>
        <w:rFonts w:hint="default"/>
      </w:rPr>
    </w:lvl>
    <w:lvl w:ilvl="3" w:tentative="0">
      <w:start w:val="1"/>
      <w:numFmt w:val="none"/>
      <w:suff w:val="nothing"/>
      <w:lvlText w:val=""/>
      <w:lvlJc w:val="left"/>
      <w:pPr>
        <w:ind w:left="728" w:firstLine="0"/>
      </w:pPr>
      <w:rPr>
        <w:rFonts w:hint="default"/>
      </w:rPr>
    </w:lvl>
    <w:lvl w:ilvl="4" w:tentative="0">
      <w:start w:val="1"/>
      <w:numFmt w:val="none"/>
      <w:suff w:val="nothing"/>
      <w:lvlText w:val=""/>
      <w:lvlJc w:val="left"/>
      <w:pPr>
        <w:ind w:left="728" w:firstLine="0"/>
      </w:pPr>
      <w:rPr>
        <w:rFonts w:hint="default"/>
      </w:rPr>
    </w:lvl>
    <w:lvl w:ilvl="5" w:tentative="0">
      <w:start w:val="1"/>
      <w:numFmt w:val="none"/>
      <w:suff w:val="nothing"/>
      <w:lvlText w:val=""/>
      <w:lvlJc w:val="left"/>
      <w:pPr>
        <w:ind w:left="728" w:firstLine="0"/>
      </w:pPr>
      <w:rPr>
        <w:rFonts w:hint="default"/>
      </w:rPr>
    </w:lvl>
    <w:lvl w:ilvl="6" w:tentative="0">
      <w:start w:val="1"/>
      <w:numFmt w:val="none"/>
      <w:suff w:val="nothing"/>
      <w:lvlText w:val=""/>
      <w:lvlJc w:val="left"/>
      <w:pPr>
        <w:ind w:left="728" w:firstLine="0"/>
      </w:pPr>
      <w:rPr>
        <w:rFonts w:hint="default"/>
      </w:rPr>
    </w:lvl>
    <w:lvl w:ilvl="7" w:tentative="0">
      <w:start w:val="1"/>
      <w:numFmt w:val="none"/>
      <w:suff w:val="nothing"/>
      <w:lvlText w:val=""/>
      <w:lvlJc w:val="left"/>
      <w:pPr>
        <w:ind w:left="728" w:firstLine="0"/>
      </w:pPr>
      <w:rPr>
        <w:rFonts w:hint="default"/>
      </w:rPr>
    </w:lvl>
    <w:lvl w:ilvl="8" w:tentative="0">
      <w:start w:val="1"/>
      <w:numFmt w:val="none"/>
      <w:suff w:val="nothing"/>
      <w:lvlText w:val=""/>
      <w:lvlJc w:val="left"/>
      <w:pPr>
        <w:ind w:left="728" w:firstLine="0"/>
      </w:pPr>
      <w:rPr>
        <w:rFonts w:hint="default"/>
      </w:rPr>
    </w:lvl>
  </w:abstractNum>
  <w:abstractNum w:abstractNumId="22">
    <w:nsid w:val="31F40D7F"/>
    <w:multiLevelType w:val="multilevel"/>
    <w:tmpl w:val="31F40D7F"/>
    <w:lvl w:ilvl="0" w:tentative="0">
      <w:start w:val="1"/>
      <w:numFmt w:val="bullet"/>
      <w:pStyle w:val="1462"/>
      <w:lvlText w:val=""/>
      <w:lvlJc w:val="left"/>
      <w:pPr>
        <w:tabs>
          <w:tab w:val="left" w:pos="0"/>
        </w:tabs>
        <w:ind w:left="0" w:hanging="36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3">
    <w:nsid w:val="397C1878"/>
    <w:multiLevelType w:val="multilevel"/>
    <w:tmpl w:val="397C1878"/>
    <w:lvl w:ilvl="0" w:tentative="0">
      <w:start w:val="1"/>
      <w:numFmt w:val="bullet"/>
      <w:pStyle w:val="158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43525BA2"/>
    <w:multiLevelType w:val="multilevel"/>
    <w:tmpl w:val="43525BA2"/>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25">
    <w:nsid w:val="44121AA6"/>
    <w:multiLevelType w:val="multilevel"/>
    <w:tmpl w:val="44121AA6"/>
    <w:lvl w:ilvl="0" w:tentative="0">
      <w:start w:val="1"/>
      <w:numFmt w:val="decimal"/>
      <w:pStyle w:val="1577"/>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6E9201E"/>
    <w:multiLevelType w:val="multilevel"/>
    <w:tmpl w:val="46E9201E"/>
    <w:lvl w:ilvl="0" w:tentative="0">
      <w:start w:val="1"/>
      <w:numFmt w:val="decimal"/>
      <w:lvlText w:val="%1"/>
      <w:lvlJc w:val="left"/>
      <w:pPr>
        <w:tabs>
          <w:tab w:val="left" w:pos="1152"/>
        </w:tabs>
        <w:ind w:left="1152" w:hanging="1152"/>
      </w:pPr>
      <w:rPr>
        <w:rFonts w:hint="default" w:ascii="Arial" w:hAnsi="Arial"/>
        <w:b/>
        <w:i w:val="0"/>
        <w:sz w:val="24"/>
      </w:rPr>
    </w:lvl>
    <w:lvl w:ilvl="1" w:tentative="0">
      <w:start w:val="1"/>
      <w:numFmt w:val="decimal"/>
      <w:lvlText w:val="%1.%2"/>
      <w:lvlJc w:val="left"/>
      <w:pPr>
        <w:tabs>
          <w:tab w:val="left" w:pos="1152"/>
        </w:tabs>
        <w:ind w:left="1152" w:hanging="1152"/>
      </w:pPr>
      <w:rPr>
        <w:rFonts w:hint="default" w:ascii="Arial" w:hAnsi="Arial"/>
        <w:b w:val="0"/>
        <w:i w:val="0"/>
        <w:sz w:val="24"/>
      </w:rPr>
    </w:lvl>
    <w:lvl w:ilvl="2" w:tentative="0">
      <w:start w:val="1"/>
      <w:numFmt w:val="decimal"/>
      <w:lvlText w:val="%1.%2.%3"/>
      <w:lvlJc w:val="left"/>
      <w:pPr>
        <w:tabs>
          <w:tab w:val="left" w:pos="1152"/>
        </w:tabs>
        <w:ind w:left="1152" w:hanging="1152"/>
      </w:pPr>
      <w:rPr>
        <w:rFonts w:hint="default" w:ascii="Arial" w:hAnsi="Arial"/>
        <w:b w:val="0"/>
        <w:i w:val="0"/>
        <w:sz w:val="24"/>
      </w:rPr>
    </w:lvl>
    <w:lvl w:ilvl="3" w:tentative="0">
      <w:start w:val="1"/>
      <w:numFmt w:val="lowerLetter"/>
      <w:pStyle w:val="943"/>
      <w:lvlText w:val="%4)"/>
      <w:lvlJc w:val="left"/>
      <w:pPr>
        <w:tabs>
          <w:tab w:val="left" w:pos="2160"/>
        </w:tabs>
        <w:ind w:left="2160" w:hanging="1008"/>
      </w:pPr>
      <w:rPr>
        <w:rFonts w:hint="default" w:ascii="Arial" w:hAnsi="Arial"/>
        <w:b w:val="0"/>
        <w:i w:val="0"/>
        <w:sz w:val="24"/>
      </w:rPr>
    </w:lvl>
    <w:lvl w:ilvl="4" w:tentative="0">
      <w:start w:val="1"/>
      <w:numFmt w:val="decimal"/>
      <w:lvlText w:val="%1.%2.%3.%4.%5"/>
      <w:lvlJc w:val="left"/>
      <w:pPr>
        <w:tabs>
          <w:tab w:val="left" w:pos="1152"/>
        </w:tabs>
        <w:ind w:left="1152" w:hanging="1152"/>
      </w:pPr>
      <w:rPr>
        <w:rFonts w:hint="default" w:ascii="Arial" w:hAnsi="Arial"/>
        <w:b w:val="0"/>
        <w:i w:val="0"/>
        <w:sz w:val="24"/>
      </w:rPr>
    </w:lvl>
    <w:lvl w:ilvl="5" w:tentative="0">
      <w:start w:val="1"/>
      <w:numFmt w:val="decimal"/>
      <w:lvlText w:val="%6)"/>
      <w:lvlJc w:val="left"/>
      <w:pPr>
        <w:tabs>
          <w:tab w:val="left" w:pos="1728"/>
        </w:tabs>
        <w:ind w:left="1728" w:hanging="576"/>
      </w:pPr>
      <w:rPr>
        <w:rFonts w:hint="default" w:ascii="Arial" w:hAnsi="Arial"/>
        <w:b w:val="0"/>
        <w:i w:val="0"/>
        <w:sz w:val="24"/>
      </w:rPr>
    </w:lvl>
    <w:lvl w:ilvl="6" w:tentative="0">
      <w:start w:val="1"/>
      <w:numFmt w:val="lowerLetter"/>
      <w:lvlText w:val="%7)"/>
      <w:lvlJc w:val="left"/>
      <w:pPr>
        <w:tabs>
          <w:tab w:val="left" w:pos="2304"/>
        </w:tabs>
        <w:ind w:left="2304" w:hanging="576"/>
      </w:pPr>
      <w:rPr>
        <w:rFonts w:hint="default" w:ascii="Arial" w:hAnsi="Arial"/>
        <w:b w:val="0"/>
        <w:i w:val="0"/>
        <w:sz w:val="24"/>
      </w:rPr>
    </w:lvl>
    <w:lvl w:ilvl="7" w:tentative="0">
      <w:start w:val="1"/>
      <w:numFmt w:val="lowerRoman"/>
      <w:lvlText w:val="%8)"/>
      <w:lvlJc w:val="left"/>
      <w:pPr>
        <w:tabs>
          <w:tab w:val="left" w:pos="2880"/>
        </w:tabs>
        <w:ind w:left="2880" w:hanging="576"/>
      </w:pPr>
      <w:rPr>
        <w:rFonts w:hint="default" w:ascii="Arial" w:hAnsi="Arial"/>
        <w:b w:val="0"/>
        <w:i w:val="0"/>
        <w:sz w:val="24"/>
      </w:rPr>
    </w:lvl>
    <w:lvl w:ilvl="8" w:tentative="0">
      <w:start w:val="1"/>
      <w:numFmt w:val="decimal"/>
      <w:lvlText w:val="%7.%8.%9."/>
      <w:lvlJc w:val="left"/>
      <w:pPr>
        <w:tabs>
          <w:tab w:val="left" w:pos="0"/>
        </w:tabs>
        <w:ind w:left="6372" w:hanging="708"/>
      </w:pPr>
      <w:rPr>
        <w:rFonts w:hint="eastAsia"/>
      </w:rPr>
    </w:lvl>
  </w:abstractNum>
  <w:abstractNum w:abstractNumId="27">
    <w:nsid w:val="4AFD1347"/>
    <w:multiLevelType w:val="singleLevel"/>
    <w:tmpl w:val="4AFD1347"/>
    <w:lvl w:ilvl="0" w:tentative="0">
      <w:start w:val="1"/>
      <w:numFmt w:val="bullet"/>
      <w:pStyle w:val="995"/>
      <w:lvlText w:val=""/>
      <w:lvlJc w:val="left"/>
      <w:pPr>
        <w:tabs>
          <w:tab w:val="left" w:pos="425"/>
        </w:tabs>
        <w:ind w:left="425" w:hanging="425"/>
      </w:pPr>
      <w:rPr>
        <w:rFonts w:hint="default" w:ascii="Wingdings" w:hAnsi="Wingdings"/>
      </w:rPr>
    </w:lvl>
  </w:abstractNum>
  <w:abstractNum w:abstractNumId="28">
    <w:nsid w:val="532C6D9C"/>
    <w:multiLevelType w:val="singleLevel"/>
    <w:tmpl w:val="532C6D9C"/>
    <w:lvl w:ilvl="0" w:tentative="0">
      <w:start w:val="1"/>
      <w:numFmt w:val="decimal"/>
      <w:suff w:val="space"/>
      <w:lvlText w:val="（%1）"/>
      <w:lvlJc w:val="left"/>
    </w:lvl>
  </w:abstractNum>
  <w:abstractNum w:abstractNumId="29">
    <w:nsid w:val="573C6771"/>
    <w:multiLevelType w:val="multilevel"/>
    <w:tmpl w:val="573C6771"/>
    <w:lvl w:ilvl="0" w:tentative="0">
      <w:start w:val="1"/>
      <w:numFmt w:val="decimal"/>
      <w:suff w:val="nothing"/>
      <w:lvlText w:val="第%1章"/>
      <w:lvlJc w:val="left"/>
      <w:pPr>
        <w:ind w:left="425" w:hanging="425"/>
      </w:pPr>
      <w:rPr>
        <w:rFonts w:hint="eastAsia"/>
      </w:rPr>
    </w:lvl>
    <w:lvl w:ilvl="1" w:tentative="0">
      <w:start w:val="1"/>
      <w:numFmt w:val="decimal"/>
      <w:pStyle w:val="1285"/>
      <w:suff w:val="space"/>
      <w:lvlText w:val="%1.%2"/>
      <w:lvlJc w:val="left"/>
      <w:pPr>
        <w:ind w:left="567"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suff w:val="nothing"/>
      <w:lvlText w:val="（%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5E400AA9"/>
    <w:multiLevelType w:val="multilevel"/>
    <w:tmpl w:val="5E400AA9"/>
    <w:lvl w:ilvl="0" w:tentative="0">
      <w:start w:val="1"/>
      <w:numFmt w:val="decimal"/>
      <w:pStyle w:val="1546"/>
      <w:suff w:val="space"/>
      <w:lvlText w:val="%1."/>
      <w:lvlJc w:val="left"/>
      <w:pPr>
        <w:ind w:left="0" w:firstLine="0"/>
      </w:pPr>
      <w:rPr>
        <w:rFonts w:hint="eastAsia"/>
        <w:b/>
        <w:i w:val="0"/>
        <w:sz w:val="28"/>
        <w:szCs w:val="28"/>
      </w:rPr>
    </w:lvl>
    <w:lvl w:ilvl="1" w:tentative="0">
      <w:start w:val="1"/>
      <w:numFmt w:val="decimal"/>
      <w:pStyle w:val="1545"/>
      <w:lvlText w:val="%1.%2"/>
      <w:lvlJc w:val="left"/>
      <w:pPr>
        <w:tabs>
          <w:tab w:val="left" w:pos="0"/>
        </w:tabs>
        <w:ind w:left="0" w:firstLine="0"/>
      </w:pPr>
      <w:rPr>
        <w:rFonts w:hint="eastAsia" w:eastAsia="黑体"/>
        <w:b w:val="0"/>
        <w:i w:val="0"/>
        <w:color w:val="auto"/>
        <w:sz w:val="28"/>
        <w:szCs w:val="28"/>
        <w:lang w:val="en-US" w:eastAsia="zh-CN"/>
      </w:rPr>
    </w:lvl>
    <w:lvl w:ilvl="2" w:tentative="0">
      <w:start w:val="1"/>
      <w:numFmt w:val="decimal"/>
      <w:pStyle w:val="1547"/>
      <w:suff w:val="space"/>
      <w:lvlText w:val="%1.%2.%3"/>
      <w:lvlJc w:val="left"/>
      <w:pPr>
        <w:ind w:left="0" w:firstLine="0"/>
      </w:pPr>
      <w:rPr>
        <w:rFonts w:hint="eastAsia"/>
        <w:b/>
        <w:i w:val="0"/>
        <w:color w:val="auto"/>
        <w:sz w:val="28"/>
        <w:szCs w:val="28"/>
      </w:rPr>
    </w:lvl>
    <w:lvl w:ilvl="3" w:tentative="0">
      <w:start w:val="1"/>
      <w:numFmt w:val="decimal"/>
      <w:pStyle w:val="1548"/>
      <w:lvlText w:val="%1.%2.%3.%4"/>
      <w:lvlJc w:val="left"/>
      <w:pPr>
        <w:tabs>
          <w:tab w:val="left" w:pos="0"/>
        </w:tabs>
        <w:ind w:left="0" w:firstLine="0"/>
      </w:pPr>
      <w:rPr>
        <w:rFonts w:hint="default" w:ascii="Times New Roman" w:hAnsi="Times New Roman" w:eastAsia="宋体"/>
        <w:b w:val="0"/>
        <w:i w:val="0"/>
        <w:sz w:val="24"/>
        <w:szCs w:val="24"/>
      </w:rPr>
    </w:lvl>
    <w:lvl w:ilvl="4" w:tentative="0">
      <w:start w:val="1"/>
      <w:numFmt w:val="decimal"/>
      <w:suff w:val="space"/>
      <w:lvlText w:val="（%5）"/>
      <w:lvlJc w:val="left"/>
      <w:pPr>
        <w:ind w:left="-180" w:firstLine="567"/>
      </w:pPr>
      <w:rPr>
        <w:rFonts w:hint="eastAsia" w:cs="Times New Roman"/>
        <w:b w:val="0"/>
        <w:i w:val="0"/>
        <w:sz w:val="28"/>
      </w:rPr>
    </w:lvl>
    <w:lvl w:ilvl="5" w:tentative="0">
      <w:start w:val="1"/>
      <w:numFmt w:val="decimal"/>
      <w:suff w:val="space"/>
      <w:lvlText w:val="%6）"/>
      <w:lvlJc w:val="left"/>
      <w:pPr>
        <w:ind w:left="-180" w:firstLine="851"/>
      </w:pPr>
      <w:rPr>
        <w:rFonts w:hint="eastAsia"/>
      </w:rPr>
    </w:lvl>
    <w:lvl w:ilvl="6" w:tentative="0">
      <w:start w:val="1"/>
      <w:numFmt w:val="lowerLetter"/>
      <w:suff w:val="space"/>
      <w:lvlText w:val="%7."/>
      <w:lvlJc w:val="left"/>
      <w:pPr>
        <w:ind w:left="-180" w:firstLine="851"/>
      </w:pPr>
      <w:rPr>
        <w:rFonts w:hint="eastAsia"/>
        <w:sz w:val="24"/>
      </w:rPr>
    </w:lvl>
    <w:lvl w:ilvl="7" w:tentative="0">
      <w:start w:val="1"/>
      <w:numFmt w:val="decimal"/>
      <w:lvlText w:val="%1.%2.%3.%4.%5.%6.%7.%8"/>
      <w:lvlJc w:val="left"/>
      <w:pPr>
        <w:tabs>
          <w:tab w:val="left" w:pos="1447"/>
        </w:tabs>
        <w:ind w:left="-180" w:firstLine="187"/>
      </w:pPr>
      <w:rPr>
        <w:rFonts w:hint="eastAsia"/>
      </w:rPr>
    </w:lvl>
    <w:lvl w:ilvl="8" w:tentative="0">
      <w:start w:val="1"/>
      <w:numFmt w:val="decimal"/>
      <w:lvlText w:val="%1.%2.%3.%4.%5.%6.%7.%8.%9"/>
      <w:lvlJc w:val="left"/>
      <w:pPr>
        <w:tabs>
          <w:tab w:val="left" w:pos="1591"/>
        </w:tabs>
        <w:ind w:left="-180" w:firstLine="187"/>
      </w:pPr>
      <w:rPr>
        <w:rFonts w:hint="eastAsia"/>
      </w:rPr>
    </w:lvl>
  </w:abstractNum>
  <w:abstractNum w:abstractNumId="31">
    <w:nsid w:val="5FA927AE"/>
    <w:multiLevelType w:val="multilevel"/>
    <w:tmpl w:val="5FA927AE"/>
    <w:lvl w:ilvl="0" w:tentative="0">
      <w:start w:val="1"/>
      <w:numFmt w:val="decimal"/>
      <w:pStyle w:val="1372"/>
      <w:lvlText w:val="(%1)"/>
      <w:lvlJc w:val="left"/>
      <w:pPr>
        <w:tabs>
          <w:tab w:val="left" w:pos="907"/>
        </w:tabs>
        <w:ind w:left="0" w:firstLine="547"/>
      </w:pPr>
      <w:rPr>
        <w:rFonts w:hint="eastAsia"/>
      </w:rPr>
    </w:lvl>
    <w:lvl w:ilvl="1" w:tentative="0">
      <w:start w:val="1"/>
      <w:numFmt w:val="decimal"/>
      <w:lvlText w:val="%2."/>
      <w:lvlJc w:val="left"/>
      <w:pPr>
        <w:tabs>
          <w:tab w:val="left" w:pos="960"/>
        </w:tabs>
        <w:ind w:left="960" w:hanging="54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6BAAF20"/>
    <w:multiLevelType w:val="singleLevel"/>
    <w:tmpl w:val="66BAAF20"/>
    <w:lvl w:ilvl="0" w:tentative="0">
      <w:start w:val="1"/>
      <w:numFmt w:val="bullet"/>
      <w:lvlText w:val=""/>
      <w:lvlJc w:val="left"/>
      <w:pPr>
        <w:ind w:left="420" w:hanging="420"/>
      </w:pPr>
      <w:rPr>
        <w:rFonts w:hint="default" w:ascii="Wingdings" w:hAnsi="Wingdings"/>
      </w:rPr>
    </w:lvl>
  </w:abstractNum>
  <w:abstractNum w:abstractNumId="33">
    <w:nsid w:val="70DA1E4A"/>
    <w:multiLevelType w:val="multilevel"/>
    <w:tmpl w:val="70DA1E4A"/>
    <w:lvl w:ilvl="0" w:tentative="0">
      <w:start w:val="1"/>
      <w:numFmt w:val="bullet"/>
      <w:pStyle w:val="1002"/>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72200912"/>
    <w:multiLevelType w:val="multilevel"/>
    <w:tmpl w:val="72200912"/>
    <w:lvl w:ilvl="0" w:tentative="0">
      <w:start w:val="1"/>
      <w:numFmt w:val="lowerRoman"/>
      <w:pStyle w:val="958"/>
      <w:lvlText w:val="(%1)"/>
      <w:lvlJc w:val="left"/>
      <w:pPr>
        <w:tabs>
          <w:tab w:val="left" w:pos="2722"/>
        </w:tabs>
        <w:ind w:left="2722" w:hanging="567"/>
      </w:pPr>
      <w:rPr>
        <w:rFonts w:hint="eastAsia" w:ascii="Times New Roman" w:hAnsi="Times New Roman"/>
        <w:b w:val="0"/>
        <w:bCs w:val="0"/>
        <w:i w:val="0"/>
        <w:iCs w:val="0"/>
        <w:caps w:val="0"/>
        <w:smallCaps w:val="0"/>
        <w:strike w:val="0"/>
        <w:dstrike w:val="0"/>
        <w:outline w:val="0"/>
        <w:shadow w:val="0"/>
        <w:emboss w:val="0"/>
        <w:imprint w:val="0"/>
        <w:snapToGrid w:val="0"/>
        <w:vanish w:val="0"/>
        <w:spacing w:val="0"/>
        <w:kern w:val="0"/>
        <w:position w:val="0"/>
        <w:u w:val="none"/>
        <w:vertAlign w:val="baseline"/>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5">
    <w:nsid w:val="74763525"/>
    <w:multiLevelType w:val="multilevel"/>
    <w:tmpl w:val="7476352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7755585C"/>
    <w:multiLevelType w:val="multilevel"/>
    <w:tmpl w:val="7755585C"/>
    <w:lvl w:ilvl="0" w:tentative="0">
      <w:start w:val="1"/>
      <w:numFmt w:val="bullet"/>
      <w:pStyle w:val="1531"/>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7C686644"/>
    <w:multiLevelType w:val="multilevel"/>
    <w:tmpl w:val="7C686644"/>
    <w:lvl w:ilvl="0" w:tentative="0">
      <w:start w:val="1"/>
      <w:numFmt w:val="japaneseCounting"/>
      <w:lvlText w:val="第%1章"/>
      <w:lvlJc w:val="left"/>
      <w:pPr>
        <w:tabs>
          <w:tab w:val="left" w:pos="425"/>
        </w:tabs>
        <w:ind w:left="425" w:hanging="425"/>
      </w:pPr>
      <w:rPr>
        <w:rFonts w:ascii="Times New Roman" w:hAnsi="Times New Roman" w:eastAsia="Times New Roman" w:cs="Times New Roman"/>
        <w:sz w:val="44"/>
        <w:szCs w:val="44"/>
      </w:rPr>
    </w:lvl>
    <w:lvl w:ilvl="1" w:tentative="0">
      <w:start w:val="1"/>
      <w:numFmt w:val="none"/>
      <w:pStyle w:val="1575"/>
      <w:lvlText w:val="第一节"/>
      <w:lvlJc w:val="center"/>
      <w:pPr>
        <w:tabs>
          <w:tab w:val="left" w:pos="132"/>
        </w:tabs>
        <w:ind w:left="132" w:hanging="132"/>
      </w:pPr>
      <w:rPr>
        <w:rFonts w:hint="eastAsia"/>
        <w:sz w:val="24"/>
        <w:szCs w:val="24"/>
      </w:rPr>
    </w:lvl>
    <w:lvl w:ilvl="2" w:tentative="0">
      <w:start w:val="1"/>
      <w:numFmt w:val="decimal"/>
      <w:lvlText w:val="%1.%2.%3"/>
      <w:lvlJc w:val="left"/>
      <w:pPr>
        <w:tabs>
          <w:tab w:val="left" w:pos="709"/>
        </w:tabs>
        <w:ind w:left="709" w:hanging="709"/>
      </w:pPr>
      <w:rPr>
        <w:rFonts w:hint="eastAsia" w:eastAsia="宋体"/>
        <w:sz w:val="24"/>
        <w:szCs w:val="24"/>
      </w:rPr>
    </w:lvl>
    <w:lvl w:ilvl="3" w:tentative="0">
      <w:start w:val="1"/>
      <w:numFmt w:val="decimal"/>
      <w:lvlText w:val="%1.%2.%3.%4"/>
      <w:lvlJc w:val="left"/>
      <w:pPr>
        <w:tabs>
          <w:tab w:val="left" w:pos="851"/>
        </w:tabs>
        <w:ind w:left="851" w:hanging="851"/>
      </w:pPr>
      <w:rPr>
        <w:rFonts w:hint="eastAsia" w:eastAsia="宋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7CDB3811"/>
    <w:multiLevelType w:val="multilevel"/>
    <w:tmpl w:val="7CDB3811"/>
    <w:lvl w:ilvl="0" w:tentative="0">
      <w:start w:val="1"/>
      <w:numFmt w:val="bullet"/>
      <w:pStyle w:val="1460"/>
      <w:lvlText w:val=""/>
      <w:lvlJc w:val="left"/>
      <w:pPr>
        <w:tabs>
          <w:tab w:val="left" w:pos="2896"/>
        </w:tabs>
        <w:ind w:left="2896" w:hanging="174"/>
      </w:pPr>
      <w:rPr>
        <w:rFonts w:hint="default" w:ascii="Wingdings" w:hAnsi="Wingdings"/>
      </w:rPr>
    </w:lvl>
    <w:lvl w:ilvl="1" w:tentative="0">
      <w:start w:val="1"/>
      <w:numFmt w:val="bullet"/>
      <w:lvlText w:val=""/>
      <w:lvlJc w:val="left"/>
      <w:pPr>
        <w:tabs>
          <w:tab w:val="left" w:pos="3316"/>
        </w:tabs>
        <w:ind w:left="3316" w:hanging="420"/>
      </w:pPr>
      <w:rPr>
        <w:rFonts w:hint="default" w:ascii="Wingdings" w:hAnsi="Wingdings"/>
      </w:rPr>
    </w:lvl>
    <w:lvl w:ilvl="2" w:tentative="0">
      <w:start w:val="1"/>
      <w:numFmt w:val="bullet"/>
      <w:lvlText w:val=""/>
      <w:lvlJc w:val="left"/>
      <w:pPr>
        <w:tabs>
          <w:tab w:val="left" w:pos="3736"/>
        </w:tabs>
        <w:ind w:left="3736" w:hanging="420"/>
      </w:pPr>
      <w:rPr>
        <w:rFonts w:hint="default" w:ascii="Wingdings" w:hAnsi="Wingdings"/>
      </w:rPr>
    </w:lvl>
    <w:lvl w:ilvl="3" w:tentative="0">
      <w:start w:val="1"/>
      <w:numFmt w:val="bullet"/>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39">
    <w:nsid w:val="7F0E220D"/>
    <w:multiLevelType w:val="multilevel"/>
    <w:tmpl w:val="7F0E220D"/>
    <w:lvl w:ilvl="0" w:tentative="0">
      <w:start w:val="1"/>
      <w:numFmt w:val="decimal"/>
      <w:lvlText w:val="（%1）"/>
      <w:lvlJc w:val="left"/>
      <w:pPr>
        <w:ind w:left="1315" w:hanging="420"/>
      </w:pPr>
      <w:rPr>
        <w:rFonts w:hint="eastAsia"/>
      </w:rPr>
    </w:lvl>
    <w:lvl w:ilvl="1" w:tentative="0">
      <w:start w:val="1"/>
      <w:numFmt w:val="bullet"/>
      <w:lvlText w:val=""/>
      <w:lvlJc w:val="left"/>
      <w:pPr>
        <w:ind w:left="1315" w:hanging="420"/>
      </w:pPr>
      <w:rPr>
        <w:rFonts w:hint="default" w:ascii="Wingdings" w:hAnsi="Wingdings"/>
      </w:rPr>
    </w:lvl>
    <w:lvl w:ilvl="2" w:tentative="0">
      <w:start w:val="1"/>
      <w:numFmt w:val="decimal"/>
      <w:lvlText w:val="%3、"/>
      <w:lvlJc w:val="left"/>
      <w:pPr>
        <w:ind w:left="1675" w:hanging="360"/>
      </w:pPr>
      <w:rPr>
        <w:rFonts w:hint="default"/>
      </w:rPr>
    </w:lvl>
    <w:lvl w:ilvl="3" w:tentative="0">
      <w:start w:val="1"/>
      <w:numFmt w:val="decimal"/>
      <w:lvlText w:val="%4．"/>
      <w:lvlJc w:val="left"/>
      <w:pPr>
        <w:ind w:left="2095" w:hanging="360"/>
      </w:pPr>
      <w:rPr>
        <w:rFonts w:hint="default"/>
      </w:rPr>
    </w:lvl>
    <w:lvl w:ilvl="4" w:tentative="0">
      <w:start w:val="1"/>
      <w:numFmt w:val="bullet"/>
      <w:lvlText w:val=""/>
      <w:lvlJc w:val="left"/>
      <w:pPr>
        <w:ind w:left="2575" w:hanging="420"/>
      </w:pPr>
      <w:rPr>
        <w:rFonts w:hint="default" w:ascii="Wingdings" w:hAnsi="Wingdings"/>
      </w:rPr>
    </w:lvl>
    <w:lvl w:ilvl="5" w:tentative="0">
      <w:start w:val="1"/>
      <w:numFmt w:val="bullet"/>
      <w:lvlText w:val=""/>
      <w:lvlJc w:val="left"/>
      <w:pPr>
        <w:ind w:left="2995" w:hanging="420"/>
      </w:pPr>
      <w:rPr>
        <w:rFonts w:hint="default" w:ascii="Wingdings" w:hAnsi="Wingdings"/>
      </w:rPr>
    </w:lvl>
    <w:lvl w:ilvl="6" w:tentative="0">
      <w:start w:val="1"/>
      <w:numFmt w:val="bullet"/>
      <w:lvlText w:val=""/>
      <w:lvlJc w:val="left"/>
      <w:pPr>
        <w:ind w:left="3415" w:hanging="420"/>
      </w:pPr>
      <w:rPr>
        <w:rFonts w:hint="default" w:ascii="Wingdings" w:hAnsi="Wingdings"/>
      </w:rPr>
    </w:lvl>
    <w:lvl w:ilvl="7" w:tentative="0">
      <w:start w:val="1"/>
      <w:numFmt w:val="bullet"/>
      <w:lvlText w:val=""/>
      <w:lvlJc w:val="left"/>
      <w:pPr>
        <w:ind w:left="3835" w:hanging="420"/>
      </w:pPr>
      <w:rPr>
        <w:rFonts w:hint="default" w:ascii="Wingdings" w:hAnsi="Wingdings"/>
      </w:rPr>
    </w:lvl>
    <w:lvl w:ilvl="8" w:tentative="0">
      <w:start w:val="1"/>
      <w:numFmt w:val="bullet"/>
      <w:lvlText w:val=""/>
      <w:lvlJc w:val="left"/>
      <w:pPr>
        <w:ind w:left="4255" w:hanging="420"/>
      </w:pPr>
      <w:rPr>
        <w:rFonts w:hint="default" w:ascii="Wingdings" w:hAnsi="Wingdings"/>
      </w:rPr>
    </w:lvl>
  </w:abstractNum>
  <w:num w:numId="1">
    <w:abstractNumId w:val="15"/>
  </w:num>
  <w:num w:numId="2">
    <w:abstractNumId w:val="6"/>
  </w:num>
  <w:num w:numId="3">
    <w:abstractNumId w:val="26"/>
  </w:num>
  <w:num w:numId="4">
    <w:abstractNumId w:val="16"/>
  </w:num>
  <w:num w:numId="5">
    <w:abstractNumId w:val="34"/>
  </w:num>
  <w:num w:numId="6">
    <w:abstractNumId w:val="27"/>
  </w:num>
  <w:num w:numId="7">
    <w:abstractNumId w:val="33"/>
  </w:num>
  <w:num w:numId="8">
    <w:abstractNumId w:val="9"/>
  </w:num>
  <w:num w:numId="9">
    <w:abstractNumId w:val="29"/>
  </w:num>
  <w:num w:numId="10">
    <w:abstractNumId w:val="31"/>
  </w:num>
  <w:num w:numId="11">
    <w:abstractNumId w:val="38"/>
  </w:num>
  <w:num w:numId="12">
    <w:abstractNumId w:val="22"/>
  </w:num>
  <w:num w:numId="13">
    <w:abstractNumId w:val="14"/>
  </w:num>
  <w:num w:numId="14">
    <w:abstractNumId w:val="18"/>
  </w:num>
  <w:num w:numId="15">
    <w:abstractNumId w:val="21"/>
  </w:num>
  <w:num w:numId="16">
    <w:abstractNumId w:val="7"/>
  </w:num>
  <w:num w:numId="17">
    <w:abstractNumId w:val="36"/>
  </w:num>
  <w:num w:numId="18">
    <w:abstractNumId w:val="5"/>
  </w:num>
  <w:num w:numId="19">
    <w:abstractNumId w:val="10"/>
  </w:num>
  <w:num w:numId="20">
    <w:abstractNumId w:val="30"/>
  </w:num>
  <w:num w:numId="21">
    <w:abstractNumId w:val="37"/>
  </w:num>
  <w:num w:numId="22">
    <w:abstractNumId w:val="19"/>
  </w:num>
  <w:num w:numId="23">
    <w:abstractNumId w:val="25"/>
  </w:num>
  <w:num w:numId="24">
    <w:abstractNumId w:val="8"/>
  </w:num>
  <w:num w:numId="25">
    <w:abstractNumId w:val="23"/>
  </w:num>
  <w:num w:numId="26">
    <w:abstractNumId w:val="13"/>
  </w:num>
  <w:num w:numId="27">
    <w:abstractNumId w:val="28"/>
  </w:num>
  <w:num w:numId="28">
    <w:abstractNumId w:val="4"/>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2"/>
  </w:num>
  <w:num w:numId="33">
    <w:abstractNumId w:val="17"/>
  </w:num>
  <w:num w:numId="34">
    <w:abstractNumId w:val="2"/>
  </w:num>
  <w:num w:numId="35">
    <w:abstractNumId w:val="0"/>
  </w:num>
  <w:num w:numId="36">
    <w:abstractNumId w:val="11"/>
  </w:num>
  <w:num w:numId="37">
    <w:abstractNumId w:val="3"/>
  </w:num>
  <w:num w:numId="38">
    <w:abstractNumId w:val="12"/>
  </w:num>
  <w:num w:numId="39">
    <w:abstractNumId w:val="1"/>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52563B"/>
    <w:rsid w:val="00040AD2"/>
    <w:rsid w:val="00051B57"/>
    <w:rsid w:val="00052A18"/>
    <w:rsid w:val="00052A57"/>
    <w:rsid w:val="000830E3"/>
    <w:rsid w:val="000C51AD"/>
    <w:rsid w:val="000C7058"/>
    <w:rsid w:val="000E41E7"/>
    <w:rsid w:val="00132D75"/>
    <w:rsid w:val="00150248"/>
    <w:rsid w:val="00174594"/>
    <w:rsid w:val="001825B1"/>
    <w:rsid w:val="001857CC"/>
    <w:rsid w:val="001A6080"/>
    <w:rsid w:val="001D29F4"/>
    <w:rsid w:val="001F49E1"/>
    <w:rsid w:val="00241F9F"/>
    <w:rsid w:val="00290914"/>
    <w:rsid w:val="00291EA8"/>
    <w:rsid w:val="002D4A6A"/>
    <w:rsid w:val="002D5579"/>
    <w:rsid w:val="00342F20"/>
    <w:rsid w:val="00344F0B"/>
    <w:rsid w:val="00381822"/>
    <w:rsid w:val="00384FE1"/>
    <w:rsid w:val="00392890"/>
    <w:rsid w:val="003C1B42"/>
    <w:rsid w:val="003C228A"/>
    <w:rsid w:val="003F04C9"/>
    <w:rsid w:val="00404A6C"/>
    <w:rsid w:val="00481508"/>
    <w:rsid w:val="00494455"/>
    <w:rsid w:val="00494925"/>
    <w:rsid w:val="004B26B8"/>
    <w:rsid w:val="004C7475"/>
    <w:rsid w:val="004E3946"/>
    <w:rsid w:val="0052563B"/>
    <w:rsid w:val="005341F5"/>
    <w:rsid w:val="005C52D1"/>
    <w:rsid w:val="005C7AE1"/>
    <w:rsid w:val="006755D9"/>
    <w:rsid w:val="0070347C"/>
    <w:rsid w:val="00715645"/>
    <w:rsid w:val="00721A87"/>
    <w:rsid w:val="00740BBB"/>
    <w:rsid w:val="007452FB"/>
    <w:rsid w:val="007659E1"/>
    <w:rsid w:val="0077087F"/>
    <w:rsid w:val="007A2721"/>
    <w:rsid w:val="007A3B19"/>
    <w:rsid w:val="007B176D"/>
    <w:rsid w:val="007E2214"/>
    <w:rsid w:val="007E4B10"/>
    <w:rsid w:val="00825686"/>
    <w:rsid w:val="00847399"/>
    <w:rsid w:val="00852683"/>
    <w:rsid w:val="0085483A"/>
    <w:rsid w:val="00864351"/>
    <w:rsid w:val="0089166F"/>
    <w:rsid w:val="008A5D92"/>
    <w:rsid w:val="008B41DA"/>
    <w:rsid w:val="008D6C1F"/>
    <w:rsid w:val="008E22CC"/>
    <w:rsid w:val="008F7433"/>
    <w:rsid w:val="008F7D67"/>
    <w:rsid w:val="00905044"/>
    <w:rsid w:val="00914094"/>
    <w:rsid w:val="0098715C"/>
    <w:rsid w:val="00A0546E"/>
    <w:rsid w:val="00A35ECD"/>
    <w:rsid w:val="00A43D5D"/>
    <w:rsid w:val="00A650C5"/>
    <w:rsid w:val="00A711FE"/>
    <w:rsid w:val="00AE2A2E"/>
    <w:rsid w:val="00AF4D9D"/>
    <w:rsid w:val="00B26A57"/>
    <w:rsid w:val="00B44953"/>
    <w:rsid w:val="00B515AF"/>
    <w:rsid w:val="00BC5AA8"/>
    <w:rsid w:val="00BE4731"/>
    <w:rsid w:val="00BF1D77"/>
    <w:rsid w:val="00C05563"/>
    <w:rsid w:val="00C16BC3"/>
    <w:rsid w:val="00C2703E"/>
    <w:rsid w:val="00C57C91"/>
    <w:rsid w:val="00C928C8"/>
    <w:rsid w:val="00CB4045"/>
    <w:rsid w:val="00CF3D61"/>
    <w:rsid w:val="00D352F7"/>
    <w:rsid w:val="00D37687"/>
    <w:rsid w:val="00D403BF"/>
    <w:rsid w:val="00DD5C00"/>
    <w:rsid w:val="00DD6BAC"/>
    <w:rsid w:val="00DE2E2E"/>
    <w:rsid w:val="00E35E80"/>
    <w:rsid w:val="00E4200A"/>
    <w:rsid w:val="00E455A5"/>
    <w:rsid w:val="00E60245"/>
    <w:rsid w:val="00E67792"/>
    <w:rsid w:val="00E75684"/>
    <w:rsid w:val="00E87815"/>
    <w:rsid w:val="00E93CAF"/>
    <w:rsid w:val="00EB738C"/>
    <w:rsid w:val="00EB73A9"/>
    <w:rsid w:val="00EC2826"/>
    <w:rsid w:val="00F25136"/>
    <w:rsid w:val="00F64B76"/>
    <w:rsid w:val="00F6669E"/>
    <w:rsid w:val="00F81B02"/>
    <w:rsid w:val="00FB34FC"/>
    <w:rsid w:val="00FB62F3"/>
    <w:rsid w:val="0131005C"/>
    <w:rsid w:val="01825879"/>
    <w:rsid w:val="025B4A5B"/>
    <w:rsid w:val="02BD7FD3"/>
    <w:rsid w:val="03971F14"/>
    <w:rsid w:val="044A3716"/>
    <w:rsid w:val="04E76D72"/>
    <w:rsid w:val="05526982"/>
    <w:rsid w:val="058F264D"/>
    <w:rsid w:val="0671705A"/>
    <w:rsid w:val="067A7CBC"/>
    <w:rsid w:val="06D3378B"/>
    <w:rsid w:val="072365A6"/>
    <w:rsid w:val="074D3DA4"/>
    <w:rsid w:val="07552F18"/>
    <w:rsid w:val="07EC4BEA"/>
    <w:rsid w:val="086F1377"/>
    <w:rsid w:val="0A6C2012"/>
    <w:rsid w:val="0A77618A"/>
    <w:rsid w:val="0A9512E4"/>
    <w:rsid w:val="0AB24B18"/>
    <w:rsid w:val="0ABB4881"/>
    <w:rsid w:val="0ACD76E7"/>
    <w:rsid w:val="0B8E7D02"/>
    <w:rsid w:val="0BCA5242"/>
    <w:rsid w:val="0BDF3E75"/>
    <w:rsid w:val="0D500D75"/>
    <w:rsid w:val="0DE85E53"/>
    <w:rsid w:val="0F732D0D"/>
    <w:rsid w:val="0F8427ED"/>
    <w:rsid w:val="0FBA737B"/>
    <w:rsid w:val="0FC9156D"/>
    <w:rsid w:val="0FFE2EC2"/>
    <w:rsid w:val="109C76E4"/>
    <w:rsid w:val="11491445"/>
    <w:rsid w:val="11BB562D"/>
    <w:rsid w:val="12E90A8D"/>
    <w:rsid w:val="13B31E47"/>
    <w:rsid w:val="13BB58BC"/>
    <w:rsid w:val="13D03611"/>
    <w:rsid w:val="145853B5"/>
    <w:rsid w:val="16770822"/>
    <w:rsid w:val="177A3AFE"/>
    <w:rsid w:val="18253800"/>
    <w:rsid w:val="18860AD8"/>
    <w:rsid w:val="190F698A"/>
    <w:rsid w:val="19324427"/>
    <w:rsid w:val="19F43FC7"/>
    <w:rsid w:val="1A0A53A3"/>
    <w:rsid w:val="1B56390D"/>
    <w:rsid w:val="1BA8388D"/>
    <w:rsid w:val="1BBB0703"/>
    <w:rsid w:val="1C844F99"/>
    <w:rsid w:val="1CFC1CBF"/>
    <w:rsid w:val="1D656F39"/>
    <w:rsid w:val="1E4F7829"/>
    <w:rsid w:val="1E537319"/>
    <w:rsid w:val="1E9A5EED"/>
    <w:rsid w:val="1F11433B"/>
    <w:rsid w:val="205B17CA"/>
    <w:rsid w:val="206A0DCD"/>
    <w:rsid w:val="2080016D"/>
    <w:rsid w:val="2113295F"/>
    <w:rsid w:val="221548E5"/>
    <w:rsid w:val="22F43DB4"/>
    <w:rsid w:val="23FC3FAF"/>
    <w:rsid w:val="24466FD8"/>
    <w:rsid w:val="24741D97"/>
    <w:rsid w:val="253634F0"/>
    <w:rsid w:val="254F229A"/>
    <w:rsid w:val="25E22D30"/>
    <w:rsid w:val="26E15296"/>
    <w:rsid w:val="27DD0689"/>
    <w:rsid w:val="28640799"/>
    <w:rsid w:val="29730F1A"/>
    <w:rsid w:val="2A021BF3"/>
    <w:rsid w:val="2B8330C1"/>
    <w:rsid w:val="2BFB1566"/>
    <w:rsid w:val="2C622E1D"/>
    <w:rsid w:val="2D2353EC"/>
    <w:rsid w:val="2D3447B9"/>
    <w:rsid w:val="2D356E44"/>
    <w:rsid w:val="2E1D6FFC"/>
    <w:rsid w:val="2E854EDF"/>
    <w:rsid w:val="2EB45BB2"/>
    <w:rsid w:val="311B0F8E"/>
    <w:rsid w:val="335D7E9A"/>
    <w:rsid w:val="36637EBD"/>
    <w:rsid w:val="36E21A3B"/>
    <w:rsid w:val="382C2419"/>
    <w:rsid w:val="386F26CD"/>
    <w:rsid w:val="38A53AAA"/>
    <w:rsid w:val="3946459B"/>
    <w:rsid w:val="394925BC"/>
    <w:rsid w:val="395064D7"/>
    <w:rsid w:val="3A661D2A"/>
    <w:rsid w:val="3AAC1E33"/>
    <w:rsid w:val="3B970E4B"/>
    <w:rsid w:val="3BA23236"/>
    <w:rsid w:val="3C067F9F"/>
    <w:rsid w:val="3D3B124C"/>
    <w:rsid w:val="3D75696C"/>
    <w:rsid w:val="3E41746C"/>
    <w:rsid w:val="3E6964DB"/>
    <w:rsid w:val="404B17A6"/>
    <w:rsid w:val="40894F57"/>
    <w:rsid w:val="41566655"/>
    <w:rsid w:val="415723CD"/>
    <w:rsid w:val="418F360E"/>
    <w:rsid w:val="41EA63A4"/>
    <w:rsid w:val="42293C97"/>
    <w:rsid w:val="42656869"/>
    <w:rsid w:val="42B11432"/>
    <w:rsid w:val="435C016E"/>
    <w:rsid w:val="456F767C"/>
    <w:rsid w:val="465B470D"/>
    <w:rsid w:val="46B61944"/>
    <w:rsid w:val="474A7923"/>
    <w:rsid w:val="47FB3DA1"/>
    <w:rsid w:val="49143FE3"/>
    <w:rsid w:val="49FA5FEB"/>
    <w:rsid w:val="4A593E14"/>
    <w:rsid w:val="4A8A55C1"/>
    <w:rsid w:val="4A9D3D65"/>
    <w:rsid w:val="4BE17A29"/>
    <w:rsid w:val="4C806C7C"/>
    <w:rsid w:val="4D317F76"/>
    <w:rsid w:val="4D611E71"/>
    <w:rsid w:val="4DC45F1D"/>
    <w:rsid w:val="4EB606B6"/>
    <w:rsid w:val="4F4C553B"/>
    <w:rsid w:val="50D92DFE"/>
    <w:rsid w:val="52E6357E"/>
    <w:rsid w:val="52F043EF"/>
    <w:rsid w:val="532A7941"/>
    <w:rsid w:val="53E936EE"/>
    <w:rsid w:val="53EC109A"/>
    <w:rsid w:val="53F87A3F"/>
    <w:rsid w:val="544D3F87"/>
    <w:rsid w:val="54C53DC5"/>
    <w:rsid w:val="55202DAA"/>
    <w:rsid w:val="55E0078B"/>
    <w:rsid w:val="565F5B54"/>
    <w:rsid w:val="56781D8C"/>
    <w:rsid w:val="569241E4"/>
    <w:rsid w:val="56AD37EA"/>
    <w:rsid w:val="56D06A51"/>
    <w:rsid w:val="57251F40"/>
    <w:rsid w:val="5732516C"/>
    <w:rsid w:val="579E445A"/>
    <w:rsid w:val="57A51C79"/>
    <w:rsid w:val="58EC5313"/>
    <w:rsid w:val="58F307D5"/>
    <w:rsid w:val="59C97EB4"/>
    <w:rsid w:val="59D72285"/>
    <w:rsid w:val="5A8E6A07"/>
    <w:rsid w:val="5B242EC8"/>
    <w:rsid w:val="5B2555BE"/>
    <w:rsid w:val="5B424CB4"/>
    <w:rsid w:val="5BD766E1"/>
    <w:rsid w:val="5C052B63"/>
    <w:rsid w:val="5C767840"/>
    <w:rsid w:val="5C800967"/>
    <w:rsid w:val="5D883BE2"/>
    <w:rsid w:val="5E256035"/>
    <w:rsid w:val="5ED63CF9"/>
    <w:rsid w:val="5F5226F9"/>
    <w:rsid w:val="606354C4"/>
    <w:rsid w:val="616B1851"/>
    <w:rsid w:val="61B50D1E"/>
    <w:rsid w:val="61F110E5"/>
    <w:rsid w:val="62377985"/>
    <w:rsid w:val="62426A55"/>
    <w:rsid w:val="62774225"/>
    <w:rsid w:val="62944DD7"/>
    <w:rsid w:val="63D4314D"/>
    <w:rsid w:val="654F4B2D"/>
    <w:rsid w:val="65787DD8"/>
    <w:rsid w:val="65E73470"/>
    <w:rsid w:val="65FC6F1B"/>
    <w:rsid w:val="66D659BE"/>
    <w:rsid w:val="67254250"/>
    <w:rsid w:val="679810A5"/>
    <w:rsid w:val="67FF35A1"/>
    <w:rsid w:val="685A261F"/>
    <w:rsid w:val="68DF1E74"/>
    <w:rsid w:val="6AD11508"/>
    <w:rsid w:val="6ADA5CD0"/>
    <w:rsid w:val="6BF32B6E"/>
    <w:rsid w:val="6CC462B9"/>
    <w:rsid w:val="6CD2124C"/>
    <w:rsid w:val="6D050BCA"/>
    <w:rsid w:val="6DE72678"/>
    <w:rsid w:val="6E2C05BA"/>
    <w:rsid w:val="6E9053E3"/>
    <w:rsid w:val="6EB639D5"/>
    <w:rsid w:val="6EED5F9B"/>
    <w:rsid w:val="703B779E"/>
    <w:rsid w:val="708A195D"/>
    <w:rsid w:val="70C96594"/>
    <w:rsid w:val="738119BF"/>
    <w:rsid w:val="750A2CD7"/>
    <w:rsid w:val="75490267"/>
    <w:rsid w:val="75E63744"/>
    <w:rsid w:val="779C230C"/>
    <w:rsid w:val="79895948"/>
    <w:rsid w:val="7AE85C1D"/>
    <w:rsid w:val="7B37369D"/>
    <w:rsid w:val="7B470B76"/>
    <w:rsid w:val="7B823FE2"/>
    <w:rsid w:val="7B863982"/>
    <w:rsid w:val="7D805F39"/>
    <w:rsid w:val="7F054C3B"/>
    <w:rsid w:val="7F43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semiHidden="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2"/>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3"/>
    <w:qFormat/>
    <w:uiPriority w:val="0"/>
    <w:pPr>
      <w:keepNext/>
      <w:keepLines/>
      <w:numPr>
        <w:ilvl w:val="1"/>
        <w:numId w:val="1"/>
      </w:numPr>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114"/>
    <w:qFormat/>
    <w:uiPriority w:val="0"/>
    <w:pPr>
      <w:spacing w:line="440" w:lineRule="atLeast"/>
      <w:outlineLvl w:val="2"/>
    </w:pPr>
    <w:rPr>
      <w:rFonts w:ascii="Times New Roman" w:hAnsi="Times New Roman" w:eastAsia="宋体" w:cs="Times New Roman"/>
      <w:b/>
      <w:bCs/>
      <w:sz w:val="32"/>
      <w:szCs w:val="32"/>
    </w:rPr>
  </w:style>
  <w:style w:type="paragraph" w:styleId="6">
    <w:name w:val="heading 4"/>
    <w:basedOn w:val="1"/>
    <w:next w:val="1"/>
    <w:link w:val="115"/>
    <w:qFormat/>
    <w:uiPriority w:val="0"/>
    <w:pPr>
      <w:keepNext/>
      <w:keepLines/>
      <w:spacing w:before="280" w:after="290" w:line="374" w:lineRule="auto"/>
      <w:outlineLvl w:val="3"/>
    </w:pPr>
    <w:rPr>
      <w:rFonts w:ascii="Cambria" w:hAnsi="Cambria" w:eastAsia="宋体" w:cs="Times New Roman"/>
      <w:b/>
      <w:bCs/>
      <w:sz w:val="28"/>
      <w:szCs w:val="28"/>
    </w:rPr>
  </w:style>
  <w:style w:type="paragraph" w:styleId="7">
    <w:name w:val="heading 5"/>
    <w:basedOn w:val="1"/>
    <w:next w:val="1"/>
    <w:link w:val="116"/>
    <w:qFormat/>
    <w:uiPriority w:val="0"/>
    <w:pPr>
      <w:keepNext/>
      <w:keepLines/>
      <w:spacing w:before="280" w:after="290" w:line="374" w:lineRule="auto"/>
      <w:outlineLvl w:val="4"/>
    </w:pPr>
    <w:rPr>
      <w:rFonts w:ascii="Times New Roman" w:hAnsi="Times New Roman" w:eastAsia="宋体" w:cs="Times New Roman"/>
      <w:b/>
      <w:bCs/>
      <w:sz w:val="28"/>
      <w:szCs w:val="28"/>
    </w:rPr>
  </w:style>
  <w:style w:type="paragraph" w:styleId="8">
    <w:name w:val="heading 6"/>
    <w:basedOn w:val="1"/>
    <w:next w:val="1"/>
    <w:link w:val="122"/>
    <w:qFormat/>
    <w:uiPriority w:val="0"/>
    <w:pPr>
      <w:keepNext/>
      <w:keepLines/>
      <w:snapToGrid w:val="0"/>
      <w:spacing w:before="240" w:after="64" w:line="317" w:lineRule="auto"/>
      <w:ind w:firstLine="510"/>
      <w:outlineLvl w:val="5"/>
    </w:pPr>
    <w:rPr>
      <w:rFonts w:ascii="Arial" w:hAnsi="Arial" w:eastAsia="黑体" w:cs="Times New Roman"/>
      <w:b/>
      <w:sz w:val="24"/>
      <w:szCs w:val="20"/>
    </w:rPr>
  </w:style>
  <w:style w:type="paragraph" w:styleId="9">
    <w:name w:val="heading 7"/>
    <w:basedOn w:val="1"/>
    <w:next w:val="1"/>
    <w:link w:val="118"/>
    <w:qFormat/>
    <w:uiPriority w:val="0"/>
    <w:pPr>
      <w:keepNext/>
      <w:keepLines/>
      <w:adjustRightInd w:val="0"/>
      <w:spacing w:before="240" w:after="64" w:line="320" w:lineRule="atLeast"/>
      <w:ind w:left="2975" w:hanging="425"/>
      <w:textAlignment w:val="baseline"/>
      <w:outlineLvl w:val="6"/>
    </w:pPr>
    <w:rPr>
      <w:rFonts w:ascii="Times New Roman" w:hAnsi="Times New Roman" w:eastAsia="宋体" w:cs="Times New Roman"/>
      <w:b/>
      <w:bCs/>
      <w:sz w:val="24"/>
      <w:szCs w:val="24"/>
    </w:rPr>
  </w:style>
  <w:style w:type="paragraph" w:styleId="10">
    <w:name w:val="heading 8"/>
    <w:basedOn w:val="1"/>
    <w:next w:val="1"/>
    <w:link w:val="119"/>
    <w:qFormat/>
    <w:uiPriority w:val="0"/>
    <w:pPr>
      <w:keepNext/>
      <w:keepLines/>
      <w:adjustRightInd w:val="0"/>
      <w:spacing w:before="240" w:after="64" w:line="320" w:lineRule="atLeast"/>
      <w:ind w:left="3400" w:hanging="425"/>
      <w:textAlignment w:val="baseline"/>
      <w:outlineLvl w:val="7"/>
    </w:pPr>
    <w:rPr>
      <w:rFonts w:ascii="Arial" w:hAnsi="Arial" w:eastAsia="黑体" w:cs="Times New Roman"/>
      <w:kern w:val="0"/>
      <w:sz w:val="24"/>
      <w:szCs w:val="20"/>
    </w:rPr>
  </w:style>
  <w:style w:type="paragraph" w:styleId="11">
    <w:name w:val="heading 9"/>
    <w:basedOn w:val="1"/>
    <w:next w:val="1"/>
    <w:link w:val="120"/>
    <w:qFormat/>
    <w:uiPriority w:val="0"/>
    <w:pPr>
      <w:keepNext/>
      <w:keepLines/>
      <w:adjustRightInd w:val="0"/>
      <w:spacing w:before="240" w:after="64" w:line="320" w:lineRule="atLeast"/>
      <w:ind w:left="3825" w:hanging="425"/>
      <w:textAlignment w:val="baseline"/>
      <w:outlineLvl w:val="8"/>
    </w:pPr>
    <w:rPr>
      <w:rFonts w:ascii="Arial" w:hAnsi="Arial" w:eastAsia="黑体" w:cs="Times New Roman"/>
      <w:kern w:val="0"/>
      <w:szCs w:val="20"/>
    </w:rPr>
  </w:style>
  <w:style w:type="character" w:default="1" w:styleId="95">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acro"/>
    <w:link w:val="52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left="709" w:hanging="482"/>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jc w:val="left"/>
    </w:pPr>
    <w:rPr>
      <w:rFonts w:ascii="Times New Roman" w:hAnsi="Times New Roman" w:eastAsia="宋体" w:cs="Times New Roman"/>
      <w:szCs w:val="20"/>
    </w:rPr>
  </w:style>
  <w:style w:type="paragraph" w:styleId="13">
    <w:name w:val="toc 7"/>
    <w:basedOn w:val="1"/>
    <w:next w:val="1"/>
    <w:qFormat/>
    <w:uiPriority w:val="39"/>
    <w:pPr>
      <w:ind w:left="2520" w:leftChars="1200"/>
    </w:pPr>
    <w:rPr>
      <w:rFonts w:ascii="Times New Roman" w:hAnsi="Times New Roman" w:eastAsia="宋体" w:cs="Times New Roman"/>
      <w:szCs w:val="24"/>
    </w:rPr>
  </w:style>
  <w:style w:type="paragraph" w:styleId="14">
    <w:name w:val="List Number 2"/>
    <w:basedOn w:val="1"/>
    <w:qFormat/>
    <w:uiPriority w:val="0"/>
    <w:pPr>
      <w:tabs>
        <w:tab w:val="left" w:pos="780"/>
      </w:tabs>
      <w:ind w:left="780" w:leftChars="200" w:hanging="360"/>
      <w:jc w:val="left"/>
    </w:pPr>
    <w:rPr>
      <w:rFonts w:ascii="Times New Roman" w:hAnsi="Times New Roman" w:eastAsia="宋体" w:cs="Times New Roman"/>
      <w:szCs w:val="20"/>
    </w:rPr>
  </w:style>
  <w:style w:type="paragraph" w:styleId="15">
    <w:name w:val="table of authorities"/>
    <w:basedOn w:val="1"/>
    <w:next w:val="1"/>
    <w:qFormat/>
    <w:uiPriority w:val="0"/>
    <w:pPr>
      <w:ind w:left="420" w:firstLine="454"/>
      <w:jc w:val="left"/>
    </w:pPr>
    <w:rPr>
      <w:rFonts w:ascii="Times New Roman" w:hAnsi="Times New Roman" w:eastAsia="宋体" w:cs="Times New Roman"/>
      <w:szCs w:val="20"/>
    </w:rPr>
  </w:style>
  <w:style w:type="paragraph" w:styleId="16">
    <w:name w:val="Note Heading"/>
    <w:basedOn w:val="1"/>
    <w:next w:val="1"/>
    <w:link w:val="525"/>
    <w:qFormat/>
    <w:uiPriority w:val="0"/>
    <w:pPr>
      <w:ind w:left="227" w:firstLine="482"/>
      <w:jc w:val="center"/>
    </w:pPr>
    <w:rPr>
      <w:rFonts w:ascii="Times New Roman" w:hAnsi="Times New Roman" w:eastAsia="宋体" w:cs="Times New Roman"/>
      <w:szCs w:val="20"/>
    </w:rPr>
  </w:style>
  <w:style w:type="paragraph" w:styleId="17">
    <w:name w:val="List Bullet 4"/>
    <w:basedOn w:val="1"/>
    <w:qFormat/>
    <w:uiPriority w:val="0"/>
    <w:pPr>
      <w:tabs>
        <w:tab w:val="left" w:pos="1620"/>
      </w:tabs>
      <w:ind w:left="1620" w:leftChars="600" w:hanging="360"/>
      <w:jc w:val="left"/>
    </w:pPr>
    <w:rPr>
      <w:rFonts w:ascii="Times New Roman" w:hAnsi="Times New Roman" w:eastAsia="宋体" w:cs="Times New Roman"/>
      <w:szCs w:val="20"/>
    </w:rPr>
  </w:style>
  <w:style w:type="paragraph" w:styleId="18">
    <w:name w:val="index 8"/>
    <w:basedOn w:val="1"/>
    <w:next w:val="1"/>
    <w:qFormat/>
    <w:uiPriority w:val="0"/>
    <w:pPr>
      <w:ind w:left="2240" w:hanging="280"/>
      <w:jc w:val="left"/>
    </w:pPr>
    <w:rPr>
      <w:rFonts w:ascii="Times New Roman" w:hAnsi="Times New Roman" w:eastAsia="仿宋_GB2312" w:cs="Times New Roman"/>
      <w:sz w:val="20"/>
      <w:szCs w:val="20"/>
    </w:rPr>
  </w:style>
  <w:style w:type="paragraph" w:styleId="19">
    <w:name w:val="E-mail Signature"/>
    <w:basedOn w:val="1"/>
    <w:link w:val="526"/>
    <w:qFormat/>
    <w:uiPriority w:val="0"/>
    <w:pPr>
      <w:ind w:left="227" w:firstLine="482"/>
      <w:jc w:val="left"/>
    </w:pPr>
    <w:rPr>
      <w:rFonts w:ascii="Times New Roman" w:hAnsi="Times New Roman" w:eastAsia="宋体" w:cs="Times New Roman"/>
      <w:szCs w:val="20"/>
    </w:rPr>
  </w:style>
  <w:style w:type="paragraph" w:styleId="20">
    <w:name w:val="List Number"/>
    <w:basedOn w:val="1"/>
    <w:qFormat/>
    <w:uiPriority w:val="0"/>
    <w:pPr>
      <w:tabs>
        <w:tab w:val="left" w:pos="360"/>
        <w:tab w:val="left" w:pos="1140"/>
      </w:tabs>
      <w:ind w:left="360" w:hanging="420"/>
      <w:jc w:val="left"/>
    </w:pPr>
    <w:rPr>
      <w:rFonts w:ascii="Times New Roman" w:hAnsi="Times New Roman" w:eastAsia="宋体" w:cs="Times New Roman"/>
      <w:szCs w:val="20"/>
    </w:rPr>
  </w:style>
  <w:style w:type="paragraph" w:styleId="21">
    <w:name w:val="Normal Indent"/>
    <w:basedOn w:val="1"/>
    <w:link w:val="123"/>
    <w:qFormat/>
    <w:uiPriority w:val="0"/>
    <w:pPr>
      <w:ind w:firstLine="420"/>
    </w:pPr>
    <w:rPr>
      <w:rFonts w:ascii="Times New Roman" w:hAnsi="Times New Roman" w:eastAsia="宋体" w:cs="Times New Roman"/>
      <w:szCs w:val="20"/>
    </w:rPr>
  </w:style>
  <w:style w:type="paragraph" w:styleId="22">
    <w:name w:val="caption"/>
    <w:basedOn w:val="1"/>
    <w:next w:val="1"/>
    <w:qFormat/>
    <w:uiPriority w:val="0"/>
    <w:rPr>
      <w:rFonts w:ascii="Cambria" w:hAnsi="Cambria" w:eastAsia="黑体" w:cs="Times New Roman"/>
      <w:kern w:val="0"/>
      <w:sz w:val="20"/>
      <w:szCs w:val="20"/>
    </w:rPr>
  </w:style>
  <w:style w:type="paragraph" w:styleId="23">
    <w:name w:val="index 5"/>
    <w:basedOn w:val="1"/>
    <w:next w:val="1"/>
    <w:qFormat/>
    <w:uiPriority w:val="0"/>
    <w:pPr>
      <w:spacing w:beforeLines="50" w:line="360" w:lineRule="auto"/>
      <w:ind w:left="800" w:leftChars="800" w:right="-27" w:rightChars="-27" w:hanging="500" w:hangingChars="500"/>
    </w:pPr>
    <w:rPr>
      <w:rFonts w:ascii="Times New Roman" w:hAnsi="Times New Roman" w:eastAsia="宋体" w:cs="Times New Roman"/>
      <w:sz w:val="24"/>
      <w:szCs w:val="24"/>
    </w:rPr>
  </w:style>
  <w:style w:type="paragraph" w:styleId="24">
    <w:name w:val="List Bullet"/>
    <w:basedOn w:val="1"/>
    <w:qFormat/>
    <w:uiPriority w:val="0"/>
    <w:pPr>
      <w:tabs>
        <w:tab w:val="left" w:pos="360"/>
        <w:tab w:val="left" w:pos="432"/>
      </w:tabs>
      <w:ind w:left="360" w:hanging="432"/>
      <w:jc w:val="left"/>
    </w:pPr>
    <w:rPr>
      <w:rFonts w:ascii="Times New Roman" w:hAnsi="Times New Roman" w:eastAsia="宋体" w:cs="Times New Roman"/>
      <w:szCs w:val="20"/>
    </w:rPr>
  </w:style>
  <w:style w:type="paragraph" w:styleId="25">
    <w:name w:val="envelope address"/>
    <w:basedOn w:val="1"/>
    <w:qFormat/>
    <w:uiPriority w:val="0"/>
    <w:pPr>
      <w:snapToGrid w:val="0"/>
      <w:ind w:left="100" w:leftChars="1400" w:firstLine="482"/>
      <w:jc w:val="left"/>
    </w:pPr>
    <w:rPr>
      <w:rFonts w:ascii="Arial" w:hAnsi="Arial" w:eastAsia="宋体" w:cs="Times New Roman"/>
      <w:sz w:val="24"/>
      <w:szCs w:val="20"/>
    </w:rPr>
  </w:style>
  <w:style w:type="paragraph" w:styleId="26">
    <w:name w:val="Document Map"/>
    <w:basedOn w:val="1"/>
    <w:link w:val="124"/>
    <w:qFormat/>
    <w:uiPriority w:val="0"/>
    <w:pPr>
      <w:shd w:val="clear" w:color="auto" w:fill="000080"/>
    </w:pPr>
    <w:rPr>
      <w:rFonts w:ascii="Times New Roman" w:hAnsi="Times New Roman" w:eastAsia="宋体" w:cs="Times New Roman"/>
      <w:sz w:val="16"/>
      <w:szCs w:val="16"/>
    </w:rPr>
  </w:style>
  <w:style w:type="paragraph" w:styleId="27">
    <w:name w:val="toa heading"/>
    <w:basedOn w:val="1"/>
    <w:next w:val="1"/>
    <w:qFormat/>
    <w:uiPriority w:val="0"/>
    <w:pPr>
      <w:spacing w:before="120"/>
    </w:pPr>
    <w:rPr>
      <w:rFonts w:ascii="Arial" w:hAnsi="Arial" w:eastAsia="宋体" w:cs="Arial"/>
      <w:sz w:val="24"/>
      <w:szCs w:val="24"/>
    </w:rPr>
  </w:style>
  <w:style w:type="paragraph" w:styleId="28">
    <w:name w:val="annotation text"/>
    <w:basedOn w:val="1"/>
    <w:link w:val="125"/>
    <w:qFormat/>
    <w:uiPriority w:val="0"/>
    <w:pPr>
      <w:jc w:val="left"/>
    </w:pPr>
    <w:rPr>
      <w:rFonts w:ascii="Times New Roman" w:hAnsi="Times New Roman" w:eastAsia="宋体" w:cs="Times New Roman"/>
      <w:szCs w:val="24"/>
    </w:rPr>
  </w:style>
  <w:style w:type="paragraph" w:styleId="29">
    <w:name w:val="index 6"/>
    <w:basedOn w:val="1"/>
    <w:next w:val="1"/>
    <w:qFormat/>
    <w:uiPriority w:val="0"/>
    <w:pPr>
      <w:spacing w:beforeLines="50" w:line="360" w:lineRule="auto"/>
      <w:ind w:left="1000" w:leftChars="1000" w:right="-27" w:rightChars="-27" w:hanging="709"/>
    </w:pPr>
    <w:rPr>
      <w:rFonts w:ascii="Times New Roman" w:hAnsi="Times New Roman" w:eastAsia="宋体" w:cs="Times New Roman"/>
      <w:szCs w:val="24"/>
    </w:rPr>
  </w:style>
  <w:style w:type="paragraph" w:styleId="30">
    <w:name w:val="Salutation"/>
    <w:basedOn w:val="1"/>
    <w:next w:val="1"/>
    <w:link w:val="369"/>
    <w:qFormat/>
    <w:uiPriority w:val="0"/>
    <w:pPr>
      <w:spacing w:beforeLines="50" w:line="360" w:lineRule="auto"/>
      <w:ind w:left="709" w:right="-27" w:rightChars="-27" w:hanging="709"/>
    </w:pPr>
    <w:rPr>
      <w:rFonts w:ascii="Times New Roman" w:hAnsi="Times New Roman" w:eastAsia="宋体" w:cs="Times New Roman"/>
      <w:sz w:val="24"/>
      <w:szCs w:val="20"/>
    </w:rPr>
  </w:style>
  <w:style w:type="paragraph" w:styleId="31">
    <w:name w:val="Body Text 3"/>
    <w:basedOn w:val="1"/>
    <w:link w:val="126"/>
    <w:qFormat/>
    <w:uiPriority w:val="0"/>
    <w:pPr>
      <w:spacing w:after="120"/>
    </w:pPr>
    <w:rPr>
      <w:rFonts w:ascii="Times New Roman" w:hAnsi="Times New Roman" w:eastAsia="宋体" w:cs="Times New Roman"/>
      <w:sz w:val="16"/>
      <w:szCs w:val="16"/>
    </w:rPr>
  </w:style>
  <w:style w:type="paragraph" w:styleId="32">
    <w:name w:val="Closing"/>
    <w:basedOn w:val="1"/>
    <w:link w:val="527"/>
    <w:qFormat/>
    <w:uiPriority w:val="0"/>
    <w:pPr>
      <w:ind w:left="100" w:leftChars="2100" w:firstLine="482"/>
      <w:jc w:val="left"/>
    </w:pPr>
    <w:rPr>
      <w:rFonts w:ascii="Times New Roman" w:hAnsi="Times New Roman" w:eastAsia="宋体" w:cs="Times New Roman"/>
      <w:szCs w:val="20"/>
    </w:rPr>
  </w:style>
  <w:style w:type="paragraph" w:styleId="33">
    <w:name w:val="List Bullet 3"/>
    <w:basedOn w:val="1"/>
    <w:qFormat/>
    <w:uiPriority w:val="0"/>
    <w:pPr>
      <w:tabs>
        <w:tab w:val="left" w:pos="1200"/>
      </w:tabs>
      <w:ind w:left="1200" w:leftChars="400" w:hanging="360"/>
      <w:jc w:val="left"/>
    </w:pPr>
    <w:rPr>
      <w:rFonts w:ascii="Times New Roman" w:hAnsi="Times New Roman" w:eastAsia="宋体" w:cs="Times New Roman"/>
      <w:szCs w:val="20"/>
    </w:rPr>
  </w:style>
  <w:style w:type="paragraph" w:styleId="34">
    <w:name w:val="Body Text"/>
    <w:basedOn w:val="1"/>
    <w:link w:val="121"/>
    <w:qFormat/>
    <w:uiPriority w:val="0"/>
    <w:pPr>
      <w:spacing w:after="120"/>
    </w:pPr>
    <w:rPr>
      <w:rFonts w:ascii="Times New Roman" w:hAnsi="Times New Roman" w:eastAsia="宋体" w:cs="Times New Roman"/>
      <w:szCs w:val="24"/>
    </w:rPr>
  </w:style>
  <w:style w:type="paragraph" w:styleId="35">
    <w:name w:val="Body Text Indent"/>
    <w:basedOn w:val="1"/>
    <w:next w:val="36"/>
    <w:link w:val="127"/>
    <w:qFormat/>
    <w:uiPriority w:val="0"/>
    <w:pPr>
      <w:spacing w:line="480" w:lineRule="exact"/>
      <w:ind w:firstLine="560" w:firstLineChars="200"/>
    </w:pPr>
    <w:rPr>
      <w:rFonts w:ascii="Times New Roman" w:hAnsi="Times New Roman" w:eastAsia="宋体" w:cs="Times New Roman"/>
      <w:sz w:val="24"/>
      <w:szCs w:val="24"/>
    </w:rPr>
  </w:style>
  <w:style w:type="paragraph" w:styleId="36">
    <w:name w:val="envelope return"/>
    <w:basedOn w:val="1"/>
    <w:unhideWhenUsed/>
    <w:qFormat/>
    <w:uiPriority w:val="0"/>
    <w:pPr>
      <w:widowControl/>
      <w:adjustRightInd w:val="0"/>
      <w:snapToGrid w:val="0"/>
      <w:spacing w:before="120" w:after="100" w:afterAutospacing="1" w:line="360" w:lineRule="auto"/>
      <w:ind w:left="709" w:right="240" w:firstLine="480" w:firstLineChars="200"/>
      <w:jc w:val="left"/>
    </w:pPr>
    <w:rPr>
      <w:rFonts w:ascii="Cambria" w:hAnsi="Cambria" w:eastAsia="宋体" w:cs="Times New Roman"/>
      <w:kern w:val="0"/>
      <w:sz w:val="24"/>
      <w:szCs w:val="21"/>
    </w:rPr>
  </w:style>
  <w:style w:type="paragraph" w:styleId="37">
    <w:name w:val="List Number 3"/>
    <w:basedOn w:val="1"/>
    <w:qFormat/>
    <w:uiPriority w:val="0"/>
    <w:pPr>
      <w:tabs>
        <w:tab w:val="left" w:pos="1200"/>
      </w:tabs>
      <w:ind w:left="1200" w:leftChars="400" w:hanging="360"/>
      <w:jc w:val="left"/>
    </w:pPr>
    <w:rPr>
      <w:rFonts w:ascii="Times New Roman" w:hAnsi="Times New Roman" w:eastAsia="宋体" w:cs="Times New Roman"/>
      <w:szCs w:val="20"/>
    </w:rPr>
  </w:style>
  <w:style w:type="paragraph" w:styleId="38">
    <w:name w:val="List 2"/>
    <w:basedOn w:val="1"/>
    <w:qFormat/>
    <w:uiPriority w:val="0"/>
    <w:pPr>
      <w:ind w:left="100" w:leftChars="200" w:hanging="200" w:hangingChars="200"/>
      <w:jc w:val="left"/>
    </w:pPr>
    <w:rPr>
      <w:rFonts w:ascii="Times New Roman" w:hAnsi="Times New Roman" w:eastAsia="宋体" w:cs="Times New Roman"/>
      <w:szCs w:val="20"/>
    </w:rPr>
  </w:style>
  <w:style w:type="paragraph" w:styleId="39">
    <w:name w:val="List Continue"/>
    <w:basedOn w:val="1"/>
    <w:qFormat/>
    <w:uiPriority w:val="0"/>
    <w:pPr>
      <w:tabs>
        <w:tab w:val="left" w:pos="2040"/>
      </w:tabs>
      <w:spacing w:after="120"/>
      <w:ind w:left="2040" w:hanging="360"/>
      <w:jc w:val="left"/>
    </w:pPr>
    <w:rPr>
      <w:rFonts w:ascii="Times New Roman" w:hAnsi="Times New Roman" w:eastAsia="宋体" w:cs="Times New Roman"/>
      <w:szCs w:val="20"/>
    </w:rPr>
  </w:style>
  <w:style w:type="paragraph" w:styleId="40">
    <w:name w:val="Block Text"/>
    <w:basedOn w:val="1"/>
    <w:qFormat/>
    <w:uiPriority w:val="0"/>
    <w:pPr>
      <w:tabs>
        <w:tab w:val="left" w:pos="8364"/>
      </w:tabs>
      <w:spacing w:beforeLines="50" w:line="360" w:lineRule="auto"/>
      <w:ind w:left="840" w:right="-57" w:rightChars="-27" w:hanging="300"/>
    </w:pPr>
    <w:rPr>
      <w:rFonts w:ascii="宋体" w:hAnsi="Times New Roman" w:eastAsia="宋体" w:cs="Times New Roman"/>
      <w:szCs w:val="20"/>
    </w:rPr>
  </w:style>
  <w:style w:type="paragraph" w:styleId="41">
    <w:name w:val="List Bullet 2"/>
    <w:basedOn w:val="1"/>
    <w:qFormat/>
    <w:uiPriority w:val="0"/>
    <w:pPr>
      <w:tabs>
        <w:tab w:val="left" w:pos="780"/>
      </w:tabs>
      <w:ind w:left="780" w:leftChars="200" w:hanging="360"/>
      <w:jc w:val="left"/>
    </w:pPr>
    <w:rPr>
      <w:rFonts w:ascii="Times New Roman" w:hAnsi="Times New Roman" w:eastAsia="宋体" w:cs="Times New Roman"/>
      <w:szCs w:val="20"/>
    </w:rPr>
  </w:style>
  <w:style w:type="paragraph" w:styleId="42">
    <w:name w:val="HTML Address"/>
    <w:basedOn w:val="1"/>
    <w:link w:val="528"/>
    <w:qFormat/>
    <w:uiPriority w:val="0"/>
    <w:pPr>
      <w:ind w:left="227" w:firstLine="482"/>
      <w:jc w:val="left"/>
    </w:pPr>
    <w:rPr>
      <w:rFonts w:ascii="Times New Roman" w:hAnsi="Times New Roman" w:eastAsia="宋体" w:cs="Times New Roman"/>
      <w:i/>
      <w:szCs w:val="20"/>
    </w:rPr>
  </w:style>
  <w:style w:type="paragraph" w:styleId="43">
    <w:name w:val="index 4"/>
    <w:basedOn w:val="1"/>
    <w:next w:val="1"/>
    <w:qFormat/>
    <w:uiPriority w:val="0"/>
    <w:pPr>
      <w:ind w:left="1120" w:hanging="280"/>
      <w:jc w:val="left"/>
    </w:pPr>
    <w:rPr>
      <w:rFonts w:ascii="Times New Roman" w:hAnsi="Times New Roman" w:eastAsia="仿宋_GB2312" w:cs="Times New Roman"/>
      <w:sz w:val="20"/>
      <w:szCs w:val="20"/>
    </w:rPr>
  </w:style>
  <w:style w:type="paragraph" w:styleId="44">
    <w:name w:val="toc 5"/>
    <w:basedOn w:val="1"/>
    <w:next w:val="1"/>
    <w:qFormat/>
    <w:uiPriority w:val="39"/>
    <w:pPr>
      <w:ind w:left="1680" w:leftChars="800"/>
    </w:pPr>
    <w:rPr>
      <w:rFonts w:ascii="Times New Roman" w:hAnsi="Times New Roman" w:eastAsia="宋体" w:cs="Times New Roman"/>
      <w:szCs w:val="24"/>
    </w:rPr>
  </w:style>
  <w:style w:type="paragraph" w:styleId="45">
    <w:name w:val="toc 3"/>
    <w:basedOn w:val="1"/>
    <w:next w:val="1"/>
    <w:qFormat/>
    <w:uiPriority w:val="39"/>
    <w:pPr>
      <w:ind w:left="840" w:leftChars="400"/>
    </w:pPr>
    <w:rPr>
      <w:rFonts w:ascii="Times New Roman" w:hAnsi="Times New Roman" w:eastAsia="宋体" w:cs="Times New Roman"/>
      <w:szCs w:val="24"/>
    </w:rPr>
  </w:style>
  <w:style w:type="paragraph" w:styleId="46">
    <w:name w:val="Plain Text"/>
    <w:basedOn w:val="1"/>
    <w:next w:val="6"/>
    <w:link w:val="128"/>
    <w:qFormat/>
    <w:uiPriority w:val="99"/>
    <w:rPr>
      <w:rFonts w:ascii="宋体" w:hAnsi="Courier New" w:eastAsia="宋体" w:cs="Courier New"/>
      <w:szCs w:val="21"/>
    </w:rPr>
  </w:style>
  <w:style w:type="paragraph" w:styleId="47">
    <w:name w:val="List Bullet 5"/>
    <w:basedOn w:val="1"/>
    <w:qFormat/>
    <w:uiPriority w:val="0"/>
    <w:pPr>
      <w:tabs>
        <w:tab w:val="left" w:pos="1920"/>
      </w:tabs>
      <w:ind w:left="1920" w:hanging="420"/>
      <w:jc w:val="left"/>
    </w:pPr>
    <w:rPr>
      <w:rFonts w:ascii="Times New Roman" w:hAnsi="Times New Roman" w:eastAsia="宋体" w:cs="Times New Roman"/>
      <w:szCs w:val="20"/>
    </w:rPr>
  </w:style>
  <w:style w:type="paragraph" w:styleId="48">
    <w:name w:val="List Number 4"/>
    <w:basedOn w:val="1"/>
    <w:qFormat/>
    <w:uiPriority w:val="0"/>
    <w:pPr>
      <w:tabs>
        <w:tab w:val="left" w:pos="1620"/>
      </w:tabs>
      <w:ind w:left="1620" w:leftChars="600" w:hanging="360"/>
      <w:jc w:val="left"/>
    </w:pPr>
    <w:rPr>
      <w:rFonts w:ascii="Times New Roman" w:hAnsi="Times New Roman" w:eastAsia="宋体" w:cs="Times New Roman"/>
      <w:szCs w:val="20"/>
    </w:rPr>
  </w:style>
  <w:style w:type="paragraph" w:styleId="49">
    <w:name w:val="toc 8"/>
    <w:basedOn w:val="1"/>
    <w:next w:val="1"/>
    <w:qFormat/>
    <w:uiPriority w:val="39"/>
    <w:pPr>
      <w:ind w:left="2940" w:leftChars="1400"/>
    </w:pPr>
    <w:rPr>
      <w:rFonts w:ascii="Times New Roman" w:hAnsi="Times New Roman" w:eastAsia="宋体" w:cs="Times New Roman"/>
      <w:szCs w:val="24"/>
    </w:rPr>
  </w:style>
  <w:style w:type="paragraph" w:styleId="50">
    <w:name w:val="index 3"/>
    <w:basedOn w:val="1"/>
    <w:next w:val="1"/>
    <w:qFormat/>
    <w:uiPriority w:val="0"/>
    <w:pPr>
      <w:ind w:left="840" w:hanging="280"/>
      <w:jc w:val="left"/>
    </w:pPr>
    <w:rPr>
      <w:rFonts w:ascii="Times New Roman" w:hAnsi="Times New Roman" w:eastAsia="仿宋_GB2312" w:cs="Times New Roman"/>
      <w:sz w:val="20"/>
      <w:szCs w:val="20"/>
    </w:rPr>
  </w:style>
  <w:style w:type="paragraph" w:styleId="51">
    <w:name w:val="Date"/>
    <w:basedOn w:val="1"/>
    <w:next w:val="1"/>
    <w:link w:val="129"/>
    <w:qFormat/>
    <w:uiPriority w:val="0"/>
    <w:pPr>
      <w:ind w:left="100" w:leftChars="2500"/>
    </w:pPr>
    <w:rPr>
      <w:rFonts w:ascii="Times New Roman" w:hAnsi="Times New Roman" w:eastAsia="宋体" w:cs="Times New Roman"/>
      <w:szCs w:val="24"/>
    </w:rPr>
  </w:style>
  <w:style w:type="paragraph" w:styleId="52">
    <w:name w:val="Body Text Indent 2"/>
    <w:basedOn w:val="1"/>
    <w:link w:val="130"/>
    <w:qFormat/>
    <w:uiPriority w:val="0"/>
    <w:pPr>
      <w:spacing w:after="120" w:line="480" w:lineRule="auto"/>
      <w:ind w:left="420" w:leftChars="200"/>
    </w:pPr>
    <w:rPr>
      <w:rFonts w:ascii="Times New Roman" w:hAnsi="Times New Roman" w:eastAsia="宋体" w:cs="Times New Roman"/>
      <w:szCs w:val="24"/>
    </w:rPr>
  </w:style>
  <w:style w:type="paragraph" w:styleId="53">
    <w:name w:val="endnote text"/>
    <w:basedOn w:val="1"/>
    <w:link w:val="529"/>
    <w:semiHidden/>
    <w:qFormat/>
    <w:uiPriority w:val="0"/>
    <w:pPr>
      <w:snapToGrid w:val="0"/>
      <w:ind w:left="227" w:firstLine="482"/>
      <w:jc w:val="left"/>
    </w:pPr>
    <w:rPr>
      <w:rFonts w:ascii="Times New Roman" w:hAnsi="Times New Roman" w:eastAsia="宋体" w:cs="Times New Roman"/>
      <w:sz w:val="24"/>
      <w:szCs w:val="24"/>
    </w:rPr>
  </w:style>
  <w:style w:type="paragraph" w:styleId="54">
    <w:name w:val="List Continue 5"/>
    <w:basedOn w:val="1"/>
    <w:qFormat/>
    <w:uiPriority w:val="0"/>
    <w:pPr>
      <w:tabs>
        <w:tab w:val="left" w:pos="432"/>
      </w:tabs>
      <w:spacing w:after="120"/>
      <w:ind w:left="2100" w:leftChars="1000" w:firstLine="482"/>
      <w:jc w:val="left"/>
    </w:pPr>
    <w:rPr>
      <w:rFonts w:ascii="Times New Roman" w:hAnsi="Times New Roman" w:eastAsia="宋体" w:cs="Times New Roman"/>
      <w:szCs w:val="20"/>
    </w:rPr>
  </w:style>
  <w:style w:type="paragraph" w:styleId="55">
    <w:name w:val="Balloon Text"/>
    <w:basedOn w:val="1"/>
    <w:link w:val="131"/>
    <w:qFormat/>
    <w:uiPriority w:val="0"/>
    <w:rPr>
      <w:rFonts w:ascii="Times New Roman" w:hAnsi="Times New Roman" w:eastAsia="宋体" w:cs="Times New Roman"/>
      <w:sz w:val="16"/>
      <w:szCs w:val="16"/>
    </w:rPr>
  </w:style>
  <w:style w:type="paragraph" w:styleId="56">
    <w:name w:val="footer"/>
    <w:basedOn w:val="1"/>
    <w:link w:val="13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7">
    <w:name w:val="header"/>
    <w:basedOn w:val="1"/>
    <w:link w:val="13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8">
    <w:name w:val="Signature"/>
    <w:basedOn w:val="1"/>
    <w:link w:val="530"/>
    <w:qFormat/>
    <w:uiPriority w:val="0"/>
    <w:pPr>
      <w:ind w:left="100" w:leftChars="2100" w:firstLine="482"/>
      <w:jc w:val="left"/>
    </w:pPr>
    <w:rPr>
      <w:rFonts w:ascii="Times New Roman" w:hAnsi="Times New Roman" w:eastAsia="宋体" w:cs="Times New Roman"/>
      <w:szCs w:val="20"/>
    </w:rPr>
  </w:style>
  <w:style w:type="paragraph" w:styleId="59">
    <w:name w:val="toc 1"/>
    <w:basedOn w:val="1"/>
    <w:next w:val="1"/>
    <w:qFormat/>
    <w:uiPriority w:val="39"/>
    <w:rPr>
      <w:rFonts w:ascii="Times New Roman" w:hAnsi="Times New Roman" w:eastAsia="宋体" w:cs="Times New Roman"/>
      <w:szCs w:val="24"/>
    </w:rPr>
  </w:style>
  <w:style w:type="paragraph" w:styleId="60">
    <w:name w:val="List Continue 4"/>
    <w:basedOn w:val="1"/>
    <w:qFormat/>
    <w:uiPriority w:val="0"/>
    <w:pPr>
      <w:spacing w:after="120"/>
      <w:ind w:left="1680" w:leftChars="800" w:firstLine="482"/>
      <w:jc w:val="left"/>
    </w:pPr>
    <w:rPr>
      <w:rFonts w:ascii="Times New Roman" w:hAnsi="Times New Roman" w:eastAsia="宋体" w:cs="Times New Roman"/>
      <w:szCs w:val="20"/>
    </w:rPr>
  </w:style>
  <w:style w:type="paragraph" w:styleId="61">
    <w:name w:val="toc 4"/>
    <w:basedOn w:val="1"/>
    <w:next w:val="1"/>
    <w:qFormat/>
    <w:uiPriority w:val="39"/>
    <w:pPr>
      <w:ind w:left="1260" w:leftChars="600"/>
    </w:pPr>
    <w:rPr>
      <w:rFonts w:ascii="Times New Roman" w:hAnsi="Times New Roman" w:eastAsia="宋体" w:cs="Times New Roman"/>
      <w:szCs w:val="24"/>
    </w:rPr>
  </w:style>
  <w:style w:type="paragraph" w:styleId="62">
    <w:name w:val="index heading"/>
    <w:basedOn w:val="1"/>
    <w:next w:val="63"/>
    <w:qFormat/>
    <w:uiPriority w:val="99"/>
    <w:pPr>
      <w:spacing w:beforeLines="50" w:line="360" w:lineRule="auto"/>
      <w:ind w:left="709" w:right="-27" w:rightChars="-27" w:hanging="709"/>
    </w:pPr>
    <w:rPr>
      <w:rFonts w:ascii="Times New Roman" w:hAnsi="Times New Roman" w:eastAsia="宋体" w:cs="Times New Roman"/>
      <w:szCs w:val="24"/>
    </w:rPr>
  </w:style>
  <w:style w:type="paragraph" w:styleId="63">
    <w:name w:val="index 1"/>
    <w:basedOn w:val="1"/>
    <w:next w:val="1"/>
    <w:qFormat/>
    <w:uiPriority w:val="99"/>
    <w:pPr>
      <w:spacing w:line="400" w:lineRule="exact"/>
      <w:ind w:firstLine="420" w:firstLineChars="200"/>
    </w:pPr>
    <w:rPr>
      <w:rFonts w:ascii="宋体" w:hAnsi="Courier New" w:eastAsia="宋体" w:cs="Times New Roman"/>
      <w:b/>
      <w:szCs w:val="20"/>
    </w:rPr>
  </w:style>
  <w:style w:type="paragraph" w:styleId="64">
    <w:name w:val="Subtitle"/>
    <w:basedOn w:val="1"/>
    <w:link w:val="134"/>
    <w:qFormat/>
    <w:uiPriority w:val="0"/>
    <w:pPr>
      <w:spacing w:line="312" w:lineRule="auto"/>
      <w:jc w:val="center"/>
      <w:outlineLvl w:val="1"/>
    </w:pPr>
    <w:rPr>
      <w:rFonts w:ascii="Arial" w:hAnsi="Arial" w:eastAsia="Times New Roman" w:cs="Times New Roman"/>
      <w:b/>
      <w:bCs/>
      <w:kern w:val="28"/>
      <w:sz w:val="32"/>
      <w:szCs w:val="32"/>
    </w:rPr>
  </w:style>
  <w:style w:type="paragraph" w:styleId="65">
    <w:name w:val="List Number 5"/>
    <w:basedOn w:val="1"/>
    <w:qFormat/>
    <w:uiPriority w:val="0"/>
    <w:pPr>
      <w:tabs>
        <w:tab w:val="left" w:pos="1080"/>
      </w:tabs>
      <w:ind w:left="1080" w:hanging="720"/>
      <w:jc w:val="left"/>
    </w:pPr>
    <w:rPr>
      <w:rFonts w:ascii="Times New Roman" w:hAnsi="Times New Roman" w:eastAsia="宋体" w:cs="Times New Roman"/>
      <w:szCs w:val="20"/>
    </w:rPr>
  </w:style>
  <w:style w:type="paragraph" w:styleId="66">
    <w:name w:val="List"/>
    <w:basedOn w:val="1"/>
    <w:qFormat/>
    <w:uiPriority w:val="0"/>
    <w:pPr>
      <w:ind w:left="227" w:firstLine="482"/>
      <w:jc w:val="left"/>
    </w:pPr>
    <w:rPr>
      <w:rFonts w:ascii="Times New Roman" w:hAnsi="Times New Roman" w:eastAsia="宋体" w:cs="Times New Roman"/>
      <w:sz w:val="24"/>
      <w:szCs w:val="20"/>
    </w:rPr>
  </w:style>
  <w:style w:type="paragraph" w:styleId="67">
    <w:name w:val="footnote text"/>
    <w:basedOn w:val="1"/>
    <w:link w:val="135"/>
    <w:qFormat/>
    <w:uiPriority w:val="0"/>
    <w:pPr>
      <w:snapToGrid w:val="0"/>
      <w:jc w:val="left"/>
    </w:pPr>
    <w:rPr>
      <w:rFonts w:ascii="Times New Roman" w:hAnsi="Times New Roman" w:eastAsia="宋体" w:cs="Times New Roman"/>
      <w:sz w:val="18"/>
      <w:szCs w:val="18"/>
    </w:rPr>
  </w:style>
  <w:style w:type="paragraph" w:styleId="68">
    <w:name w:val="toc 6"/>
    <w:basedOn w:val="1"/>
    <w:next w:val="1"/>
    <w:qFormat/>
    <w:uiPriority w:val="39"/>
    <w:pPr>
      <w:ind w:left="2100" w:leftChars="1000"/>
    </w:pPr>
    <w:rPr>
      <w:rFonts w:ascii="Times New Roman" w:hAnsi="Times New Roman" w:eastAsia="宋体" w:cs="Times New Roman"/>
      <w:szCs w:val="24"/>
    </w:rPr>
  </w:style>
  <w:style w:type="paragraph" w:styleId="69">
    <w:name w:val="List 5"/>
    <w:basedOn w:val="1"/>
    <w:qFormat/>
    <w:uiPriority w:val="0"/>
    <w:pPr>
      <w:tabs>
        <w:tab w:val="left" w:pos="720"/>
      </w:tabs>
      <w:ind w:left="100" w:leftChars="800" w:hanging="200"/>
      <w:jc w:val="left"/>
    </w:pPr>
    <w:rPr>
      <w:rFonts w:ascii="Times New Roman" w:hAnsi="Times New Roman" w:eastAsia="宋体" w:cs="Times New Roman"/>
      <w:szCs w:val="20"/>
    </w:rPr>
  </w:style>
  <w:style w:type="paragraph" w:styleId="70">
    <w:name w:val="Body Text Indent 3"/>
    <w:basedOn w:val="1"/>
    <w:link w:val="136"/>
    <w:qFormat/>
    <w:uiPriority w:val="0"/>
    <w:pPr>
      <w:spacing w:line="540" w:lineRule="atLeast"/>
      <w:ind w:firstLine="480" w:firstLineChars="200"/>
    </w:pPr>
    <w:rPr>
      <w:rFonts w:ascii="Times New Roman" w:hAnsi="Times New Roman" w:eastAsia="宋体" w:cs="Times New Roman"/>
      <w:sz w:val="16"/>
      <w:szCs w:val="16"/>
    </w:rPr>
  </w:style>
  <w:style w:type="paragraph" w:styleId="71">
    <w:name w:val="index 7"/>
    <w:basedOn w:val="1"/>
    <w:next w:val="1"/>
    <w:qFormat/>
    <w:uiPriority w:val="0"/>
    <w:pPr>
      <w:ind w:left="1960" w:hanging="280"/>
      <w:jc w:val="left"/>
    </w:pPr>
    <w:rPr>
      <w:rFonts w:ascii="Times New Roman" w:hAnsi="Times New Roman" w:eastAsia="仿宋_GB2312" w:cs="Times New Roman"/>
      <w:sz w:val="20"/>
      <w:szCs w:val="20"/>
    </w:rPr>
  </w:style>
  <w:style w:type="paragraph" w:styleId="72">
    <w:name w:val="index 9"/>
    <w:basedOn w:val="1"/>
    <w:next w:val="1"/>
    <w:qFormat/>
    <w:uiPriority w:val="0"/>
    <w:pPr>
      <w:ind w:left="2520" w:hanging="280"/>
      <w:jc w:val="left"/>
    </w:pPr>
    <w:rPr>
      <w:rFonts w:ascii="Times New Roman" w:hAnsi="Times New Roman" w:eastAsia="仿宋_GB2312" w:cs="Times New Roman"/>
      <w:sz w:val="20"/>
      <w:szCs w:val="20"/>
    </w:rPr>
  </w:style>
  <w:style w:type="paragraph" w:styleId="73">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74">
    <w:name w:val="toc 2"/>
    <w:basedOn w:val="1"/>
    <w:next w:val="1"/>
    <w:qFormat/>
    <w:uiPriority w:val="39"/>
    <w:pPr>
      <w:ind w:left="420" w:leftChars="200"/>
    </w:pPr>
    <w:rPr>
      <w:rFonts w:ascii="Times New Roman" w:hAnsi="Times New Roman" w:eastAsia="宋体" w:cs="Times New Roman"/>
      <w:szCs w:val="24"/>
    </w:rPr>
  </w:style>
  <w:style w:type="paragraph" w:styleId="75">
    <w:name w:val="toc 9"/>
    <w:basedOn w:val="1"/>
    <w:next w:val="1"/>
    <w:qFormat/>
    <w:uiPriority w:val="39"/>
    <w:pPr>
      <w:ind w:left="3360" w:leftChars="1600"/>
    </w:pPr>
    <w:rPr>
      <w:rFonts w:ascii="Times New Roman" w:hAnsi="Times New Roman" w:eastAsia="宋体" w:cs="Times New Roman"/>
      <w:szCs w:val="24"/>
    </w:rPr>
  </w:style>
  <w:style w:type="paragraph" w:styleId="76">
    <w:name w:val="Body Text 2"/>
    <w:basedOn w:val="1"/>
    <w:link w:val="137"/>
    <w:qFormat/>
    <w:uiPriority w:val="0"/>
    <w:pPr>
      <w:spacing w:after="120" w:line="480" w:lineRule="auto"/>
    </w:pPr>
    <w:rPr>
      <w:rFonts w:ascii="Times New Roman" w:hAnsi="Times New Roman" w:eastAsia="宋体" w:cs="Times New Roman"/>
      <w:szCs w:val="24"/>
    </w:rPr>
  </w:style>
  <w:style w:type="paragraph" w:styleId="77">
    <w:name w:val="List 4"/>
    <w:basedOn w:val="1"/>
    <w:qFormat/>
    <w:uiPriority w:val="0"/>
    <w:pPr>
      <w:ind w:left="100" w:leftChars="600" w:hanging="200" w:hangingChars="200"/>
      <w:jc w:val="left"/>
    </w:pPr>
    <w:rPr>
      <w:rFonts w:ascii="Times New Roman" w:hAnsi="Times New Roman" w:eastAsia="宋体" w:cs="Times New Roman"/>
      <w:szCs w:val="20"/>
    </w:rPr>
  </w:style>
  <w:style w:type="paragraph" w:styleId="78">
    <w:name w:val="List Continue 2"/>
    <w:basedOn w:val="1"/>
    <w:qFormat/>
    <w:uiPriority w:val="0"/>
    <w:pPr>
      <w:spacing w:after="120"/>
      <w:ind w:left="840" w:leftChars="400" w:firstLine="482"/>
      <w:jc w:val="left"/>
    </w:pPr>
    <w:rPr>
      <w:rFonts w:ascii="Times New Roman" w:hAnsi="Times New Roman" w:eastAsia="宋体" w:cs="Times New Roman"/>
      <w:szCs w:val="20"/>
    </w:rPr>
  </w:style>
  <w:style w:type="paragraph" w:styleId="79">
    <w:name w:val="Message Header"/>
    <w:basedOn w:val="1"/>
    <w:link w:val="53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sz w:val="24"/>
      <w:szCs w:val="20"/>
    </w:rPr>
  </w:style>
  <w:style w:type="paragraph" w:styleId="80">
    <w:name w:val="HTML Preformatted"/>
    <w:basedOn w:val="1"/>
    <w:link w:val="1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rPr>
  </w:style>
  <w:style w:type="paragraph" w:styleId="8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2">
    <w:name w:val="List Continue 3"/>
    <w:basedOn w:val="1"/>
    <w:qFormat/>
    <w:uiPriority w:val="0"/>
    <w:pPr>
      <w:spacing w:after="120"/>
      <w:ind w:left="1260" w:leftChars="600" w:firstLine="482"/>
      <w:jc w:val="left"/>
    </w:pPr>
    <w:rPr>
      <w:rFonts w:ascii="Times New Roman" w:hAnsi="Times New Roman" w:eastAsia="宋体" w:cs="Times New Roman"/>
      <w:szCs w:val="20"/>
    </w:rPr>
  </w:style>
  <w:style w:type="paragraph" w:styleId="83">
    <w:name w:val="index 2"/>
    <w:basedOn w:val="1"/>
    <w:next w:val="1"/>
    <w:qFormat/>
    <w:uiPriority w:val="0"/>
    <w:pPr>
      <w:ind w:left="560" w:hanging="280"/>
      <w:jc w:val="left"/>
    </w:pPr>
    <w:rPr>
      <w:rFonts w:ascii="Times New Roman" w:hAnsi="Times New Roman" w:eastAsia="仿宋_GB2312" w:cs="Times New Roman"/>
      <w:sz w:val="20"/>
      <w:szCs w:val="20"/>
    </w:rPr>
  </w:style>
  <w:style w:type="paragraph" w:styleId="84">
    <w:name w:val="Title"/>
    <w:basedOn w:val="1"/>
    <w:next w:val="1"/>
    <w:link w:val="140"/>
    <w:qFormat/>
    <w:uiPriority w:val="0"/>
    <w:pPr>
      <w:spacing w:before="240" w:after="60"/>
      <w:jc w:val="center"/>
      <w:outlineLvl w:val="0"/>
    </w:pPr>
    <w:rPr>
      <w:rFonts w:ascii="Cambria" w:hAnsi="Cambria" w:eastAsia="宋体" w:cs="Times New Roman"/>
      <w:b/>
      <w:bCs/>
      <w:sz w:val="32"/>
      <w:szCs w:val="32"/>
    </w:rPr>
  </w:style>
  <w:style w:type="paragraph" w:styleId="85">
    <w:name w:val="annotation subject"/>
    <w:basedOn w:val="28"/>
    <w:next w:val="28"/>
    <w:link w:val="141"/>
    <w:qFormat/>
    <w:uiPriority w:val="0"/>
    <w:rPr>
      <w:b/>
      <w:bCs/>
    </w:rPr>
  </w:style>
  <w:style w:type="paragraph" w:styleId="86">
    <w:name w:val="Body Text First Indent"/>
    <w:basedOn w:val="34"/>
    <w:link w:val="142"/>
    <w:qFormat/>
    <w:uiPriority w:val="0"/>
    <w:pPr>
      <w:ind w:firstLine="420" w:firstLineChars="100"/>
    </w:pPr>
  </w:style>
  <w:style w:type="paragraph" w:styleId="87">
    <w:name w:val="Body Text First Indent 2"/>
    <w:basedOn w:val="35"/>
    <w:next w:val="88"/>
    <w:link w:val="143"/>
    <w:unhideWhenUsed/>
    <w:qFormat/>
    <w:uiPriority w:val="0"/>
    <w:pPr>
      <w:spacing w:after="120" w:line="240" w:lineRule="auto"/>
      <w:ind w:left="420" w:leftChars="200" w:firstLine="420"/>
    </w:pPr>
    <w:rPr>
      <w:rFonts w:ascii="Calibri" w:hAnsi="Calibri" w:eastAsia="Times New Roman"/>
      <w:kern w:val="0"/>
    </w:rPr>
  </w:style>
  <w:style w:type="paragraph" w:customStyle="1" w:styleId="88">
    <w:name w:val="明显引用1"/>
    <w:basedOn w:val="89"/>
    <w:next w:val="89"/>
    <w:qFormat/>
    <w:uiPriority w:val="0"/>
    <w:pPr>
      <w:pBdr>
        <w:bottom w:val="single" w:color="4F81BD" w:sz="4" w:space="4"/>
      </w:pBdr>
      <w:spacing w:before="200" w:after="280"/>
      <w:ind w:left="936" w:right="936"/>
    </w:pPr>
    <w:rPr>
      <w:b/>
      <w:bCs/>
      <w:i/>
      <w:iCs/>
      <w:color w:val="4F81BD"/>
    </w:rPr>
  </w:style>
  <w:style w:type="paragraph" w:customStyle="1" w:styleId="89">
    <w:name w:val="Normal_1"/>
    <w:next w:val="87"/>
    <w:qFormat/>
    <w:uiPriority w:val="0"/>
    <w:pPr>
      <w:widowControl w:val="0"/>
      <w:jc w:val="both"/>
    </w:pPr>
    <w:rPr>
      <w:rFonts w:ascii="Calibri" w:hAnsi="Calibri" w:eastAsia="宋体" w:cs="Times New Roman"/>
      <w:lang w:val="en-US" w:eastAsia="zh-CN" w:bidi="ar-SA"/>
    </w:rPr>
  </w:style>
  <w:style w:type="table" w:styleId="91">
    <w:name w:val="Table Grid"/>
    <w:basedOn w:val="9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Elegant"/>
    <w:basedOn w:val="90"/>
    <w:qFormat/>
    <w:uiPriority w:val="0"/>
    <w:pPr>
      <w:widowControl w:val="0"/>
      <w:jc w:val="both"/>
    </w:pPr>
    <w:rPr>
      <w:rFonts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4">
    <w:name w:val="Table Grid 1"/>
    <w:basedOn w:val="90"/>
    <w:qFormat/>
    <w:uiPriority w:val="0"/>
    <w:pPr>
      <w:widowControl w:val="0"/>
      <w:spacing w:line="360" w:lineRule="auto"/>
      <w:jc w:val="both"/>
    </w:pPr>
    <w:rPr>
      <w:rFonts w:ascii="等线" w:hAnsi="等线" w:eastAsia="等线" w:cs="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96">
    <w:name w:val="Strong"/>
    <w:qFormat/>
    <w:uiPriority w:val="0"/>
    <w:rPr>
      <w:b/>
      <w:bCs/>
    </w:rPr>
  </w:style>
  <w:style w:type="character" w:styleId="97">
    <w:name w:val="page number"/>
    <w:qFormat/>
    <w:uiPriority w:val="0"/>
    <w:rPr>
      <w:rFonts w:cs="Times New Roman"/>
    </w:rPr>
  </w:style>
  <w:style w:type="character" w:styleId="98">
    <w:name w:val="FollowedHyperlink"/>
    <w:qFormat/>
    <w:uiPriority w:val="0"/>
    <w:rPr>
      <w:rFonts w:cs="Times New Roman"/>
      <w:color w:val="800080"/>
      <w:u w:val="single"/>
    </w:rPr>
  </w:style>
  <w:style w:type="character" w:styleId="99">
    <w:name w:val="Emphasis"/>
    <w:qFormat/>
    <w:uiPriority w:val="20"/>
    <w:rPr>
      <w:i/>
      <w:iCs/>
    </w:rPr>
  </w:style>
  <w:style w:type="character" w:styleId="100">
    <w:name w:val="HTML Definition"/>
    <w:unhideWhenUsed/>
    <w:qFormat/>
    <w:uiPriority w:val="0"/>
  </w:style>
  <w:style w:type="character" w:styleId="101">
    <w:name w:val="HTML Typewriter"/>
    <w:unhideWhenUsed/>
    <w:qFormat/>
    <w:uiPriority w:val="0"/>
    <w:rPr>
      <w:rFonts w:hint="default" w:ascii="monospace" w:hAnsi="monospace" w:eastAsia="monospace" w:cs="monospace"/>
      <w:sz w:val="20"/>
    </w:rPr>
  </w:style>
  <w:style w:type="character" w:styleId="102">
    <w:name w:val="HTML Acronym"/>
    <w:unhideWhenUsed/>
    <w:qFormat/>
    <w:uiPriority w:val="0"/>
  </w:style>
  <w:style w:type="character" w:styleId="103">
    <w:name w:val="HTML Variable"/>
    <w:unhideWhenUsed/>
    <w:qFormat/>
    <w:uiPriority w:val="0"/>
  </w:style>
  <w:style w:type="character" w:styleId="104">
    <w:name w:val="Hyperlink"/>
    <w:qFormat/>
    <w:uiPriority w:val="99"/>
    <w:rPr>
      <w:rFonts w:cs="Times New Roman"/>
      <w:color w:val="0000FF"/>
      <w:u w:val="single"/>
    </w:rPr>
  </w:style>
  <w:style w:type="character" w:styleId="105">
    <w:name w:val="HTML Code"/>
    <w:unhideWhenUsed/>
    <w:qFormat/>
    <w:uiPriority w:val="0"/>
    <w:rPr>
      <w:rFonts w:ascii="monospace" w:hAnsi="monospace" w:eastAsia="monospace" w:cs="monospace"/>
      <w:sz w:val="20"/>
    </w:rPr>
  </w:style>
  <w:style w:type="character" w:styleId="106">
    <w:name w:val="annotation reference"/>
    <w:basedOn w:val="95"/>
    <w:qFormat/>
    <w:uiPriority w:val="0"/>
    <w:rPr>
      <w:rFonts w:cs="Times New Roman"/>
      <w:sz w:val="21"/>
      <w:szCs w:val="21"/>
    </w:rPr>
  </w:style>
  <w:style w:type="character" w:styleId="107">
    <w:name w:val="HTML Cite"/>
    <w:unhideWhenUsed/>
    <w:qFormat/>
    <w:uiPriority w:val="0"/>
  </w:style>
  <w:style w:type="character" w:styleId="108">
    <w:name w:val="footnote reference"/>
    <w:unhideWhenUsed/>
    <w:qFormat/>
    <w:uiPriority w:val="0"/>
    <w:rPr>
      <w:vertAlign w:val="superscript"/>
    </w:rPr>
  </w:style>
  <w:style w:type="character" w:styleId="109">
    <w:name w:val="HTML Keyboard"/>
    <w:unhideWhenUsed/>
    <w:qFormat/>
    <w:uiPriority w:val="0"/>
    <w:rPr>
      <w:rFonts w:hint="default" w:ascii="monospace" w:hAnsi="monospace" w:eastAsia="monospace" w:cs="monospace"/>
      <w:sz w:val="20"/>
    </w:rPr>
  </w:style>
  <w:style w:type="character" w:styleId="110">
    <w:name w:val="HTML Sample"/>
    <w:unhideWhenUsed/>
    <w:qFormat/>
    <w:uiPriority w:val="0"/>
    <w:rPr>
      <w:rFonts w:hint="default" w:ascii="monospace" w:hAnsi="monospace" w:eastAsia="monospace" w:cs="monospace"/>
    </w:rPr>
  </w:style>
  <w:style w:type="paragraph" w:customStyle="1" w:styleId="111">
    <w:name w:val="样式1"/>
    <w:basedOn w:val="1"/>
    <w:link w:val="547"/>
    <w:qFormat/>
    <w:uiPriority w:val="0"/>
    <w:pPr>
      <w:spacing w:line="360" w:lineRule="auto"/>
      <w:jc w:val="center"/>
    </w:pPr>
    <w:rPr>
      <w:rFonts w:ascii="宋体" w:hAnsi="宋体" w:eastAsia="宋体" w:cs="Times New Roman"/>
      <w:b/>
      <w:sz w:val="32"/>
      <w:szCs w:val="30"/>
    </w:rPr>
  </w:style>
  <w:style w:type="character" w:customStyle="1" w:styleId="112">
    <w:name w:val="标题 1 字符1"/>
    <w:basedOn w:val="95"/>
    <w:link w:val="3"/>
    <w:qFormat/>
    <w:uiPriority w:val="0"/>
    <w:rPr>
      <w:rFonts w:ascii="Times New Roman" w:hAnsi="Times New Roman" w:eastAsia="宋体" w:cs="Times New Roman"/>
      <w:b/>
      <w:bCs/>
      <w:kern w:val="44"/>
      <w:sz w:val="44"/>
      <w:szCs w:val="44"/>
    </w:rPr>
  </w:style>
  <w:style w:type="character" w:customStyle="1" w:styleId="113">
    <w:name w:val="标题 2 字符1"/>
    <w:basedOn w:val="95"/>
    <w:link w:val="4"/>
    <w:qFormat/>
    <w:uiPriority w:val="0"/>
    <w:rPr>
      <w:rFonts w:ascii="Arial" w:hAnsi="Arial" w:eastAsia="黑体" w:cs="Times New Roman"/>
      <w:b/>
      <w:bCs/>
      <w:sz w:val="32"/>
      <w:szCs w:val="32"/>
    </w:rPr>
  </w:style>
  <w:style w:type="character" w:customStyle="1" w:styleId="114">
    <w:name w:val="标题 3 字符1"/>
    <w:basedOn w:val="95"/>
    <w:link w:val="5"/>
    <w:qFormat/>
    <w:uiPriority w:val="0"/>
    <w:rPr>
      <w:rFonts w:ascii="Times New Roman" w:hAnsi="Times New Roman" w:eastAsia="宋体" w:cs="Times New Roman"/>
      <w:b/>
      <w:bCs/>
      <w:sz w:val="32"/>
      <w:szCs w:val="32"/>
    </w:rPr>
  </w:style>
  <w:style w:type="character" w:customStyle="1" w:styleId="115">
    <w:name w:val="标题 4 字符1"/>
    <w:basedOn w:val="95"/>
    <w:link w:val="6"/>
    <w:qFormat/>
    <w:uiPriority w:val="9"/>
    <w:rPr>
      <w:rFonts w:ascii="Cambria" w:hAnsi="Cambria" w:eastAsia="宋体" w:cs="Times New Roman"/>
      <w:b/>
      <w:bCs/>
      <w:sz w:val="28"/>
      <w:szCs w:val="28"/>
    </w:rPr>
  </w:style>
  <w:style w:type="character" w:customStyle="1" w:styleId="116">
    <w:name w:val="标题 5 字符1"/>
    <w:basedOn w:val="95"/>
    <w:link w:val="7"/>
    <w:qFormat/>
    <w:uiPriority w:val="0"/>
    <w:rPr>
      <w:rFonts w:ascii="Times New Roman" w:hAnsi="Times New Roman" w:eastAsia="宋体" w:cs="Times New Roman"/>
      <w:b/>
      <w:bCs/>
      <w:sz w:val="28"/>
      <w:szCs w:val="28"/>
    </w:rPr>
  </w:style>
  <w:style w:type="character" w:customStyle="1" w:styleId="117">
    <w:name w:val="标题 6 Char"/>
    <w:basedOn w:val="95"/>
    <w:qFormat/>
    <w:uiPriority w:val="0"/>
    <w:rPr>
      <w:rFonts w:asciiTheme="majorHAnsi" w:hAnsiTheme="majorHAnsi" w:eastAsiaTheme="majorEastAsia" w:cstheme="majorBidi"/>
      <w:b/>
      <w:bCs/>
      <w:sz w:val="24"/>
      <w:szCs w:val="24"/>
    </w:rPr>
  </w:style>
  <w:style w:type="character" w:customStyle="1" w:styleId="118">
    <w:name w:val="标题 7 字符2"/>
    <w:basedOn w:val="95"/>
    <w:link w:val="9"/>
    <w:qFormat/>
    <w:uiPriority w:val="0"/>
    <w:rPr>
      <w:rFonts w:ascii="Times New Roman" w:hAnsi="Times New Roman" w:eastAsia="宋体" w:cs="Times New Roman"/>
      <w:b/>
      <w:bCs/>
      <w:sz w:val="24"/>
      <w:szCs w:val="24"/>
    </w:rPr>
  </w:style>
  <w:style w:type="character" w:customStyle="1" w:styleId="119">
    <w:name w:val="标题 8 字符1"/>
    <w:basedOn w:val="95"/>
    <w:link w:val="10"/>
    <w:qFormat/>
    <w:uiPriority w:val="0"/>
    <w:rPr>
      <w:rFonts w:ascii="Arial" w:hAnsi="Arial" w:eastAsia="黑体" w:cs="Times New Roman"/>
      <w:kern w:val="0"/>
      <w:sz w:val="24"/>
      <w:szCs w:val="20"/>
    </w:rPr>
  </w:style>
  <w:style w:type="character" w:customStyle="1" w:styleId="120">
    <w:name w:val="标题 9 字符1"/>
    <w:basedOn w:val="95"/>
    <w:link w:val="11"/>
    <w:qFormat/>
    <w:uiPriority w:val="0"/>
    <w:rPr>
      <w:rFonts w:ascii="Arial" w:hAnsi="Arial" w:eastAsia="黑体" w:cs="Times New Roman"/>
      <w:kern w:val="0"/>
      <w:szCs w:val="20"/>
    </w:rPr>
  </w:style>
  <w:style w:type="character" w:customStyle="1" w:styleId="121">
    <w:name w:val="正文文本 字符1"/>
    <w:basedOn w:val="95"/>
    <w:link w:val="34"/>
    <w:qFormat/>
    <w:uiPriority w:val="0"/>
    <w:rPr>
      <w:rFonts w:ascii="Times New Roman" w:hAnsi="Times New Roman" w:eastAsia="宋体" w:cs="Times New Roman"/>
      <w:szCs w:val="24"/>
    </w:rPr>
  </w:style>
  <w:style w:type="character" w:customStyle="1" w:styleId="122">
    <w:name w:val="标题 6 字符1"/>
    <w:link w:val="8"/>
    <w:qFormat/>
    <w:uiPriority w:val="0"/>
    <w:rPr>
      <w:rFonts w:ascii="Arial" w:hAnsi="Arial" w:eastAsia="黑体" w:cs="Times New Roman"/>
      <w:b/>
      <w:sz w:val="24"/>
      <w:szCs w:val="20"/>
    </w:rPr>
  </w:style>
  <w:style w:type="character" w:customStyle="1" w:styleId="123">
    <w:name w:val="正文缩进 字符1"/>
    <w:link w:val="21"/>
    <w:qFormat/>
    <w:uiPriority w:val="0"/>
    <w:rPr>
      <w:rFonts w:ascii="Times New Roman" w:hAnsi="Times New Roman" w:eastAsia="宋体" w:cs="Times New Roman"/>
      <w:szCs w:val="20"/>
    </w:rPr>
  </w:style>
  <w:style w:type="character" w:customStyle="1" w:styleId="124">
    <w:name w:val="文档结构图 字符1"/>
    <w:basedOn w:val="95"/>
    <w:link w:val="26"/>
    <w:qFormat/>
    <w:uiPriority w:val="0"/>
    <w:rPr>
      <w:rFonts w:ascii="Times New Roman" w:hAnsi="Times New Roman" w:eastAsia="宋体" w:cs="Times New Roman"/>
      <w:sz w:val="16"/>
      <w:szCs w:val="16"/>
      <w:shd w:val="clear" w:color="auto" w:fill="000080"/>
    </w:rPr>
  </w:style>
  <w:style w:type="character" w:customStyle="1" w:styleId="125">
    <w:name w:val="批注文字 字符1"/>
    <w:basedOn w:val="95"/>
    <w:link w:val="28"/>
    <w:qFormat/>
    <w:uiPriority w:val="0"/>
    <w:rPr>
      <w:rFonts w:ascii="Times New Roman" w:hAnsi="Times New Roman" w:eastAsia="宋体" w:cs="Times New Roman"/>
      <w:szCs w:val="24"/>
    </w:rPr>
  </w:style>
  <w:style w:type="character" w:customStyle="1" w:styleId="126">
    <w:name w:val="正文文本 3 字符1"/>
    <w:basedOn w:val="95"/>
    <w:link w:val="31"/>
    <w:qFormat/>
    <w:uiPriority w:val="0"/>
    <w:rPr>
      <w:rFonts w:ascii="Times New Roman" w:hAnsi="Times New Roman" w:eastAsia="宋体" w:cs="Times New Roman"/>
      <w:sz w:val="16"/>
      <w:szCs w:val="16"/>
    </w:rPr>
  </w:style>
  <w:style w:type="character" w:customStyle="1" w:styleId="127">
    <w:name w:val="正文文本缩进 字符1"/>
    <w:basedOn w:val="95"/>
    <w:link w:val="35"/>
    <w:qFormat/>
    <w:uiPriority w:val="0"/>
    <w:rPr>
      <w:rFonts w:ascii="Times New Roman" w:hAnsi="Times New Roman" w:eastAsia="宋体" w:cs="Times New Roman"/>
      <w:sz w:val="24"/>
      <w:szCs w:val="24"/>
    </w:rPr>
  </w:style>
  <w:style w:type="character" w:customStyle="1" w:styleId="128">
    <w:name w:val="纯文本 字符1"/>
    <w:basedOn w:val="95"/>
    <w:link w:val="46"/>
    <w:qFormat/>
    <w:uiPriority w:val="0"/>
    <w:rPr>
      <w:rFonts w:ascii="宋体" w:hAnsi="Courier New" w:eastAsia="宋体" w:cs="Courier New"/>
      <w:szCs w:val="21"/>
    </w:rPr>
  </w:style>
  <w:style w:type="character" w:customStyle="1" w:styleId="129">
    <w:name w:val="日期 字符1"/>
    <w:basedOn w:val="95"/>
    <w:link w:val="51"/>
    <w:qFormat/>
    <w:uiPriority w:val="0"/>
    <w:rPr>
      <w:rFonts w:ascii="Times New Roman" w:hAnsi="Times New Roman" w:eastAsia="宋体" w:cs="Times New Roman"/>
      <w:szCs w:val="24"/>
    </w:rPr>
  </w:style>
  <w:style w:type="character" w:customStyle="1" w:styleId="130">
    <w:name w:val="正文文本缩进 2 字符1"/>
    <w:basedOn w:val="95"/>
    <w:link w:val="52"/>
    <w:qFormat/>
    <w:uiPriority w:val="0"/>
    <w:rPr>
      <w:rFonts w:ascii="Times New Roman" w:hAnsi="Times New Roman" w:eastAsia="宋体" w:cs="Times New Roman"/>
      <w:szCs w:val="24"/>
    </w:rPr>
  </w:style>
  <w:style w:type="character" w:customStyle="1" w:styleId="131">
    <w:name w:val="批注框文本 字符1"/>
    <w:basedOn w:val="95"/>
    <w:link w:val="55"/>
    <w:qFormat/>
    <w:uiPriority w:val="0"/>
    <w:rPr>
      <w:rFonts w:ascii="Times New Roman" w:hAnsi="Times New Roman" w:eastAsia="宋体" w:cs="Times New Roman"/>
      <w:sz w:val="16"/>
      <w:szCs w:val="16"/>
    </w:rPr>
  </w:style>
  <w:style w:type="character" w:customStyle="1" w:styleId="132">
    <w:name w:val="页脚 字符1"/>
    <w:basedOn w:val="95"/>
    <w:link w:val="56"/>
    <w:qFormat/>
    <w:uiPriority w:val="99"/>
    <w:rPr>
      <w:rFonts w:ascii="Times New Roman" w:hAnsi="Times New Roman" w:eastAsia="宋体" w:cs="Times New Roman"/>
      <w:sz w:val="18"/>
      <w:szCs w:val="18"/>
    </w:rPr>
  </w:style>
  <w:style w:type="character" w:customStyle="1" w:styleId="133">
    <w:name w:val="页眉 字符1"/>
    <w:basedOn w:val="95"/>
    <w:link w:val="57"/>
    <w:qFormat/>
    <w:uiPriority w:val="0"/>
    <w:rPr>
      <w:rFonts w:ascii="Times New Roman" w:hAnsi="Times New Roman" w:eastAsia="宋体" w:cs="Times New Roman"/>
      <w:sz w:val="18"/>
      <w:szCs w:val="18"/>
    </w:rPr>
  </w:style>
  <w:style w:type="character" w:customStyle="1" w:styleId="134">
    <w:name w:val="副标题 字符1"/>
    <w:basedOn w:val="95"/>
    <w:link w:val="64"/>
    <w:qFormat/>
    <w:uiPriority w:val="0"/>
    <w:rPr>
      <w:rFonts w:ascii="Arial" w:hAnsi="Arial" w:eastAsia="Times New Roman" w:cs="Times New Roman"/>
      <w:b/>
      <w:bCs/>
      <w:kern w:val="28"/>
      <w:sz w:val="32"/>
      <w:szCs w:val="32"/>
    </w:rPr>
  </w:style>
  <w:style w:type="character" w:customStyle="1" w:styleId="135">
    <w:name w:val="脚注文本 字符"/>
    <w:basedOn w:val="95"/>
    <w:link w:val="67"/>
    <w:qFormat/>
    <w:uiPriority w:val="0"/>
    <w:rPr>
      <w:rFonts w:ascii="Times New Roman" w:hAnsi="Times New Roman" w:eastAsia="宋体" w:cs="Times New Roman"/>
      <w:sz w:val="18"/>
      <w:szCs w:val="18"/>
    </w:rPr>
  </w:style>
  <w:style w:type="character" w:customStyle="1" w:styleId="136">
    <w:name w:val="正文文本缩进 3 字符1"/>
    <w:basedOn w:val="95"/>
    <w:link w:val="70"/>
    <w:qFormat/>
    <w:uiPriority w:val="0"/>
    <w:rPr>
      <w:rFonts w:ascii="Times New Roman" w:hAnsi="Times New Roman" w:eastAsia="宋体" w:cs="Times New Roman"/>
      <w:sz w:val="16"/>
      <w:szCs w:val="16"/>
    </w:rPr>
  </w:style>
  <w:style w:type="character" w:customStyle="1" w:styleId="137">
    <w:name w:val="正文文本 2 字符1"/>
    <w:basedOn w:val="95"/>
    <w:link w:val="76"/>
    <w:qFormat/>
    <w:uiPriority w:val="0"/>
    <w:rPr>
      <w:rFonts w:ascii="Times New Roman" w:hAnsi="Times New Roman" w:eastAsia="宋体" w:cs="Times New Roman"/>
      <w:szCs w:val="24"/>
    </w:rPr>
  </w:style>
  <w:style w:type="character" w:customStyle="1" w:styleId="138">
    <w:name w:val="HTML 预设格式 Char"/>
    <w:basedOn w:val="95"/>
    <w:qFormat/>
    <w:uiPriority w:val="0"/>
    <w:rPr>
      <w:rFonts w:ascii="Courier New" w:hAnsi="Courier New" w:cs="Courier New"/>
      <w:sz w:val="20"/>
      <w:szCs w:val="20"/>
    </w:rPr>
  </w:style>
  <w:style w:type="character" w:customStyle="1" w:styleId="139">
    <w:name w:val="HTML 预设格式 字符1"/>
    <w:link w:val="80"/>
    <w:qFormat/>
    <w:uiPriority w:val="0"/>
    <w:rPr>
      <w:rFonts w:ascii="宋体" w:hAnsi="宋体" w:eastAsia="宋体" w:cs="Times New Roman"/>
      <w:sz w:val="24"/>
    </w:rPr>
  </w:style>
  <w:style w:type="character" w:customStyle="1" w:styleId="140">
    <w:name w:val="标题 字符1"/>
    <w:basedOn w:val="95"/>
    <w:link w:val="84"/>
    <w:qFormat/>
    <w:uiPriority w:val="0"/>
    <w:rPr>
      <w:rFonts w:ascii="Cambria" w:hAnsi="Cambria" w:eastAsia="宋体" w:cs="Times New Roman"/>
      <w:b/>
      <w:bCs/>
      <w:sz w:val="32"/>
      <w:szCs w:val="32"/>
    </w:rPr>
  </w:style>
  <w:style w:type="character" w:customStyle="1" w:styleId="141">
    <w:name w:val="批注主题 字符1"/>
    <w:basedOn w:val="125"/>
    <w:link w:val="85"/>
    <w:qFormat/>
    <w:uiPriority w:val="0"/>
    <w:rPr>
      <w:rFonts w:ascii="Times New Roman" w:hAnsi="Times New Roman" w:eastAsia="宋体" w:cs="Times New Roman"/>
      <w:b/>
      <w:bCs/>
      <w:szCs w:val="24"/>
    </w:rPr>
  </w:style>
  <w:style w:type="character" w:customStyle="1" w:styleId="142">
    <w:name w:val="正文文本首行缩进 字符"/>
    <w:basedOn w:val="121"/>
    <w:link w:val="86"/>
    <w:qFormat/>
    <w:uiPriority w:val="0"/>
    <w:rPr>
      <w:rFonts w:ascii="Times New Roman" w:hAnsi="Times New Roman" w:eastAsia="宋体" w:cs="Times New Roman"/>
      <w:szCs w:val="24"/>
    </w:rPr>
  </w:style>
  <w:style w:type="character" w:customStyle="1" w:styleId="143">
    <w:name w:val="正文文本首行缩进 2 字符"/>
    <w:basedOn w:val="127"/>
    <w:link w:val="87"/>
    <w:qFormat/>
    <w:uiPriority w:val="0"/>
    <w:rPr>
      <w:rFonts w:ascii="Calibri" w:hAnsi="Calibri" w:eastAsia="Times New Roman" w:cs="Times New Roman"/>
      <w:kern w:val="0"/>
      <w:sz w:val="24"/>
      <w:szCs w:val="24"/>
    </w:rPr>
  </w:style>
  <w:style w:type="character" w:customStyle="1" w:styleId="144">
    <w:name w:val="正文（首行缩进两字） Char1"/>
    <w:qFormat/>
    <w:uiPriority w:val="0"/>
    <w:rPr>
      <w:rFonts w:eastAsia="宋体"/>
      <w:kern w:val="2"/>
      <w:sz w:val="21"/>
      <w:lang w:val="en-US" w:eastAsia="zh-CN" w:bidi="ar-SA"/>
    </w:rPr>
  </w:style>
  <w:style w:type="character" w:customStyle="1" w:styleId="145">
    <w:name w:val="z-窗体顶端 Char1"/>
    <w:qFormat/>
    <w:uiPriority w:val="0"/>
    <w:rPr>
      <w:rFonts w:ascii="Arial" w:hAnsi="Arial" w:eastAsia="宋体" w:cs="Arial"/>
      <w:vanish/>
      <w:sz w:val="16"/>
      <w:szCs w:val="16"/>
    </w:rPr>
  </w:style>
  <w:style w:type="character" w:customStyle="1" w:styleId="146">
    <w:name w:val="纯文本 字符"/>
    <w:qFormat/>
    <w:uiPriority w:val="99"/>
    <w:rPr>
      <w:rFonts w:ascii="宋体" w:hAnsi="Courier New" w:eastAsia="宋体" w:cs="Courier New"/>
      <w:kern w:val="2"/>
      <w:sz w:val="21"/>
      <w:szCs w:val="21"/>
      <w:lang w:val="en-US" w:eastAsia="zh-CN" w:bidi="ar-SA"/>
    </w:rPr>
  </w:style>
  <w:style w:type="character" w:customStyle="1" w:styleId="147">
    <w:name w:val="正文（首行缩进两字） Char Char"/>
    <w:qFormat/>
    <w:uiPriority w:val="0"/>
    <w:rPr>
      <w:kern w:val="2"/>
      <w:sz w:val="21"/>
    </w:rPr>
  </w:style>
  <w:style w:type="character" w:customStyle="1" w:styleId="148">
    <w:name w:val="标题 3 Char1"/>
    <w:qFormat/>
    <w:uiPriority w:val="0"/>
    <w:rPr>
      <w:rFonts w:eastAsia="宋体"/>
      <w:kern w:val="2"/>
      <w:sz w:val="24"/>
      <w:lang w:val="en-US" w:eastAsia="zh-CN"/>
    </w:rPr>
  </w:style>
  <w:style w:type="character" w:customStyle="1" w:styleId="149">
    <w:name w:val="标题 Char1"/>
    <w:qFormat/>
    <w:uiPriority w:val="0"/>
    <w:rPr>
      <w:rFonts w:ascii="Cambria" w:hAnsi="Cambria" w:eastAsia="宋体" w:cs="Times New Roman"/>
      <w:b/>
      <w:bCs/>
      <w:sz w:val="32"/>
      <w:szCs w:val="32"/>
    </w:rPr>
  </w:style>
  <w:style w:type="character" w:customStyle="1" w:styleId="150">
    <w:name w:val="标题 2 Char3"/>
    <w:qFormat/>
    <w:uiPriority w:val="0"/>
    <w:rPr>
      <w:rFonts w:ascii="Calibri Light" w:hAnsi="Calibri Light" w:eastAsia="宋体"/>
      <w:b/>
      <w:bCs/>
      <w:kern w:val="2"/>
      <w:sz w:val="32"/>
      <w:szCs w:val="32"/>
      <w:lang w:val="en-US" w:eastAsia="zh-CN" w:bidi="ar-SA"/>
    </w:rPr>
  </w:style>
  <w:style w:type="character" w:customStyle="1" w:styleId="151">
    <w:name w:val="正文首行缩进 Char1"/>
    <w:qFormat/>
    <w:uiPriority w:val="0"/>
  </w:style>
  <w:style w:type="character" w:customStyle="1" w:styleId="152">
    <w:name w:val="正文文本 Char1"/>
    <w:qFormat/>
    <w:uiPriority w:val="99"/>
    <w:rPr>
      <w:rFonts w:ascii="Times New Roman" w:hAnsi="Times New Roman" w:eastAsia="宋体" w:cs="Times New Roman"/>
      <w:szCs w:val="24"/>
    </w:rPr>
  </w:style>
  <w:style w:type="character" w:customStyle="1" w:styleId="153">
    <w:name w:val="正文文本缩进 2 Char1"/>
    <w:qFormat/>
    <w:uiPriority w:val="0"/>
    <w:rPr>
      <w:szCs w:val="24"/>
    </w:rPr>
  </w:style>
  <w:style w:type="character" w:customStyle="1" w:styleId="154">
    <w:name w:val="标题 9 Char1"/>
    <w:qFormat/>
    <w:uiPriority w:val="0"/>
    <w:rPr>
      <w:rFonts w:ascii="Arial" w:hAnsi="Arial" w:eastAsia="黑体"/>
      <w:sz w:val="21"/>
    </w:rPr>
  </w:style>
  <w:style w:type="character" w:customStyle="1" w:styleId="155">
    <w:name w:val="页脚 Char1"/>
    <w:qFormat/>
    <w:uiPriority w:val="99"/>
    <w:rPr>
      <w:rFonts w:ascii="Times New Roman" w:hAnsi="Times New Roman" w:eastAsia="宋体" w:cs="Times New Roman"/>
      <w:sz w:val="18"/>
      <w:szCs w:val="1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Char Char16"/>
    <w:qFormat/>
    <w:uiPriority w:val="0"/>
    <w:rPr>
      <w:rFonts w:eastAsia="宋体"/>
      <w:sz w:val="21"/>
      <w:lang w:val="en-US" w:eastAsia="zh-CN" w:bidi="ar-SA"/>
    </w:rPr>
  </w:style>
  <w:style w:type="character" w:customStyle="1" w:styleId="158">
    <w:name w:val="Char Char2"/>
    <w:qFormat/>
    <w:uiPriority w:val="0"/>
    <w:rPr>
      <w:rFonts w:ascii="宋体" w:hAnsi="Courier New"/>
      <w:kern w:val="2"/>
      <w:sz w:val="21"/>
    </w:rPr>
  </w:style>
  <w:style w:type="character" w:customStyle="1" w:styleId="159">
    <w:name w:val="标题 1 Char Char Char Char Char Char Char Char Char Char Char Char Char Char Char Char Char Char Char Char1"/>
    <w:qFormat/>
    <w:uiPriority w:val="0"/>
    <w:rPr>
      <w:rFonts w:eastAsia="宋体"/>
      <w:b/>
      <w:bCs/>
      <w:color w:val="FF0000"/>
      <w:kern w:val="2"/>
      <w:sz w:val="21"/>
      <w:szCs w:val="24"/>
      <w:lang w:val="en-US" w:eastAsia="zh-CN" w:bidi="ar-SA"/>
    </w:rPr>
  </w:style>
  <w:style w:type="character" w:customStyle="1" w:styleId="160">
    <w:name w:val="headline-content2"/>
    <w:qFormat/>
    <w:uiPriority w:val="0"/>
  </w:style>
  <w:style w:type="character" w:customStyle="1" w:styleId="161">
    <w:name w:val="列表段落 字符"/>
    <w:link w:val="162"/>
    <w:qFormat/>
    <w:uiPriority w:val="0"/>
    <w:rPr>
      <w:rFonts w:ascii="Calibri" w:hAnsi="Calibri"/>
    </w:rPr>
  </w:style>
  <w:style w:type="paragraph" w:styleId="162">
    <w:name w:val="List Paragraph"/>
    <w:basedOn w:val="1"/>
    <w:link w:val="161"/>
    <w:qFormat/>
    <w:uiPriority w:val="99"/>
    <w:pPr>
      <w:ind w:firstLine="420" w:firstLineChars="200"/>
    </w:pPr>
    <w:rPr>
      <w:rFonts w:ascii="Calibri" w:hAnsi="Calibri"/>
    </w:rPr>
  </w:style>
  <w:style w:type="character" w:customStyle="1" w:styleId="163">
    <w:name w:val="批注文字 字符"/>
    <w:qFormat/>
    <w:uiPriority w:val="99"/>
    <w:rPr>
      <w:kern w:val="2"/>
      <w:sz w:val="21"/>
      <w:szCs w:val="24"/>
    </w:rPr>
  </w:style>
  <w:style w:type="character" w:customStyle="1" w:styleId="164">
    <w:name w:val="正文文本 3 Char1"/>
    <w:qFormat/>
    <w:uiPriority w:val="0"/>
    <w:rPr>
      <w:sz w:val="16"/>
      <w:szCs w:val="16"/>
    </w:rPr>
  </w:style>
  <w:style w:type="character" w:customStyle="1" w:styleId="165">
    <w:name w:val="font91"/>
    <w:qFormat/>
    <w:uiPriority w:val="0"/>
    <w:rPr>
      <w:rFonts w:hint="eastAsia" w:ascii="宋体" w:hAnsi="宋体" w:eastAsia="宋体" w:cs="宋体"/>
      <w:color w:val="000000"/>
      <w:sz w:val="18"/>
      <w:szCs w:val="18"/>
      <w:u w:val="none"/>
    </w:rPr>
  </w:style>
  <w:style w:type="character" w:customStyle="1" w:styleId="166">
    <w:name w:val="表格正文 Char"/>
    <w:link w:val="167"/>
    <w:qFormat/>
    <w:uiPriority w:val="0"/>
    <w:rPr>
      <w:rFonts w:ascii="Times New Roman" w:hAnsi="Times New Roman" w:cs="Times"/>
      <w:szCs w:val="21"/>
    </w:rPr>
  </w:style>
  <w:style w:type="paragraph" w:customStyle="1" w:styleId="167">
    <w:name w:val="表格正文"/>
    <w:basedOn w:val="1"/>
    <w:link w:val="166"/>
    <w:qFormat/>
    <w:uiPriority w:val="0"/>
    <w:pPr>
      <w:widowControl/>
      <w:spacing w:line="276" w:lineRule="auto"/>
      <w:jc w:val="left"/>
    </w:pPr>
    <w:rPr>
      <w:rFonts w:ascii="Times New Roman" w:hAnsi="Times New Roman" w:cs="Times"/>
      <w:szCs w:val="21"/>
    </w:rPr>
  </w:style>
  <w:style w:type="character" w:customStyle="1" w:styleId="168">
    <w:name w:val="编号1. Char Char Char"/>
    <w:link w:val="169"/>
    <w:qFormat/>
    <w:uiPriority w:val="0"/>
    <w:rPr>
      <w:rFonts w:eastAsia="宋体" w:cs="Times New Roman"/>
      <w:sz w:val="24"/>
      <w:szCs w:val="24"/>
    </w:rPr>
  </w:style>
  <w:style w:type="paragraph" w:customStyle="1" w:styleId="169">
    <w:name w:val="编号1."/>
    <w:basedOn w:val="1"/>
    <w:link w:val="168"/>
    <w:qFormat/>
    <w:uiPriority w:val="0"/>
    <w:pPr>
      <w:tabs>
        <w:tab w:val="left" w:pos="360"/>
        <w:tab w:val="left" w:pos="547"/>
        <w:tab w:val="left" w:pos="1080"/>
      </w:tabs>
      <w:spacing w:line="480" w:lineRule="atLeast"/>
      <w:ind w:left="360" w:hanging="360"/>
    </w:pPr>
    <w:rPr>
      <w:rFonts w:eastAsia="宋体" w:cs="Times New Roman"/>
      <w:sz w:val="24"/>
      <w:szCs w:val="24"/>
    </w:rPr>
  </w:style>
  <w:style w:type="character" w:customStyle="1" w:styleId="170">
    <w:name w:val="Char Char1"/>
    <w:qFormat/>
    <w:uiPriority w:val="0"/>
    <w:rPr>
      <w:rFonts w:ascii="宋体" w:hAnsi="Courier New" w:eastAsia="宋体"/>
      <w:kern w:val="2"/>
      <w:sz w:val="21"/>
      <w:lang w:val="en-US" w:eastAsia="zh-CN" w:bidi="ar-SA"/>
    </w:rPr>
  </w:style>
  <w:style w:type="character" w:customStyle="1" w:styleId="171">
    <w:name w:val="纯文本 Char2"/>
    <w:qFormat/>
    <w:uiPriority w:val="0"/>
    <w:rPr>
      <w:rFonts w:ascii="宋体" w:hAnsi="Courier New" w:eastAsia="宋体" w:cs="Courier New"/>
      <w:kern w:val="2"/>
      <w:sz w:val="21"/>
      <w:szCs w:val="21"/>
    </w:rPr>
  </w:style>
  <w:style w:type="character" w:customStyle="1" w:styleId="172">
    <w:name w:val="正文（首行缩进两字） Char11"/>
    <w:qFormat/>
    <w:uiPriority w:val="0"/>
    <w:rPr>
      <w:rFonts w:eastAsia="宋体"/>
      <w:kern w:val="2"/>
      <w:sz w:val="21"/>
      <w:lang w:val="en-US" w:eastAsia="zh-CN" w:bidi="ar-SA"/>
    </w:rPr>
  </w:style>
  <w:style w:type="character" w:customStyle="1" w:styleId="173">
    <w:name w:val="正文文本缩进 Char1"/>
    <w:qFormat/>
    <w:uiPriority w:val="0"/>
    <w:rPr>
      <w:rFonts w:eastAsia="宋体" w:cs="Times New Roman"/>
      <w:sz w:val="24"/>
      <w:szCs w:val="24"/>
    </w:rPr>
  </w:style>
  <w:style w:type="character" w:customStyle="1" w:styleId="174">
    <w:name w:val="font21"/>
    <w:qFormat/>
    <w:uiPriority w:val="0"/>
    <w:rPr>
      <w:rFonts w:hint="eastAsia" w:ascii="宋体" w:hAnsi="宋体" w:eastAsia="宋体" w:cs="宋体"/>
      <w:color w:val="000000"/>
      <w:sz w:val="21"/>
      <w:szCs w:val="21"/>
      <w:u w:val="none"/>
    </w:rPr>
  </w:style>
  <w:style w:type="character" w:customStyle="1" w:styleId="175">
    <w:name w:val="正文缩进 字符"/>
    <w:qFormat/>
    <w:uiPriority w:val="0"/>
    <w:rPr>
      <w:rFonts w:eastAsia="宋体" w:cs="Times New Roman"/>
      <w:kern w:val="2"/>
      <w:sz w:val="21"/>
      <w:lang w:val="en-US" w:eastAsia="zh-CN" w:bidi="ar-SA"/>
    </w:rPr>
  </w:style>
  <w:style w:type="character" w:customStyle="1" w:styleId="176">
    <w:name w:val="表格文字图表文字 Char"/>
    <w:link w:val="177"/>
    <w:qFormat/>
    <w:uiPriority w:val="0"/>
    <w:rPr>
      <w:lang w:val="zh-CN"/>
    </w:rPr>
  </w:style>
  <w:style w:type="paragraph" w:customStyle="1" w:styleId="177">
    <w:name w:val="表格文字图表文字"/>
    <w:basedOn w:val="1"/>
    <w:link w:val="176"/>
    <w:qFormat/>
    <w:uiPriority w:val="0"/>
    <w:pPr>
      <w:snapToGrid w:val="0"/>
      <w:jc w:val="center"/>
    </w:pPr>
    <w:rPr>
      <w:lang w:val="zh-CN"/>
    </w:rPr>
  </w:style>
  <w:style w:type="character" w:customStyle="1" w:styleId="178">
    <w:name w:val="标题1 Char"/>
    <w:qFormat/>
    <w:locked/>
    <w:uiPriority w:val="0"/>
    <w:rPr>
      <w:rFonts w:eastAsia="宋体"/>
      <w:b/>
      <w:kern w:val="44"/>
      <w:sz w:val="32"/>
      <w:lang w:val="en-US" w:eastAsia="zh-CN"/>
    </w:rPr>
  </w:style>
  <w:style w:type="character" w:customStyle="1" w:styleId="179">
    <w:name w:val="样式 超链接 + 仿宋_GB2312 小四 加粗"/>
    <w:qFormat/>
    <w:uiPriority w:val="0"/>
    <w:rPr>
      <w:rFonts w:ascii="仿宋_GB2312" w:hAnsi="仿宋_GB2312" w:eastAsia="黑体"/>
      <w:b/>
      <w:bCs/>
      <w:color w:val="auto"/>
      <w:sz w:val="24"/>
      <w:u w:val="none"/>
    </w:rPr>
  </w:style>
  <w:style w:type="character" w:customStyle="1" w:styleId="180">
    <w:name w:val="style41"/>
    <w:qFormat/>
    <w:uiPriority w:val="0"/>
    <w:rPr>
      <w:rFonts w:hint="eastAsia" w:ascii="宋体" w:hAnsi="宋体" w:eastAsia="宋体"/>
      <w:sz w:val="18"/>
    </w:rPr>
  </w:style>
  <w:style w:type="character" w:customStyle="1" w:styleId="181">
    <w:name w:val="z-窗体底端 Char"/>
    <w:link w:val="182"/>
    <w:qFormat/>
    <w:uiPriority w:val="99"/>
    <w:rPr>
      <w:rFonts w:ascii="Arial" w:hAnsi="Arial" w:cs="Arial"/>
      <w:vanish/>
      <w:sz w:val="16"/>
      <w:szCs w:val="16"/>
    </w:rPr>
  </w:style>
  <w:style w:type="paragraph" w:customStyle="1" w:styleId="182">
    <w:name w:val="z-窗体底端1"/>
    <w:basedOn w:val="1"/>
    <w:next w:val="1"/>
    <w:link w:val="181"/>
    <w:qFormat/>
    <w:uiPriority w:val="99"/>
    <w:pPr>
      <w:pBdr>
        <w:top w:val="single" w:color="auto" w:sz="6" w:space="1"/>
      </w:pBdr>
      <w:jc w:val="center"/>
    </w:pPr>
    <w:rPr>
      <w:rFonts w:ascii="Arial" w:hAnsi="Arial" w:cs="Arial"/>
      <w:vanish/>
      <w:sz w:val="16"/>
      <w:szCs w:val="16"/>
    </w:rPr>
  </w:style>
  <w:style w:type="character" w:customStyle="1" w:styleId="183">
    <w:name w:val="z-窗体底端 Char1"/>
    <w:basedOn w:val="95"/>
    <w:qFormat/>
    <w:uiPriority w:val="0"/>
    <w:rPr>
      <w:rFonts w:ascii="Arial" w:hAnsi="Arial" w:cs="Arial"/>
      <w:vanish/>
      <w:sz w:val="16"/>
      <w:szCs w:val="16"/>
    </w:rPr>
  </w:style>
  <w:style w:type="character" w:customStyle="1" w:styleId="184">
    <w:name w:val="标题 1 Char1"/>
    <w:qFormat/>
    <w:uiPriority w:val="0"/>
    <w:rPr>
      <w:rFonts w:eastAsia="宋体"/>
      <w:b/>
      <w:bCs/>
      <w:color w:val="FF0000"/>
      <w:kern w:val="2"/>
      <w:sz w:val="21"/>
      <w:szCs w:val="24"/>
      <w:lang w:val="en-US" w:eastAsia="zh-CN" w:bidi="ar-SA"/>
    </w:rPr>
  </w:style>
  <w:style w:type="character" w:customStyle="1" w:styleId="185">
    <w:name w:val="lb1"/>
    <w:qFormat/>
    <w:uiPriority w:val="0"/>
    <w:rPr>
      <w:rFonts w:hint="default"/>
      <w:b/>
      <w:bCs/>
      <w:color w:val="0851A5"/>
      <w:sz w:val="27"/>
      <w:szCs w:val="27"/>
    </w:rPr>
  </w:style>
  <w:style w:type="character" w:customStyle="1" w:styleId="186">
    <w:name w:val="z-窗体顶端 Char"/>
    <w:link w:val="187"/>
    <w:qFormat/>
    <w:uiPriority w:val="99"/>
    <w:rPr>
      <w:rFonts w:ascii="Arial" w:hAnsi="Arial" w:cs="Arial"/>
      <w:vanish/>
      <w:sz w:val="16"/>
      <w:szCs w:val="16"/>
    </w:rPr>
  </w:style>
  <w:style w:type="paragraph" w:customStyle="1" w:styleId="187">
    <w:name w:val="z-窗体顶端1"/>
    <w:basedOn w:val="1"/>
    <w:next w:val="1"/>
    <w:link w:val="186"/>
    <w:qFormat/>
    <w:uiPriority w:val="99"/>
    <w:pPr>
      <w:pBdr>
        <w:bottom w:val="single" w:color="auto" w:sz="6" w:space="1"/>
      </w:pBdr>
      <w:jc w:val="center"/>
    </w:pPr>
    <w:rPr>
      <w:rFonts w:ascii="Arial" w:hAnsi="Arial" w:cs="Arial"/>
      <w:vanish/>
      <w:sz w:val="16"/>
      <w:szCs w:val="16"/>
    </w:rPr>
  </w:style>
  <w:style w:type="character" w:customStyle="1" w:styleId="188">
    <w:name w:val="z-窗体顶端 Char2"/>
    <w:basedOn w:val="95"/>
    <w:semiHidden/>
    <w:qFormat/>
    <w:uiPriority w:val="99"/>
    <w:rPr>
      <w:rFonts w:ascii="Arial" w:hAnsi="Arial" w:cs="Arial"/>
      <w:vanish/>
      <w:sz w:val="16"/>
      <w:szCs w:val="16"/>
    </w:rPr>
  </w:style>
  <w:style w:type="character" w:customStyle="1" w:styleId="189">
    <w:name w:val="style6"/>
    <w:qFormat/>
    <w:uiPriority w:val="0"/>
  </w:style>
  <w:style w:type="character" w:customStyle="1" w:styleId="190">
    <w:name w:val="批注框文本 Char1"/>
    <w:qFormat/>
    <w:uiPriority w:val="0"/>
    <w:rPr>
      <w:sz w:val="18"/>
      <w:szCs w:val="18"/>
    </w:rPr>
  </w:style>
  <w:style w:type="character" w:customStyle="1" w:styleId="191">
    <w:name w:val="正文文本 字符"/>
    <w:qFormat/>
    <w:uiPriority w:val="0"/>
    <w:rPr>
      <w:kern w:val="2"/>
      <w:sz w:val="21"/>
      <w:szCs w:val="24"/>
    </w:rPr>
  </w:style>
  <w:style w:type="character" w:customStyle="1" w:styleId="192">
    <w:name w:val="style351"/>
    <w:qFormat/>
    <w:uiPriority w:val="0"/>
    <w:rPr>
      <w:sz w:val="15"/>
      <w:szCs w:val="15"/>
    </w:rPr>
  </w:style>
  <w:style w:type="character" w:customStyle="1" w:styleId="193">
    <w:name w:val="日期 Char1"/>
    <w:qFormat/>
    <w:uiPriority w:val="0"/>
    <w:rPr>
      <w:szCs w:val="24"/>
    </w:rPr>
  </w:style>
  <w:style w:type="character" w:customStyle="1" w:styleId="194">
    <w:name w:val="普通文字1 Char"/>
    <w:qFormat/>
    <w:uiPriority w:val="0"/>
    <w:rPr>
      <w:rFonts w:ascii="宋体" w:hAnsi="Courier New" w:eastAsia="宋体"/>
      <w:kern w:val="2"/>
      <w:sz w:val="21"/>
      <w:lang w:val="en-US" w:eastAsia="zh-CN" w:bidi="ar-SA"/>
    </w:rPr>
  </w:style>
  <w:style w:type="character" w:customStyle="1" w:styleId="195">
    <w:name w:val="脚注文本 Char2"/>
    <w:qFormat/>
    <w:uiPriority w:val="0"/>
    <w:rPr>
      <w:sz w:val="18"/>
      <w:szCs w:val="18"/>
    </w:rPr>
  </w:style>
  <w:style w:type="character" w:customStyle="1" w:styleId="196">
    <w:name w:val="正文文本缩进 3 Char1"/>
    <w:qFormat/>
    <w:uiPriority w:val="0"/>
    <w:rPr>
      <w:sz w:val="16"/>
      <w:szCs w:val="16"/>
    </w:rPr>
  </w:style>
  <w:style w:type="character" w:customStyle="1" w:styleId="197">
    <w:name w:val="Plain Text Char1"/>
    <w:qFormat/>
    <w:uiPriority w:val="0"/>
    <w:rPr>
      <w:rFonts w:ascii="宋体" w:hAnsi="Courier New" w:cs="Courier New"/>
      <w:kern w:val="2"/>
      <w:sz w:val="21"/>
      <w:szCs w:val="21"/>
    </w:rPr>
  </w:style>
  <w:style w:type="character" w:customStyle="1" w:styleId="198">
    <w:name w:val="标题 4 Char1"/>
    <w:qFormat/>
    <w:uiPriority w:val="0"/>
    <w:rPr>
      <w:rFonts w:ascii="Cambria" w:hAnsi="Cambria" w:eastAsia="宋体" w:cs="Times New Roman"/>
      <w:b/>
      <w:bCs/>
      <w:kern w:val="2"/>
      <w:sz w:val="28"/>
      <w:szCs w:val="28"/>
    </w:rPr>
  </w:style>
  <w:style w:type="character" w:customStyle="1" w:styleId="199">
    <w:name w:val="font71"/>
    <w:qFormat/>
    <w:uiPriority w:val="0"/>
    <w:rPr>
      <w:rFonts w:hint="default" w:ascii="Times New Roman" w:hAnsi="Times New Roman" w:cs="Times New Roman"/>
      <w:b/>
      <w:color w:val="000000"/>
      <w:sz w:val="18"/>
      <w:szCs w:val="18"/>
      <w:u w:val="none"/>
    </w:rPr>
  </w:style>
  <w:style w:type="character" w:customStyle="1" w:styleId="200">
    <w:name w:val="font81"/>
    <w:qFormat/>
    <w:uiPriority w:val="0"/>
    <w:rPr>
      <w:rFonts w:hint="eastAsia" w:ascii="宋体" w:hAnsi="宋体" w:eastAsia="宋体" w:cs="宋体"/>
      <w:color w:val="000000"/>
      <w:sz w:val="21"/>
      <w:szCs w:val="21"/>
      <w:u w:val="none"/>
      <w:vertAlign w:val="superscript"/>
    </w:rPr>
  </w:style>
  <w:style w:type="character" w:customStyle="1" w:styleId="201">
    <w:name w:val="font41"/>
    <w:qFormat/>
    <w:uiPriority w:val="0"/>
    <w:rPr>
      <w:rFonts w:hint="eastAsia" w:ascii="宋体" w:hAnsi="宋体" w:eastAsia="宋体" w:cs="宋体"/>
      <w:color w:val="000000"/>
      <w:sz w:val="21"/>
      <w:szCs w:val="21"/>
      <w:u w:val="none"/>
    </w:rPr>
  </w:style>
  <w:style w:type="character" w:customStyle="1" w:styleId="202">
    <w:name w:val="批注框文本 字符"/>
    <w:qFormat/>
    <w:uiPriority w:val="0"/>
    <w:rPr>
      <w:kern w:val="2"/>
      <w:sz w:val="16"/>
      <w:szCs w:val="0"/>
    </w:rPr>
  </w:style>
  <w:style w:type="character" w:customStyle="1" w:styleId="203">
    <w:name w:val="纯文本 Char1"/>
    <w:qFormat/>
    <w:uiPriority w:val="0"/>
    <w:rPr>
      <w:rFonts w:ascii="宋体" w:hAnsi="Courier New" w:eastAsia="宋体"/>
      <w:sz w:val="24"/>
      <w:szCs w:val="24"/>
    </w:rPr>
  </w:style>
  <w:style w:type="character" w:customStyle="1" w:styleId="204">
    <w:name w:val="HTML 预设格式 Char1"/>
    <w:qFormat/>
    <w:uiPriority w:val="0"/>
    <w:rPr>
      <w:rFonts w:ascii="宋体" w:hAnsi="宋体"/>
      <w:sz w:val="24"/>
    </w:rPr>
  </w:style>
  <w:style w:type="character" w:customStyle="1" w:styleId="205">
    <w:name w:val="文档结构图 Char1"/>
    <w:qFormat/>
    <w:uiPriority w:val="0"/>
    <w:rPr>
      <w:kern w:val="2"/>
      <w:sz w:val="16"/>
      <w:szCs w:val="16"/>
      <w:shd w:val="clear" w:color="auto" w:fill="000080"/>
    </w:rPr>
  </w:style>
  <w:style w:type="character" w:customStyle="1" w:styleId="206">
    <w:name w:val="脚注文本 Char1"/>
    <w:qFormat/>
    <w:uiPriority w:val="0"/>
    <w:rPr>
      <w:kern w:val="2"/>
      <w:sz w:val="18"/>
      <w:szCs w:val="18"/>
    </w:rPr>
  </w:style>
  <w:style w:type="character" w:customStyle="1" w:styleId="207">
    <w:name w:val="批注主题 Char1"/>
    <w:qFormat/>
    <w:uiPriority w:val="0"/>
  </w:style>
  <w:style w:type="character" w:customStyle="1" w:styleId="208">
    <w:name w:val="批注文字 Char1"/>
    <w:qFormat/>
    <w:uiPriority w:val="99"/>
    <w:rPr>
      <w:rFonts w:ascii="Times New Roman" w:hAnsi="Times New Roman" w:eastAsia="宋体" w:cs="Times New Roman"/>
      <w:szCs w:val="24"/>
    </w:rPr>
  </w:style>
  <w:style w:type="character" w:customStyle="1" w:styleId="209">
    <w:name w:val="font31"/>
    <w:qFormat/>
    <w:uiPriority w:val="0"/>
    <w:rPr>
      <w:rFonts w:hint="eastAsia" w:ascii="宋体" w:hAnsi="宋体" w:eastAsia="宋体" w:cs="宋体"/>
      <w:color w:val="000000"/>
      <w:sz w:val="18"/>
      <w:szCs w:val="18"/>
      <w:u w:val="none"/>
    </w:rPr>
  </w:style>
  <w:style w:type="character" w:customStyle="1" w:styleId="210">
    <w:name w:val="Header Char1"/>
    <w:qFormat/>
    <w:uiPriority w:val="0"/>
    <w:rPr>
      <w:kern w:val="2"/>
      <w:sz w:val="18"/>
      <w:szCs w:val="18"/>
    </w:rPr>
  </w:style>
  <w:style w:type="character" w:customStyle="1" w:styleId="211">
    <w:name w:val="正文缩进 Char Char"/>
    <w:qFormat/>
    <w:uiPriority w:val="0"/>
    <w:rPr>
      <w:rFonts w:eastAsia="宋体" w:cs="Times New Roman"/>
      <w:sz w:val="21"/>
      <w:lang w:val="en-US" w:eastAsia="zh-CN" w:bidi="ar-SA"/>
    </w:rPr>
  </w:style>
  <w:style w:type="character" w:customStyle="1" w:styleId="212">
    <w:name w:val="fontblank12"/>
    <w:qFormat/>
    <w:uiPriority w:val="0"/>
  </w:style>
  <w:style w:type="character" w:customStyle="1" w:styleId="213">
    <w:name w:val="标题 1 Char2"/>
    <w:qFormat/>
    <w:uiPriority w:val="0"/>
    <w:rPr>
      <w:rFonts w:ascii="Times New Roman" w:hAnsi="Times New Roman" w:eastAsia="宋体" w:cs="Times New Roman"/>
      <w:b/>
      <w:bCs/>
      <w:kern w:val="44"/>
      <w:sz w:val="44"/>
      <w:szCs w:val="44"/>
    </w:rPr>
  </w:style>
  <w:style w:type="character" w:customStyle="1" w:styleId="214">
    <w:name w:val="样式 样式 小四 行距: 固定值 27 磅 + 首行缩进:  2 字符 Char Char"/>
    <w:link w:val="215"/>
    <w:qFormat/>
    <w:uiPriority w:val="0"/>
    <w:rPr>
      <w:rFonts w:eastAsia="宋体" w:cs="Times New Roman"/>
      <w:sz w:val="24"/>
    </w:rPr>
  </w:style>
  <w:style w:type="paragraph" w:customStyle="1" w:styleId="215">
    <w:name w:val="样式 样式 小四 行距: 固定值 27 磅 + 首行缩进:  2 字符"/>
    <w:basedOn w:val="1"/>
    <w:link w:val="214"/>
    <w:qFormat/>
    <w:uiPriority w:val="0"/>
    <w:pPr>
      <w:spacing w:line="360" w:lineRule="auto"/>
      <w:ind w:firstLine="480" w:firstLineChars="200"/>
    </w:pPr>
    <w:rPr>
      <w:rFonts w:eastAsia="宋体" w:cs="Times New Roman"/>
      <w:sz w:val="24"/>
    </w:rPr>
  </w:style>
  <w:style w:type="character" w:customStyle="1" w:styleId="216">
    <w:name w:val="font51"/>
    <w:qFormat/>
    <w:uiPriority w:val="0"/>
    <w:rPr>
      <w:rFonts w:hint="default" w:ascii="Calibri" w:hAnsi="Calibri" w:cs="Calibri"/>
      <w:color w:val="000000"/>
      <w:sz w:val="21"/>
      <w:szCs w:val="21"/>
      <w:u w:val="none"/>
    </w:rPr>
  </w:style>
  <w:style w:type="character" w:customStyle="1" w:styleId="217">
    <w:name w:val="批注文字 Char2"/>
    <w:qFormat/>
    <w:uiPriority w:val="0"/>
    <w:rPr>
      <w:sz w:val="21"/>
      <w:szCs w:val="24"/>
    </w:rPr>
  </w:style>
  <w:style w:type="character" w:customStyle="1" w:styleId="218">
    <w:name w:val="正文文本 2 Char1"/>
    <w:qFormat/>
    <w:uiPriority w:val="0"/>
    <w:rPr>
      <w:szCs w:val="24"/>
    </w:rPr>
  </w:style>
  <w:style w:type="character" w:customStyle="1" w:styleId="219">
    <w:name w:val="正文缩进 Char1"/>
    <w:qFormat/>
    <w:uiPriority w:val="0"/>
    <w:rPr>
      <w:rFonts w:eastAsia="宋体"/>
      <w:kern w:val="2"/>
      <w:sz w:val="21"/>
      <w:lang w:val="en-US" w:eastAsia="zh-CN" w:bidi="ar-SA"/>
    </w:rPr>
  </w:style>
  <w:style w:type="character" w:customStyle="1" w:styleId="220">
    <w:name w:val="font141"/>
    <w:qFormat/>
    <w:uiPriority w:val="0"/>
    <w:rPr>
      <w:rFonts w:hint="eastAsia" w:ascii="宋体" w:hAnsi="宋体" w:eastAsia="宋体" w:cs="宋体"/>
      <w:b/>
      <w:color w:val="000000"/>
      <w:sz w:val="18"/>
      <w:szCs w:val="18"/>
      <w:u w:val="none"/>
    </w:rPr>
  </w:style>
  <w:style w:type="character" w:customStyle="1" w:styleId="221">
    <w:name w:val="编号1. Char Char"/>
    <w:qFormat/>
    <w:uiPriority w:val="0"/>
    <w:rPr>
      <w:rFonts w:ascii="Times New Roman" w:hAnsi="Times New Roman" w:eastAsia="宋体" w:cs="Times New Roman"/>
      <w:sz w:val="24"/>
      <w:szCs w:val="24"/>
    </w:rPr>
  </w:style>
  <w:style w:type="character" w:customStyle="1" w:styleId="222">
    <w:name w:val="3zw"/>
    <w:qFormat/>
    <w:uiPriority w:val="0"/>
  </w:style>
  <w:style w:type="character" w:customStyle="1" w:styleId="223">
    <w:name w:val="不明显强调1"/>
    <w:qFormat/>
    <w:uiPriority w:val="0"/>
    <w:rPr>
      <w:i/>
      <w:iCs/>
      <w:color w:val="808080"/>
    </w:rPr>
  </w:style>
  <w:style w:type="character" w:customStyle="1" w:styleId="224">
    <w:name w:val="标题1"/>
    <w:qFormat/>
    <w:uiPriority w:val="0"/>
    <w:rPr>
      <w:rFonts w:ascii="隶书" w:eastAsia="宋体"/>
      <w:color w:val="000000"/>
      <w:sz w:val="24"/>
    </w:rPr>
  </w:style>
  <w:style w:type="character" w:customStyle="1" w:styleId="225">
    <w:name w:val="标题 5 Char1"/>
    <w:qFormat/>
    <w:uiPriority w:val="0"/>
    <w:rPr>
      <w:rFonts w:ascii="Times New Roman" w:hAnsi="Times New Roman" w:eastAsia="宋体" w:cs="Times New Roman"/>
      <w:b/>
      <w:bCs/>
      <w:kern w:val="2"/>
      <w:sz w:val="28"/>
      <w:szCs w:val="28"/>
    </w:rPr>
  </w:style>
  <w:style w:type="character" w:customStyle="1" w:styleId="226">
    <w:name w:val="main5"/>
    <w:qFormat/>
    <w:uiPriority w:val="0"/>
    <w:rPr>
      <w:color w:val="000000"/>
      <w:sz w:val="20"/>
      <w:szCs w:val="20"/>
    </w:rPr>
  </w:style>
  <w:style w:type="character" w:customStyle="1" w:styleId="227">
    <w:name w:val="标题 1.1 Char"/>
    <w:qFormat/>
    <w:uiPriority w:val="0"/>
    <w:rPr>
      <w:rFonts w:ascii="Arial" w:hAnsi="Arial" w:eastAsia="黑体" w:cs="Times New Roman"/>
      <w:b/>
      <w:bCs/>
      <w:kern w:val="2"/>
      <w:sz w:val="32"/>
      <w:szCs w:val="32"/>
      <w:lang w:val="en-US" w:eastAsia="zh-CN" w:bidi="ar-SA"/>
    </w:rPr>
  </w:style>
  <w:style w:type="character" w:customStyle="1" w:styleId="228">
    <w:name w:val="标题 7 Char1"/>
    <w:qFormat/>
    <w:uiPriority w:val="0"/>
    <w:rPr>
      <w:rFonts w:eastAsia="创艺简行楷"/>
      <w:b/>
      <w:sz w:val="24"/>
    </w:rPr>
  </w:style>
  <w:style w:type="character" w:customStyle="1" w:styleId="229">
    <w:name w:val="标题 8 Char1"/>
    <w:qFormat/>
    <w:uiPriority w:val="0"/>
    <w:rPr>
      <w:rFonts w:ascii="Arial" w:hAnsi="Arial" w:eastAsia="黑体"/>
      <w:sz w:val="24"/>
    </w:rPr>
  </w:style>
  <w:style w:type="character" w:customStyle="1" w:styleId="230">
    <w:name w:val="标题2"/>
    <w:qFormat/>
    <w:uiPriority w:val="0"/>
    <w:rPr>
      <w:rFonts w:ascii="隶书" w:eastAsia="隶书"/>
      <w:b/>
      <w:color w:val="000000"/>
      <w:sz w:val="36"/>
    </w:rPr>
  </w:style>
  <w:style w:type="character" w:customStyle="1" w:styleId="231">
    <w:name w:val="标题 2 字符"/>
    <w:qFormat/>
    <w:uiPriority w:val="9"/>
    <w:rPr>
      <w:rFonts w:ascii="Times New Roman" w:hAnsi="Times New Roman" w:eastAsia="宋体" w:cs="Times New Roman"/>
      <w:b/>
      <w:bCs/>
      <w:kern w:val="2"/>
      <w:sz w:val="24"/>
      <w:szCs w:val="32"/>
      <w:lang w:val="en-US" w:eastAsia="zh-CN" w:bidi="ar-SA"/>
    </w:rPr>
  </w:style>
  <w:style w:type="character" w:customStyle="1" w:styleId="232">
    <w:name w:val="font01"/>
    <w:qFormat/>
    <w:uiPriority w:val="0"/>
    <w:rPr>
      <w:rFonts w:hint="eastAsia" w:ascii="宋体" w:hAnsi="宋体" w:eastAsia="宋体" w:cs="宋体"/>
      <w:color w:val="000000"/>
      <w:sz w:val="18"/>
      <w:szCs w:val="18"/>
      <w:u w:val="none"/>
    </w:rPr>
  </w:style>
  <w:style w:type="character" w:customStyle="1" w:styleId="233">
    <w:name w:val="Body Text Indent Char1"/>
    <w:qFormat/>
    <w:uiPriority w:val="0"/>
    <w:rPr>
      <w:kern w:val="2"/>
      <w:sz w:val="21"/>
      <w:szCs w:val="24"/>
    </w:rPr>
  </w:style>
  <w:style w:type="character" w:customStyle="1" w:styleId="234">
    <w:name w:val="标题 3 Char3"/>
    <w:qFormat/>
    <w:uiPriority w:val="0"/>
    <w:rPr>
      <w:rFonts w:eastAsia="宋体"/>
      <w:kern w:val="2"/>
      <w:sz w:val="24"/>
      <w:lang w:val="en-US" w:eastAsia="zh-CN" w:bidi="ar-SA"/>
    </w:rPr>
  </w:style>
  <w:style w:type="paragraph" w:customStyle="1" w:styleId="235">
    <w:name w:val="font6"/>
    <w:basedOn w:val="1"/>
    <w:qFormat/>
    <w:uiPriority w:val="0"/>
    <w:pPr>
      <w:widowControl/>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23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37">
    <w:name w:val="_Style 1"/>
    <w:basedOn w:val="1"/>
    <w:qFormat/>
    <w:uiPriority w:val="34"/>
    <w:pPr>
      <w:spacing w:line="360" w:lineRule="auto"/>
      <w:ind w:firstLine="420" w:firstLineChars="200"/>
    </w:pPr>
    <w:rPr>
      <w:rFonts w:ascii="宋体" w:hAnsi="宋体" w:eastAsia="宋体" w:cs="Times New Roman"/>
      <w:kern w:val="0"/>
      <w:szCs w:val="24"/>
    </w:rPr>
  </w:style>
  <w:style w:type="paragraph" w:customStyle="1" w:styleId="238">
    <w:name w:val="Char Char Char Char Char Char Char Char Char 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3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40">
    <w:name w:val="xl5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1">
    <w:name w:val="Char Char Char Char Char Char Char11"/>
    <w:basedOn w:val="1"/>
    <w:qFormat/>
    <w:uiPriority w:val="0"/>
    <w:rPr>
      <w:rFonts w:ascii="Arial" w:hAnsi="Arial" w:eastAsia="宋体" w:cs="Times New Roman"/>
      <w:snapToGrid w:val="0"/>
      <w:szCs w:val="21"/>
    </w:rPr>
  </w:style>
  <w:style w:type="paragraph" w:customStyle="1" w:styleId="242">
    <w:name w:val="z-窗体顶端11"/>
    <w:basedOn w:val="1"/>
    <w:next w:val="1"/>
    <w:qFormat/>
    <w:uiPriority w:val="99"/>
    <w:pPr>
      <w:pBdr>
        <w:bottom w:val="single" w:color="auto" w:sz="6" w:space="1"/>
      </w:pBdr>
      <w:jc w:val="center"/>
    </w:pPr>
    <w:rPr>
      <w:rFonts w:ascii="Arial" w:hAnsi="Arial" w:eastAsia="宋体" w:cs="Arial"/>
      <w:vanish/>
      <w:sz w:val="16"/>
      <w:szCs w:val="16"/>
    </w:rPr>
  </w:style>
  <w:style w:type="paragraph" w:customStyle="1" w:styleId="24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4">
    <w:name w:val="常规"/>
    <w:basedOn w:val="1"/>
    <w:qFormat/>
    <w:uiPriority w:val="0"/>
    <w:pPr>
      <w:widowControl/>
      <w:jc w:val="left"/>
    </w:pPr>
    <w:rPr>
      <w:rFonts w:ascii="Arial" w:hAnsi="Arial" w:eastAsia="宋体" w:cs="Arial"/>
      <w:color w:val="000000"/>
      <w:kern w:val="0"/>
      <w:sz w:val="20"/>
      <w:szCs w:val="20"/>
    </w:rPr>
  </w:style>
  <w:style w:type="paragraph" w:customStyle="1" w:styleId="24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46">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paragraph" w:customStyle="1" w:styleId="24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48">
    <w:name w:val="z-窗体底端11"/>
    <w:basedOn w:val="1"/>
    <w:next w:val="1"/>
    <w:qFormat/>
    <w:uiPriority w:val="99"/>
    <w:pPr>
      <w:pBdr>
        <w:top w:val="single" w:color="auto" w:sz="6" w:space="1"/>
      </w:pBdr>
      <w:jc w:val="center"/>
    </w:pPr>
    <w:rPr>
      <w:rFonts w:ascii="Arial" w:hAnsi="Arial" w:eastAsia="宋体" w:cs="Arial"/>
      <w:vanish/>
      <w:sz w:val="16"/>
      <w:szCs w:val="16"/>
    </w:rPr>
  </w:style>
  <w:style w:type="paragraph" w:customStyle="1" w:styleId="249">
    <w:name w:val="0"/>
    <w:basedOn w:val="1"/>
    <w:qFormat/>
    <w:uiPriority w:val="0"/>
    <w:pPr>
      <w:widowControl/>
    </w:pPr>
    <w:rPr>
      <w:rFonts w:ascii="Times New Roman" w:hAnsi="Times New Roman" w:eastAsia="宋体" w:cs="Times New Roman"/>
      <w:kern w:val="0"/>
      <w:szCs w:val="20"/>
    </w:rPr>
  </w:style>
  <w:style w:type="paragraph" w:customStyle="1" w:styleId="250">
    <w:name w:val="样式4"/>
    <w:basedOn w:val="6"/>
    <w:link w:val="543"/>
    <w:qFormat/>
    <w:uiPriority w:val="0"/>
    <w:pPr>
      <w:keepNext w:val="0"/>
      <w:keepLines w:val="0"/>
      <w:tabs>
        <w:tab w:val="left" w:pos="425"/>
        <w:tab w:val="left" w:pos="851"/>
      </w:tabs>
      <w:adjustRightInd w:val="0"/>
      <w:snapToGrid w:val="0"/>
      <w:spacing w:before="0" w:after="0" w:line="360" w:lineRule="auto"/>
      <w:ind w:left="425" w:hanging="425"/>
    </w:pPr>
    <w:rPr>
      <w:rFonts w:ascii="Times New Roman" w:hAnsi="Times New Roman"/>
      <w:bCs w:val="0"/>
      <w:sz w:val="24"/>
      <w:szCs w:val="20"/>
    </w:rPr>
  </w:style>
  <w:style w:type="paragraph" w:customStyle="1" w:styleId="25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4"/>
      <w:szCs w:val="20"/>
    </w:rPr>
  </w:style>
  <w:style w:type="paragraph" w:customStyle="1" w:styleId="252">
    <w:name w:val="表格大标题"/>
    <w:qFormat/>
    <w:uiPriority w:val="0"/>
    <w:pPr>
      <w:jc w:val="center"/>
      <w:outlineLvl w:val="0"/>
    </w:pPr>
    <w:rPr>
      <w:rFonts w:ascii="Times New Roman" w:hAnsi="Times New Roman" w:eastAsia="方正小标宋简体" w:cs="Times New Roman"/>
      <w:bCs/>
      <w:sz w:val="36"/>
      <w:szCs w:val="36"/>
      <w:lang w:val="en-US" w:eastAsia="zh-CN" w:bidi="ar-SA"/>
    </w:rPr>
  </w:style>
  <w:style w:type="paragraph" w:customStyle="1" w:styleId="253">
    <w:name w:val="1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4">
    <w:name w:val="我的正文"/>
    <w:basedOn w:val="1"/>
    <w:qFormat/>
    <w:uiPriority w:val="0"/>
    <w:pPr>
      <w:spacing w:line="520" w:lineRule="exact"/>
      <w:ind w:firstLine="192" w:firstLineChars="192"/>
    </w:pPr>
    <w:rPr>
      <w:rFonts w:ascii="Times New Roman" w:hAnsi="Times New Roman" w:eastAsia="宋体" w:cs="Times New Roman"/>
      <w:sz w:val="28"/>
      <w:szCs w:val="28"/>
    </w:rPr>
  </w:style>
  <w:style w:type="paragraph" w:customStyle="1" w:styleId="255">
    <w:name w:val="Char11"/>
    <w:basedOn w:val="1"/>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256">
    <w:name w:val="Char Char1 Char Char Char Char"/>
    <w:basedOn w:val="1"/>
    <w:qFormat/>
    <w:uiPriority w:val="0"/>
    <w:rPr>
      <w:rFonts w:ascii="Times New Roman" w:hAnsi="Times New Roman" w:eastAsia="宋体" w:cs="Times New Roman"/>
      <w:szCs w:val="20"/>
    </w:rPr>
  </w:style>
  <w:style w:type="paragraph" w:customStyle="1" w:styleId="257">
    <w:name w:val="二级标"/>
    <w:basedOn w:val="1"/>
    <w:qFormat/>
    <w:uiPriority w:val="0"/>
    <w:pPr>
      <w:spacing w:line="300" w:lineRule="auto"/>
      <w:outlineLvl w:val="1"/>
    </w:pPr>
    <w:rPr>
      <w:rFonts w:ascii="宋体" w:hAnsi="宋体" w:eastAsia="隶书" w:cs="Times New Roman"/>
      <w:b/>
      <w:sz w:val="36"/>
      <w:szCs w:val="20"/>
    </w:rPr>
  </w:style>
  <w:style w:type="paragraph" w:customStyle="1" w:styleId="258">
    <w:name w:val="标书正文"/>
    <w:basedOn w:val="1"/>
    <w:link w:val="538"/>
    <w:qFormat/>
    <w:uiPriority w:val="0"/>
    <w:pPr>
      <w:spacing w:beforeLines="50" w:afterLines="50" w:line="276" w:lineRule="auto"/>
      <w:ind w:firstLine="480" w:firstLineChars="200"/>
    </w:pPr>
    <w:rPr>
      <w:rFonts w:ascii="Calibri" w:hAnsi="Calibri" w:eastAsia="Times New Roman" w:cs="Times New Roman"/>
      <w:kern w:val="0"/>
      <w:sz w:val="24"/>
      <w:szCs w:val="24"/>
    </w:rPr>
  </w:style>
  <w:style w:type="paragraph" w:customStyle="1" w:styleId="259">
    <w:name w:val="Char3"/>
    <w:basedOn w:val="1"/>
    <w:link w:val="539"/>
    <w:qFormat/>
    <w:uiPriority w:val="0"/>
    <w:pPr>
      <w:widowControl/>
      <w:spacing w:after="160" w:line="240" w:lineRule="exact"/>
      <w:jc w:val="left"/>
    </w:pPr>
    <w:rPr>
      <w:rFonts w:ascii="Tahoma" w:hAnsi="Tahoma" w:eastAsia="宋体" w:cs="Times New Roman"/>
      <w:kern w:val="0"/>
      <w:sz w:val="24"/>
      <w:szCs w:val="24"/>
      <w:lang w:eastAsia="en-US"/>
    </w:rPr>
  </w:style>
  <w:style w:type="paragraph" w:customStyle="1" w:styleId="26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61">
    <w:name w:val="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62">
    <w:name w:val="xl6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63">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264">
    <w:name w:val="Char Char Char Char"/>
    <w:basedOn w:val="1"/>
    <w:qFormat/>
    <w:uiPriority w:val="0"/>
    <w:rPr>
      <w:rFonts w:ascii="仿宋_GB2312" w:hAnsi="Times New Roman" w:eastAsia="仿宋_GB2312" w:cs="Times New Roman"/>
      <w:b/>
      <w:sz w:val="32"/>
      <w:szCs w:val="32"/>
    </w:rPr>
  </w:style>
  <w:style w:type="paragraph" w:customStyle="1" w:styleId="265">
    <w:name w:val="xl59"/>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6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267">
    <w:name w:val="表格文字"/>
    <w:link w:val="544"/>
    <w:qFormat/>
    <w:uiPriority w:val="0"/>
    <w:pPr>
      <w:autoSpaceDE w:val="0"/>
      <w:autoSpaceDN w:val="0"/>
      <w:adjustRightInd w:val="0"/>
      <w:snapToGrid w:val="0"/>
      <w:jc w:val="center"/>
    </w:pPr>
    <w:rPr>
      <w:rFonts w:ascii="宋体" w:hAnsi="Times New Roman" w:eastAsia="宋体" w:cs="Times New Roman"/>
      <w:sz w:val="24"/>
      <w:lang w:val="en-US" w:eastAsia="zh-CN" w:bidi="ar-SA"/>
    </w:rPr>
  </w:style>
  <w:style w:type="paragraph" w:customStyle="1" w:styleId="26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269">
    <w:name w:val="TOC 标题2"/>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70">
    <w:name w:val="Char Char Char Char Char Char1 Char Char Char Char"/>
    <w:basedOn w:val="1"/>
    <w:qFormat/>
    <w:uiPriority w:val="0"/>
    <w:rPr>
      <w:rFonts w:ascii="Times New Roman" w:hAnsi="Times New Roman" w:eastAsia="宋体" w:cs="Times New Roman"/>
      <w:szCs w:val="24"/>
    </w:rPr>
  </w:style>
  <w:style w:type="paragraph" w:customStyle="1" w:styleId="271">
    <w:name w:val="小五 宋体 居中"/>
    <w:basedOn w:val="1"/>
    <w:qFormat/>
    <w:uiPriority w:val="0"/>
    <w:pPr>
      <w:jc w:val="center"/>
    </w:pPr>
    <w:rPr>
      <w:rFonts w:ascii="Times New Roman" w:hAnsi="Times New Roman" w:eastAsia="宋体" w:cs="Times New Roman"/>
      <w:sz w:val="18"/>
      <w:szCs w:val="20"/>
    </w:rPr>
  </w:style>
  <w:style w:type="paragraph" w:customStyle="1" w:styleId="272">
    <w:name w:val="1"/>
    <w:basedOn w:val="1"/>
    <w:next w:val="46"/>
    <w:qFormat/>
    <w:uiPriority w:val="0"/>
    <w:rPr>
      <w:rFonts w:ascii="宋体" w:hAnsi="Courier New" w:eastAsia="宋体" w:cs="Times New Roman"/>
      <w:szCs w:val="20"/>
    </w:rPr>
  </w:style>
  <w:style w:type="paragraph" w:customStyle="1" w:styleId="273">
    <w:name w:val="xl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2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5">
    <w:name w:val="Char111"/>
    <w:basedOn w:val="1"/>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276">
    <w:name w:val="样式 首行缩进:  2 字符"/>
    <w:basedOn w:val="1"/>
    <w:link w:val="372"/>
    <w:qFormat/>
    <w:uiPriority w:val="0"/>
    <w:pPr>
      <w:autoSpaceDE w:val="0"/>
      <w:autoSpaceDN w:val="0"/>
      <w:adjustRightInd w:val="0"/>
      <w:snapToGrid w:val="0"/>
      <w:ind w:firstLine="480"/>
    </w:pPr>
    <w:rPr>
      <w:rFonts w:ascii="Microsoft Sans Serif" w:hAnsi="Microsoft Sans Serif" w:eastAsia="宋体" w:cs="宋体"/>
      <w:sz w:val="24"/>
      <w:szCs w:val="24"/>
    </w:rPr>
  </w:style>
  <w:style w:type="paragraph" w:customStyle="1" w:styleId="277">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27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7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0">
    <w:name w:val="Char Char Char Char Char Char Char1"/>
    <w:basedOn w:val="1"/>
    <w:qFormat/>
    <w:uiPriority w:val="0"/>
    <w:rPr>
      <w:rFonts w:ascii="Arial" w:hAnsi="Arial" w:eastAsia="宋体" w:cs="Times New Roman"/>
      <w:snapToGrid w:val="0"/>
      <w:szCs w:val="21"/>
    </w:rPr>
  </w:style>
  <w:style w:type="paragraph" w:customStyle="1" w:styleId="281">
    <w:name w:val="Char1"/>
    <w:basedOn w:val="1"/>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282">
    <w:name w:val="p15"/>
    <w:basedOn w:val="1"/>
    <w:qFormat/>
    <w:uiPriority w:val="0"/>
    <w:pPr>
      <w:widowControl/>
      <w:ind w:left="210"/>
      <w:jc w:val="left"/>
    </w:pPr>
    <w:rPr>
      <w:rFonts w:ascii="Times New Roman" w:hAnsi="Times New Roman" w:eastAsia="宋体" w:cs="Times New Roman"/>
      <w:smallCaps/>
      <w:kern w:val="0"/>
      <w:sz w:val="20"/>
      <w:szCs w:val="20"/>
    </w:rPr>
  </w:style>
  <w:style w:type="paragraph" w:customStyle="1" w:styleId="283">
    <w:name w:val="_Style 16"/>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84">
    <w:name w:val="19"/>
    <w:basedOn w:val="1"/>
    <w:qFormat/>
    <w:uiPriority w:val="0"/>
    <w:pPr>
      <w:widowControl/>
      <w:snapToGrid w:val="0"/>
      <w:spacing w:before="100" w:beforeAutospacing="1" w:after="120" w:line="360" w:lineRule="atLeast"/>
      <w:jc w:val="left"/>
    </w:pPr>
    <w:rPr>
      <w:rFonts w:ascii="宋体" w:hAnsi="宋体" w:eastAsia="宋体" w:cs="Times New Roman"/>
      <w:kern w:val="0"/>
      <w:sz w:val="28"/>
      <w:szCs w:val="20"/>
    </w:rPr>
  </w:style>
  <w:style w:type="paragraph" w:customStyle="1" w:styleId="285">
    <w:name w:val="缺省文本"/>
    <w:basedOn w:val="1"/>
    <w:qFormat/>
    <w:uiPriority w:val="0"/>
    <w:pPr>
      <w:autoSpaceDE w:val="0"/>
      <w:autoSpaceDN w:val="0"/>
      <w:adjustRightInd w:val="0"/>
      <w:jc w:val="left"/>
    </w:pPr>
    <w:rPr>
      <w:rFonts w:ascii="仿宋_GB2312" w:hAnsi="Times New Roman" w:eastAsia="仿宋_GB2312" w:cs="Times New Roman"/>
      <w:kern w:val="0"/>
      <w:sz w:val="24"/>
      <w:szCs w:val="20"/>
    </w:rPr>
  </w:style>
  <w:style w:type="paragraph" w:customStyle="1" w:styleId="286">
    <w:name w:val="正文文本 31"/>
    <w:basedOn w:val="1"/>
    <w:qFormat/>
    <w:uiPriority w:val="0"/>
    <w:pPr>
      <w:adjustRightInd w:val="0"/>
      <w:spacing w:line="312" w:lineRule="atLeast"/>
      <w:jc w:val="center"/>
      <w:textAlignment w:val="baseline"/>
    </w:pPr>
    <w:rPr>
      <w:rFonts w:ascii="Times New Roman" w:hAnsi="Times New Roman" w:eastAsia="宋体" w:cs="Times New Roman"/>
      <w:kern w:val="0"/>
      <w:szCs w:val="20"/>
    </w:rPr>
  </w:style>
  <w:style w:type="paragraph" w:customStyle="1" w:styleId="287">
    <w:name w:val="Char Char"/>
    <w:basedOn w:val="1"/>
    <w:qFormat/>
    <w:uiPriority w:val="0"/>
    <w:pPr>
      <w:ind w:left="567" w:hanging="279"/>
    </w:pPr>
    <w:rPr>
      <w:rFonts w:ascii="Calibri" w:hAnsi="Calibri" w:eastAsia="宋体" w:cs="Times New Roman"/>
      <w:szCs w:val="24"/>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TOC 标题3"/>
    <w:basedOn w:val="3"/>
    <w:next w:val="1"/>
    <w:unhideWhenUsed/>
    <w:qFormat/>
    <w:uiPriority w:val="39"/>
    <w:pPr>
      <w:widowControl/>
      <w:spacing w:before="0" w:after="0" w:line="276" w:lineRule="auto"/>
      <w:jc w:val="left"/>
      <w:outlineLvl w:val="9"/>
    </w:pPr>
    <w:rPr>
      <w:rFonts w:ascii="Calibri Light" w:hAnsi="Calibri Light"/>
      <w:color w:val="2E74B5"/>
      <w:kern w:val="0"/>
      <w:sz w:val="28"/>
      <w:szCs w:val="28"/>
    </w:rPr>
  </w:style>
  <w:style w:type="paragraph" w:customStyle="1" w:styleId="290">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91">
    <w:name w:val="纯文本1"/>
    <w:basedOn w:val="1"/>
    <w:qFormat/>
    <w:uiPriority w:val="0"/>
    <w:pPr>
      <w:adjustRightInd w:val="0"/>
      <w:textAlignment w:val="baseline"/>
    </w:pPr>
    <w:rPr>
      <w:rFonts w:ascii="Times New Roman" w:hAnsi="Times New Roman" w:eastAsia="宋体" w:cs="Times New Roman"/>
      <w:szCs w:val="20"/>
    </w:rPr>
  </w:style>
  <w:style w:type="paragraph" w:customStyle="1" w:styleId="292">
    <w:name w:val="font8"/>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0"/>
      <w:szCs w:val="20"/>
    </w:rPr>
  </w:style>
  <w:style w:type="paragraph" w:customStyle="1" w:styleId="29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296">
    <w:name w:val="标题 2-"/>
    <w:basedOn w:val="4"/>
    <w:qFormat/>
    <w:uiPriority w:val="0"/>
    <w:pPr>
      <w:spacing w:before="240" w:after="120" w:line="360" w:lineRule="auto"/>
      <w:jc w:val="center"/>
    </w:pPr>
    <w:rPr>
      <w:rFonts w:ascii="Times New Roman" w:hAnsi="Times New Roman"/>
      <w:b w:val="0"/>
      <w:bCs w:val="0"/>
      <w:sz w:val="24"/>
      <w:szCs w:val="20"/>
    </w:rPr>
  </w:style>
  <w:style w:type="paragraph" w:customStyle="1" w:styleId="297">
    <w:name w:val="样式 标题 2标题 2 Char Char Char Char Char2标题 2 Char1 Char + 五号"/>
    <w:basedOn w:val="4"/>
    <w:next w:val="1"/>
    <w:qFormat/>
    <w:uiPriority w:val="0"/>
    <w:pPr>
      <w:keepNext w:val="0"/>
      <w:keepLines w:val="0"/>
      <w:spacing w:before="0" w:after="0" w:line="360" w:lineRule="auto"/>
      <w:ind w:left="567" w:hanging="567"/>
    </w:pPr>
    <w:rPr>
      <w:rFonts w:ascii="Times New Roman" w:hAnsi="Times New Roman" w:eastAsia="宋体"/>
      <w:bCs w:val="0"/>
      <w:kern w:val="0"/>
      <w:sz w:val="21"/>
      <w:szCs w:val="20"/>
    </w:rPr>
  </w:style>
  <w:style w:type="paragraph" w:customStyle="1" w:styleId="298">
    <w:name w:val="xl5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99">
    <w:name w:val="TOC 标题1"/>
    <w:basedOn w:val="3"/>
    <w:next w:val="1"/>
    <w:qFormat/>
    <w:uiPriority w:val="0"/>
    <w:pPr>
      <w:widowControl/>
      <w:spacing w:before="480" w:after="0" w:line="276" w:lineRule="auto"/>
      <w:jc w:val="left"/>
      <w:outlineLvl w:val="9"/>
    </w:pPr>
    <w:rPr>
      <w:rFonts w:ascii="Cambria" w:hAnsi="Cambria"/>
      <w:color w:val="365F90"/>
      <w:kern w:val="0"/>
      <w:sz w:val="28"/>
      <w:szCs w:val="28"/>
    </w:rPr>
  </w:style>
  <w:style w:type="paragraph" w:customStyle="1" w:styleId="300">
    <w:name w:val="Char Char2 Char Char"/>
    <w:basedOn w:val="1"/>
    <w:qFormat/>
    <w:uiPriority w:val="0"/>
    <w:rPr>
      <w:rFonts w:ascii="仿宋_GB2312" w:hAnsi="Times New Roman" w:eastAsia="仿宋_GB2312" w:cs="Times New Roman"/>
      <w:b/>
      <w:sz w:val="32"/>
      <w:szCs w:val="32"/>
    </w:rPr>
  </w:style>
  <w:style w:type="paragraph" w:customStyle="1" w:styleId="30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02">
    <w:name w:val="p18"/>
    <w:basedOn w:val="1"/>
    <w:qFormat/>
    <w:uiPriority w:val="0"/>
    <w:pPr>
      <w:widowControl/>
      <w:ind w:firstLine="420"/>
    </w:pPr>
    <w:rPr>
      <w:rFonts w:ascii="Times New Roman" w:hAnsi="Times New Roman" w:eastAsia="宋体" w:cs="Times New Roman"/>
      <w:kern w:val="0"/>
      <w:szCs w:val="21"/>
    </w:rPr>
  </w:style>
  <w:style w:type="paragraph" w:customStyle="1" w:styleId="30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304">
    <w:name w:val="A4-SIZE"/>
    <w:basedOn w:val="1"/>
    <w:qFormat/>
    <w:uiPriority w:val="0"/>
    <w:pPr>
      <w:widowControl/>
      <w:autoSpaceDE w:val="0"/>
      <w:autoSpaceDN w:val="0"/>
      <w:jc w:val="left"/>
    </w:pPr>
    <w:rPr>
      <w:rFonts w:ascii="Roman 12cpi" w:hAnsi="Roman 12cpi" w:eastAsia="宋体" w:cs="Times New Roman"/>
      <w:kern w:val="0"/>
      <w:sz w:val="20"/>
      <w:szCs w:val="20"/>
      <w:lang w:val="en-GB"/>
    </w:rPr>
  </w:style>
  <w:style w:type="paragraph" w:customStyle="1" w:styleId="305">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306">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0"/>
      <w:szCs w:val="20"/>
    </w:rPr>
  </w:style>
  <w:style w:type="paragraph" w:customStyle="1" w:styleId="3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0"/>
      <w:szCs w:val="20"/>
    </w:rPr>
  </w:style>
  <w:style w:type="paragraph" w:customStyle="1" w:styleId="308">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09">
    <w:name w:val="_Style 7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har Char Char Char Char Char Char121"/>
    <w:basedOn w:val="1"/>
    <w:qFormat/>
    <w:uiPriority w:val="0"/>
    <w:rPr>
      <w:rFonts w:ascii="Arial" w:hAnsi="Arial" w:eastAsia="宋体" w:cs="Times New Roman"/>
      <w:snapToGrid w:val="0"/>
      <w:szCs w:val="21"/>
    </w:rPr>
  </w:style>
  <w:style w:type="paragraph" w:customStyle="1" w:styleId="31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312">
    <w:name w:val="样式 楷体_GB2312 小四 首行缩进:  0.8 厘米 行距: 固定值 28 磅"/>
    <w:basedOn w:val="1"/>
    <w:qFormat/>
    <w:uiPriority w:val="0"/>
    <w:pPr>
      <w:ind w:firstLine="550" w:firstLineChars="262"/>
    </w:pPr>
    <w:rPr>
      <w:rFonts w:ascii="Times New Roman" w:hAnsi="Times New Roman" w:eastAsia="宋体" w:cs="Times New Roman"/>
      <w:szCs w:val="21"/>
    </w:rPr>
  </w:style>
  <w:style w:type="paragraph" w:customStyle="1" w:styleId="313">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314">
    <w:name w:val="末级"/>
    <w:basedOn w:val="1"/>
    <w:qFormat/>
    <w:uiPriority w:val="0"/>
    <w:pPr>
      <w:tabs>
        <w:tab w:val="left" w:pos="851"/>
      </w:tabs>
      <w:spacing w:line="360" w:lineRule="auto"/>
      <w:ind w:firstLine="510"/>
    </w:pPr>
    <w:rPr>
      <w:rFonts w:ascii="Times New Roman" w:hAnsi="Times New Roman" w:eastAsia="宋体" w:cs="Times New Roman"/>
      <w:sz w:val="24"/>
      <w:szCs w:val="24"/>
    </w:rPr>
  </w:style>
  <w:style w:type="paragraph" w:customStyle="1" w:styleId="315">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kern w:val="0"/>
      <w:sz w:val="32"/>
      <w:szCs w:val="20"/>
    </w:rPr>
  </w:style>
  <w:style w:type="paragraph" w:customStyle="1" w:styleId="316">
    <w:name w:val="Char2"/>
    <w:basedOn w:val="1"/>
    <w:qFormat/>
    <w:uiPriority w:val="0"/>
    <w:pPr>
      <w:spacing w:line="360" w:lineRule="auto"/>
    </w:pPr>
    <w:rPr>
      <w:rFonts w:ascii="黑体" w:hAnsi="黑体" w:eastAsia="宋体" w:cs="Times New Roman"/>
      <w:sz w:val="24"/>
      <w:szCs w:val="24"/>
      <w:lang w:val="zh-CN"/>
    </w:rPr>
  </w:style>
  <w:style w:type="paragraph" w:customStyle="1" w:styleId="317">
    <w:name w:val="段落样式"/>
    <w:basedOn w:val="1"/>
    <w:link w:val="548"/>
    <w:qFormat/>
    <w:uiPriority w:val="0"/>
    <w:pPr>
      <w:widowControl/>
      <w:spacing w:line="400" w:lineRule="exact"/>
      <w:ind w:firstLine="480" w:firstLineChars="200"/>
    </w:pPr>
    <w:rPr>
      <w:rFonts w:ascii="黑体" w:hAnsi="黑体" w:eastAsia="宋体" w:cs="Times New Roman"/>
      <w:kern w:val="0"/>
      <w:sz w:val="24"/>
      <w:szCs w:val="24"/>
    </w:rPr>
  </w:style>
  <w:style w:type="paragraph" w:customStyle="1" w:styleId="318">
    <w:name w:val="Char12"/>
    <w:basedOn w:val="1"/>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319">
    <w:name w:val="样式3"/>
    <w:basedOn w:val="5"/>
    <w:qFormat/>
    <w:uiPriority w:val="0"/>
    <w:pPr>
      <w:tabs>
        <w:tab w:val="left" w:pos="425"/>
        <w:tab w:val="left" w:pos="709"/>
      </w:tabs>
      <w:adjustRightInd w:val="0"/>
      <w:snapToGrid w:val="0"/>
      <w:spacing w:line="360" w:lineRule="auto"/>
      <w:ind w:left="425" w:hanging="425"/>
      <w:jc w:val="left"/>
    </w:pPr>
    <w:rPr>
      <w:bCs w:val="0"/>
      <w:sz w:val="24"/>
      <w:szCs w:val="20"/>
    </w:rPr>
  </w:style>
  <w:style w:type="paragraph" w:customStyle="1" w:styleId="320">
    <w:name w:val="Char Char Char Char Char Char Char Char1"/>
    <w:basedOn w:val="1"/>
    <w:qFormat/>
    <w:uiPriority w:val="0"/>
    <w:rPr>
      <w:rFonts w:ascii="Times New Roman" w:hAnsi="Times New Roman" w:eastAsia="宋体" w:cs="Times New Roman"/>
      <w:szCs w:val="20"/>
    </w:rPr>
  </w:style>
  <w:style w:type="paragraph" w:customStyle="1" w:styleId="321">
    <w:name w:val="列出段落1"/>
    <w:basedOn w:val="1"/>
    <w:qFormat/>
    <w:uiPriority w:val="34"/>
    <w:pPr>
      <w:ind w:firstLine="420" w:firstLineChars="200"/>
    </w:pPr>
    <w:rPr>
      <w:rFonts w:ascii="Calibri" w:hAnsi="Calibri" w:eastAsia="宋体" w:cs="Times New Roman"/>
    </w:rPr>
  </w:style>
  <w:style w:type="paragraph" w:customStyle="1" w:styleId="322">
    <w:name w:val="正文缩进2"/>
    <w:basedOn w:val="1"/>
    <w:qFormat/>
    <w:uiPriority w:val="0"/>
    <w:pPr>
      <w:ind w:firstLine="420"/>
    </w:pPr>
    <w:rPr>
      <w:rFonts w:ascii="Times New Roman" w:hAnsi="Times New Roman" w:eastAsia="宋体" w:cs="Times New Roman"/>
      <w:szCs w:val="20"/>
    </w:rPr>
  </w:style>
  <w:style w:type="paragraph" w:customStyle="1" w:styleId="32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0"/>
      <w:szCs w:val="20"/>
    </w:rPr>
  </w:style>
  <w:style w:type="paragraph" w:customStyle="1" w:styleId="324">
    <w:name w:val="正文段"/>
    <w:basedOn w:val="1"/>
    <w:qFormat/>
    <w:uiPriority w:val="0"/>
    <w:pPr>
      <w:spacing w:line="360" w:lineRule="auto"/>
      <w:ind w:firstLine="420"/>
    </w:pPr>
    <w:rPr>
      <w:rFonts w:ascii="宋体" w:hAnsi="Times New Roman" w:eastAsia="宋体" w:cs="Times New Roman"/>
      <w:sz w:val="24"/>
      <w:szCs w:val="24"/>
    </w:rPr>
  </w:style>
  <w:style w:type="paragraph" w:customStyle="1" w:styleId="32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27">
    <w:name w:val="修订1"/>
    <w:qFormat/>
    <w:uiPriority w:val="99"/>
    <w:rPr>
      <w:rFonts w:ascii="Times New Roman" w:hAnsi="Times New Roman" w:eastAsia="宋体" w:cs="Times New Roman"/>
      <w:kern w:val="2"/>
      <w:sz w:val="21"/>
      <w:szCs w:val="24"/>
      <w:lang w:val="en-US" w:eastAsia="zh-CN" w:bidi="ar-SA"/>
    </w:rPr>
  </w:style>
  <w:style w:type="paragraph" w:customStyle="1" w:styleId="3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0"/>
      <w:szCs w:val="20"/>
    </w:rPr>
  </w:style>
  <w:style w:type="paragraph" w:customStyle="1" w:styleId="330">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0"/>
    </w:rPr>
  </w:style>
  <w:style w:type="paragraph" w:customStyle="1" w:styleId="331">
    <w:name w:val="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32">
    <w:name w:val="一级标"/>
    <w:basedOn w:val="1"/>
    <w:qFormat/>
    <w:uiPriority w:val="0"/>
    <w:pPr>
      <w:spacing w:line="300" w:lineRule="auto"/>
      <w:outlineLvl w:val="0"/>
    </w:pPr>
    <w:rPr>
      <w:rFonts w:ascii="Times New Roman" w:hAnsi="Times New Roman" w:eastAsia="宋体" w:cs="Times New Roman"/>
      <w:sz w:val="24"/>
      <w:szCs w:val="20"/>
    </w:rPr>
  </w:style>
  <w:style w:type="paragraph" w:customStyle="1" w:styleId="3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34">
    <w:name w:val="样式6"/>
    <w:basedOn w:val="8"/>
    <w:qFormat/>
    <w:uiPriority w:val="0"/>
    <w:pPr>
      <w:tabs>
        <w:tab w:val="left" w:pos="425"/>
      </w:tabs>
      <w:adjustRightInd w:val="0"/>
      <w:spacing w:before="0" w:after="0" w:line="360" w:lineRule="auto"/>
      <w:ind w:left="425" w:hanging="425"/>
    </w:pPr>
    <w:rPr>
      <w:rFonts w:ascii="宋体" w:eastAsia="宋体"/>
      <w:b w:val="0"/>
    </w:rPr>
  </w:style>
  <w:style w:type="paragraph" w:customStyle="1" w:styleId="335">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336">
    <w:name w:val="1 Char Char Char"/>
    <w:basedOn w:val="1"/>
    <w:next w:val="5"/>
    <w:qFormat/>
    <w:uiPriority w:val="0"/>
    <w:pPr>
      <w:spacing w:line="500" w:lineRule="exact"/>
      <w:ind w:firstLine="200"/>
      <w:jc w:val="center"/>
    </w:pPr>
    <w:rPr>
      <w:rFonts w:ascii="仿宋_GB2312" w:hAnsi="Arial" w:eastAsia="仿宋_GB2312" w:cs="Arial"/>
      <w:bCs/>
      <w:sz w:val="32"/>
      <w:szCs w:val="32"/>
    </w:rPr>
  </w:style>
  <w:style w:type="paragraph" w:customStyle="1" w:styleId="337">
    <w:name w:val="p0"/>
    <w:basedOn w:val="1"/>
    <w:qFormat/>
    <w:uiPriority w:val="0"/>
    <w:pPr>
      <w:widowControl/>
    </w:pPr>
    <w:rPr>
      <w:rFonts w:ascii="Times New Roman" w:hAnsi="Times New Roman" w:eastAsia="宋体" w:cs="Times New Roman"/>
      <w:kern w:val="0"/>
      <w:szCs w:val="21"/>
    </w:rPr>
  </w:style>
  <w:style w:type="paragraph" w:customStyle="1" w:styleId="338">
    <w:name w:val="p16"/>
    <w:basedOn w:val="1"/>
    <w:qFormat/>
    <w:uiPriority w:val="0"/>
    <w:pPr>
      <w:widowControl/>
      <w:ind w:left="210"/>
      <w:jc w:val="left"/>
    </w:pPr>
    <w:rPr>
      <w:rFonts w:ascii="Times New Roman" w:hAnsi="Times New Roman" w:eastAsia="宋体" w:cs="Times New Roman"/>
      <w:smallCaps/>
      <w:kern w:val="0"/>
      <w:sz w:val="20"/>
      <w:szCs w:val="20"/>
    </w:rPr>
  </w:style>
  <w:style w:type="paragraph" w:customStyle="1" w:styleId="339">
    <w:name w:val="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340">
    <w:name w:val="样式 标题 3 + 仿宋_GB2312 小四 段前: 0 磅 段后: 0 磅"/>
    <w:basedOn w:val="5"/>
    <w:qFormat/>
    <w:uiPriority w:val="0"/>
    <w:pPr>
      <w:keepNext/>
      <w:keepLines/>
      <w:spacing w:before="156" w:beforeLines="50" w:line="415" w:lineRule="auto"/>
      <w:jc w:val="center"/>
    </w:pPr>
    <w:rPr>
      <w:rFonts w:ascii="仿宋_GB2312" w:eastAsia="仿宋_GB2312" w:cs="宋体"/>
      <w:kern w:val="0"/>
      <w:sz w:val="24"/>
      <w:szCs w:val="20"/>
    </w:rPr>
  </w:style>
  <w:style w:type="paragraph" w:customStyle="1" w:styleId="341">
    <w:name w:val="补充"/>
    <w:basedOn w:val="21"/>
    <w:qFormat/>
    <w:uiPriority w:val="0"/>
    <w:pPr>
      <w:spacing w:line="360" w:lineRule="auto"/>
      <w:ind w:firstLine="0"/>
    </w:pPr>
    <w:rPr>
      <w:b/>
      <w:szCs w:val="24"/>
    </w:rPr>
  </w:style>
  <w:style w:type="paragraph" w:customStyle="1" w:styleId="342">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343">
    <w:name w:val="Char"/>
    <w:basedOn w:val="1"/>
    <w:qFormat/>
    <w:uiPriority w:val="0"/>
    <w:pPr>
      <w:widowControl/>
      <w:spacing w:after="160" w:line="240" w:lineRule="exact"/>
      <w:jc w:val="left"/>
    </w:pPr>
    <w:rPr>
      <w:rFonts w:ascii="Tahoma" w:hAnsi="Tahoma" w:eastAsia="宋体" w:cs="Times New Roman"/>
      <w:kern w:val="0"/>
      <w:sz w:val="24"/>
      <w:szCs w:val="24"/>
      <w:lang w:eastAsia="en-US"/>
    </w:rPr>
  </w:style>
  <w:style w:type="paragraph" w:customStyle="1" w:styleId="344">
    <w:name w:val="Char Char Char1 Char"/>
    <w:basedOn w:val="1"/>
    <w:qFormat/>
    <w:uiPriority w:val="0"/>
    <w:rPr>
      <w:rFonts w:ascii="Times New Roman" w:hAnsi="Times New Roman" w:eastAsia="宋体" w:cs="Times New Roman"/>
      <w:szCs w:val="20"/>
    </w:rPr>
  </w:style>
  <w:style w:type="paragraph" w:styleId="3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xl6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34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348">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349">
    <w:name w:val="样式5"/>
    <w:basedOn w:val="7"/>
    <w:qFormat/>
    <w:uiPriority w:val="0"/>
    <w:pPr>
      <w:keepNext w:val="0"/>
      <w:keepLines w:val="0"/>
      <w:tabs>
        <w:tab w:val="left" w:pos="425"/>
        <w:tab w:val="left" w:pos="648"/>
      </w:tabs>
      <w:adjustRightInd w:val="0"/>
      <w:snapToGrid w:val="0"/>
      <w:spacing w:before="0" w:after="0" w:line="360" w:lineRule="auto"/>
      <w:ind w:left="425" w:hanging="137"/>
    </w:pPr>
    <w:rPr>
      <w:rFonts w:ascii="宋体"/>
      <w:bCs w:val="0"/>
      <w:sz w:val="24"/>
      <w:szCs w:val="20"/>
    </w:rPr>
  </w:style>
  <w:style w:type="paragraph" w:customStyle="1" w:styleId="35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2"/>
      <w:szCs w:val="20"/>
    </w:rPr>
  </w:style>
  <w:style w:type="paragraph" w:customStyle="1" w:styleId="35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0"/>
      <w:szCs w:val="20"/>
    </w:rPr>
  </w:style>
  <w:style w:type="paragraph" w:customStyle="1" w:styleId="352">
    <w:name w:val="样式7"/>
    <w:basedOn w:val="57"/>
    <w:qFormat/>
    <w:uiPriority w:val="0"/>
    <w:pPr>
      <w:pBdr>
        <w:bottom w:val="single" w:color="auto" w:sz="4" w:space="1"/>
      </w:pBdr>
      <w:tabs>
        <w:tab w:val="clear" w:pos="4153"/>
        <w:tab w:val="clear" w:pos="8306"/>
      </w:tabs>
      <w:snapToGrid/>
      <w:ind w:right="360"/>
      <w:jc w:val="both"/>
    </w:pPr>
    <w:rPr>
      <w:szCs w:val="20"/>
    </w:rPr>
  </w:style>
  <w:style w:type="paragraph" w:customStyle="1" w:styleId="353">
    <w:name w:val="修订11"/>
    <w:qFormat/>
    <w:uiPriority w:val="0"/>
    <w:rPr>
      <w:rFonts w:ascii="Times New Roman" w:hAnsi="Times New Roman" w:eastAsia="宋体" w:cs="Times New Roman"/>
      <w:kern w:val="2"/>
      <w:sz w:val="21"/>
      <w:szCs w:val="24"/>
      <w:lang w:val="en-US" w:eastAsia="zh-CN" w:bidi="ar-SA"/>
    </w:rPr>
  </w:style>
  <w:style w:type="paragraph" w:customStyle="1" w:styleId="354">
    <w:name w:val="正文缩进3"/>
    <w:basedOn w:val="1"/>
    <w:qFormat/>
    <w:uiPriority w:val="0"/>
    <w:pPr>
      <w:ind w:firstLine="420"/>
    </w:pPr>
    <w:rPr>
      <w:rFonts w:ascii="Times New Roman" w:hAnsi="Times New Roman" w:eastAsia="宋体" w:cs="Times New Roman"/>
      <w:szCs w:val="20"/>
    </w:rPr>
  </w:style>
  <w:style w:type="paragraph" w:customStyle="1" w:styleId="35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kern w:val="0"/>
      <w:sz w:val="32"/>
      <w:szCs w:val="20"/>
    </w:rPr>
  </w:style>
  <w:style w:type="paragraph" w:customStyle="1" w:styleId="356">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57">
    <w:name w:val="样式2"/>
    <w:basedOn w:val="73"/>
    <w:qFormat/>
    <w:uiPriority w:val="0"/>
    <w:pPr>
      <w:ind w:firstLine="2720"/>
    </w:pPr>
    <w:rPr>
      <w:bCs/>
    </w:rPr>
  </w:style>
  <w:style w:type="paragraph" w:customStyle="1" w:styleId="358">
    <w:name w:val="xl3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59">
    <w:name w:val="首行缩进:"/>
    <w:basedOn w:val="1"/>
    <w:qFormat/>
    <w:uiPriority w:val="0"/>
    <w:pPr>
      <w:ind w:firstLine="480"/>
    </w:pPr>
    <w:rPr>
      <w:rFonts w:ascii="Times New Roman" w:hAnsi="Times New Roman" w:eastAsia="宋体" w:cs="Times New Roman"/>
      <w:szCs w:val="20"/>
    </w:rPr>
  </w:style>
  <w:style w:type="paragraph" w:customStyle="1" w:styleId="36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61">
    <w:name w:val="xl2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62">
    <w:name w:val="样式 段落样式 + 首行缩进:  2 字符"/>
    <w:basedOn w:val="1"/>
    <w:qFormat/>
    <w:uiPriority w:val="0"/>
    <w:pPr>
      <w:widowControl/>
      <w:spacing w:line="400" w:lineRule="exact"/>
      <w:ind w:firstLine="472" w:firstLineChars="200"/>
    </w:pPr>
    <w:rPr>
      <w:rFonts w:ascii="宋体" w:hAnsi="宋体" w:eastAsia="宋体" w:cs="宋体"/>
      <w:kern w:val="0"/>
      <w:sz w:val="24"/>
      <w:szCs w:val="20"/>
    </w:rPr>
  </w:style>
  <w:style w:type="paragraph" w:customStyle="1" w:styleId="363">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table" w:customStyle="1" w:styleId="365">
    <w:name w:val="网格型1"/>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6">
    <w:name w:val="列表段落1"/>
    <w:basedOn w:val="1"/>
    <w:unhideWhenUsed/>
    <w:qFormat/>
    <w:uiPriority w:val="34"/>
    <w:pPr>
      <w:autoSpaceDE w:val="0"/>
      <w:autoSpaceDN w:val="0"/>
      <w:adjustRightInd w:val="0"/>
      <w:jc w:val="left"/>
    </w:pPr>
    <w:rPr>
      <w:rFonts w:ascii="Times New Roman" w:hAnsi="Times New Roman" w:eastAsia="宋体" w:cs="Times New Roman"/>
      <w:szCs w:val="20"/>
    </w:rPr>
  </w:style>
  <w:style w:type="character" w:customStyle="1" w:styleId="367">
    <w:name w:val="layui-layer-tabnow"/>
    <w:qFormat/>
    <w:uiPriority w:val="0"/>
    <w:rPr>
      <w:bdr w:val="single" w:color="CCCCCC" w:sz="6" w:space="0"/>
      <w:shd w:val="clear" w:color="auto" w:fill="FFFFFF"/>
    </w:rPr>
  </w:style>
  <w:style w:type="character" w:customStyle="1" w:styleId="368">
    <w:name w:val="first-child"/>
    <w:qFormat/>
    <w:uiPriority w:val="0"/>
  </w:style>
  <w:style w:type="character" w:customStyle="1" w:styleId="369">
    <w:name w:val="称呼 字符1"/>
    <w:basedOn w:val="95"/>
    <w:link w:val="30"/>
    <w:qFormat/>
    <w:uiPriority w:val="0"/>
    <w:rPr>
      <w:rFonts w:ascii="Times New Roman" w:hAnsi="Times New Roman" w:eastAsia="宋体" w:cs="Times New Roman"/>
      <w:sz w:val="24"/>
      <w:szCs w:val="20"/>
    </w:rPr>
  </w:style>
  <w:style w:type="table" w:customStyle="1" w:styleId="370">
    <w:name w:val="网格型2"/>
    <w:basedOn w:val="9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Heading4"/>
    <w:basedOn w:val="1"/>
    <w:next w:val="1"/>
    <w:qFormat/>
    <w:uiPriority w:val="0"/>
    <w:pPr>
      <w:keepNext/>
      <w:keepLines/>
      <w:spacing w:before="280" w:beforeLines="50" w:after="290" w:line="376" w:lineRule="auto"/>
      <w:ind w:left="709" w:right="-27" w:rightChars="-27" w:hanging="709"/>
    </w:pPr>
    <w:rPr>
      <w:rFonts w:ascii="Arial" w:hAnsi="Arial" w:eastAsia="黑体" w:cs="Times New Roman"/>
      <w:sz w:val="28"/>
      <w:szCs w:val="28"/>
    </w:rPr>
  </w:style>
  <w:style w:type="character" w:customStyle="1" w:styleId="372">
    <w:name w:val="样式 首行缩进:  2 字符 Char1"/>
    <w:link w:val="276"/>
    <w:qFormat/>
    <w:locked/>
    <w:uiPriority w:val="0"/>
    <w:rPr>
      <w:rFonts w:ascii="Microsoft Sans Serif" w:hAnsi="Microsoft Sans Serif" w:eastAsia="宋体" w:cs="宋体"/>
      <w:sz w:val="24"/>
      <w:szCs w:val="24"/>
    </w:rPr>
  </w:style>
  <w:style w:type="character" w:customStyle="1" w:styleId="373">
    <w:name w:val="明显强调1"/>
    <w:qFormat/>
    <w:uiPriority w:val="21"/>
    <w:rPr>
      <w:b/>
      <w:bCs/>
      <w:i/>
      <w:iCs/>
      <w:color w:val="4F81BD"/>
    </w:rPr>
  </w:style>
  <w:style w:type="character" w:customStyle="1" w:styleId="374">
    <w:name w:val="称呼 Char1"/>
    <w:qFormat/>
    <w:uiPriority w:val="0"/>
    <w:rPr>
      <w:kern w:val="2"/>
      <w:sz w:val="21"/>
      <w:szCs w:val="24"/>
    </w:rPr>
  </w:style>
  <w:style w:type="character" w:customStyle="1" w:styleId="375">
    <w:name w:val="15"/>
    <w:unhideWhenUsed/>
    <w:qFormat/>
    <w:uiPriority w:val="99"/>
    <w:rPr>
      <w:rFonts w:hint="default" w:ascii="Times New Roman"/>
    </w:rPr>
  </w:style>
  <w:style w:type="character" w:customStyle="1" w:styleId="376">
    <w:name w:val="标题 6 字符"/>
    <w:semiHidden/>
    <w:qFormat/>
    <w:uiPriority w:val="9"/>
    <w:rPr>
      <w:rFonts w:ascii="等线 Light" w:hAnsi="等线 Light" w:eastAsia="等线 Light" w:cs="Times New Roman"/>
      <w:b/>
      <w:bCs/>
      <w:kern w:val="2"/>
      <w:sz w:val="24"/>
      <w:szCs w:val="24"/>
    </w:rPr>
  </w:style>
  <w:style w:type="character" w:customStyle="1" w:styleId="377">
    <w:name w:val="标题1 Char Char Char"/>
    <w:qFormat/>
    <w:uiPriority w:val="0"/>
    <w:rPr>
      <w:rFonts w:eastAsia="宋体"/>
      <w:b/>
      <w:kern w:val="44"/>
      <w:sz w:val="32"/>
      <w:lang w:val="en-US" w:eastAsia="zh-CN"/>
    </w:rPr>
  </w:style>
  <w:style w:type="character" w:customStyle="1" w:styleId="378">
    <w:name w:val="标题 5 字符"/>
    <w:semiHidden/>
    <w:qFormat/>
    <w:uiPriority w:val="9"/>
    <w:rPr>
      <w:b/>
      <w:bCs/>
      <w:kern w:val="2"/>
      <w:sz w:val="28"/>
      <w:szCs w:val="28"/>
    </w:rPr>
  </w:style>
  <w:style w:type="character" w:customStyle="1" w:styleId="379">
    <w:name w:val="Heading 4 Char"/>
    <w:qFormat/>
    <w:uiPriority w:val="9"/>
    <w:rPr>
      <w:rFonts w:ascii="Cambria" w:hAnsi="Cambria" w:eastAsia="宋体" w:cs="Times New Roman"/>
      <w:b/>
      <w:bCs/>
      <w:kern w:val="2"/>
      <w:sz w:val="28"/>
      <w:szCs w:val="28"/>
    </w:rPr>
  </w:style>
  <w:style w:type="character" w:customStyle="1" w:styleId="380">
    <w:name w:val="ind:txt Char Char"/>
    <w:qFormat/>
    <w:uiPriority w:val="0"/>
    <w:rPr>
      <w:rFonts w:eastAsia="宋体"/>
      <w:sz w:val="24"/>
      <w:lang w:val="en-US" w:eastAsia="zh-CN"/>
    </w:rPr>
  </w:style>
  <w:style w:type="character" w:customStyle="1" w:styleId="381">
    <w:name w:val="末级 Char Char Char Char"/>
    <w:qFormat/>
    <w:uiPriority w:val="0"/>
    <w:rPr>
      <w:rFonts w:eastAsia="宋体"/>
      <w:kern w:val="2"/>
      <w:sz w:val="24"/>
      <w:lang w:val="en-US" w:eastAsia="zh-CN"/>
    </w:rPr>
  </w:style>
  <w:style w:type="character" w:customStyle="1" w:styleId="382">
    <w:name w:val="图表左对齐 Char Char Char"/>
    <w:qFormat/>
    <w:uiPriority w:val="0"/>
    <w:rPr>
      <w:rFonts w:ascii="宋体" w:hAnsi="宋体" w:eastAsia="宋体"/>
      <w:spacing w:val="-10"/>
      <w:kern w:val="2"/>
      <w:sz w:val="28"/>
      <w:lang w:val="en-US" w:eastAsia="zh-CN"/>
    </w:rPr>
  </w:style>
  <w:style w:type="character" w:customStyle="1" w:styleId="383">
    <w:name w:val="样式 标题 2标题 1.1head:2#2 headlinehheadlineS&amp;R2ERMH2Head 2 +... Char Char Char"/>
    <w:qFormat/>
    <w:uiPriority w:val="0"/>
    <w:rPr>
      <w:rFonts w:ascii="Arial" w:hAnsi="Arial" w:eastAsia="宋体"/>
      <w:b/>
      <w:sz w:val="24"/>
      <w:lang w:val="en-US" w:eastAsia="zh-CN"/>
    </w:rPr>
  </w:style>
  <w:style w:type="character" w:customStyle="1" w:styleId="384">
    <w:name w:val="书籍标题1"/>
    <w:qFormat/>
    <w:uiPriority w:val="33"/>
    <w:rPr>
      <w:b/>
      <w:bCs/>
      <w:smallCaps/>
      <w:spacing w:val="5"/>
    </w:rPr>
  </w:style>
  <w:style w:type="character" w:customStyle="1" w:styleId="385">
    <w:name w:val="标题 1 字符"/>
    <w:qFormat/>
    <w:uiPriority w:val="9"/>
    <w:rPr>
      <w:b/>
      <w:bCs/>
      <w:kern w:val="44"/>
      <w:sz w:val="44"/>
      <w:szCs w:val="44"/>
    </w:rPr>
  </w:style>
  <w:style w:type="character" w:customStyle="1" w:styleId="386">
    <w:name w:val="4 dash Char1"/>
    <w:qFormat/>
    <w:locked/>
    <w:uiPriority w:val="0"/>
    <w:rPr>
      <w:rFonts w:ascii="Arial" w:hAnsi="Arial" w:eastAsia="宋体"/>
      <w:kern w:val="2"/>
      <w:sz w:val="28"/>
      <w:lang w:val="en-US" w:eastAsia="zh-CN"/>
    </w:rPr>
  </w:style>
  <w:style w:type="character" w:customStyle="1" w:styleId="387">
    <w:name w:val="页眉 Char1"/>
    <w:qFormat/>
    <w:uiPriority w:val="99"/>
    <w:rPr>
      <w:rFonts w:ascii="Times New Roman" w:hAnsi="Times New Roman" w:eastAsia="宋体" w:cs="Times New Roman"/>
      <w:sz w:val="18"/>
      <w:szCs w:val="18"/>
    </w:rPr>
  </w:style>
  <w:style w:type="character" w:customStyle="1" w:styleId="388">
    <w:name w:val="明显引用 字符1"/>
    <w:link w:val="389"/>
    <w:qFormat/>
    <w:uiPriority w:val="30"/>
    <w:rPr>
      <w:b/>
      <w:bCs/>
      <w:i/>
      <w:iCs/>
      <w:color w:val="4F81BD"/>
      <w:szCs w:val="24"/>
    </w:rPr>
  </w:style>
  <w:style w:type="paragraph" w:styleId="389">
    <w:name w:val="Intense Quote"/>
    <w:basedOn w:val="1"/>
    <w:next w:val="1"/>
    <w:link w:val="388"/>
    <w:qFormat/>
    <w:uiPriority w:val="30"/>
    <w:pPr>
      <w:pBdr>
        <w:bottom w:val="single" w:color="4F81BD" w:sz="4" w:space="4"/>
      </w:pBdr>
      <w:spacing w:after="280" w:line="360" w:lineRule="auto"/>
      <w:ind w:left="936" w:right="936" w:rightChars="-27" w:hanging="709"/>
    </w:pPr>
    <w:rPr>
      <w:b/>
      <w:bCs/>
      <w:i/>
      <w:iCs/>
      <w:color w:val="4F81BD"/>
      <w:szCs w:val="24"/>
    </w:rPr>
  </w:style>
  <w:style w:type="character" w:customStyle="1" w:styleId="390">
    <w:name w:val="明显引用 Char1"/>
    <w:basedOn w:val="95"/>
    <w:qFormat/>
    <w:uiPriority w:val="99"/>
    <w:rPr>
      <w:b/>
      <w:bCs/>
      <w:i/>
      <w:iCs/>
      <w:color w:val="4F81BD" w:themeColor="accent1"/>
      <w14:textFill>
        <w14:solidFill>
          <w14:schemeClr w14:val="accent1"/>
        </w14:solidFill>
      </w14:textFill>
    </w:rPr>
  </w:style>
  <w:style w:type="character" w:customStyle="1" w:styleId="391">
    <w:name w:val="引用 字符1"/>
    <w:link w:val="392"/>
    <w:qFormat/>
    <w:uiPriority w:val="29"/>
    <w:rPr>
      <w:i/>
      <w:iCs/>
      <w:color w:val="000000"/>
      <w:szCs w:val="24"/>
    </w:rPr>
  </w:style>
  <w:style w:type="paragraph" w:styleId="392">
    <w:name w:val="Quote"/>
    <w:basedOn w:val="1"/>
    <w:next w:val="1"/>
    <w:link w:val="391"/>
    <w:qFormat/>
    <w:uiPriority w:val="29"/>
    <w:pPr>
      <w:spacing w:beforeLines="50" w:line="360" w:lineRule="auto"/>
      <w:ind w:left="709" w:right="-27" w:rightChars="-27" w:hanging="709"/>
    </w:pPr>
    <w:rPr>
      <w:i/>
      <w:iCs/>
      <w:color w:val="000000"/>
      <w:szCs w:val="24"/>
    </w:rPr>
  </w:style>
  <w:style w:type="character" w:customStyle="1" w:styleId="393">
    <w:name w:val="引用 Char1"/>
    <w:basedOn w:val="95"/>
    <w:qFormat/>
    <w:uiPriority w:val="99"/>
    <w:rPr>
      <w:i/>
      <w:iCs/>
      <w:color w:val="000000" w:themeColor="text1"/>
      <w14:textFill>
        <w14:solidFill>
          <w14:schemeClr w14:val="tx1"/>
        </w14:solidFill>
      </w14:textFill>
    </w:rPr>
  </w:style>
  <w:style w:type="character" w:customStyle="1" w:styleId="394">
    <w:name w:val="正文文本缩进 3 字符"/>
    <w:semiHidden/>
    <w:qFormat/>
    <w:uiPriority w:val="99"/>
    <w:rPr>
      <w:kern w:val="2"/>
      <w:sz w:val="16"/>
      <w:szCs w:val="16"/>
    </w:rPr>
  </w:style>
  <w:style w:type="character" w:customStyle="1" w:styleId="395">
    <w:name w:val="文档结构图 字符"/>
    <w:semiHidden/>
    <w:qFormat/>
    <w:uiPriority w:val="99"/>
    <w:rPr>
      <w:rFonts w:ascii="Microsoft YaHei UI" w:eastAsia="Microsoft YaHei UI"/>
      <w:kern w:val="2"/>
      <w:sz w:val="18"/>
      <w:szCs w:val="18"/>
    </w:rPr>
  </w:style>
  <w:style w:type="character" w:customStyle="1" w:styleId="396">
    <w:name w:val="标题 8 字符"/>
    <w:semiHidden/>
    <w:qFormat/>
    <w:uiPriority w:val="9"/>
    <w:rPr>
      <w:rFonts w:ascii="等线 Light" w:hAnsi="等线 Light" w:eastAsia="等线 Light" w:cs="Times New Roman"/>
      <w:kern w:val="2"/>
      <w:sz w:val="24"/>
      <w:szCs w:val="24"/>
    </w:rPr>
  </w:style>
  <w:style w:type="character" w:customStyle="1" w:styleId="397">
    <w:name w:val="Char Char Char1"/>
    <w:qFormat/>
    <w:uiPriority w:val="0"/>
    <w:rPr>
      <w:rFonts w:ascii="宋体" w:hAnsi="宋体" w:eastAsia="宋体"/>
      <w:kern w:val="2"/>
      <w:sz w:val="24"/>
      <w:lang w:val="en-US" w:eastAsia="zh-CN"/>
    </w:rPr>
  </w:style>
  <w:style w:type="character" w:customStyle="1" w:styleId="398">
    <w:name w:val="标题 9 字符"/>
    <w:semiHidden/>
    <w:qFormat/>
    <w:uiPriority w:val="9"/>
    <w:rPr>
      <w:rFonts w:ascii="等线 Light" w:hAnsi="等线 Light" w:eastAsia="等线 Light" w:cs="Times New Roman"/>
      <w:kern w:val="2"/>
      <w:sz w:val="21"/>
      <w:szCs w:val="21"/>
    </w:rPr>
  </w:style>
  <w:style w:type="character" w:customStyle="1" w:styleId="399">
    <w:name w:val="标题 7 字符"/>
    <w:semiHidden/>
    <w:qFormat/>
    <w:uiPriority w:val="9"/>
    <w:rPr>
      <w:b/>
      <w:bCs/>
      <w:kern w:val="2"/>
      <w:sz w:val="24"/>
      <w:szCs w:val="24"/>
    </w:rPr>
  </w:style>
  <w:style w:type="character" w:customStyle="1" w:styleId="400">
    <w:name w:val="样式 标题 2标题 1.1head:2#2 headlinehheadlineS&amp;R2ERMH2Head 2 +... Char Char"/>
    <w:qFormat/>
    <w:uiPriority w:val="0"/>
    <w:rPr>
      <w:rFonts w:ascii="Arial" w:hAnsi="Arial" w:eastAsia="宋体"/>
      <w:b/>
      <w:sz w:val="24"/>
      <w:lang w:val="en-US" w:eastAsia="zh-CN"/>
    </w:rPr>
  </w:style>
  <w:style w:type="character" w:customStyle="1" w:styleId="401">
    <w:name w:val="樣式 標題 3 + (中文) MS Gothic 10.5 點 Char Char Char Char Char Char Char"/>
    <w:qFormat/>
    <w:uiPriority w:val="0"/>
    <w:rPr>
      <w:rFonts w:hAnsi="PMingLiU" w:eastAsia="MS Gothic"/>
      <w:snapToGrid w:val="0"/>
      <w:kern w:val="2"/>
      <w:sz w:val="24"/>
      <w:lang w:val="en-AU" w:eastAsia="zh-TW"/>
    </w:rPr>
  </w:style>
  <w:style w:type="character" w:customStyle="1" w:styleId="402">
    <w:name w:val="10"/>
    <w:unhideWhenUsed/>
    <w:qFormat/>
    <w:uiPriority w:val="99"/>
    <w:rPr>
      <w:rFonts w:hint="default" w:ascii="Times New Roman"/>
    </w:rPr>
  </w:style>
  <w:style w:type="character" w:customStyle="1" w:styleId="403">
    <w:name w:val="Char Char4"/>
    <w:qFormat/>
    <w:locked/>
    <w:uiPriority w:val="0"/>
    <w:rPr>
      <w:rFonts w:ascii="Calibri" w:hAnsi="Calibri" w:eastAsia="宋体"/>
      <w:kern w:val="2"/>
      <w:sz w:val="18"/>
      <w:lang w:val="en-US" w:eastAsia="zh-CN"/>
    </w:rPr>
  </w:style>
  <w:style w:type="character" w:customStyle="1" w:styleId="404">
    <w:name w:val="标题 4 Char Char Char"/>
    <w:qFormat/>
    <w:uiPriority w:val="0"/>
    <w:rPr>
      <w:rFonts w:ascii="Arial" w:hAnsi="Arial" w:eastAsia="宋体"/>
      <w:kern w:val="2"/>
      <w:sz w:val="28"/>
      <w:lang w:val="en-US" w:eastAsia="zh-CN"/>
    </w:rPr>
  </w:style>
  <w:style w:type="character" w:customStyle="1" w:styleId="405">
    <w:name w:val="正文文本缩进 2 字符"/>
    <w:semiHidden/>
    <w:qFormat/>
    <w:uiPriority w:val="99"/>
    <w:rPr>
      <w:kern w:val="2"/>
      <w:sz w:val="21"/>
      <w:szCs w:val="24"/>
    </w:rPr>
  </w:style>
  <w:style w:type="character" w:customStyle="1" w:styleId="406">
    <w:name w:val="副标题 字符"/>
    <w:qFormat/>
    <w:uiPriority w:val="11"/>
    <w:rPr>
      <w:rFonts w:ascii="等线" w:hAnsi="等线" w:eastAsia="等线" w:cs="Times New Roman"/>
      <w:b/>
      <w:bCs/>
      <w:kern w:val="28"/>
      <w:sz w:val="32"/>
      <w:szCs w:val="32"/>
    </w:rPr>
  </w:style>
  <w:style w:type="character" w:customStyle="1" w:styleId="407">
    <w:name w:val="明显参考1"/>
    <w:qFormat/>
    <w:uiPriority w:val="32"/>
    <w:rPr>
      <w:b/>
      <w:bCs/>
      <w:smallCaps/>
      <w:color w:val="C0504D"/>
      <w:spacing w:val="5"/>
      <w:u w:val="single"/>
    </w:rPr>
  </w:style>
  <w:style w:type="character" w:customStyle="1" w:styleId="408">
    <w:name w:val="日期 字符"/>
    <w:semiHidden/>
    <w:qFormat/>
    <w:uiPriority w:val="99"/>
    <w:rPr>
      <w:kern w:val="2"/>
      <w:sz w:val="21"/>
      <w:szCs w:val="24"/>
    </w:rPr>
  </w:style>
  <w:style w:type="character" w:customStyle="1" w:styleId="409">
    <w:name w:val="正文文本 2 字符"/>
    <w:semiHidden/>
    <w:qFormat/>
    <w:uiPriority w:val="99"/>
    <w:rPr>
      <w:kern w:val="2"/>
      <w:sz w:val="21"/>
      <w:szCs w:val="24"/>
    </w:rPr>
  </w:style>
  <w:style w:type="character" w:customStyle="1" w:styleId="410">
    <w:name w:val="纯文本 Char Char"/>
    <w:qFormat/>
    <w:uiPriority w:val="0"/>
    <w:rPr>
      <w:rFonts w:ascii="宋体" w:hAnsi="Courier New" w:eastAsia="宋体"/>
      <w:kern w:val="2"/>
      <w:sz w:val="21"/>
      <w:lang w:val="en-US" w:eastAsia="zh-CN"/>
    </w:rPr>
  </w:style>
  <w:style w:type="character" w:customStyle="1" w:styleId="411">
    <w:name w:val="图表左对齐 Char"/>
    <w:qFormat/>
    <w:locked/>
    <w:uiPriority w:val="0"/>
    <w:rPr>
      <w:rFonts w:ascii="宋体" w:hAnsi="宋体" w:eastAsia="宋体"/>
      <w:spacing w:val="-10"/>
      <w:kern w:val="2"/>
      <w:sz w:val="28"/>
      <w:lang w:val="en-US" w:eastAsia="zh-CN"/>
    </w:rPr>
  </w:style>
  <w:style w:type="character" w:customStyle="1" w:styleId="412">
    <w:name w:val="不明显参考1"/>
    <w:qFormat/>
    <w:uiPriority w:val="31"/>
    <w:rPr>
      <w:smallCaps/>
      <w:color w:val="C0504D"/>
      <w:u w:val="single"/>
    </w:rPr>
  </w:style>
  <w:style w:type="character" w:customStyle="1" w:styleId="413">
    <w:name w:val="引用 字符"/>
    <w:qFormat/>
    <w:uiPriority w:val="29"/>
    <w:rPr>
      <w:i/>
      <w:iCs/>
      <w:color w:val="404040"/>
      <w:kern w:val="2"/>
      <w:sz w:val="21"/>
      <w:szCs w:val="24"/>
    </w:rPr>
  </w:style>
  <w:style w:type="character" w:customStyle="1" w:styleId="414">
    <w:name w:val="称呼 字符"/>
    <w:semiHidden/>
    <w:qFormat/>
    <w:uiPriority w:val="99"/>
    <w:rPr>
      <w:kern w:val="2"/>
      <w:sz w:val="21"/>
      <w:szCs w:val="24"/>
    </w:rPr>
  </w:style>
  <w:style w:type="character" w:customStyle="1" w:styleId="415">
    <w:name w:val="Heading 3 Char"/>
    <w:qFormat/>
    <w:uiPriority w:val="9"/>
    <w:rPr>
      <w:b/>
      <w:bCs/>
      <w:kern w:val="2"/>
      <w:sz w:val="32"/>
      <w:szCs w:val="32"/>
    </w:rPr>
  </w:style>
  <w:style w:type="character" w:customStyle="1" w:styleId="416">
    <w:name w:val="正文文本缩进 字符"/>
    <w:semiHidden/>
    <w:qFormat/>
    <w:uiPriority w:val="99"/>
    <w:rPr>
      <w:kern w:val="2"/>
      <w:sz w:val="21"/>
      <w:szCs w:val="24"/>
    </w:rPr>
  </w:style>
  <w:style w:type="character" w:customStyle="1" w:styleId="417">
    <w:name w:val="批注主题 字符"/>
    <w:semiHidden/>
    <w:qFormat/>
    <w:uiPriority w:val="99"/>
    <w:rPr>
      <w:b/>
      <w:bCs/>
      <w:kern w:val="2"/>
      <w:sz w:val="21"/>
      <w:szCs w:val="24"/>
    </w:rPr>
  </w:style>
  <w:style w:type="character" w:customStyle="1" w:styleId="418">
    <w:name w:val="正文文本 3 字符"/>
    <w:semiHidden/>
    <w:qFormat/>
    <w:uiPriority w:val="99"/>
    <w:rPr>
      <w:kern w:val="2"/>
      <w:sz w:val="16"/>
      <w:szCs w:val="16"/>
    </w:rPr>
  </w:style>
  <w:style w:type="character" w:customStyle="1" w:styleId="419">
    <w:name w:val="标题 3 字符"/>
    <w:semiHidden/>
    <w:qFormat/>
    <w:uiPriority w:val="9"/>
    <w:rPr>
      <w:b/>
      <w:bCs/>
      <w:kern w:val="2"/>
      <w:sz w:val="32"/>
      <w:szCs w:val="32"/>
    </w:rPr>
  </w:style>
  <w:style w:type="character" w:customStyle="1" w:styleId="420">
    <w:name w:val="fontstyle01"/>
    <w:qFormat/>
    <w:uiPriority w:val="0"/>
    <w:rPr>
      <w:rFonts w:hint="eastAsia" w:ascii="宋体" w:hAnsi="宋体" w:eastAsia="宋体"/>
      <w:color w:val="000000"/>
      <w:sz w:val="22"/>
      <w:szCs w:val="22"/>
    </w:rPr>
  </w:style>
  <w:style w:type="character" w:customStyle="1" w:styleId="421">
    <w:name w:val="图表左对齐 Char Char"/>
    <w:link w:val="422"/>
    <w:qFormat/>
    <w:locked/>
    <w:uiPriority w:val="0"/>
    <w:rPr>
      <w:spacing w:val="-10"/>
      <w:sz w:val="28"/>
    </w:rPr>
  </w:style>
  <w:style w:type="paragraph" w:customStyle="1" w:styleId="422">
    <w:name w:val="图表左对齐"/>
    <w:basedOn w:val="1"/>
    <w:link w:val="421"/>
    <w:qFormat/>
    <w:uiPriority w:val="0"/>
    <w:pPr>
      <w:spacing w:beforeLines="50" w:line="360" w:lineRule="exact"/>
      <w:ind w:left="709" w:right="-27" w:rightChars="-27" w:hanging="709"/>
      <w:jc w:val="left"/>
    </w:pPr>
    <w:rPr>
      <w:spacing w:val="-10"/>
      <w:sz w:val="28"/>
    </w:rPr>
  </w:style>
  <w:style w:type="character" w:customStyle="1" w:styleId="423">
    <w:name w:val="标题1 Char Char"/>
    <w:qFormat/>
    <w:locked/>
    <w:uiPriority w:val="0"/>
    <w:rPr>
      <w:rFonts w:ascii="宋体" w:hAnsi="宋体" w:eastAsia="黑体"/>
      <w:b/>
      <w:kern w:val="44"/>
      <w:sz w:val="24"/>
    </w:rPr>
  </w:style>
  <w:style w:type="character" w:customStyle="1" w:styleId="424">
    <w:name w:val="标题 字符"/>
    <w:qFormat/>
    <w:uiPriority w:val="10"/>
    <w:rPr>
      <w:rFonts w:ascii="等线 Light" w:hAnsi="等线 Light" w:eastAsia="等线 Light" w:cs="Times New Roman"/>
      <w:b/>
      <w:bCs/>
      <w:kern w:val="2"/>
      <w:sz w:val="32"/>
      <w:szCs w:val="32"/>
    </w:rPr>
  </w:style>
  <w:style w:type="character" w:customStyle="1" w:styleId="425">
    <w:name w:val="页眉 字符"/>
    <w:qFormat/>
    <w:uiPriority w:val="99"/>
    <w:rPr>
      <w:kern w:val="2"/>
      <w:sz w:val="18"/>
      <w:szCs w:val="18"/>
    </w:rPr>
  </w:style>
  <w:style w:type="character" w:customStyle="1" w:styleId="426">
    <w:name w:val="标题 4 字符"/>
    <w:semiHidden/>
    <w:qFormat/>
    <w:uiPriority w:val="9"/>
    <w:rPr>
      <w:rFonts w:ascii="等线 Light" w:hAnsi="等线 Light" w:eastAsia="等线 Light" w:cs="Times New Roman"/>
      <w:b/>
      <w:bCs/>
      <w:kern w:val="2"/>
      <w:sz w:val="28"/>
      <w:szCs w:val="28"/>
    </w:rPr>
  </w:style>
  <w:style w:type="character" w:customStyle="1" w:styleId="427">
    <w:name w:val="HTML 预设格式 字符"/>
    <w:semiHidden/>
    <w:qFormat/>
    <w:uiPriority w:val="99"/>
    <w:rPr>
      <w:rFonts w:ascii="Courier New" w:hAnsi="Courier New" w:cs="Courier New"/>
      <w:kern w:val="2"/>
    </w:rPr>
  </w:style>
  <w:style w:type="character" w:customStyle="1" w:styleId="428">
    <w:name w:val="样式 标题 2标题 1.1head:2#2 headlinehheadlineS&amp;R2ERMH2Head 2 +... Char"/>
    <w:qFormat/>
    <w:uiPriority w:val="0"/>
    <w:rPr>
      <w:rFonts w:ascii="Arial" w:hAnsi="Arial" w:eastAsia="宋体"/>
      <w:b/>
      <w:sz w:val="24"/>
      <w:lang w:val="en-US" w:eastAsia="zh-CN"/>
    </w:rPr>
  </w:style>
  <w:style w:type="character" w:customStyle="1" w:styleId="429">
    <w:name w:val="标题 2 Char1"/>
    <w:qFormat/>
    <w:uiPriority w:val="9"/>
    <w:rPr>
      <w:rFonts w:ascii="Arial" w:hAnsi="Arial" w:eastAsia="黑体"/>
      <w:b/>
      <w:bCs/>
      <w:kern w:val="2"/>
      <w:sz w:val="32"/>
      <w:szCs w:val="32"/>
      <w:lang w:val="en-US" w:eastAsia="zh-CN" w:bidi="ar-SA"/>
    </w:rPr>
  </w:style>
  <w:style w:type="character" w:customStyle="1" w:styleId="430">
    <w:name w:val="Char Char Char"/>
    <w:qFormat/>
    <w:uiPriority w:val="0"/>
    <w:rPr>
      <w:rFonts w:eastAsia="宋体"/>
      <w:kern w:val="2"/>
      <w:sz w:val="24"/>
      <w:lang w:val="en-US" w:eastAsia="zh-CN"/>
    </w:rPr>
  </w:style>
  <w:style w:type="character" w:customStyle="1" w:styleId="431">
    <w:name w:val="55 Char Char"/>
    <w:qFormat/>
    <w:uiPriority w:val="0"/>
    <w:rPr>
      <w:rFonts w:eastAsia="宋体"/>
      <w:kern w:val="2"/>
      <w:sz w:val="24"/>
      <w:lang w:val="en-US" w:eastAsia="zh-CN"/>
    </w:rPr>
  </w:style>
  <w:style w:type="character" w:customStyle="1" w:styleId="432">
    <w:name w:val="页脚 字符"/>
    <w:semiHidden/>
    <w:qFormat/>
    <w:uiPriority w:val="99"/>
    <w:rPr>
      <w:kern w:val="2"/>
      <w:sz w:val="18"/>
      <w:szCs w:val="18"/>
    </w:rPr>
  </w:style>
  <w:style w:type="character" w:customStyle="1" w:styleId="433">
    <w:name w:val="不明显强调2"/>
    <w:qFormat/>
    <w:uiPriority w:val="19"/>
    <w:rPr>
      <w:i/>
      <w:iCs/>
      <w:color w:val="808080"/>
    </w:rPr>
  </w:style>
  <w:style w:type="character" w:customStyle="1" w:styleId="434">
    <w:name w:val="未处理的提及1"/>
    <w:unhideWhenUsed/>
    <w:qFormat/>
    <w:uiPriority w:val="99"/>
    <w:rPr>
      <w:color w:val="605E5C"/>
      <w:shd w:val="clear" w:color="auto" w:fill="E1DFDD"/>
    </w:rPr>
  </w:style>
  <w:style w:type="character" w:customStyle="1" w:styleId="435">
    <w:name w:val="明显引用 字符"/>
    <w:qFormat/>
    <w:uiPriority w:val="30"/>
    <w:rPr>
      <w:i/>
      <w:iCs/>
      <w:color w:val="4472C4"/>
      <w:kern w:val="2"/>
      <w:sz w:val="21"/>
      <w:szCs w:val="24"/>
    </w:rPr>
  </w:style>
  <w:style w:type="paragraph" w:customStyle="1" w:styleId="436">
    <w:name w:val="mjd"/>
    <w:basedOn w:val="1"/>
    <w:qFormat/>
    <w:uiPriority w:val="0"/>
    <w:pPr>
      <w:tabs>
        <w:tab w:val="left" w:pos="1080"/>
        <w:tab w:val="left" w:pos="6960"/>
      </w:tabs>
      <w:autoSpaceDE w:val="0"/>
      <w:autoSpaceDN w:val="0"/>
      <w:adjustRightInd w:val="0"/>
      <w:spacing w:beforeLines="50" w:line="312" w:lineRule="atLeast"/>
      <w:ind w:left="1080" w:right="-27" w:rightChars="-27" w:hanging="1080"/>
      <w:jc w:val="left"/>
    </w:pPr>
    <w:rPr>
      <w:rFonts w:ascii="宋体" w:hAnsi="Tms Rmn" w:eastAsia="宋体" w:cs="Times New Roman"/>
      <w:kern w:val="0"/>
      <w:szCs w:val="20"/>
    </w:rPr>
  </w:style>
  <w:style w:type="paragraph" w:customStyle="1" w:styleId="437">
    <w:name w:val="样式标题2"/>
    <w:basedOn w:val="4"/>
    <w:qFormat/>
    <w:uiPriority w:val="0"/>
    <w:pPr>
      <w:tabs>
        <w:tab w:val="left" w:pos="480"/>
      </w:tabs>
      <w:spacing w:before="100" w:beforeAutospacing="1" w:after="100" w:afterAutospacing="1"/>
      <w:ind w:left="709" w:right="-27" w:rightChars="-27" w:hanging="709"/>
    </w:pPr>
    <w:rPr>
      <w:rFonts w:eastAsia="宋体"/>
      <w:sz w:val="36"/>
      <w:szCs w:val="36"/>
    </w:rPr>
  </w:style>
  <w:style w:type="paragraph" w:customStyle="1" w:styleId="438">
    <w:name w:val="孙（1）"/>
    <w:qFormat/>
    <w:uiPriority w:val="0"/>
    <w:pPr>
      <w:spacing w:beforeLines="50" w:after="100" w:line="360" w:lineRule="auto"/>
      <w:ind w:left="709" w:right="-27" w:rightChars="-27" w:hanging="709"/>
      <w:jc w:val="both"/>
      <w:outlineLvl w:val="1"/>
    </w:pPr>
    <w:rPr>
      <w:rFonts w:ascii="Times New Roman" w:hAnsi="Times New Roman" w:eastAsia="宋体" w:cs="Times New Roman"/>
      <w:b/>
      <w:sz w:val="24"/>
      <w:szCs w:val="24"/>
      <w:lang w:val="en-US" w:eastAsia="zh-CN" w:bidi="ar-SA"/>
    </w:rPr>
  </w:style>
  <w:style w:type="paragraph" w:customStyle="1" w:styleId="439">
    <w:name w:val="TOC 标题4"/>
    <w:basedOn w:val="3"/>
    <w:next w:val="1"/>
    <w:qFormat/>
    <w:uiPriority w:val="39"/>
    <w:pPr>
      <w:spacing w:before="0" w:line="578" w:lineRule="auto"/>
      <w:ind w:left="709" w:right="-27" w:rightChars="-27" w:hanging="709"/>
      <w:outlineLvl w:val="9"/>
    </w:pPr>
  </w:style>
  <w:style w:type="paragraph" w:customStyle="1" w:styleId="440">
    <w:name w:val="正文文本1"/>
    <w:qFormat/>
    <w:uiPriority w:val="0"/>
    <w:pPr>
      <w:widowControl w:val="0"/>
      <w:autoSpaceDE w:val="0"/>
      <w:autoSpaceDN w:val="0"/>
      <w:adjustRightInd w:val="0"/>
      <w:spacing w:beforeLines="50" w:line="300" w:lineRule="atLeast"/>
      <w:ind w:left="1134" w:right="-27" w:rightChars="-27" w:hanging="709"/>
      <w:jc w:val="both"/>
    </w:pPr>
    <w:rPr>
      <w:rFonts w:ascii="Times New Roman" w:hAnsi="Times New Roman" w:eastAsia="宋体" w:cs="Times New Roman"/>
      <w:color w:val="000000"/>
      <w:sz w:val="24"/>
      <w:lang w:val="en-US" w:eastAsia="zh-CN" w:bidi="ar-SA"/>
    </w:rPr>
  </w:style>
  <w:style w:type="paragraph" w:customStyle="1" w:styleId="441">
    <w:name w:val="2"/>
    <w:basedOn w:val="1"/>
    <w:next w:val="46"/>
    <w:qFormat/>
    <w:uiPriority w:val="0"/>
    <w:pPr>
      <w:spacing w:beforeLines="50" w:line="360" w:lineRule="auto"/>
      <w:ind w:left="709" w:right="-27" w:rightChars="-27" w:hanging="709"/>
    </w:pPr>
    <w:rPr>
      <w:rFonts w:ascii="宋体" w:hAnsi="Courier New" w:eastAsia="宋体" w:cs="Times New Roman"/>
      <w:szCs w:val="20"/>
    </w:rPr>
  </w:style>
  <w:style w:type="paragraph" w:customStyle="1" w:styleId="442">
    <w:name w:val="ｽﾀｲﾙ 1"/>
    <w:basedOn w:val="1"/>
    <w:qFormat/>
    <w:uiPriority w:val="0"/>
    <w:pPr>
      <w:adjustRightInd w:val="0"/>
      <w:spacing w:beforeLines="50" w:line="360" w:lineRule="atLeast"/>
      <w:ind w:left="709" w:right="-27" w:rightChars="-27" w:hanging="709"/>
      <w:textAlignment w:val="baseline"/>
    </w:pPr>
    <w:rPr>
      <w:rFonts w:ascii="Arial" w:hAnsi="Arial" w:eastAsia="MS Gothic" w:cs="Times New Roman"/>
      <w:color w:val="000000"/>
      <w:kern w:val="0"/>
      <w:sz w:val="24"/>
      <w:szCs w:val="20"/>
      <w:lang w:eastAsia="ja-JP"/>
    </w:rPr>
  </w:style>
  <w:style w:type="paragraph" w:customStyle="1" w:styleId="443">
    <w:name w:val="Char21"/>
    <w:basedOn w:val="1"/>
    <w:qFormat/>
    <w:uiPriority w:val="0"/>
    <w:pPr>
      <w:spacing w:beforeLines="50" w:line="360" w:lineRule="auto"/>
      <w:ind w:left="709" w:right="-27" w:rightChars="-27" w:hanging="709"/>
    </w:pPr>
    <w:rPr>
      <w:rFonts w:ascii="Times New Roman" w:hAnsi="Times New Roman" w:eastAsia="宋体" w:cs="Times New Roman"/>
      <w:szCs w:val="24"/>
    </w:rPr>
  </w:style>
  <w:style w:type="paragraph" w:customStyle="1" w:styleId="444">
    <w:name w:val="批注框文本1"/>
    <w:basedOn w:val="1"/>
    <w:qFormat/>
    <w:uiPriority w:val="0"/>
    <w:pPr>
      <w:spacing w:beforeLines="50" w:line="360" w:lineRule="auto"/>
      <w:ind w:left="709" w:right="-27" w:rightChars="-27" w:hanging="709"/>
    </w:pPr>
    <w:rPr>
      <w:rFonts w:ascii="Times New Roman" w:hAnsi="Times New Roman" w:eastAsia="宋体" w:cs="Times New Roman"/>
      <w:sz w:val="16"/>
      <w:szCs w:val="16"/>
    </w:rPr>
  </w:style>
  <w:style w:type="paragraph" w:customStyle="1" w:styleId="445">
    <w:name w:val="Char Char Char1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46">
    <w:name w:val="style2"/>
    <w:basedOn w:val="1"/>
    <w:qFormat/>
    <w:uiPriority w:val="0"/>
    <w:pPr>
      <w:widowControl/>
      <w:spacing w:beforeAutospacing="1" w:after="100" w:afterAutospacing="1" w:line="360" w:lineRule="auto"/>
      <w:ind w:left="709" w:right="-27" w:rightChars="-27" w:hanging="709"/>
      <w:jc w:val="left"/>
    </w:pPr>
    <w:rPr>
      <w:rFonts w:ascii="ˎ̥" w:hAnsi="ˎ̥" w:eastAsia="宋体" w:cs="宋体"/>
      <w:kern w:val="0"/>
      <w:sz w:val="18"/>
      <w:szCs w:val="18"/>
    </w:rPr>
  </w:style>
  <w:style w:type="paragraph" w:customStyle="1" w:styleId="447">
    <w:name w:val="封面标准号2"/>
    <w:basedOn w:val="1"/>
    <w:qFormat/>
    <w:uiPriority w:val="0"/>
    <w:pPr>
      <w:kinsoku w:val="0"/>
      <w:overflowPunct w:val="0"/>
      <w:autoSpaceDE w:val="0"/>
      <w:autoSpaceDN w:val="0"/>
      <w:adjustRightInd w:val="0"/>
      <w:spacing w:line="280" w:lineRule="exact"/>
      <w:ind w:left="709" w:right="-27" w:rightChars="-27" w:hanging="709"/>
      <w:jc w:val="right"/>
      <w:textAlignment w:val="center"/>
    </w:pPr>
    <w:rPr>
      <w:rFonts w:ascii="Times New Roman" w:hAnsi="Times New Roman" w:eastAsia="宋体" w:cs="Times New Roman"/>
      <w:kern w:val="0"/>
      <w:sz w:val="28"/>
      <w:szCs w:val="20"/>
    </w:rPr>
  </w:style>
  <w:style w:type="paragraph" w:customStyle="1" w:styleId="448">
    <w:name w:val="Part Title"/>
    <w:basedOn w:val="1"/>
    <w:next w:val="1"/>
    <w:qFormat/>
    <w:uiPriority w:val="0"/>
    <w:pPr>
      <w:keepNext/>
      <w:keepLines/>
      <w:widowControl/>
      <w:tabs>
        <w:tab w:val="left" w:pos="720"/>
        <w:tab w:val="left" w:pos="1080"/>
        <w:tab w:val="left" w:pos="1627"/>
      </w:tabs>
      <w:spacing w:after="120" w:line="300" w:lineRule="exact"/>
      <w:ind w:left="709" w:right="-27" w:rightChars="-27" w:hanging="709"/>
      <w:jc w:val="center"/>
    </w:pPr>
    <w:rPr>
      <w:rFonts w:ascii="Arial" w:hAnsi="Arial" w:eastAsia="宋体" w:cs="Times New Roman"/>
      <w:b/>
      <w:kern w:val="28"/>
      <w:sz w:val="36"/>
      <w:szCs w:val="20"/>
    </w:rPr>
  </w:style>
  <w:style w:type="paragraph" w:customStyle="1" w:styleId="449">
    <w:name w:val="tll"/>
    <w:basedOn w:val="1"/>
    <w:qFormat/>
    <w:uiPriority w:val="0"/>
    <w:pPr>
      <w:autoSpaceDE w:val="0"/>
      <w:autoSpaceDN w:val="0"/>
      <w:adjustRightInd w:val="0"/>
      <w:spacing w:beforeLines="50" w:line="300" w:lineRule="atLeast"/>
      <w:ind w:left="709" w:right="-27" w:rightChars="-27" w:firstLine="709"/>
      <w:jc w:val="left"/>
      <w:textAlignment w:val="baseline"/>
    </w:pPr>
    <w:rPr>
      <w:rFonts w:ascii="仿宋_GB2312" w:hAnsi="Arial" w:eastAsia="仿宋_GB2312" w:cs="Times New Roman"/>
      <w:kern w:val="0"/>
      <w:szCs w:val="20"/>
    </w:rPr>
  </w:style>
  <w:style w:type="paragraph" w:customStyle="1" w:styleId="450">
    <w:name w:val="招标文件1.1"/>
    <w:qFormat/>
    <w:uiPriority w:val="0"/>
    <w:pPr>
      <w:tabs>
        <w:tab w:val="left" w:pos="630"/>
        <w:tab w:val="left" w:pos="1080"/>
      </w:tabs>
      <w:spacing w:beforeLines="50" w:after="120" w:line="480" w:lineRule="exact"/>
      <w:ind w:left="1080" w:right="-27" w:rightChars="-27" w:hanging="1080"/>
      <w:jc w:val="both"/>
      <w:outlineLvl w:val="2"/>
    </w:pPr>
    <w:rPr>
      <w:rFonts w:ascii="宋体" w:hAnsi="Times New Roman" w:eastAsia="宋体" w:cs="Times New Roman"/>
      <w:b/>
      <w:spacing w:val="10"/>
      <w:w w:val="95"/>
      <w:sz w:val="24"/>
      <w:lang w:val="en-US" w:eastAsia="zh-CN" w:bidi="ar-SA"/>
    </w:rPr>
  </w:style>
  <w:style w:type="paragraph" w:customStyle="1" w:styleId="451">
    <w:name w:val="格式1"/>
    <w:basedOn w:val="3"/>
    <w:qFormat/>
    <w:uiPriority w:val="0"/>
    <w:pPr>
      <w:keepLines w:val="0"/>
      <w:spacing w:before="0" w:after="0" w:line="240" w:lineRule="auto"/>
      <w:ind w:left="709" w:right="-27" w:rightChars="-27" w:hanging="709"/>
      <w:jc w:val="center"/>
    </w:pPr>
    <w:rPr>
      <w:rFonts w:ascii="黑体" w:hAnsi="Arial" w:eastAsia="黑体" w:cs="Arial"/>
      <w:b w:val="0"/>
      <w:kern w:val="2"/>
      <w:sz w:val="32"/>
      <w:szCs w:val="24"/>
    </w:rPr>
  </w:style>
  <w:style w:type="paragraph" w:customStyle="1" w:styleId="452">
    <w:name w:val="Char4"/>
    <w:basedOn w:val="1"/>
    <w:qFormat/>
    <w:uiPriority w:val="0"/>
    <w:pPr>
      <w:spacing w:beforeLines="50" w:line="360" w:lineRule="auto"/>
      <w:ind w:left="709" w:right="-27" w:rightChars="-27" w:hanging="709"/>
    </w:pPr>
    <w:rPr>
      <w:rFonts w:ascii="仿宋_GB2312" w:hAnsi="Times New Roman" w:eastAsia="仿宋_GB2312" w:cs="Times New Roman"/>
      <w:b/>
      <w:sz w:val="32"/>
      <w:szCs w:val="32"/>
    </w:rPr>
  </w:style>
  <w:style w:type="paragraph" w:customStyle="1" w:styleId="453">
    <w:name w:val="标题2 Char"/>
    <w:basedOn w:val="4"/>
    <w:qFormat/>
    <w:uiPriority w:val="0"/>
    <w:pPr>
      <w:tabs>
        <w:tab w:val="left" w:pos="709"/>
      </w:tabs>
      <w:adjustRightInd w:val="0"/>
      <w:spacing w:before="0" w:after="0" w:line="360" w:lineRule="auto"/>
      <w:ind w:left="709" w:right="-27" w:rightChars="-27" w:hanging="709"/>
      <w:textAlignment w:val="baseline"/>
    </w:pPr>
    <w:rPr>
      <w:rFonts w:eastAsia="仿宋_GB2312" w:cs="Arial"/>
      <w:b w:val="0"/>
      <w:bCs w:val="0"/>
      <w:kern w:val="0"/>
      <w:sz w:val="21"/>
      <w:szCs w:val="24"/>
    </w:rPr>
  </w:style>
  <w:style w:type="paragraph" w:customStyle="1" w:styleId="454">
    <w:name w:val="Sub title 1"/>
    <w:basedOn w:val="1"/>
    <w:qFormat/>
    <w:uiPriority w:val="0"/>
    <w:pPr>
      <w:tabs>
        <w:tab w:val="left" w:pos="1304"/>
      </w:tabs>
      <w:autoSpaceDE w:val="0"/>
      <w:autoSpaceDN w:val="0"/>
      <w:adjustRightInd w:val="0"/>
      <w:spacing w:line="300" w:lineRule="atLeast"/>
      <w:ind w:left="1304" w:right="-27" w:rightChars="-27" w:hanging="170"/>
    </w:pPr>
    <w:rPr>
      <w:rFonts w:ascii="Arial" w:hAnsi="Arial" w:eastAsia="宋体" w:cs="Times New Roman"/>
      <w:kern w:val="0"/>
      <w:szCs w:val="20"/>
    </w:rPr>
  </w:style>
  <w:style w:type="paragraph" w:customStyle="1" w:styleId="455">
    <w:name w:val="专用"/>
    <w:basedOn w:val="1"/>
    <w:qFormat/>
    <w:uiPriority w:val="0"/>
    <w:pPr>
      <w:spacing w:beforeLines="50" w:afterLines="100" w:line="360" w:lineRule="auto"/>
      <w:ind w:left="838" w:right="-27" w:rightChars="-27" w:hanging="838" w:hangingChars="262"/>
    </w:pPr>
    <w:rPr>
      <w:rFonts w:ascii="宋体" w:hAnsi="Times New Roman" w:eastAsia="宋体" w:cs="Times New Roman"/>
      <w:b/>
      <w:color w:val="000000"/>
      <w:sz w:val="32"/>
      <w:szCs w:val="20"/>
    </w:rPr>
  </w:style>
  <w:style w:type="paragraph" w:customStyle="1" w:styleId="456">
    <w:name w:val="样式 样式 正文段落 + 段前: 0.2 行 + 段前: 0.5 行"/>
    <w:basedOn w:val="1"/>
    <w:qFormat/>
    <w:uiPriority w:val="0"/>
    <w:pPr>
      <w:autoSpaceDE w:val="0"/>
      <w:autoSpaceDN w:val="0"/>
      <w:adjustRightInd w:val="0"/>
      <w:snapToGrid w:val="0"/>
      <w:spacing w:beforeLines="20" w:line="540" w:lineRule="exact"/>
      <w:ind w:left="709" w:right="-27" w:rightChars="-27" w:firstLine="567"/>
      <w:textAlignment w:val="baseline"/>
    </w:pPr>
    <w:rPr>
      <w:rFonts w:ascii="宋体" w:hAnsi="Tms Rmn" w:eastAsia="宋体" w:cs="宋体"/>
      <w:kern w:val="0"/>
      <w:sz w:val="26"/>
      <w:szCs w:val="20"/>
    </w:rPr>
  </w:style>
  <w:style w:type="paragraph" w:customStyle="1" w:styleId="457">
    <w:name w:val="招标文件1.1.1.1"/>
    <w:basedOn w:val="1"/>
    <w:qFormat/>
    <w:uiPriority w:val="0"/>
    <w:pPr>
      <w:tabs>
        <w:tab w:val="left" w:pos="1440"/>
      </w:tabs>
      <w:spacing w:after="120" w:line="480" w:lineRule="exact"/>
      <w:ind w:left="1440" w:right="-27" w:rightChars="-27" w:hanging="1440"/>
      <w:jc w:val="left"/>
      <w:outlineLvl w:val="4"/>
    </w:pPr>
    <w:rPr>
      <w:rFonts w:ascii="宋体" w:hAnsi="宋体" w:eastAsia="宋体" w:cs="Times New Roman"/>
      <w:b/>
      <w:color w:val="000000"/>
      <w:spacing w:val="10"/>
      <w:w w:val="95"/>
      <w:szCs w:val="21"/>
    </w:rPr>
  </w:style>
  <w:style w:type="paragraph" w:customStyle="1" w:styleId="458">
    <w:name w:val="Normal 4"/>
    <w:basedOn w:val="1"/>
    <w:qFormat/>
    <w:uiPriority w:val="0"/>
    <w:pPr>
      <w:spacing w:beforeLines="50" w:line="440" w:lineRule="exact"/>
      <w:ind w:left="1078" w:leftChars="317" w:right="-27" w:rightChars="-27" w:firstLine="480" w:firstLineChars="200"/>
    </w:pPr>
    <w:rPr>
      <w:rFonts w:ascii="宋体" w:hAnsi="宋体" w:eastAsia="宋体" w:cs="Times New Roman"/>
      <w:color w:val="000000"/>
      <w:kern w:val="0"/>
      <w:sz w:val="24"/>
      <w:szCs w:val="20"/>
    </w:rPr>
  </w:style>
  <w:style w:type="paragraph" w:customStyle="1" w:styleId="459">
    <w:name w:val="Char Char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60">
    <w:name w:val="3"/>
    <w:basedOn w:val="1"/>
    <w:next w:val="21"/>
    <w:qFormat/>
    <w:uiPriority w:val="0"/>
    <w:pPr>
      <w:adjustRightInd w:val="0"/>
      <w:spacing w:beforeLines="50" w:line="360" w:lineRule="atLeast"/>
      <w:ind w:left="709" w:right="-27" w:rightChars="-27" w:firstLine="482"/>
      <w:textAlignment w:val="baseline"/>
    </w:pPr>
    <w:rPr>
      <w:rFonts w:ascii="Times New Roman" w:hAnsi="Times New Roman" w:eastAsia="宋体" w:cs="Times New Roman"/>
      <w:kern w:val="0"/>
      <w:sz w:val="24"/>
      <w:szCs w:val="20"/>
    </w:rPr>
  </w:style>
  <w:style w:type="paragraph" w:customStyle="1" w:styleId="461">
    <w:name w:val="招标文件正文"/>
    <w:link w:val="774"/>
    <w:qFormat/>
    <w:uiPriority w:val="0"/>
    <w:pPr>
      <w:spacing w:beforeLines="50" w:after="120" w:line="300" w:lineRule="auto"/>
      <w:ind w:left="709" w:right="-27" w:rightChars="-27" w:firstLine="200" w:firstLineChars="200"/>
      <w:jc w:val="both"/>
    </w:pPr>
    <w:rPr>
      <w:rFonts w:ascii="宋体" w:hAnsi="Times New Roman" w:eastAsia="宋体" w:cs="Times New Roman"/>
      <w:spacing w:val="10"/>
      <w:w w:val="95"/>
      <w:sz w:val="21"/>
      <w:lang w:val="en-US" w:eastAsia="zh-CN" w:bidi="ar-SA"/>
    </w:rPr>
  </w:style>
  <w:style w:type="paragraph" w:customStyle="1" w:styleId="462">
    <w:name w:val="xl68"/>
    <w:basedOn w:val="1"/>
    <w:qFormat/>
    <w:uiPriority w:val="0"/>
    <w:pPr>
      <w:widowControl/>
      <w:pBdr>
        <w:bottom w:val="single" w:color="auto" w:sz="4" w:space="0"/>
      </w:pBdr>
      <w:spacing w:beforeAutospacing="1" w:after="100" w:afterAutospacing="1" w:line="360" w:lineRule="auto"/>
      <w:ind w:left="709" w:right="-27" w:rightChars="-27" w:hanging="709"/>
      <w:jc w:val="center"/>
    </w:pPr>
    <w:rPr>
      <w:rFonts w:ascii="宋体" w:hAnsi="宋体" w:eastAsia="宋体" w:cs="Times New Roman"/>
      <w:kern w:val="0"/>
      <w:sz w:val="20"/>
      <w:szCs w:val="20"/>
    </w:rPr>
  </w:style>
  <w:style w:type="paragraph" w:customStyle="1" w:styleId="463">
    <w:name w:val="列出段落2"/>
    <w:basedOn w:val="1"/>
    <w:qFormat/>
    <w:uiPriority w:val="34"/>
    <w:pPr>
      <w:spacing w:beforeLines="50" w:line="360" w:lineRule="auto"/>
      <w:ind w:left="709" w:right="-27" w:rightChars="-27" w:firstLine="420" w:firstLineChars="200"/>
    </w:pPr>
    <w:rPr>
      <w:rFonts w:ascii="Times New Roman" w:hAnsi="Times New Roman" w:eastAsia="宋体" w:cs="Times New Roman"/>
      <w:szCs w:val="24"/>
    </w:rPr>
  </w:style>
  <w:style w:type="paragraph" w:customStyle="1" w:styleId="464">
    <w:name w:val="Numbered List"/>
    <w:basedOn w:val="57"/>
    <w:qFormat/>
    <w:uiPriority w:val="0"/>
    <w:pPr>
      <w:widowControl/>
      <w:pBdr>
        <w:bottom w:val="none" w:color="auto" w:sz="0" w:space="0"/>
      </w:pBdr>
      <w:tabs>
        <w:tab w:val="left" w:pos="360"/>
        <w:tab w:val="clear" w:pos="4153"/>
        <w:tab w:val="clear" w:pos="8306"/>
      </w:tabs>
      <w:snapToGrid/>
      <w:spacing w:beforeLines="50" w:line="360" w:lineRule="auto"/>
      <w:ind w:left="360" w:right="-27" w:rightChars="-27" w:hanging="360"/>
      <w:jc w:val="left"/>
    </w:pPr>
    <w:rPr>
      <w:rFonts w:ascii="Univers" w:hAnsi="Univers"/>
      <w:kern w:val="0"/>
      <w:sz w:val="22"/>
      <w:szCs w:val="20"/>
    </w:rPr>
  </w:style>
  <w:style w:type="paragraph" w:customStyle="1" w:styleId="465">
    <w:name w:val="Char Char Char2 Char1"/>
    <w:basedOn w:val="1"/>
    <w:qFormat/>
    <w:uiPriority w:val="0"/>
    <w:pPr>
      <w:spacing w:beforeLines="50" w:line="360" w:lineRule="auto"/>
      <w:ind w:left="709" w:right="-27" w:rightChars="-27" w:firstLine="360" w:firstLineChars="150"/>
    </w:pPr>
    <w:rPr>
      <w:rFonts w:ascii="Tahoma" w:hAnsi="Tahoma" w:eastAsia="宋体" w:cs="Times New Roman"/>
      <w:sz w:val="24"/>
      <w:szCs w:val="20"/>
    </w:rPr>
  </w:style>
  <w:style w:type="paragraph" w:customStyle="1" w:styleId="466">
    <w:name w:val="Body text 1"/>
    <w:basedOn w:val="1"/>
    <w:qFormat/>
    <w:uiPriority w:val="0"/>
    <w:pPr>
      <w:tabs>
        <w:tab w:val="left" w:pos="1134"/>
      </w:tabs>
      <w:autoSpaceDE w:val="0"/>
      <w:autoSpaceDN w:val="0"/>
      <w:adjustRightInd w:val="0"/>
      <w:spacing w:line="300" w:lineRule="atLeast"/>
      <w:ind w:left="1134" w:right="-27" w:rightChars="-27" w:hanging="1134"/>
    </w:pPr>
    <w:rPr>
      <w:rFonts w:ascii="Times New Roman" w:hAnsi="Times New Roman" w:eastAsia="宋体" w:cs="Times New Roman"/>
      <w:color w:val="000000"/>
      <w:kern w:val="0"/>
      <w:sz w:val="24"/>
      <w:szCs w:val="20"/>
    </w:rPr>
  </w:style>
  <w:style w:type="paragraph" w:customStyle="1" w:styleId="467">
    <w:name w:val="2-2ji"/>
    <w:basedOn w:val="4"/>
    <w:qFormat/>
    <w:uiPriority w:val="0"/>
    <w:pPr>
      <w:spacing w:before="0" w:after="0" w:line="360" w:lineRule="auto"/>
      <w:ind w:left="709" w:right="-27" w:rightChars="-27" w:hanging="709"/>
      <w:jc w:val="center"/>
    </w:pPr>
    <w:rPr>
      <w:rFonts w:ascii="宋体" w:hAnsi="宋体" w:eastAsia="宋体"/>
      <w:sz w:val="36"/>
      <w:szCs w:val="24"/>
    </w:rPr>
  </w:style>
  <w:style w:type="paragraph" w:customStyle="1" w:styleId="468">
    <w:name w:val="招标文件1"/>
    <w:basedOn w:val="1"/>
    <w:qFormat/>
    <w:uiPriority w:val="0"/>
    <w:pPr>
      <w:tabs>
        <w:tab w:val="left" w:pos="420"/>
        <w:tab w:val="left" w:pos="1134"/>
      </w:tabs>
      <w:spacing w:after="120" w:line="480" w:lineRule="exact"/>
      <w:ind w:left="1134" w:right="-27" w:rightChars="-27" w:hanging="1134"/>
      <w:jc w:val="left"/>
      <w:outlineLvl w:val="1"/>
    </w:pPr>
    <w:rPr>
      <w:rFonts w:ascii="宋体" w:hAnsi="宋体" w:eastAsia="宋体" w:cs="Times New Roman"/>
      <w:b/>
      <w:color w:val="000000"/>
      <w:spacing w:val="10"/>
      <w:w w:val="95"/>
      <w:kern w:val="0"/>
      <w:sz w:val="28"/>
      <w:szCs w:val="21"/>
    </w:rPr>
  </w:style>
  <w:style w:type="paragraph" w:customStyle="1" w:styleId="469">
    <w:name w:val="招标文件1.1.1"/>
    <w:qFormat/>
    <w:uiPriority w:val="0"/>
    <w:pPr>
      <w:tabs>
        <w:tab w:val="left" w:pos="1080"/>
      </w:tabs>
      <w:spacing w:beforeLines="50" w:after="120" w:line="480" w:lineRule="exact"/>
      <w:ind w:left="1080" w:right="-27" w:rightChars="-27" w:hanging="1080"/>
      <w:jc w:val="both"/>
      <w:outlineLvl w:val="3"/>
    </w:pPr>
    <w:rPr>
      <w:rFonts w:ascii="宋体" w:hAnsi="Times New Roman" w:eastAsia="宋体" w:cs="Times New Roman"/>
      <w:b/>
      <w:spacing w:val="10"/>
      <w:w w:val="95"/>
      <w:sz w:val="21"/>
      <w:lang w:val="en-US" w:eastAsia="zh-CN" w:bidi="ar-SA"/>
    </w:rPr>
  </w:style>
  <w:style w:type="paragraph" w:customStyle="1" w:styleId="470">
    <w:name w:val="2ji"/>
    <w:basedOn w:val="4"/>
    <w:qFormat/>
    <w:uiPriority w:val="0"/>
    <w:pPr>
      <w:spacing w:before="0" w:after="0" w:line="360" w:lineRule="auto"/>
      <w:ind w:left="709" w:right="-27" w:rightChars="-27" w:hanging="709"/>
    </w:pPr>
    <w:rPr>
      <w:rFonts w:ascii="宋体" w:hAnsi="宋体" w:eastAsia="宋体"/>
      <w:bCs w:val="0"/>
      <w:sz w:val="21"/>
      <w:szCs w:val="21"/>
    </w:rPr>
  </w:style>
  <w:style w:type="paragraph" w:customStyle="1" w:styleId="471">
    <w:name w:val="Char Char Char1 Char Char Char Char Char Char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72">
    <w:name w:val="Footer First"/>
    <w:basedOn w:val="56"/>
    <w:qFormat/>
    <w:uiPriority w:val="0"/>
    <w:pPr>
      <w:keepLines/>
      <w:widowControl/>
      <w:tabs>
        <w:tab w:val="left" w:pos="1080"/>
        <w:tab w:val="left" w:pos="1627"/>
        <w:tab w:val="left" w:pos="2160"/>
        <w:tab w:val="left" w:pos="2880"/>
        <w:tab w:val="center" w:pos="4320"/>
        <w:tab w:val="clear" w:pos="4153"/>
        <w:tab w:val="clear" w:pos="8306"/>
      </w:tabs>
      <w:snapToGrid/>
      <w:spacing w:beforeLines="50" w:line="300" w:lineRule="exact"/>
      <w:ind w:left="709" w:right="-27" w:rightChars="-27" w:hanging="709"/>
      <w:jc w:val="center"/>
    </w:pPr>
    <w:rPr>
      <w:rFonts w:ascii="Univers" w:hAnsi="Univers"/>
      <w:kern w:val="0"/>
      <w:sz w:val="22"/>
      <w:szCs w:val="20"/>
    </w:rPr>
  </w:style>
  <w:style w:type="paragraph" w:customStyle="1" w:styleId="473">
    <w:name w:val="样式 正文缩进 + 首行缩进:  2 字符 段前: 1 行 段后: 1 行"/>
    <w:basedOn w:val="21"/>
    <w:qFormat/>
    <w:uiPriority w:val="0"/>
    <w:pPr>
      <w:spacing w:beforeLines="100" w:afterLines="100" w:line="360" w:lineRule="auto"/>
      <w:ind w:left="709" w:right="-27" w:rightChars="-27" w:firstLine="560" w:firstLineChars="200"/>
    </w:pPr>
    <w:rPr>
      <w:rFonts w:cs="宋体"/>
    </w:rPr>
  </w:style>
  <w:style w:type="paragraph" w:customStyle="1" w:styleId="474">
    <w:name w:val="图表中对齐"/>
    <w:basedOn w:val="1"/>
    <w:qFormat/>
    <w:uiPriority w:val="0"/>
    <w:pPr>
      <w:adjustRightInd w:val="0"/>
      <w:spacing w:beforeLines="50" w:line="360" w:lineRule="exact"/>
      <w:ind w:left="709" w:right="-27" w:rightChars="-27" w:hanging="709"/>
      <w:jc w:val="center"/>
      <w:textAlignment w:val="baseline"/>
    </w:pPr>
    <w:rPr>
      <w:rFonts w:ascii="Times New Roman" w:hAnsi="Times New Roman" w:eastAsia="宋体" w:cs="Times New Roman"/>
      <w:spacing w:val="-10"/>
      <w:sz w:val="24"/>
      <w:szCs w:val="21"/>
    </w:rPr>
  </w:style>
  <w:style w:type="paragraph" w:customStyle="1" w:styleId="475">
    <w:name w:val="样式 图表 + 五号"/>
    <w:basedOn w:val="1"/>
    <w:qFormat/>
    <w:uiPriority w:val="0"/>
    <w:pPr>
      <w:spacing w:beforeLines="50" w:line="360" w:lineRule="exact"/>
      <w:ind w:left="1200" w:right="-27" w:rightChars="-27" w:hanging="1200"/>
      <w:jc w:val="center"/>
    </w:pPr>
    <w:rPr>
      <w:rFonts w:ascii="Times New Roman" w:hAnsi="Times New Roman" w:eastAsia="宋体" w:cs="Times New Roman"/>
      <w:spacing w:val="-10"/>
      <w:szCs w:val="28"/>
    </w:rPr>
  </w:style>
  <w:style w:type="paragraph" w:customStyle="1" w:styleId="476">
    <w:name w:val="格式2"/>
    <w:qFormat/>
    <w:uiPriority w:val="0"/>
    <w:pPr>
      <w:spacing w:beforeLines="50" w:line="360" w:lineRule="auto"/>
      <w:ind w:left="709" w:right="-27" w:rightChars="-27" w:hanging="709"/>
      <w:jc w:val="both"/>
    </w:pPr>
    <w:rPr>
      <w:rFonts w:ascii="黑体" w:hAnsi="Times New Roman" w:eastAsia="黑体" w:cs="Times New Roman"/>
      <w:bCs/>
      <w:lang w:val="en-US" w:eastAsia="zh-CN" w:bidi="ar-SA"/>
    </w:rPr>
  </w:style>
  <w:style w:type="paragraph" w:customStyle="1" w:styleId="477">
    <w:name w:val="正文1缩进"/>
    <w:basedOn w:val="301"/>
    <w:qFormat/>
    <w:uiPriority w:val="0"/>
    <w:pPr>
      <w:widowControl w:val="0"/>
      <w:tabs>
        <w:tab w:val="left" w:pos="720"/>
        <w:tab w:val="right" w:pos="1191"/>
      </w:tabs>
      <w:adjustRightInd w:val="0"/>
      <w:snapToGrid w:val="0"/>
      <w:spacing w:beforeLines="50" w:afterLines="50" w:line="380" w:lineRule="atLeast"/>
      <w:ind w:left="984" w:leftChars="410" w:right="-27" w:rightChars="-27" w:firstLine="5" w:firstLineChars="2"/>
    </w:pPr>
    <w:rPr>
      <w:rFonts w:ascii="宋体" w:hAnsi="宋体"/>
      <w:color w:val="000000"/>
      <w:kern w:val="0"/>
      <w:sz w:val="24"/>
      <w:szCs w:val="24"/>
    </w:rPr>
  </w:style>
  <w:style w:type="paragraph" w:customStyle="1" w:styleId="478">
    <w:name w:val="标题 111"/>
    <w:basedOn w:val="3"/>
    <w:qFormat/>
    <w:uiPriority w:val="0"/>
    <w:pPr>
      <w:pageBreakBefore/>
      <w:tabs>
        <w:tab w:val="left" w:pos="450"/>
      </w:tabs>
      <w:spacing w:before="240" w:after="240" w:line="360" w:lineRule="auto"/>
      <w:ind w:left="200" w:right="-27" w:rightChars="-27" w:hanging="200" w:hangingChars="200"/>
      <w:jc w:val="center"/>
    </w:pPr>
    <w:rPr>
      <w:rFonts w:ascii="MS Mincho" w:hAnsi="MS Mincho" w:eastAsia="MS Mincho"/>
      <w:color w:val="000000"/>
      <w:sz w:val="32"/>
      <w:szCs w:val="20"/>
    </w:rPr>
  </w:style>
  <w:style w:type="paragraph" w:customStyle="1" w:styleId="47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0">
    <w:name w:val="样式 标题2 + 字距调整8 磅"/>
    <w:basedOn w:val="453"/>
    <w:qFormat/>
    <w:uiPriority w:val="0"/>
    <w:rPr>
      <w:kern w:val="16"/>
    </w:rPr>
  </w:style>
  <w:style w:type="paragraph" w:customStyle="1" w:styleId="481">
    <w:name w:val="p17"/>
    <w:basedOn w:val="1"/>
    <w:unhideWhenUsed/>
    <w:qFormat/>
    <w:uiPriority w:val="99"/>
    <w:pPr>
      <w:widowControl/>
      <w:spacing w:beforeLines="50" w:line="360" w:lineRule="auto"/>
      <w:ind w:left="709" w:right="-27" w:rightChars="-27" w:hanging="709"/>
    </w:pPr>
    <w:rPr>
      <w:rFonts w:hint="eastAsia" w:ascii="宋体" w:hAnsi="宋体" w:eastAsia="宋体" w:cs="Times New Roman"/>
      <w:szCs w:val="24"/>
    </w:rPr>
  </w:style>
  <w:style w:type="paragraph" w:customStyle="1" w:styleId="482">
    <w:name w:val="招标文件A）"/>
    <w:qFormat/>
    <w:uiPriority w:val="0"/>
    <w:pPr>
      <w:tabs>
        <w:tab w:val="left" w:pos="2160"/>
      </w:tabs>
      <w:spacing w:beforeLines="50" w:after="120" w:line="300" w:lineRule="auto"/>
      <w:ind w:left="2160" w:right="-27" w:rightChars="-27" w:hanging="2160"/>
      <w:jc w:val="both"/>
      <w:outlineLvl w:val="6"/>
    </w:pPr>
    <w:rPr>
      <w:rFonts w:ascii="宋体" w:hAnsi="Times New Roman" w:eastAsia="宋体" w:cs="Times New Roman"/>
      <w:spacing w:val="10"/>
      <w:w w:val="95"/>
      <w:sz w:val="21"/>
      <w:lang w:val="en-US" w:eastAsia="zh-CN" w:bidi="ar-SA"/>
    </w:rPr>
  </w:style>
  <w:style w:type="paragraph" w:customStyle="1" w:styleId="483">
    <w:name w:val="Char41"/>
    <w:basedOn w:val="1"/>
    <w:qFormat/>
    <w:uiPriority w:val="0"/>
    <w:pPr>
      <w:spacing w:beforeLines="50" w:line="360" w:lineRule="auto"/>
      <w:ind w:left="709" w:right="-27" w:rightChars="-27" w:hanging="709"/>
    </w:pPr>
    <w:rPr>
      <w:rFonts w:ascii="仿宋_GB2312" w:hAnsi="Times New Roman" w:eastAsia="仿宋_GB2312" w:cs="Times New Roman"/>
      <w:b/>
      <w:sz w:val="32"/>
      <w:szCs w:val="32"/>
    </w:rPr>
  </w:style>
  <w:style w:type="paragraph" w:customStyle="1" w:styleId="484">
    <w:name w:val="8"/>
    <w:basedOn w:val="1"/>
    <w:next w:val="162"/>
    <w:qFormat/>
    <w:uiPriority w:val="0"/>
    <w:pPr>
      <w:spacing w:beforeLines="50" w:line="360" w:lineRule="auto"/>
      <w:ind w:left="709" w:right="-27" w:rightChars="-27" w:firstLine="420" w:firstLineChars="200"/>
    </w:pPr>
    <w:rPr>
      <w:rFonts w:ascii="Calibri" w:hAnsi="Calibri" w:eastAsia="宋体" w:cs="Times New Roman"/>
    </w:rPr>
  </w:style>
  <w:style w:type="paragraph" w:customStyle="1" w:styleId="485">
    <w:name w:val="Char Char Char1 Char Char Char Char Char Char Char Char Char Char Char Char Char Char Char Char Char Char Char Char Char Char Char Char1 Char Char Char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86">
    <w:name w:val="Sprechblasentext"/>
    <w:basedOn w:val="1"/>
    <w:qFormat/>
    <w:uiPriority w:val="0"/>
    <w:pPr>
      <w:spacing w:beforeLines="50" w:line="300" w:lineRule="atLeast"/>
      <w:ind w:left="709" w:right="-27" w:rightChars="-27" w:firstLine="709"/>
    </w:pPr>
    <w:rPr>
      <w:rFonts w:ascii="Tahoma" w:hAnsi="Tahoma" w:eastAsia="宋体" w:cs="Tahoma"/>
      <w:sz w:val="16"/>
      <w:szCs w:val="16"/>
    </w:rPr>
  </w:style>
  <w:style w:type="paragraph" w:customStyle="1" w:styleId="487">
    <w:name w:val="p19"/>
    <w:basedOn w:val="1"/>
    <w:unhideWhenUsed/>
    <w:qFormat/>
    <w:uiPriority w:val="99"/>
    <w:pPr>
      <w:widowControl/>
      <w:spacing w:beforeLines="50" w:line="360" w:lineRule="auto"/>
      <w:ind w:left="709" w:right="-27" w:rightChars="-27" w:hanging="709"/>
      <w:jc w:val="left"/>
    </w:pPr>
    <w:rPr>
      <w:rFonts w:hint="eastAsia" w:ascii="Times New Roman" w:hAnsi="Times New Roman" w:eastAsia="宋体" w:cs="Times New Roman"/>
      <w:sz w:val="18"/>
      <w:szCs w:val="24"/>
    </w:rPr>
  </w:style>
  <w:style w:type="paragraph" w:customStyle="1" w:styleId="488">
    <w:name w:val="Char Char Char Char Char"/>
    <w:basedOn w:val="1"/>
    <w:qFormat/>
    <w:uiPriority w:val="0"/>
    <w:pPr>
      <w:spacing w:beforeLines="50" w:line="360" w:lineRule="auto"/>
      <w:ind w:left="709" w:right="-27" w:rightChars="-27" w:firstLine="360" w:firstLineChars="150"/>
    </w:pPr>
    <w:rPr>
      <w:rFonts w:ascii="Tahoma" w:hAnsi="Tahoma" w:eastAsia="宋体" w:cs="Times New Roman"/>
      <w:sz w:val="24"/>
      <w:szCs w:val="20"/>
    </w:rPr>
  </w:style>
  <w:style w:type="paragraph" w:customStyle="1" w:styleId="489">
    <w:name w:val="Char Char Char Char Char Char Char Char Char Char Char Char1 Char Char Char Char Char Char1 Char Char Char Char Char Char Char"/>
    <w:basedOn w:val="1"/>
    <w:qFormat/>
    <w:uiPriority w:val="0"/>
    <w:pPr>
      <w:spacing w:beforeLines="50" w:line="360" w:lineRule="auto"/>
      <w:ind w:left="709" w:right="-27" w:rightChars="-27" w:hanging="709"/>
    </w:pPr>
    <w:rPr>
      <w:rFonts w:ascii="Tahoma" w:hAnsi="Tahoma" w:eastAsia="宋体" w:cs="仿宋_GB2312"/>
      <w:sz w:val="24"/>
      <w:szCs w:val="20"/>
    </w:rPr>
  </w:style>
  <w:style w:type="paragraph" w:customStyle="1" w:styleId="490">
    <w:name w:val="通用"/>
    <w:basedOn w:val="1"/>
    <w:qFormat/>
    <w:uiPriority w:val="0"/>
    <w:pPr>
      <w:spacing w:beforeLines="50" w:line="360" w:lineRule="auto"/>
      <w:ind w:left="840" w:leftChars="400" w:right="-27" w:rightChars="-27" w:hanging="709"/>
    </w:pPr>
    <w:rPr>
      <w:rFonts w:ascii="宋体" w:hAnsi="宋体" w:eastAsia="宋体" w:cs="Times New Roman"/>
      <w:szCs w:val="20"/>
    </w:rPr>
  </w:style>
  <w:style w:type="paragraph" w:customStyle="1" w:styleId="491">
    <w:name w:val="正文 样式"/>
    <w:basedOn w:val="1"/>
    <w:qFormat/>
    <w:uiPriority w:val="0"/>
    <w:pPr>
      <w:spacing w:beforeLines="50" w:line="360" w:lineRule="auto"/>
      <w:ind w:left="1080" w:leftChars="450" w:right="-27" w:rightChars="-27" w:firstLine="540" w:firstLineChars="225"/>
    </w:pPr>
    <w:rPr>
      <w:rFonts w:ascii="Times New Roman" w:hAnsi="Times New Roman" w:eastAsia="宋体" w:cs="Times New Roman"/>
      <w:sz w:val="24"/>
      <w:szCs w:val="20"/>
    </w:rPr>
  </w:style>
  <w:style w:type="paragraph" w:customStyle="1" w:styleId="492">
    <w:name w:val="合同书"/>
    <w:basedOn w:val="1"/>
    <w:qFormat/>
    <w:uiPriority w:val="0"/>
    <w:pPr>
      <w:spacing w:beforeLines="50" w:afterLines="100" w:line="360" w:lineRule="auto"/>
      <w:ind w:left="709" w:right="-27" w:rightChars="-27" w:hanging="709"/>
      <w:jc w:val="center"/>
    </w:pPr>
    <w:rPr>
      <w:rFonts w:ascii="Times New Roman" w:hAnsi="宋体" w:eastAsia="宋体" w:cs="Times New Roman"/>
      <w:b/>
      <w:color w:val="000000"/>
      <w:sz w:val="44"/>
      <w:szCs w:val="44"/>
    </w:rPr>
  </w:style>
  <w:style w:type="paragraph" w:customStyle="1" w:styleId="493">
    <w:name w:val="正文2"/>
    <w:basedOn w:val="1"/>
    <w:qFormat/>
    <w:uiPriority w:val="0"/>
    <w:pPr>
      <w:adjustRightInd w:val="0"/>
      <w:spacing w:beforeLines="50" w:after="60" w:line="360" w:lineRule="atLeast"/>
      <w:ind w:left="57" w:right="57" w:rightChars="-27" w:hanging="709"/>
      <w:jc w:val="center"/>
      <w:textAlignment w:val="baseline"/>
    </w:pPr>
    <w:rPr>
      <w:rFonts w:ascii="宋体" w:hAnsi="Times New Roman" w:eastAsia="宋体" w:cs="Times New Roman"/>
      <w:kern w:val="0"/>
      <w:szCs w:val="20"/>
    </w:rPr>
  </w:style>
  <w:style w:type="paragraph" w:customStyle="1" w:styleId="494">
    <w:name w:val="StandardOhneEinzug"/>
    <w:basedOn w:val="1"/>
    <w:qFormat/>
    <w:uiPriority w:val="0"/>
    <w:pPr>
      <w:widowControl/>
      <w:tabs>
        <w:tab w:val="left" w:pos="2520"/>
      </w:tabs>
      <w:spacing w:beforeLines="50" w:after="240" w:line="288" w:lineRule="auto"/>
      <w:ind w:left="2520" w:right="-27" w:rightChars="-27" w:hanging="2520"/>
      <w:jc w:val="left"/>
    </w:pPr>
    <w:rPr>
      <w:rFonts w:ascii="Arial" w:hAnsi="Arial" w:eastAsia="宋体" w:cs="Times New Roman"/>
      <w:color w:val="000000"/>
      <w:kern w:val="0"/>
      <w:sz w:val="22"/>
      <w:szCs w:val="20"/>
      <w:lang w:val="de-DE"/>
    </w:rPr>
  </w:style>
  <w:style w:type="paragraph" w:customStyle="1" w:styleId="495">
    <w:name w:val="Char Char Char Char1"/>
    <w:basedOn w:val="26"/>
    <w:qFormat/>
    <w:uiPriority w:val="0"/>
    <w:pPr>
      <w:adjustRightInd w:val="0"/>
      <w:spacing w:beforeLines="50" w:line="436" w:lineRule="exact"/>
      <w:ind w:left="357" w:right="-27" w:rightChars="-27" w:hanging="709"/>
      <w:jc w:val="left"/>
      <w:outlineLvl w:val="3"/>
    </w:pPr>
    <w:rPr>
      <w:rFonts w:ascii="Tahoma" w:hAnsi="Tahoma"/>
      <w:b/>
      <w:sz w:val="24"/>
      <w:szCs w:val="24"/>
    </w:rPr>
  </w:style>
  <w:style w:type="paragraph" w:customStyle="1" w:styleId="496">
    <w:name w:val="Char Char Char1 Char Char Char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97">
    <w:name w:val="p20"/>
    <w:basedOn w:val="1"/>
    <w:unhideWhenUsed/>
    <w:qFormat/>
    <w:uiPriority w:val="99"/>
    <w:pPr>
      <w:widowControl/>
      <w:pBdr>
        <w:bottom w:val="single" w:color="000000" w:sz="6" w:space="1"/>
      </w:pBdr>
      <w:spacing w:beforeLines="50" w:line="360" w:lineRule="auto"/>
      <w:ind w:left="709" w:right="-27" w:rightChars="-27" w:hanging="709"/>
      <w:jc w:val="center"/>
    </w:pPr>
    <w:rPr>
      <w:rFonts w:hint="eastAsia" w:ascii="Times New Roman" w:hAnsi="Times New Roman" w:eastAsia="宋体" w:cs="Times New Roman"/>
      <w:sz w:val="18"/>
      <w:szCs w:val="24"/>
    </w:rPr>
  </w:style>
  <w:style w:type="paragraph" w:customStyle="1" w:styleId="498">
    <w:name w:val="样式 标题 2标题 1.1head:2#2 headlinehheadlineS&amp;R2ERMH2Head 2 +..."/>
    <w:basedOn w:val="4"/>
    <w:qFormat/>
    <w:uiPriority w:val="0"/>
    <w:pPr>
      <w:tabs>
        <w:tab w:val="left" w:pos="907"/>
      </w:tabs>
      <w:autoSpaceDE w:val="0"/>
      <w:autoSpaceDN w:val="0"/>
      <w:adjustRightInd w:val="0"/>
      <w:spacing w:before="120" w:after="120" w:line="360" w:lineRule="auto"/>
      <w:ind w:left="907" w:right="-27" w:rightChars="-27" w:hanging="907"/>
      <w:jc w:val="center"/>
      <w:textAlignment w:val="baseline"/>
    </w:pPr>
    <w:rPr>
      <w:rFonts w:eastAsia="宋体"/>
      <w:kern w:val="0"/>
      <w:sz w:val="24"/>
      <w:szCs w:val="20"/>
    </w:rPr>
  </w:style>
  <w:style w:type="paragraph" w:customStyle="1" w:styleId="499">
    <w:name w:val="技术标题2"/>
    <w:basedOn w:val="1"/>
    <w:qFormat/>
    <w:uiPriority w:val="0"/>
    <w:pPr>
      <w:keepNext/>
      <w:keepLines/>
      <w:adjustRightInd w:val="0"/>
      <w:snapToGrid w:val="0"/>
      <w:spacing w:beforeLines="150" w:afterLines="50" w:line="360" w:lineRule="auto"/>
      <w:ind w:left="709" w:right="-27" w:rightChars="-27" w:hanging="709"/>
      <w:outlineLvl w:val="3"/>
    </w:pPr>
    <w:rPr>
      <w:rFonts w:ascii="Arial" w:hAnsi="Arial" w:eastAsia="宋体" w:cs="Times New Roman"/>
      <w:b/>
      <w:bCs/>
      <w:color w:val="000000"/>
      <w:sz w:val="32"/>
      <w:szCs w:val="28"/>
    </w:rPr>
  </w:style>
  <w:style w:type="paragraph" w:customStyle="1" w:styleId="500">
    <w:name w:val="报告正文 Char1 Char"/>
    <w:basedOn w:val="1"/>
    <w:qFormat/>
    <w:uiPriority w:val="0"/>
    <w:pPr>
      <w:spacing w:beforeLines="50" w:line="480" w:lineRule="exact"/>
      <w:ind w:left="709" w:right="-27" w:rightChars="-27" w:firstLine="200" w:firstLineChars="200"/>
    </w:pPr>
    <w:rPr>
      <w:rFonts w:ascii="宋体" w:hAnsi="Times New Roman" w:eastAsia="宋体" w:cs="Times New Roman"/>
      <w:color w:val="0000FF"/>
      <w:sz w:val="28"/>
      <w:szCs w:val="28"/>
    </w:rPr>
  </w:style>
  <w:style w:type="paragraph" w:customStyle="1" w:styleId="501">
    <w:name w:val="正文文本11"/>
    <w:qFormat/>
    <w:uiPriority w:val="0"/>
    <w:pPr>
      <w:widowControl w:val="0"/>
      <w:autoSpaceDE w:val="0"/>
      <w:autoSpaceDN w:val="0"/>
      <w:adjustRightInd w:val="0"/>
      <w:spacing w:beforeLines="50" w:line="300" w:lineRule="atLeast"/>
      <w:ind w:left="1134" w:right="-27" w:rightChars="-27" w:hanging="709"/>
      <w:jc w:val="both"/>
    </w:pPr>
    <w:rPr>
      <w:rFonts w:ascii="Times New Roman" w:hAnsi="Times New Roman" w:eastAsia="宋体" w:cs="Times New Roman"/>
      <w:color w:val="000000"/>
      <w:sz w:val="24"/>
      <w:lang w:val="en-US" w:eastAsia="zh-CN" w:bidi="ar-SA"/>
    </w:rPr>
  </w:style>
  <w:style w:type="paragraph" w:customStyle="1" w:styleId="502">
    <w:name w:val="三点段 Char"/>
    <w:basedOn w:val="1"/>
    <w:qFormat/>
    <w:uiPriority w:val="0"/>
    <w:pPr>
      <w:spacing w:beforeLines="50" w:line="360" w:lineRule="auto"/>
      <w:ind w:left="1200" w:right="-27" w:rightChars="-27" w:hanging="1200" w:hangingChars="500"/>
    </w:pPr>
    <w:rPr>
      <w:rFonts w:ascii="宋体" w:hAnsi="Times New Roman" w:eastAsia="宋体" w:cs="Times New Roman"/>
      <w:sz w:val="24"/>
      <w:szCs w:val="24"/>
    </w:rPr>
  </w:style>
  <w:style w:type="paragraph" w:customStyle="1" w:styleId="503">
    <w:name w:val="默认段落字体 Para Char"/>
    <w:basedOn w:val="1"/>
    <w:next w:val="1"/>
    <w:qFormat/>
    <w:uiPriority w:val="0"/>
    <w:pPr>
      <w:spacing w:beforeLines="50" w:line="360" w:lineRule="auto"/>
      <w:ind w:left="709" w:right="-27" w:rightChars="-27" w:hanging="709"/>
    </w:pPr>
    <w:rPr>
      <w:rFonts w:ascii="Times New Roman" w:hAnsi="Times New Roman" w:eastAsia="宋体" w:cs="Times New Roman"/>
      <w:szCs w:val="24"/>
    </w:rPr>
  </w:style>
  <w:style w:type="paragraph" w:customStyle="1" w:styleId="504">
    <w:name w:val="4"/>
    <w:basedOn w:val="1"/>
    <w:next w:val="21"/>
    <w:qFormat/>
    <w:uiPriority w:val="0"/>
    <w:pPr>
      <w:adjustRightInd w:val="0"/>
      <w:spacing w:beforeLines="50" w:line="360" w:lineRule="atLeast"/>
      <w:ind w:left="709" w:right="-27" w:rightChars="-27" w:firstLine="482"/>
      <w:textAlignment w:val="baseline"/>
    </w:pPr>
    <w:rPr>
      <w:rFonts w:ascii="Times New Roman" w:hAnsi="Times New Roman" w:eastAsia="宋体" w:cs="Times New Roman"/>
      <w:kern w:val="0"/>
      <w:sz w:val="24"/>
      <w:szCs w:val="20"/>
    </w:rPr>
  </w:style>
  <w:style w:type="paragraph" w:customStyle="1" w:styleId="505">
    <w:name w:val="6"/>
    <w:basedOn w:val="1"/>
    <w:next w:val="21"/>
    <w:qFormat/>
    <w:uiPriority w:val="0"/>
    <w:pPr>
      <w:spacing w:beforeLines="50" w:line="360" w:lineRule="auto"/>
      <w:ind w:left="709" w:right="-27" w:rightChars="-27" w:firstLine="420"/>
    </w:pPr>
    <w:rPr>
      <w:rFonts w:ascii="Times New Roman" w:hAnsi="Times New Roman" w:eastAsia="宋体" w:cs="Times New Roman"/>
      <w:szCs w:val="20"/>
    </w:rPr>
  </w:style>
  <w:style w:type="paragraph" w:customStyle="1" w:styleId="506">
    <w:name w:val="(文字) (文字) Char Char (文字) (文字)"/>
    <w:basedOn w:val="1"/>
    <w:qFormat/>
    <w:uiPriority w:val="0"/>
    <w:pPr>
      <w:spacing w:beforeLines="50" w:line="360" w:lineRule="auto"/>
      <w:ind w:left="709" w:right="-27" w:rightChars="-27" w:hanging="709"/>
    </w:pPr>
    <w:rPr>
      <w:rFonts w:ascii="仿宋_GB2312" w:hAnsi="Times New Roman" w:eastAsia="仿宋_GB2312" w:cs="Times New Roman"/>
      <w:b/>
      <w:sz w:val="32"/>
      <w:szCs w:val="32"/>
    </w:rPr>
  </w:style>
  <w:style w:type="paragraph" w:customStyle="1" w:styleId="507">
    <w:name w:val="&gt;"/>
    <w:basedOn w:val="1"/>
    <w:next w:val="1"/>
    <w:qFormat/>
    <w:uiPriority w:val="2"/>
    <w:pPr>
      <w:numPr>
        <w:ilvl w:val="0"/>
        <w:numId w:val="2"/>
      </w:numPr>
      <w:spacing w:beforeLines="50" w:afterLines="50" w:line="360" w:lineRule="auto"/>
      <w:ind w:left="240" w:leftChars="100" w:right="240" w:rightChars="100" w:firstLine="0"/>
    </w:pPr>
    <w:rPr>
      <w:rFonts w:ascii="Calibri" w:hAnsi="Calibri" w:eastAsia="宋体" w:cs="Times New Roman"/>
      <w:sz w:val="28"/>
      <w:szCs w:val="28"/>
    </w:rPr>
  </w:style>
  <w:style w:type="paragraph" w:customStyle="1" w:styleId="508">
    <w:name w:val="图表小四中对齐"/>
    <w:basedOn w:val="1"/>
    <w:qFormat/>
    <w:uiPriority w:val="0"/>
    <w:pPr>
      <w:adjustRightInd w:val="0"/>
      <w:spacing w:beforeLines="50" w:line="360" w:lineRule="exact"/>
      <w:ind w:left="709" w:right="-27" w:rightChars="-27" w:hanging="709"/>
      <w:jc w:val="center"/>
      <w:textAlignment w:val="baseline"/>
    </w:pPr>
    <w:rPr>
      <w:rFonts w:ascii="Times New Roman" w:hAnsi="Times New Roman" w:eastAsia="宋体" w:cs="Times New Roman"/>
      <w:sz w:val="24"/>
      <w:szCs w:val="24"/>
    </w:rPr>
  </w:style>
  <w:style w:type="paragraph" w:customStyle="1" w:styleId="509">
    <w:name w:val="Char Char Char Char2"/>
    <w:basedOn w:val="1"/>
    <w:qFormat/>
    <w:uiPriority w:val="0"/>
    <w:pPr>
      <w:spacing w:beforeLines="50" w:line="360" w:lineRule="auto"/>
      <w:ind w:left="709" w:right="-27" w:rightChars="-27" w:firstLine="360" w:firstLineChars="150"/>
    </w:pPr>
    <w:rPr>
      <w:rFonts w:ascii="Times New Roman" w:hAnsi="Times New Roman" w:eastAsia="宋体" w:cs="Times New Roman"/>
      <w:szCs w:val="24"/>
    </w:rPr>
  </w:style>
  <w:style w:type="paragraph" w:customStyle="1" w:styleId="510">
    <w:name w:val="图表"/>
    <w:basedOn w:val="1"/>
    <w:qFormat/>
    <w:uiPriority w:val="0"/>
    <w:pPr>
      <w:spacing w:beforeLines="50" w:line="360" w:lineRule="exact"/>
      <w:ind w:left="709" w:right="-27" w:rightChars="-27" w:hanging="709"/>
      <w:jc w:val="left"/>
    </w:pPr>
    <w:rPr>
      <w:rFonts w:ascii="Times New Roman" w:hAnsi="Times New Roman" w:eastAsia="宋体" w:cs="Times New Roman"/>
      <w:spacing w:val="-10"/>
      <w:sz w:val="24"/>
      <w:szCs w:val="28"/>
    </w:rPr>
  </w:style>
  <w:style w:type="paragraph" w:customStyle="1" w:styleId="511">
    <w:name w:val="Char Char Char1 Char Char Char Char Char Char Char Char Char Char Char Char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512">
    <w:name w:val="注"/>
    <w:basedOn w:val="1"/>
    <w:qFormat/>
    <w:uiPriority w:val="0"/>
    <w:pPr>
      <w:adjustRightInd w:val="0"/>
      <w:spacing w:beforeLines="50" w:line="360" w:lineRule="atLeast"/>
      <w:ind w:left="840" w:right="-27" w:rightChars="-27" w:hanging="420"/>
      <w:jc w:val="left"/>
      <w:textAlignment w:val="baseline"/>
    </w:pPr>
    <w:rPr>
      <w:rFonts w:ascii="Times New Roman" w:hAnsi="Times New Roman" w:eastAsia="宋体" w:cs="Times New Roman"/>
      <w:kern w:val="0"/>
      <w:szCs w:val="20"/>
    </w:rPr>
  </w:style>
  <w:style w:type="paragraph" w:customStyle="1" w:styleId="513">
    <w:name w:val="标书正文1"/>
    <w:basedOn w:val="1"/>
    <w:qFormat/>
    <w:uiPriority w:val="0"/>
    <w:pPr>
      <w:spacing w:beforeLines="50" w:afterLines="50" w:line="360" w:lineRule="exact"/>
      <w:ind w:left="1077" w:right="-27" w:rightChars="-27" w:hanging="709"/>
    </w:pPr>
    <w:rPr>
      <w:rFonts w:ascii="宋体" w:hAnsi="宋体" w:eastAsia="宋体" w:cs="Times New Roman"/>
      <w:color w:val="FF0000"/>
      <w:szCs w:val="24"/>
    </w:rPr>
  </w:style>
  <w:style w:type="paragraph" w:customStyle="1" w:styleId="514">
    <w:name w:val="Char Char Char2 Char"/>
    <w:basedOn w:val="1"/>
    <w:qFormat/>
    <w:uiPriority w:val="0"/>
    <w:pPr>
      <w:spacing w:beforeLines="50" w:line="360" w:lineRule="auto"/>
      <w:ind w:left="709" w:right="-27" w:rightChars="-27" w:firstLine="360" w:firstLineChars="150"/>
    </w:pPr>
    <w:rPr>
      <w:rFonts w:ascii="Tahoma" w:hAnsi="Tahoma" w:eastAsia="宋体" w:cs="Times New Roman"/>
      <w:sz w:val="24"/>
      <w:szCs w:val="20"/>
    </w:rPr>
  </w:style>
  <w:style w:type="paragraph" w:customStyle="1" w:styleId="515">
    <w:name w:val="项目符号"/>
    <w:basedOn w:val="1"/>
    <w:qFormat/>
    <w:uiPriority w:val="0"/>
    <w:pPr>
      <w:spacing w:beforeLines="50" w:line="360" w:lineRule="auto"/>
      <w:ind w:left="709" w:right="-27" w:rightChars="-27" w:hanging="709"/>
    </w:pPr>
    <w:rPr>
      <w:rFonts w:ascii="Times New Roman" w:hAnsi="Times New Roman" w:eastAsia="宋体" w:cs="Times New Roman"/>
      <w:sz w:val="24"/>
      <w:szCs w:val="20"/>
    </w:rPr>
  </w:style>
  <w:style w:type="paragraph" w:customStyle="1" w:styleId="516">
    <w:name w:val="5"/>
    <w:basedOn w:val="1"/>
    <w:next w:val="81"/>
    <w:qFormat/>
    <w:uiPriority w:val="0"/>
    <w:pPr>
      <w:widowControl/>
      <w:spacing w:beforeAutospacing="1" w:after="100" w:afterAutospacing="1" w:line="360" w:lineRule="auto"/>
      <w:ind w:left="709" w:right="-27" w:rightChars="-27" w:hanging="709"/>
      <w:jc w:val="left"/>
    </w:pPr>
    <w:rPr>
      <w:rFonts w:ascii="宋体" w:hAnsi="宋体" w:eastAsia="宋体" w:cs="Times New Roman"/>
      <w:kern w:val="0"/>
      <w:sz w:val="24"/>
      <w:szCs w:val="24"/>
    </w:rPr>
  </w:style>
  <w:style w:type="paragraph" w:customStyle="1" w:styleId="517">
    <w:name w:val="第一章"/>
    <w:basedOn w:val="1"/>
    <w:next w:val="1"/>
    <w:qFormat/>
    <w:uiPriority w:val="0"/>
    <w:pPr>
      <w:tabs>
        <w:tab w:val="left" w:pos="360"/>
      </w:tabs>
      <w:spacing w:beforeLines="50" w:line="360" w:lineRule="auto"/>
      <w:ind w:left="500" w:right="-27" w:rightChars="-27" w:hanging="500" w:hangingChars="500"/>
      <w:jc w:val="center"/>
    </w:pPr>
    <w:rPr>
      <w:rFonts w:ascii="Times New Roman" w:hAnsi="Times New Roman" w:eastAsia="黑体" w:cs="Times New Roman"/>
      <w:sz w:val="44"/>
      <w:szCs w:val="24"/>
    </w:rPr>
  </w:style>
  <w:style w:type="paragraph" w:customStyle="1" w:styleId="518">
    <w:name w:val="Headline"/>
    <w:qFormat/>
    <w:uiPriority w:val="0"/>
    <w:pPr>
      <w:pageBreakBefore/>
      <w:widowControl w:val="0"/>
      <w:tabs>
        <w:tab w:val="left" w:pos="1701"/>
      </w:tabs>
      <w:autoSpaceDE w:val="0"/>
      <w:autoSpaceDN w:val="0"/>
      <w:adjustRightInd w:val="0"/>
      <w:spacing w:beforeLines="50" w:after="1134" w:line="900" w:lineRule="atLeast"/>
      <w:ind w:left="1701" w:right="-27" w:rightChars="-27" w:hanging="1701"/>
      <w:jc w:val="center"/>
    </w:pPr>
    <w:rPr>
      <w:rFonts w:ascii="Arial" w:hAnsi="Arial" w:eastAsia="黑体" w:cs="Times New Roman"/>
      <w:b/>
      <w:spacing w:val="-35"/>
      <w:sz w:val="72"/>
      <w:lang w:val="en-US" w:eastAsia="zh-CN" w:bidi="ar-SA"/>
    </w:rPr>
  </w:style>
  <w:style w:type="paragraph" w:customStyle="1" w:styleId="519">
    <w:name w:val="7"/>
    <w:basedOn w:val="1"/>
    <w:next w:val="1"/>
    <w:link w:val="599"/>
    <w:qFormat/>
    <w:uiPriority w:val="0"/>
    <w:pPr>
      <w:spacing w:beforeLines="50" w:line="360" w:lineRule="auto"/>
      <w:ind w:left="709" w:right="-27" w:rightChars="-27" w:hanging="709"/>
    </w:pPr>
    <w:rPr>
      <w:rFonts w:ascii="Times New Roman" w:hAnsi="Times New Roman" w:eastAsia="宋体" w:cs="Times New Roman"/>
      <w:szCs w:val="24"/>
    </w:rPr>
  </w:style>
  <w:style w:type="paragraph" w:customStyle="1" w:styleId="520">
    <w:name w:val="标题3"/>
    <w:basedOn w:val="5"/>
    <w:qFormat/>
    <w:uiPriority w:val="0"/>
    <w:pPr>
      <w:keepNext/>
      <w:tabs>
        <w:tab w:val="left" w:pos="360"/>
        <w:tab w:val="left" w:pos="840"/>
        <w:tab w:val="left" w:pos="2160"/>
      </w:tabs>
      <w:adjustRightInd w:val="0"/>
      <w:spacing w:beforeLines="50" w:line="360" w:lineRule="auto"/>
      <w:ind w:left="709" w:right="-27" w:rightChars="-27" w:hanging="709"/>
      <w:textAlignment w:val="baseline"/>
    </w:pPr>
    <w:rPr>
      <w:b w:val="0"/>
      <w:kern w:val="0"/>
      <w:sz w:val="24"/>
      <w:szCs w:val="20"/>
    </w:rPr>
  </w:style>
  <w:style w:type="paragraph" w:customStyle="1" w:styleId="521">
    <w:name w:val="招标文件1）"/>
    <w:qFormat/>
    <w:uiPriority w:val="0"/>
    <w:pPr>
      <w:tabs>
        <w:tab w:val="left" w:pos="1800"/>
      </w:tabs>
      <w:spacing w:beforeLines="50" w:after="120" w:line="300" w:lineRule="auto"/>
      <w:ind w:left="1800" w:right="-27" w:rightChars="-27" w:hanging="1800"/>
      <w:jc w:val="both"/>
      <w:outlineLvl w:val="5"/>
    </w:pPr>
    <w:rPr>
      <w:rFonts w:ascii="宋体" w:hAnsi="Times New Roman" w:eastAsia="宋体" w:cs="Times New Roman"/>
      <w:spacing w:val="10"/>
      <w:w w:val="95"/>
      <w:sz w:val="21"/>
      <w:lang w:val="en-US" w:eastAsia="zh-CN" w:bidi="ar-SA"/>
    </w:rPr>
  </w:style>
  <w:style w:type="paragraph" w:customStyle="1" w:styleId="522">
    <w:name w:val="Subhead 1"/>
    <w:basedOn w:val="1"/>
    <w:qFormat/>
    <w:uiPriority w:val="0"/>
    <w:pPr>
      <w:keepNext/>
      <w:pageBreakBefore/>
      <w:widowControl/>
      <w:tabs>
        <w:tab w:val="left" w:pos="1134"/>
        <w:tab w:val="left" w:pos="2552"/>
      </w:tabs>
      <w:autoSpaceDE w:val="0"/>
      <w:autoSpaceDN w:val="0"/>
      <w:adjustRightInd w:val="0"/>
      <w:spacing w:after="400" w:line="420" w:lineRule="atLeast"/>
      <w:ind w:left="1134" w:right="-27" w:rightChars="-27" w:hanging="1134"/>
      <w:jc w:val="left"/>
    </w:pPr>
    <w:rPr>
      <w:rFonts w:ascii="Arial" w:hAnsi="Arial" w:eastAsia="黑体" w:cs="Times New Roman"/>
      <w:b/>
      <w:kern w:val="0"/>
      <w:sz w:val="32"/>
      <w:szCs w:val="20"/>
    </w:rPr>
  </w:style>
  <w:style w:type="paragraph" w:customStyle="1" w:styleId="523">
    <w:name w:val="宋体小四正文"/>
    <w:basedOn w:val="1"/>
    <w:qFormat/>
    <w:uiPriority w:val="0"/>
    <w:pPr>
      <w:spacing w:beforeLines="50" w:line="360" w:lineRule="auto"/>
      <w:ind w:left="709" w:right="-27" w:rightChars="-27" w:firstLine="200" w:firstLineChars="200"/>
    </w:pPr>
    <w:rPr>
      <w:rFonts w:ascii="宋体" w:hAnsi="宋体" w:eastAsia="宋体" w:cs="Times New Roman"/>
      <w:color w:val="000000"/>
      <w:sz w:val="24"/>
      <w:szCs w:val="28"/>
    </w:rPr>
  </w:style>
  <w:style w:type="character" w:customStyle="1" w:styleId="524">
    <w:name w:val="宏文本 字符"/>
    <w:basedOn w:val="95"/>
    <w:link w:val="2"/>
    <w:semiHidden/>
    <w:qFormat/>
    <w:uiPriority w:val="0"/>
    <w:rPr>
      <w:rFonts w:ascii="Courier New" w:hAnsi="Courier New" w:eastAsia="宋体" w:cs="Courier New"/>
      <w:sz w:val="24"/>
      <w:szCs w:val="24"/>
    </w:rPr>
  </w:style>
  <w:style w:type="character" w:customStyle="1" w:styleId="525">
    <w:name w:val="注释标题 字符"/>
    <w:basedOn w:val="95"/>
    <w:link w:val="16"/>
    <w:qFormat/>
    <w:uiPriority w:val="0"/>
    <w:rPr>
      <w:rFonts w:ascii="Times New Roman" w:hAnsi="Times New Roman" w:eastAsia="宋体" w:cs="Times New Roman"/>
      <w:szCs w:val="20"/>
    </w:rPr>
  </w:style>
  <w:style w:type="character" w:customStyle="1" w:styleId="526">
    <w:name w:val="电子邮件签名 字符"/>
    <w:basedOn w:val="95"/>
    <w:link w:val="19"/>
    <w:qFormat/>
    <w:uiPriority w:val="0"/>
    <w:rPr>
      <w:rFonts w:ascii="Times New Roman" w:hAnsi="Times New Roman" w:eastAsia="宋体" w:cs="Times New Roman"/>
      <w:szCs w:val="20"/>
    </w:rPr>
  </w:style>
  <w:style w:type="character" w:customStyle="1" w:styleId="527">
    <w:name w:val="结束语 字符"/>
    <w:basedOn w:val="95"/>
    <w:link w:val="32"/>
    <w:qFormat/>
    <w:uiPriority w:val="0"/>
    <w:rPr>
      <w:rFonts w:ascii="Times New Roman" w:hAnsi="Times New Roman" w:eastAsia="宋体" w:cs="Times New Roman"/>
      <w:szCs w:val="20"/>
    </w:rPr>
  </w:style>
  <w:style w:type="character" w:customStyle="1" w:styleId="528">
    <w:name w:val="HTML 地址 字符"/>
    <w:basedOn w:val="95"/>
    <w:link w:val="42"/>
    <w:qFormat/>
    <w:uiPriority w:val="0"/>
    <w:rPr>
      <w:rFonts w:ascii="Times New Roman" w:hAnsi="Times New Roman" w:eastAsia="宋体" w:cs="Times New Roman"/>
      <w:i/>
      <w:szCs w:val="20"/>
    </w:rPr>
  </w:style>
  <w:style w:type="character" w:customStyle="1" w:styleId="529">
    <w:name w:val="尾注文本 字符"/>
    <w:basedOn w:val="95"/>
    <w:link w:val="53"/>
    <w:semiHidden/>
    <w:qFormat/>
    <w:uiPriority w:val="0"/>
    <w:rPr>
      <w:rFonts w:ascii="Times New Roman" w:hAnsi="Times New Roman" w:eastAsia="宋体" w:cs="Times New Roman"/>
      <w:sz w:val="24"/>
      <w:szCs w:val="24"/>
    </w:rPr>
  </w:style>
  <w:style w:type="character" w:customStyle="1" w:styleId="530">
    <w:name w:val="签名 字符"/>
    <w:basedOn w:val="95"/>
    <w:link w:val="58"/>
    <w:qFormat/>
    <w:uiPriority w:val="0"/>
    <w:rPr>
      <w:rFonts w:ascii="Times New Roman" w:hAnsi="Times New Roman" w:eastAsia="宋体" w:cs="Times New Roman"/>
      <w:szCs w:val="20"/>
    </w:rPr>
  </w:style>
  <w:style w:type="character" w:customStyle="1" w:styleId="531">
    <w:name w:val="信息标题 字符"/>
    <w:basedOn w:val="95"/>
    <w:link w:val="79"/>
    <w:qFormat/>
    <w:uiPriority w:val="0"/>
    <w:rPr>
      <w:rFonts w:ascii="Arial" w:hAnsi="Arial" w:eastAsia="宋体" w:cs="Times New Roman"/>
      <w:sz w:val="24"/>
      <w:szCs w:val="20"/>
      <w:shd w:val="pct20" w:color="auto" w:fill="auto"/>
    </w:rPr>
  </w:style>
  <w:style w:type="character" w:customStyle="1" w:styleId="532">
    <w:name w:val="纯文本 Char3"/>
    <w:qFormat/>
    <w:uiPriority w:val="99"/>
    <w:rPr>
      <w:rFonts w:ascii="宋体" w:hAnsi="Courier New" w:cs="Courier New"/>
      <w:kern w:val="2"/>
      <w:sz w:val="21"/>
      <w:szCs w:val="21"/>
    </w:rPr>
  </w:style>
  <w:style w:type="paragraph" w:customStyle="1" w:styleId="533">
    <w:name w:val="_Style 148"/>
    <w:basedOn w:val="1"/>
    <w:next w:val="1"/>
    <w:qFormat/>
    <w:uiPriority w:val="99"/>
    <w:pPr>
      <w:pBdr>
        <w:top w:val="single" w:color="auto" w:sz="6" w:space="1"/>
      </w:pBdr>
      <w:jc w:val="center"/>
    </w:pPr>
    <w:rPr>
      <w:rFonts w:ascii="Arial" w:hAnsi="Arial" w:eastAsia="宋体" w:cs="Arial"/>
      <w:vanish/>
      <w:sz w:val="16"/>
      <w:szCs w:val="16"/>
    </w:rPr>
  </w:style>
  <w:style w:type="paragraph" w:customStyle="1" w:styleId="534">
    <w:name w:val="_Style 165"/>
    <w:basedOn w:val="1"/>
    <w:next w:val="1"/>
    <w:qFormat/>
    <w:uiPriority w:val="99"/>
    <w:pPr>
      <w:pBdr>
        <w:bottom w:val="single" w:color="auto" w:sz="6" w:space="1"/>
      </w:pBdr>
      <w:jc w:val="center"/>
    </w:pPr>
    <w:rPr>
      <w:rFonts w:ascii="Arial" w:hAnsi="Arial" w:eastAsia="宋体" w:cs="Arial"/>
      <w:vanish/>
      <w:sz w:val="16"/>
      <w:szCs w:val="16"/>
    </w:rPr>
  </w:style>
  <w:style w:type="character" w:customStyle="1" w:styleId="535">
    <w:name w:val="font61"/>
    <w:qFormat/>
    <w:uiPriority w:val="0"/>
    <w:rPr>
      <w:rFonts w:hint="eastAsia" w:ascii="宋体" w:hAnsi="宋体" w:eastAsia="宋体" w:cs="宋体"/>
      <w:color w:val="000000"/>
      <w:sz w:val="22"/>
      <w:szCs w:val="22"/>
      <w:u w:val="none"/>
    </w:rPr>
  </w:style>
  <w:style w:type="character" w:customStyle="1" w:styleId="536">
    <w:name w:val="正文（首行缩进两字） Char111"/>
    <w:qFormat/>
    <w:uiPriority w:val="0"/>
    <w:rPr>
      <w:rFonts w:eastAsia="宋体"/>
      <w:kern w:val="2"/>
      <w:sz w:val="21"/>
      <w:lang w:val="en-US" w:eastAsia="zh-CN" w:bidi="ar-SA"/>
    </w:rPr>
  </w:style>
  <w:style w:type="character" w:customStyle="1" w:styleId="537">
    <w:name w:val="_Style 207"/>
    <w:unhideWhenUsed/>
    <w:qFormat/>
    <w:uiPriority w:val="99"/>
    <w:rPr>
      <w:color w:val="605E5C"/>
      <w:shd w:val="clear" w:color="auto" w:fill="E1DFDD"/>
    </w:rPr>
  </w:style>
  <w:style w:type="character" w:customStyle="1" w:styleId="538">
    <w:name w:val="标书正文 Char"/>
    <w:link w:val="258"/>
    <w:qFormat/>
    <w:uiPriority w:val="0"/>
    <w:rPr>
      <w:rFonts w:ascii="Calibri" w:hAnsi="Calibri" w:eastAsia="Times New Roman" w:cs="Times New Roman"/>
      <w:kern w:val="0"/>
      <w:sz w:val="24"/>
      <w:szCs w:val="24"/>
    </w:rPr>
  </w:style>
  <w:style w:type="character" w:customStyle="1" w:styleId="539">
    <w:name w:val="Char Char21"/>
    <w:link w:val="259"/>
    <w:qFormat/>
    <w:uiPriority w:val="0"/>
    <w:rPr>
      <w:rFonts w:ascii="Tahoma" w:hAnsi="Tahoma" w:eastAsia="宋体" w:cs="Times New Roman"/>
      <w:kern w:val="0"/>
      <w:sz w:val="24"/>
      <w:szCs w:val="24"/>
      <w:lang w:eastAsia="en-US"/>
    </w:rPr>
  </w:style>
  <w:style w:type="paragraph" w:customStyle="1" w:styleId="540">
    <w:name w:val="Char112"/>
    <w:basedOn w:val="1"/>
    <w:qFormat/>
    <w:uiPriority w:val="0"/>
    <w:pPr>
      <w:widowControl/>
      <w:spacing w:after="160" w:line="240" w:lineRule="exact"/>
      <w:jc w:val="left"/>
    </w:pPr>
    <w:rPr>
      <w:rFonts w:ascii="宋体" w:hAnsi="Times New Roman" w:eastAsia="宋体" w:cs="Times New Roman"/>
      <w:kern w:val="0"/>
      <w:sz w:val="34"/>
      <w:szCs w:val="20"/>
    </w:rPr>
  </w:style>
  <w:style w:type="character" w:customStyle="1" w:styleId="541">
    <w:name w:val="样式 首行缩进:  2 字符 Char"/>
    <w:qFormat/>
    <w:uiPriority w:val="0"/>
    <w:rPr>
      <w:rFonts w:ascii="Microsoft Sans Serif" w:hAnsi="Microsoft Sans Serif" w:cs="宋体"/>
      <w:kern w:val="2"/>
      <w:sz w:val="24"/>
      <w:szCs w:val="24"/>
    </w:rPr>
  </w:style>
  <w:style w:type="paragraph" w:customStyle="1" w:styleId="542">
    <w:name w:val="_Style 284"/>
    <w:qFormat/>
    <w:uiPriority w:val="0"/>
    <w:rPr>
      <w:rFonts w:ascii="Times New Roman" w:hAnsi="Times New Roman" w:eastAsia="宋体" w:cs="Times New Roman"/>
      <w:kern w:val="2"/>
      <w:sz w:val="21"/>
      <w:szCs w:val="24"/>
      <w:lang w:val="en-US" w:eastAsia="zh-CN" w:bidi="ar-SA"/>
    </w:rPr>
  </w:style>
  <w:style w:type="character" w:customStyle="1" w:styleId="543">
    <w:name w:val="样式4 Char"/>
    <w:link w:val="250"/>
    <w:qFormat/>
    <w:uiPriority w:val="0"/>
    <w:rPr>
      <w:rFonts w:ascii="Times New Roman" w:hAnsi="Times New Roman" w:eastAsia="宋体" w:cs="Times New Roman"/>
      <w:b/>
      <w:sz w:val="24"/>
      <w:szCs w:val="20"/>
    </w:rPr>
  </w:style>
  <w:style w:type="character" w:customStyle="1" w:styleId="544">
    <w:name w:val="表格文字 Char"/>
    <w:link w:val="267"/>
    <w:qFormat/>
    <w:uiPriority w:val="0"/>
    <w:rPr>
      <w:rFonts w:ascii="宋体" w:hAnsi="Times New Roman" w:eastAsia="宋体" w:cs="Times New Roman"/>
      <w:kern w:val="0"/>
      <w:sz w:val="24"/>
      <w:szCs w:val="20"/>
    </w:rPr>
  </w:style>
  <w:style w:type="paragraph" w:customStyle="1" w:styleId="545">
    <w:name w:val="_Style 329"/>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546">
    <w:name w:val="Char Char Char Char Char Char Char12"/>
    <w:basedOn w:val="1"/>
    <w:qFormat/>
    <w:uiPriority w:val="0"/>
    <w:rPr>
      <w:rFonts w:ascii="Arial" w:hAnsi="Arial" w:eastAsia="宋体" w:cs="Times New Roman"/>
      <w:snapToGrid w:val="0"/>
      <w:szCs w:val="21"/>
    </w:rPr>
  </w:style>
  <w:style w:type="character" w:customStyle="1" w:styleId="547">
    <w:name w:val="样式1 Char"/>
    <w:link w:val="111"/>
    <w:qFormat/>
    <w:uiPriority w:val="0"/>
    <w:rPr>
      <w:rFonts w:ascii="宋体" w:hAnsi="宋体" w:eastAsia="宋体" w:cs="Times New Roman"/>
      <w:b/>
      <w:sz w:val="32"/>
      <w:szCs w:val="30"/>
    </w:rPr>
  </w:style>
  <w:style w:type="character" w:customStyle="1" w:styleId="548">
    <w:name w:val="段落样式 Char"/>
    <w:link w:val="317"/>
    <w:qFormat/>
    <w:uiPriority w:val="0"/>
    <w:rPr>
      <w:rFonts w:ascii="黑体" w:hAnsi="黑体" w:eastAsia="宋体" w:cs="Times New Roman"/>
      <w:kern w:val="0"/>
      <w:sz w:val="24"/>
      <w:szCs w:val="24"/>
    </w:rPr>
  </w:style>
  <w:style w:type="paragraph" w:customStyle="1" w:styleId="549">
    <w:name w:val="Normal_2"/>
    <w:qFormat/>
    <w:uiPriority w:val="0"/>
    <w:rPr>
      <w:rFonts w:ascii="Times New Roman" w:hAnsi="Times New Roman" w:eastAsia="Times New Roman" w:cs="Times New Roman"/>
      <w:sz w:val="24"/>
      <w:szCs w:val="24"/>
      <w:lang w:val="en-US" w:eastAsia="zh-CN" w:bidi="ar-SA"/>
    </w:rPr>
  </w:style>
  <w:style w:type="paragraph" w:customStyle="1" w:styleId="550">
    <w:name w:val="1.1.1"/>
    <w:qFormat/>
    <w:uiPriority w:val="15"/>
    <w:pPr>
      <w:widowControl w:val="0"/>
      <w:tabs>
        <w:tab w:val="left" w:pos="360"/>
      </w:tabs>
      <w:spacing w:line="360" w:lineRule="auto"/>
      <w:jc w:val="both"/>
    </w:pPr>
    <w:rPr>
      <w:rFonts w:ascii="Arial" w:hAnsi="Arial" w:eastAsia="宋体" w:cs="Arial"/>
      <w:bCs/>
      <w:kern w:val="2"/>
      <w:sz w:val="24"/>
      <w:szCs w:val="24"/>
      <w:lang w:val="en-US" w:eastAsia="zh-CN" w:bidi="ar-SA"/>
    </w:rPr>
  </w:style>
  <w:style w:type="paragraph" w:customStyle="1" w:styleId="551">
    <w:name w:val="(1)"/>
    <w:qFormat/>
    <w:uiPriority w:val="17"/>
    <w:pPr>
      <w:widowControl w:val="0"/>
      <w:tabs>
        <w:tab w:val="left" w:pos="360"/>
      </w:tabs>
      <w:spacing w:line="360" w:lineRule="auto"/>
      <w:jc w:val="both"/>
    </w:pPr>
    <w:rPr>
      <w:rFonts w:ascii="Arial" w:hAnsi="Arial" w:eastAsia="宋体" w:cs="Arial"/>
      <w:bCs/>
      <w:kern w:val="2"/>
      <w:sz w:val="24"/>
      <w:szCs w:val="24"/>
      <w:lang w:val="en-US" w:eastAsia="zh-CN" w:bidi="ar-SA"/>
    </w:rPr>
  </w:style>
  <w:style w:type="table" w:customStyle="1" w:styleId="552">
    <w:name w:val="网格型3"/>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纯文本_0"/>
    <w:next w:val="555"/>
    <w:qFormat/>
    <w:uiPriority w:val="0"/>
    <w:pPr>
      <w:widowControl w:val="0"/>
      <w:jc w:val="both"/>
    </w:pPr>
    <w:rPr>
      <w:rFonts w:ascii="宋体" w:hAnsi="Courier New" w:eastAsia="宋体" w:cs="Times New Roman"/>
      <w:kern w:val="2"/>
      <w:sz w:val="21"/>
      <w:lang w:val="en-US" w:eastAsia="zh-CN" w:bidi="ar-SA"/>
    </w:rPr>
  </w:style>
  <w:style w:type="paragraph" w:customStyle="1" w:styleId="555">
    <w:name w:val="标题 4_0"/>
    <w:next w:val="325"/>
    <w:qFormat/>
    <w:uiPriority w:val="99"/>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paragraph" w:customStyle="1" w:styleId="556">
    <w:name w:val="标题 3_0"/>
    <w:next w:val="325"/>
    <w:link w:val="557"/>
    <w:unhideWhenUsed/>
    <w:qFormat/>
    <w:uiPriority w:val="9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customStyle="1" w:styleId="557">
    <w:name w:val="标题 3 Char_0"/>
    <w:link w:val="556"/>
    <w:qFormat/>
    <w:uiPriority w:val="99"/>
    <w:rPr>
      <w:rFonts w:ascii="Calibri" w:hAnsi="Calibri" w:eastAsia="宋体" w:cs="Times New Roman"/>
      <w:b/>
      <w:bCs/>
      <w:sz w:val="32"/>
      <w:szCs w:val="32"/>
    </w:rPr>
  </w:style>
  <w:style w:type="paragraph" w:customStyle="1" w:styleId="55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9">
    <w:name w:val="标题 1_0"/>
    <w:next w:val="560"/>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customStyle="1" w:styleId="560">
    <w:name w:val="正文_2_1"/>
    <w:next w:val="5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1">
    <w:name w:val="目录 1_1"/>
    <w:next w:val="560"/>
    <w:qFormat/>
    <w:uiPriority w:val="39"/>
    <w:pPr>
      <w:widowControl w:val="0"/>
      <w:spacing w:before="120" w:after="120"/>
    </w:pPr>
    <w:rPr>
      <w:rFonts w:ascii="Times New Roman" w:hAnsi="Times New Roman" w:eastAsia="宋体" w:cs="Times New Roman"/>
      <w:b/>
      <w:bCs/>
      <w:caps/>
      <w:kern w:val="2"/>
      <w:lang w:val="en-US" w:eastAsia="zh-CN" w:bidi="ar-SA"/>
    </w:rPr>
  </w:style>
  <w:style w:type="paragraph" w:customStyle="1" w:styleId="562">
    <w:name w:val="标题 2_0_0"/>
    <w:next w:val="560"/>
    <w:qFormat/>
    <w:uiPriority w:val="0"/>
    <w:pPr>
      <w:keepNext/>
      <w:keepLines/>
      <w:widowControl w:val="0"/>
      <w:spacing w:before="260" w:after="260" w:line="410" w:lineRule="auto"/>
      <w:jc w:val="both"/>
      <w:outlineLvl w:val="1"/>
    </w:pPr>
    <w:rPr>
      <w:rFonts w:ascii="Arial" w:hAnsi="Arial" w:eastAsia="黑体" w:cs="Times New Roman"/>
      <w:b/>
      <w:kern w:val="2"/>
      <w:sz w:val="32"/>
      <w:lang w:val="en-US" w:eastAsia="zh-CN" w:bidi="ar-SA"/>
    </w:rPr>
  </w:style>
  <w:style w:type="paragraph" w:customStyle="1" w:styleId="563">
    <w:name w:val="标题 3_0_0"/>
    <w:next w:val="560"/>
    <w:qFormat/>
    <w:uiPriority w:val="0"/>
    <w:pPr>
      <w:keepNext/>
      <w:keepLines/>
      <w:widowControl w:val="0"/>
      <w:spacing w:before="260" w:after="260" w:line="410" w:lineRule="auto"/>
      <w:ind w:firstLine="49" w:firstLineChars="49"/>
      <w:jc w:val="both"/>
      <w:outlineLvl w:val="2"/>
    </w:pPr>
    <w:rPr>
      <w:rFonts w:ascii="黑体" w:hAnsi="Calibri" w:eastAsia="黑体" w:cs="Times New Roman"/>
      <w:kern w:val="2"/>
      <w:sz w:val="28"/>
      <w:lang w:val="en-US" w:eastAsia="zh-CN" w:bidi="ar-SA"/>
    </w:rPr>
  </w:style>
  <w:style w:type="paragraph" w:customStyle="1" w:styleId="564">
    <w:name w:val="列出段落_0"/>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65">
    <w:name w:val="普通(网站)_0_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6">
    <w:name w:val="目录 1_0"/>
    <w:next w:val="567"/>
    <w:qFormat/>
    <w:uiPriority w:val="99"/>
    <w:pPr>
      <w:widowControl w:val="0"/>
      <w:spacing w:before="60" w:line="400" w:lineRule="exact"/>
      <w:jc w:val="both"/>
    </w:pPr>
    <w:rPr>
      <w:rFonts w:ascii="Calibri" w:hAnsi="Calibri" w:eastAsia="黑体" w:cs="Times New Roman"/>
      <w:kern w:val="2"/>
      <w:sz w:val="21"/>
      <w:szCs w:val="22"/>
      <w:lang w:val="en-US" w:eastAsia="zh-CN" w:bidi="ar-SA"/>
    </w:rPr>
  </w:style>
  <w:style w:type="paragraph" w:customStyle="1" w:styleId="567">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68">
    <w:name w:val="超链接_0"/>
    <w:qFormat/>
    <w:uiPriority w:val="99"/>
    <w:rPr>
      <w:rFonts w:hint="default" w:ascii="Calibri" w:hAnsi="Calibri"/>
      <w:color w:val="0000FF"/>
      <w:u w:val="single"/>
    </w:rPr>
  </w:style>
  <w:style w:type="paragraph" w:customStyle="1" w:styleId="569">
    <w:name w:val="目录 2_0"/>
    <w:next w:val="560"/>
    <w:qFormat/>
    <w:uiPriority w:val="99"/>
    <w:pPr>
      <w:widowControl w:val="0"/>
      <w:ind w:left="210"/>
    </w:pPr>
    <w:rPr>
      <w:rFonts w:ascii="Times New Roman" w:hAnsi="Times New Roman" w:eastAsia="宋体" w:cs="Times New Roman"/>
      <w:smallCaps/>
      <w:kern w:val="2"/>
      <w:lang w:val="en-US" w:eastAsia="zh-CN" w:bidi="ar-SA"/>
    </w:rPr>
  </w:style>
  <w:style w:type="paragraph" w:customStyle="1" w:styleId="570">
    <w:name w:val="列出段落_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71">
    <w:name w:val="正文文本_1_0"/>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572">
    <w:name w:val="样式 行距: 1.5 倍行距 首行缩进:  2 字符"/>
    <w:qFormat/>
    <w:uiPriority w:val="0"/>
    <w:pPr>
      <w:snapToGrid w:val="0"/>
      <w:spacing w:before="120" w:after="100" w:afterAutospacing="1" w:line="460" w:lineRule="exact"/>
      <w:ind w:left="709" w:right="-27" w:hanging="709"/>
      <w:jc w:val="both"/>
    </w:pPr>
    <w:rPr>
      <w:rFonts w:ascii="Times New Roman" w:hAnsi="Times New Roman" w:eastAsia="宋体" w:cs="Times New Roman"/>
      <w:sz w:val="24"/>
      <w:szCs w:val="24"/>
      <w:lang w:val="en-US" w:eastAsia="zh-CN" w:bidi="ar-SA"/>
    </w:rPr>
  </w:style>
  <w:style w:type="character" w:customStyle="1" w:styleId="573">
    <w:name w:val="hc-textbox-input-inner_value2"/>
    <w:qFormat/>
    <w:uiPriority w:val="0"/>
  </w:style>
  <w:style w:type="table" w:customStyle="1" w:styleId="574">
    <w:name w:val="网格型4"/>
    <w:basedOn w:val="90"/>
    <w:qFormat/>
    <w:uiPriority w:val="0"/>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5">
    <w:name w:val="1.2.1.1 海拔高度 Char"/>
    <w:link w:val="576"/>
    <w:qFormat/>
    <w:uiPriority w:val="0"/>
    <w:rPr>
      <w:szCs w:val="24"/>
      <w:lang w:val="zh-CN"/>
    </w:rPr>
  </w:style>
  <w:style w:type="paragraph" w:customStyle="1" w:styleId="576">
    <w:name w:val="1.2.1.1 海拔高度"/>
    <w:basedOn w:val="6"/>
    <w:link w:val="575"/>
    <w:qFormat/>
    <w:uiPriority w:val="0"/>
    <w:pPr>
      <w:keepNext w:val="0"/>
      <w:widowControl/>
      <w:tabs>
        <w:tab w:val="left" w:pos="340"/>
      </w:tabs>
      <w:adjustRightInd w:val="0"/>
      <w:snapToGrid w:val="0"/>
      <w:spacing w:before="0" w:after="0" w:line="360" w:lineRule="auto"/>
      <w:ind w:left="567" w:hanging="227"/>
      <w:jc w:val="left"/>
    </w:pPr>
    <w:rPr>
      <w:rFonts w:asciiTheme="minorHAnsi" w:hAnsiTheme="minorHAnsi" w:eastAsiaTheme="minorEastAsia" w:cstheme="minorBidi"/>
      <w:b w:val="0"/>
      <w:bCs w:val="0"/>
      <w:sz w:val="21"/>
      <w:szCs w:val="24"/>
      <w:lang w:val="zh-CN"/>
    </w:rPr>
  </w:style>
  <w:style w:type="character" w:customStyle="1" w:styleId="577">
    <w:name w:val="四级标题 Char"/>
    <w:link w:val="578"/>
    <w:qFormat/>
    <w:uiPriority w:val="0"/>
    <w:rPr>
      <w:szCs w:val="24"/>
      <w:lang w:val="zh-CN"/>
    </w:rPr>
  </w:style>
  <w:style w:type="paragraph" w:customStyle="1" w:styleId="578">
    <w:name w:val="四级标题"/>
    <w:basedOn w:val="6"/>
    <w:link w:val="577"/>
    <w:qFormat/>
    <w:uiPriority w:val="0"/>
    <w:pPr>
      <w:keepNext w:val="0"/>
      <w:widowControl/>
      <w:tabs>
        <w:tab w:val="left" w:pos="340"/>
      </w:tabs>
      <w:adjustRightInd w:val="0"/>
      <w:snapToGrid w:val="0"/>
      <w:spacing w:before="0" w:after="0" w:line="360" w:lineRule="auto"/>
      <w:ind w:left="567" w:hanging="227"/>
      <w:jc w:val="left"/>
    </w:pPr>
    <w:rPr>
      <w:rFonts w:asciiTheme="minorHAnsi" w:hAnsiTheme="minorHAnsi" w:eastAsiaTheme="minorEastAsia" w:cstheme="minorBidi"/>
      <w:b w:val="0"/>
      <w:bCs w:val="0"/>
      <w:sz w:val="21"/>
      <w:szCs w:val="24"/>
      <w:lang w:val="zh-CN"/>
    </w:rPr>
  </w:style>
  <w:style w:type="character" w:customStyle="1" w:styleId="579">
    <w:name w:val="9号线正文 Char"/>
    <w:link w:val="580"/>
    <w:qFormat/>
    <w:uiPriority w:val="0"/>
    <w:rPr>
      <w:rFonts w:ascii="宋体" w:hAnsi="宋体"/>
      <w:sz w:val="24"/>
    </w:rPr>
  </w:style>
  <w:style w:type="paragraph" w:customStyle="1" w:styleId="580">
    <w:name w:val="9号线正文"/>
    <w:basedOn w:val="1"/>
    <w:link w:val="579"/>
    <w:qFormat/>
    <w:uiPriority w:val="0"/>
    <w:pPr>
      <w:spacing w:line="360" w:lineRule="auto"/>
      <w:ind w:left="227" w:firstLine="480" w:firstLineChars="200"/>
      <w:jc w:val="left"/>
    </w:pPr>
    <w:rPr>
      <w:rFonts w:ascii="宋体" w:hAnsi="宋体"/>
      <w:sz w:val="24"/>
    </w:rPr>
  </w:style>
  <w:style w:type="character" w:customStyle="1" w:styleId="581">
    <w:name w:val="Char Char3"/>
    <w:qFormat/>
    <w:uiPriority w:val="0"/>
    <w:rPr>
      <w:rFonts w:ascii="宋体" w:hAnsi="宋体" w:eastAsia="黑体"/>
      <w:b/>
      <w:kern w:val="44"/>
      <w:sz w:val="44"/>
      <w:lang w:val="en-US" w:eastAsia="zh-CN"/>
    </w:rPr>
  </w:style>
  <w:style w:type="character" w:customStyle="1" w:styleId="582">
    <w:name w:val="标题（4） Char"/>
    <w:link w:val="583"/>
    <w:qFormat/>
    <w:uiPriority w:val="0"/>
    <w:rPr>
      <w:sz w:val="24"/>
    </w:rPr>
  </w:style>
  <w:style w:type="paragraph" w:customStyle="1" w:styleId="583">
    <w:name w:val="标题（4）"/>
    <w:basedOn w:val="1"/>
    <w:link w:val="582"/>
    <w:qFormat/>
    <w:uiPriority w:val="0"/>
    <w:pPr>
      <w:tabs>
        <w:tab w:val="left" w:pos="1535"/>
      </w:tabs>
      <w:topLinePunct/>
      <w:spacing w:line="360" w:lineRule="auto"/>
      <w:ind w:left="514" w:firstLine="386"/>
      <w:jc w:val="left"/>
      <w:outlineLvl w:val="3"/>
    </w:pPr>
    <w:rPr>
      <w:sz w:val="24"/>
    </w:rPr>
  </w:style>
  <w:style w:type="character" w:customStyle="1" w:styleId="584">
    <w:name w:val="Heading Four Char Char"/>
    <w:qFormat/>
    <w:uiPriority w:val="0"/>
    <w:rPr>
      <w:rFonts w:ascii="宋体" w:hAnsi="Arial" w:eastAsia="宋体"/>
      <w:color w:val="000000"/>
      <w:kern w:val="2"/>
      <w:sz w:val="24"/>
      <w:lang w:val="en-US" w:eastAsia="zh-CN"/>
    </w:rPr>
  </w:style>
  <w:style w:type="character" w:customStyle="1" w:styleId="585">
    <w:name w:val="样式 样式 首行缩进:  2 字符 段前: 4.65 磅 + 首行缩进:  2 字符 Char"/>
    <w:link w:val="586"/>
    <w:qFormat/>
    <w:uiPriority w:val="0"/>
    <w:rPr>
      <w:sz w:val="24"/>
    </w:rPr>
  </w:style>
  <w:style w:type="paragraph" w:customStyle="1" w:styleId="586">
    <w:name w:val="样式 样式 首行缩进:  2 字符 段前: 4.65 磅 + 首行缩进:  2 字符"/>
    <w:basedOn w:val="1"/>
    <w:link w:val="585"/>
    <w:qFormat/>
    <w:uiPriority w:val="0"/>
    <w:pPr>
      <w:topLinePunct/>
      <w:spacing w:before="93" w:line="360" w:lineRule="auto"/>
      <w:ind w:left="227" w:firstLine="480" w:firstLineChars="200"/>
      <w:jc w:val="left"/>
    </w:pPr>
    <w:rPr>
      <w:sz w:val="24"/>
    </w:rPr>
  </w:style>
  <w:style w:type="character" w:customStyle="1" w:styleId="587">
    <w:name w:val="1.2.1 环境 Char"/>
    <w:link w:val="588"/>
    <w:qFormat/>
    <w:uiPriority w:val="0"/>
    <w:rPr>
      <w:rFonts w:ascii="宋体" w:hAnsi="Arial"/>
      <w:spacing w:val="1"/>
      <w:sz w:val="24"/>
      <w:lang w:val="zh-CN"/>
    </w:rPr>
  </w:style>
  <w:style w:type="paragraph" w:customStyle="1" w:styleId="588">
    <w:name w:val="1.2.1 环境"/>
    <w:basedOn w:val="5"/>
    <w:link w:val="587"/>
    <w:qFormat/>
    <w:uiPriority w:val="0"/>
    <w:pPr>
      <w:widowControl/>
      <w:adjustRightInd w:val="0"/>
      <w:snapToGrid w:val="0"/>
      <w:spacing w:line="360" w:lineRule="auto"/>
      <w:ind w:left="566" w:hanging="340"/>
    </w:pPr>
    <w:rPr>
      <w:rFonts w:ascii="宋体" w:hAnsi="Arial" w:eastAsiaTheme="minorEastAsia" w:cstheme="minorBidi"/>
      <w:b w:val="0"/>
      <w:bCs w:val="0"/>
      <w:spacing w:val="1"/>
      <w:sz w:val="24"/>
      <w:szCs w:val="22"/>
      <w:lang w:val="zh-CN"/>
    </w:rPr>
  </w:style>
  <w:style w:type="character" w:customStyle="1" w:styleId="589">
    <w:name w:val="样式 标书正文 + (符号) 宋体 首行缩进:  2 字符 Char"/>
    <w:link w:val="590"/>
    <w:qFormat/>
    <w:uiPriority w:val="0"/>
    <w:rPr>
      <w:rFonts w:hAnsi="宋体"/>
      <w:spacing w:val="6"/>
      <w:sz w:val="24"/>
    </w:rPr>
  </w:style>
  <w:style w:type="paragraph" w:customStyle="1" w:styleId="590">
    <w:name w:val="样式 标书正文 + (符号) 宋体 首行缩进:  2 字符"/>
    <w:basedOn w:val="258"/>
    <w:link w:val="589"/>
    <w:qFormat/>
    <w:uiPriority w:val="0"/>
    <w:pPr>
      <w:spacing w:beforeLines="0" w:afterLines="0" w:line="360" w:lineRule="auto"/>
      <w:ind w:left="227" w:firstLine="504"/>
      <w:jc w:val="left"/>
    </w:pPr>
    <w:rPr>
      <w:rFonts w:hAnsi="宋体" w:asciiTheme="minorHAnsi" w:eastAsiaTheme="minorEastAsia" w:cstheme="minorBidi"/>
      <w:spacing w:val="6"/>
      <w:kern w:val="2"/>
      <w:szCs w:val="22"/>
    </w:rPr>
  </w:style>
  <w:style w:type="character" w:customStyle="1" w:styleId="591">
    <w:name w:val="Head 114 Cha"/>
    <w:qFormat/>
    <w:uiPriority w:val="0"/>
    <w:rPr>
      <w:rFonts w:ascii="Arial" w:hAnsi="Arial" w:eastAsia="黑体"/>
      <w:kern w:val="44"/>
      <w:sz w:val="28"/>
      <w:lang w:val="en-US" w:eastAsia="zh-CN"/>
    </w:rPr>
  </w:style>
  <w:style w:type="character" w:customStyle="1" w:styleId="592">
    <w:name w:val="9号线项目符号 Char"/>
    <w:link w:val="593"/>
    <w:qFormat/>
    <w:uiPriority w:val="0"/>
    <w:rPr>
      <w:rFonts w:ascii="宋体" w:hAnsi="宋体"/>
      <w:sz w:val="24"/>
    </w:rPr>
  </w:style>
  <w:style w:type="paragraph" w:customStyle="1" w:styleId="593">
    <w:name w:val="9号线项目符号"/>
    <w:basedOn w:val="1"/>
    <w:link w:val="592"/>
    <w:qFormat/>
    <w:uiPriority w:val="0"/>
    <w:pPr>
      <w:tabs>
        <w:tab w:val="left" w:pos="620"/>
      </w:tabs>
      <w:spacing w:line="360" w:lineRule="auto"/>
      <w:ind w:left="285" w:leftChars="200" w:hanging="85" w:hangingChars="85"/>
      <w:jc w:val="left"/>
    </w:pPr>
    <w:rPr>
      <w:rFonts w:ascii="宋体" w:hAnsi="宋体"/>
      <w:sz w:val="24"/>
    </w:rPr>
  </w:style>
  <w:style w:type="character" w:customStyle="1" w:styleId="594">
    <w:name w:val="表格内字体"/>
    <w:qFormat/>
    <w:uiPriority w:val="0"/>
    <w:rPr>
      <w:rFonts w:ascii="宋体" w:eastAsia="宋体"/>
      <w:color w:val="auto"/>
      <w:spacing w:val="1"/>
      <w:kern w:val="2"/>
      <w:sz w:val="21"/>
      <w:lang w:val="en-US" w:eastAsia="zh-CN"/>
    </w:rPr>
  </w:style>
  <w:style w:type="character" w:customStyle="1" w:styleId="595">
    <w:name w:val="text1"/>
    <w:qFormat/>
    <w:uiPriority w:val="0"/>
    <w:rPr>
      <w:color w:val="000000"/>
      <w:sz w:val="18"/>
      <w:u w:val="none"/>
    </w:rPr>
  </w:style>
  <w:style w:type="character" w:customStyle="1" w:styleId="596">
    <w:name w:val="1）小标题 Char"/>
    <w:link w:val="597"/>
    <w:qFormat/>
    <w:uiPriority w:val="0"/>
    <w:rPr>
      <w:spacing w:val="6"/>
      <w:sz w:val="24"/>
    </w:rPr>
  </w:style>
  <w:style w:type="paragraph" w:customStyle="1" w:styleId="597">
    <w:name w:val="1）小标题"/>
    <w:basedOn w:val="258"/>
    <w:next w:val="1"/>
    <w:link w:val="596"/>
    <w:qFormat/>
    <w:uiPriority w:val="0"/>
    <w:pPr>
      <w:spacing w:beforeLines="0" w:afterLines="0" w:line="360" w:lineRule="auto"/>
      <w:ind w:left="227" w:firstLine="300" w:firstLineChars="300"/>
      <w:jc w:val="left"/>
    </w:pPr>
    <w:rPr>
      <w:rFonts w:asciiTheme="minorHAnsi" w:hAnsiTheme="minorHAnsi" w:eastAsiaTheme="minorEastAsia" w:cstheme="minorBidi"/>
      <w:spacing w:val="6"/>
      <w:kern w:val="2"/>
      <w:szCs w:val="22"/>
    </w:rPr>
  </w:style>
  <w:style w:type="character" w:customStyle="1" w:styleId="598">
    <w:name w:val="标题 11"/>
    <w:qFormat/>
    <w:uiPriority w:val="0"/>
    <w:rPr>
      <w:rFonts w:ascii="Arial" w:hAnsi="Arial" w:eastAsia="黑体"/>
      <w:kern w:val="44"/>
      <w:sz w:val="28"/>
      <w:lang w:val="en-US" w:eastAsia="zh-CN"/>
    </w:rPr>
  </w:style>
  <w:style w:type="character" w:customStyle="1" w:styleId="599">
    <w:name w:val="7 Char"/>
    <w:link w:val="519"/>
    <w:qFormat/>
    <w:uiPriority w:val="0"/>
    <w:rPr>
      <w:rFonts w:ascii="Times New Roman" w:hAnsi="Times New Roman" w:eastAsia="宋体" w:cs="Times New Roman"/>
      <w:szCs w:val="24"/>
    </w:rPr>
  </w:style>
  <w:style w:type="character" w:customStyle="1" w:styleId="600">
    <w:name w:val="paragraph Char"/>
    <w:link w:val="601"/>
    <w:qFormat/>
    <w:uiPriority w:val="0"/>
    <w:rPr>
      <w:rFonts w:ascii="Times" w:hAnsi="Times"/>
      <w:sz w:val="24"/>
      <w:lang w:eastAsia="en-US"/>
    </w:rPr>
  </w:style>
  <w:style w:type="paragraph" w:customStyle="1" w:styleId="601">
    <w:name w:val="paragraph"/>
    <w:basedOn w:val="1"/>
    <w:link w:val="600"/>
    <w:qFormat/>
    <w:uiPriority w:val="0"/>
    <w:pPr>
      <w:widowControl/>
      <w:spacing w:before="120"/>
      <w:ind w:left="1701" w:firstLine="482"/>
      <w:jc w:val="left"/>
    </w:pPr>
    <w:rPr>
      <w:rFonts w:ascii="Times" w:hAnsi="Times"/>
      <w:sz w:val="24"/>
      <w:lang w:eastAsia="en-US"/>
    </w:rPr>
  </w:style>
  <w:style w:type="character" w:customStyle="1" w:styleId="602">
    <w:name w:val="1.1标题 2 Char"/>
    <w:qFormat/>
    <w:uiPriority w:val="0"/>
    <w:rPr>
      <w:rFonts w:ascii="Arial" w:hAnsi="Arial" w:eastAsia="黑体"/>
      <w:kern w:val="2"/>
      <w:sz w:val="28"/>
      <w:lang w:val="en-US" w:eastAsia="zh-CN"/>
    </w:rPr>
  </w:style>
  <w:style w:type="character" w:customStyle="1" w:styleId="603">
    <w:name w:val="样式 标书正文 + 加宽量  0.3 磅 Char"/>
    <w:link w:val="604"/>
    <w:qFormat/>
    <w:uiPriority w:val="0"/>
    <w:rPr>
      <w:spacing w:val="6"/>
      <w:sz w:val="24"/>
    </w:rPr>
  </w:style>
  <w:style w:type="paragraph" w:customStyle="1" w:styleId="604">
    <w:name w:val="样式 标书正文 + 加宽量  0.3 磅"/>
    <w:basedOn w:val="258"/>
    <w:link w:val="603"/>
    <w:qFormat/>
    <w:uiPriority w:val="0"/>
    <w:pPr>
      <w:spacing w:beforeLines="0" w:afterLines="0" w:line="360" w:lineRule="auto"/>
      <w:ind w:left="227" w:firstLine="200"/>
      <w:jc w:val="left"/>
    </w:pPr>
    <w:rPr>
      <w:rFonts w:asciiTheme="minorHAnsi" w:hAnsiTheme="minorHAnsi" w:eastAsiaTheme="minorEastAsia" w:cstheme="minorBidi"/>
      <w:spacing w:val="6"/>
      <w:kern w:val="2"/>
      <w:szCs w:val="22"/>
    </w:rPr>
  </w:style>
  <w:style w:type="character" w:customStyle="1" w:styleId="605">
    <w:name w:val="正文A Char"/>
    <w:link w:val="606"/>
    <w:qFormat/>
    <w:uiPriority w:val="0"/>
    <w:rPr>
      <w:rFonts w:ascii="宋体" w:hAnsi="宋体"/>
      <w:sz w:val="24"/>
    </w:rPr>
  </w:style>
  <w:style w:type="paragraph" w:customStyle="1" w:styleId="606">
    <w:name w:val="正文A"/>
    <w:basedOn w:val="162"/>
    <w:link w:val="605"/>
    <w:qFormat/>
    <w:uiPriority w:val="0"/>
    <w:pPr>
      <w:spacing w:line="360" w:lineRule="auto"/>
      <w:ind w:left="227" w:firstLine="480"/>
      <w:jc w:val="left"/>
    </w:pPr>
    <w:rPr>
      <w:rFonts w:ascii="宋体" w:hAnsi="宋体"/>
      <w:sz w:val="24"/>
    </w:rPr>
  </w:style>
  <w:style w:type="character" w:customStyle="1" w:styleId="607">
    <w:name w:val="1 工程 Char"/>
    <w:link w:val="608"/>
    <w:qFormat/>
    <w:uiPriority w:val="0"/>
    <w:rPr>
      <w:rFonts w:ascii="Arial" w:hAnsi="Arial" w:eastAsia="黑体"/>
      <w:b/>
      <w:kern w:val="44"/>
      <w:sz w:val="28"/>
      <w:lang w:val="zh-CN"/>
    </w:rPr>
  </w:style>
  <w:style w:type="paragraph" w:customStyle="1" w:styleId="608">
    <w:name w:val="1 工程"/>
    <w:basedOn w:val="3"/>
    <w:link w:val="607"/>
    <w:qFormat/>
    <w:uiPriority w:val="0"/>
    <w:pPr>
      <w:tabs>
        <w:tab w:val="left" w:pos="432"/>
      </w:tabs>
      <w:autoSpaceDE w:val="0"/>
      <w:spacing w:before="200" w:after="200" w:line="360" w:lineRule="auto"/>
      <w:ind w:left="432" w:hanging="432"/>
      <w:jc w:val="left"/>
    </w:pPr>
    <w:rPr>
      <w:rFonts w:ascii="Arial" w:hAnsi="Arial" w:eastAsia="黑体" w:cstheme="minorBidi"/>
      <w:bCs w:val="0"/>
      <w:sz w:val="28"/>
      <w:szCs w:val="22"/>
      <w:lang w:val="zh-CN"/>
    </w:rPr>
  </w:style>
  <w:style w:type="character" w:customStyle="1" w:styleId="609">
    <w:name w:val="符号 Char"/>
    <w:link w:val="610"/>
    <w:qFormat/>
    <w:uiPriority w:val="0"/>
    <w:rPr>
      <w:sz w:val="24"/>
    </w:rPr>
  </w:style>
  <w:style w:type="paragraph" w:customStyle="1" w:styleId="610">
    <w:name w:val="符号"/>
    <w:basedOn w:val="1"/>
    <w:link w:val="609"/>
    <w:qFormat/>
    <w:uiPriority w:val="0"/>
    <w:pPr>
      <w:tabs>
        <w:tab w:val="left" w:pos="981"/>
      </w:tabs>
      <w:topLinePunct/>
      <w:spacing w:line="360" w:lineRule="auto"/>
      <w:ind w:left="981" w:hanging="420"/>
      <w:jc w:val="left"/>
    </w:pPr>
    <w:rPr>
      <w:sz w:val="24"/>
    </w:rPr>
  </w:style>
  <w:style w:type="character" w:customStyle="1" w:styleId="611">
    <w:name w:val="样式 样式 Times New Roman1 + 宋体 Char"/>
    <w:link w:val="612"/>
    <w:qFormat/>
    <w:uiPriority w:val="0"/>
    <w:rPr>
      <w:rFonts w:ascii="宋体" w:hAnsi="宋体"/>
    </w:rPr>
  </w:style>
  <w:style w:type="paragraph" w:customStyle="1" w:styleId="612">
    <w:name w:val="样式 样式 Times New Roman1 + 宋体"/>
    <w:basedOn w:val="613"/>
    <w:link w:val="611"/>
    <w:qFormat/>
    <w:uiPriority w:val="0"/>
    <w:rPr>
      <w:rFonts w:ascii="宋体" w:hAnsi="宋体" w:eastAsiaTheme="minorEastAsia" w:cstheme="minorBidi"/>
      <w:szCs w:val="22"/>
    </w:rPr>
  </w:style>
  <w:style w:type="paragraph" w:customStyle="1" w:styleId="613">
    <w:name w:val="样式 Times New Roman1"/>
    <w:basedOn w:val="1"/>
    <w:qFormat/>
    <w:uiPriority w:val="0"/>
    <w:pPr>
      <w:ind w:left="227" w:firstLine="482"/>
      <w:jc w:val="left"/>
    </w:pPr>
    <w:rPr>
      <w:rFonts w:ascii="Times New Roman" w:hAnsi="Times New Roman" w:eastAsia="Times New Roman" w:cs="Times New Roman"/>
      <w:szCs w:val="20"/>
    </w:rPr>
  </w:style>
  <w:style w:type="character" w:customStyle="1" w:styleId="614">
    <w:name w:val="第一章 名称"/>
    <w:qFormat/>
    <w:uiPriority w:val="0"/>
    <w:rPr>
      <w:rFonts w:ascii="Arial" w:hAnsi="Arial" w:eastAsia="黑体"/>
      <w:kern w:val="44"/>
      <w:sz w:val="44"/>
      <w:lang w:val="en-US" w:eastAsia="zh-CN" w:bidi="ar-SA"/>
    </w:rPr>
  </w:style>
  <w:style w:type="character" w:customStyle="1" w:styleId="615">
    <w:name w:val="1.2.1 环境（标准） Char"/>
    <w:link w:val="616"/>
    <w:qFormat/>
    <w:uiPriority w:val="0"/>
    <w:rPr>
      <w:rFonts w:ascii="宋体" w:hAnsi="Arial"/>
      <w:spacing w:val="1"/>
      <w:sz w:val="24"/>
      <w:lang w:val="zh-CN"/>
    </w:rPr>
  </w:style>
  <w:style w:type="paragraph" w:customStyle="1" w:styleId="616">
    <w:name w:val="1.2.1 环境（标准）"/>
    <w:basedOn w:val="588"/>
    <w:link w:val="615"/>
    <w:qFormat/>
    <w:uiPriority w:val="0"/>
    <w:pPr>
      <w:tabs>
        <w:tab w:val="left" w:pos="420"/>
      </w:tabs>
    </w:pPr>
  </w:style>
  <w:style w:type="character" w:customStyle="1" w:styleId="617">
    <w:name w:val="Table Bullet 1 Char Char"/>
    <w:link w:val="618"/>
    <w:qFormat/>
    <w:uiPriority w:val="0"/>
    <w:rPr>
      <w:rFonts w:ascii="Verdana" w:hAnsi="Verdana"/>
      <w:sz w:val="18"/>
      <w:lang w:eastAsia="en-US"/>
    </w:rPr>
  </w:style>
  <w:style w:type="paragraph" w:customStyle="1" w:styleId="618">
    <w:name w:val="Table Bullet 1"/>
    <w:basedOn w:val="1"/>
    <w:link w:val="617"/>
    <w:qFormat/>
    <w:uiPriority w:val="0"/>
    <w:pPr>
      <w:widowControl/>
      <w:tabs>
        <w:tab w:val="left" w:pos="454"/>
        <w:tab w:val="left" w:pos="680"/>
        <w:tab w:val="left" w:pos="1021"/>
      </w:tabs>
      <w:spacing w:before="60" w:after="60" w:line="280" w:lineRule="atLeast"/>
      <w:ind w:left="357" w:right="51" w:hanging="357"/>
      <w:jc w:val="left"/>
    </w:pPr>
    <w:rPr>
      <w:rFonts w:ascii="Verdana" w:hAnsi="Verdana"/>
      <w:sz w:val="18"/>
      <w:lang w:eastAsia="en-US"/>
    </w:rPr>
  </w:style>
  <w:style w:type="character" w:customStyle="1" w:styleId="619">
    <w:name w:val="1 工程概况及范围"/>
    <w:qFormat/>
    <w:uiPriority w:val="0"/>
    <w:rPr>
      <w:rFonts w:ascii="Arial" w:hAnsi="Arial" w:eastAsia="黑体"/>
      <w:b/>
      <w:kern w:val="44"/>
      <w:sz w:val="30"/>
      <w:lang w:val="en-US" w:eastAsia="zh-CN" w:bidi="ar-SA"/>
    </w:rPr>
  </w:style>
  <w:style w:type="character" w:customStyle="1" w:styleId="620">
    <w:name w:val="标题 21"/>
    <w:qFormat/>
    <w:uiPriority w:val="0"/>
    <w:rPr>
      <w:rFonts w:ascii="Arial" w:hAnsi="Arial" w:eastAsia="黑体"/>
      <w:kern w:val="2"/>
      <w:sz w:val="28"/>
      <w:lang w:val="en-US" w:eastAsia="zh-CN"/>
    </w:rPr>
  </w:style>
  <w:style w:type="character" w:customStyle="1" w:styleId="621">
    <w:name w:val="沈阳2正文B Char"/>
    <w:link w:val="622"/>
    <w:qFormat/>
    <w:uiPriority w:val="0"/>
    <w:rPr>
      <w:rFonts w:ascii="宋体" w:hAnsi="宋体"/>
      <w:b/>
      <w:sz w:val="24"/>
    </w:rPr>
  </w:style>
  <w:style w:type="paragraph" w:customStyle="1" w:styleId="622">
    <w:name w:val="沈阳2正文B"/>
    <w:basedOn w:val="1"/>
    <w:next w:val="1"/>
    <w:link w:val="621"/>
    <w:qFormat/>
    <w:uiPriority w:val="0"/>
    <w:pPr>
      <w:spacing w:line="360" w:lineRule="auto"/>
      <w:ind w:left="227" w:firstLine="200" w:firstLineChars="200"/>
      <w:jc w:val="left"/>
    </w:pPr>
    <w:rPr>
      <w:rFonts w:ascii="宋体" w:hAnsi="宋体"/>
      <w:b/>
      <w:sz w:val="24"/>
    </w:rPr>
  </w:style>
  <w:style w:type="character" w:customStyle="1" w:styleId="623">
    <w:name w:val="Header Char"/>
    <w:qFormat/>
    <w:uiPriority w:val="0"/>
    <w:rPr>
      <w:rFonts w:eastAsia="楷体_GB2312"/>
      <w:kern w:val="2"/>
      <w:sz w:val="18"/>
      <w:lang w:val="en-US" w:eastAsia="zh-CN"/>
    </w:rPr>
  </w:style>
  <w:style w:type="character" w:customStyle="1" w:styleId="624">
    <w:name w:val="标题 31"/>
    <w:qFormat/>
    <w:uiPriority w:val="0"/>
    <w:rPr>
      <w:rFonts w:ascii="宋体" w:hAnsi="Arial" w:eastAsia="宋体"/>
      <w:kern w:val="2"/>
      <w:sz w:val="24"/>
      <w:lang w:val="en-US" w:eastAsia="zh-CN"/>
    </w:rPr>
  </w:style>
  <w:style w:type="paragraph" w:customStyle="1" w:styleId="625">
    <w:name w:val="样式a"/>
    <w:qFormat/>
    <w:uiPriority w:val="0"/>
    <w:pPr>
      <w:spacing w:line="360" w:lineRule="auto"/>
      <w:ind w:left="709" w:hanging="482"/>
    </w:pPr>
    <w:rPr>
      <w:rFonts w:ascii="Times New Roman" w:hAnsi="Times New Roman" w:eastAsia="宋体" w:cs="Times New Roman"/>
      <w:sz w:val="24"/>
      <w:lang w:val="en-US" w:eastAsia="zh-CN" w:bidi="ar-SA"/>
    </w:rPr>
  </w:style>
  <w:style w:type="paragraph" w:customStyle="1" w:styleId="626">
    <w:name w:val="xl82"/>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627">
    <w:name w:val="样式3-13"/>
    <w:basedOn w:val="628"/>
    <w:qFormat/>
    <w:uiPriority w:val="0"/>
    <w:pPr>
      <w:tabs>
        <w:tab w:val="left" w:pos="901"/>
        <w:tab w:val="left" w:pos="1134"/>
      </w:tabs>
    </w:pPr>
  </w:style>
  <w:style w:type="paragraph" w:customStyle="1" w:styleId="628">
    <w:name w:val="样式3-12"/>
    <w:basedOn w:val="629"/>
    <w:qFormat/>
    <w:uiPriority w:val="0"/>
    <w:pPr>
      <w:tabs>
        <w:tab w:val="left" w:pos="901"/>
        <w:tab w:val="left" w:pos="1134"/>
      </w:tabs>
      <w:ind w:left="1134" w:hanging="567"/>
    </w:pPr>
  </w:style>
  <w:style w:type="paragraph" w:customStyle="1" w:styleId="629">
    <w:name w:val="样式3-10"/>
    <w:basedOn w:val="1"/>
    <w:qFormat/>
    <w:uiPriority w:val="0"/>
    <w:pPr>
      <w:keepNext/>
      <w:spacing w:line="360" w:lineRule="auto"/>
      <w:ind w:left="227" w:firstLine="482"/>
      <w:jc w:val="left"/>
      <w:outlineLvl w:val="2"/>
    </w:pPr>
    <w:rPr>
      <w:rFonts w:ascii="仿宋_GB2312" w:hAnsi="宋体" w:eastAsia="仿宋_GB2312" w:cs="Times New Roman"/>
      <w:b/>
      <w:kern w:val="28"/>
      <w:sz w:val="28"/>
      <w:szCs w:val="20"/>
    </w:rPr>
  </w:style>
  <w:style w:type="paragraph" w:customStyle="1" w:styleId="630">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31">
    <w:name w:val="样式17"/>
    <w:basedOn w:val="632"/>
    <w:qFormat/>
    <w:uiPriority w:val="0"/>
    <w:pPr>
      <w:keepLines w:val="0"/>
      <w:widowControl w:val="0"/>
      <w:suppressLineNumbers w:val="0"/>
      <w:tabs>
        <w:tab w:val="left" w:pos="1134"/>
      </w:tabs>
      <w:suppressAutoHyphens w:val="0"/>
      <w:spacing w:line="522" w:lineRule="exact"/>
    </w:pPr>
    <w:rPr>
      <w:rFonts w:ascii="Times New Roman"/>
    </w:rPr>
  </w:style>
  <w:style w:type="paragraph" w:customStyle="1" w:styleId="632">
    <w:name w:val="样式3-16"/>
    <w:basedOn w:val="633"/>
    <w:qFormat/>
    <w:uiPriority w:val="0"/>
    <w:pPr>
      <w:tabs>
        <w:tab w:val="left" w:pos="1134"/>
      </w:tabs>
      <w:ind w:left="1134" w:hanging="567"/>
    </w:pPr>
  </w:style>
  <w:style w:type="paragraph" w:customStyle="1" w:styleId="633">
    <w:name w:val="样式3-15"/>
    <w:basedOn w:val="634"/>
    <w:qFormat/>
    <w:uiPriority w:val="0"/>
    <w:pPr>
      <w:tabs>
        <w:tab w:val="left" w:pos="1134"/>
      </w:tabs>
      <w:ind w:left="0" w:firstLine="0"/>
    </w:pPr>
  </w:style>
  <w:style w:type="paragraph" w:customStyle="1" w:styleId="634">
    <w:name w:val="样式3-24"/>
    <w:basedOn w:val="635"/>
    <w:qFormat/>
    <w:uiPriority w:val="0"/>
    <w:pPr>
      <w:tabs>
        <w:tab w:val="left" w:pos="1134"/>
      </w:tabs>
    </w:pPr>
  </w:style>
  <w:style w:type="paragraph" w:customStyle="1" w:styleId="635">
    <w:name w:val="样式3-19"/>
    <w:basedOn w:val="636"/>
    <w:qFormat/>
    <w:uiPriority w:val="0"/>
    <w:pPr>
      <w:tabs>
        <w:tab w:val="left" w:pos="1134"/>
      </w:tabs>
    </w:pPr>
  </w:style>
  <w:style w:type="paragraph" w:customStyle="1" w:styleId="636">
    <w:name w:val="样式3-18"/>
    <w:basedOn w:val="637"/>
    <w:qFormat/>
    <w:uiPriority w:val="0"/>
    <w:pPr>
      <w:tabs>
        <w:tab w:val="left" w:pos="1134"/>
      </w:tabs>
      <w:ind w:left="1134" w:hanging="567"/>
      <w:jc w:val="left"/>
    </w:pPr>
    <w:rPr>
      <w:b/>
    </w:rPr>
  </w:style>
  <w:style w:type="paragraph" w:customStyle="1" w:styleId="637">
    <w:name w:val="样式3-4"/>
    <w:basedOn w:val="1"/>
    <w:qFormat/>
    <w:uiPriority w:val="0"/>
    <w:pPr>
      <w:keepNext/>
      <w:keepLines/>
      <w:widowControl/>
      <w:suppressLineNumbers/>
      <w:suppressAutoHyphens/>
      <w:snapToGrid w:val="0"/>
      <w:spacing w:line="360" w:lineRule="auto"/>
      <w:ind w:left="227" w:firstLine="482"/>
      <w:jc w:val="center"/>
    </w:pPr>
    <w:rPr>
      <w:rFonts w:ascii="宋体" w:hAnsi="宋体" w:eastAsia="宋体" w:cs="Times New Roman"/>
      <w:snapToGrid w:val="0"/>
      <w:color w:val="FF0000"/>
      <w:spacing w:val="6"/>
      <w:kern w:val="28"/>
      <w:sz w:val="28"/>
      <w:szCs w:val="20"/>
    </w:rPr>
  </w:style>
  <w:style w:type="paragraph" w:customStyle="1" w:styleId="638">
    <w:name w:val="技术标题3"/>
    <w:basedOn w:val="7"/>
    <w:qFormat/>
    <w:uiPriority w:val="0"/>
    <w:pPr>
      <w:keepNext w:val="0"/>
      <w:keepLines w:val="0"/>
      <w:tabs>
        <w:tab w:val="left" w:pos="432"/>
        <w:tab w:val="left" w:pos="1008"/>
      </w:tabs>
      <w:adjustRightInd w:val="0"/>
      <w:snapToGrid w:val="0"/>
      <w:spacing w:before="100" w:after="100" w:line="240" w:lineRule="auto"/>
      <w:ind w:firstLine="482" w:firstLineChars="200"/>
      <w:jc w:val="left"/>
    </w:pPr>
    <w:rPr>
      <w:bCs w:val="0"/>
      <w:snapToGrid w:val="0"/>
      <w:sz w:val="24"/>
      <w:szCs w:val="20"/>
    </w:rPr>
  </w:style>
  <w:style w:type="paragraph" w:customStyle="1" w:styleId="639">
    <w:name w:val="qw"/>
    <w:qFormat/>
    <w:uiPriority w:val="0"/>
    <w:pPr>
      <w:widowControl w:val="0"/>
      <w:adjustRightInd w:val="0"/>
      <w:spacing w:line="312" w:lineRule="atLeast"/>
      <w:ind w:left="709" w:hanging="482"/>
      <w:jc w:val="both"/>
      <w:textAlignment w:val="baseline"/>
    </w:pPr>
    <w:rPr>
      <w:rFonts w:ascii="宋体" w:hAnsi="Times New Roman" w:eastAsia="宋体" w:cs="Times New Roman"/>
      <w:sz w:val="24"/>
      <w:lang w:val="en-US" w:eastAsia="zh-CN" w:bidi="ar-SA"/>
    </w:rPr>
  </w:style>
  <w:style w:type="paragraph" w:customStyle="1" w:styleId="640">
    <w:name w:val="表格内文"/>
    <w:basedOn w:val="1"/>
    <w:qFormat/>
    <w:uiPriority w:val="0"/>
    <w:pPr>
      <w:overflowPunct w:val="0"/>
      <w:adjustRightInd w:val="0"/>
      <w:snapToGrid w:val="0"/>
      <w:spacing w:line="240" w:lineRule="atLeast"/>
      <w:ind w:left="227" w:firstLine="482"/>
      <w:jc w:val="left"/>
    </w:pPr>
    <w:rPr>
      <w:rFonts w:ascii="宋体" w:hAnsi="Times New Roman" w:eastAsia="宋体" w:cs="Times New Roman"/>
      <w:snapToGrid w:val="0"/>
      <w:kern w:val="0"/>
      <w:szCs w:val="20"/>
    </w:rPr>
  </w:style>
  <w:style w:type="paragraph" w:customStyle="1" w:styleId="641">
    <w:name w:val="投标标题2"/>
    <w:qFormat/>
    <w:uiPriority w:val="0"/>
    <w:pPr>
      <w:tabs>
        <w:tab w:val="left" w:pos="360"/>
      </w:tabs>
      <w:spacing w:line="520" w:lineRule="exact"/>
      <w:ind w:left="709" w:hanging="482"/>
    </w:pPr>
    <w:rPr>
      <w:rFonts w:ascii="Times New Roman" w:hAnsi="Times New Roman" w:eastAsia="黑体" w:cs="Times New Roman"/>
      <w:sz w:val="26"/>
      <w:lang w:val="en-US" w:eastAsia="zh-CN" w:bidi="ar-SA"/>
    </w:rPr>
  </w:style>
  <w:style w:type="paragraph" w:customStyle="1" w:styleId="642">
    <w:name w:val="PLC"/>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643">
    <w:name w:val="标题4111"/>
    <w:basedOn w:val="6"/>
    <w:qFormat/>
    <w:uiPriority w:val="0"/>
    <w:pPr>
      <w:keepNext w:val="0"/>
      <w:widowControl/>
      <w:tabs>
        <w:tab w:val="left" w:pos="340"/>
        <w:tab w:val="left" w:pos="567"/>
        <w:tab w:val="left" w:pos="639"/>
        <w:tab w:val="left" w:pos="1680"/>
      </w:tabs>
      <w:adjustRightInd w:val="0"/>
      <w:snapToGrid w:val="0"/>
      <w:spacing w:before="0" w:after="0" w:line="360" w:lineRule="auto"/>
      <w:jc w:val="left"/>
    </w:pPr>
    <w:rPr>
      <w:rFonts w:ascii="Times New Roman" w:hAnsi="宋体"/>
      <w:b w:val="0"/>
      <w:bCs w:val="0"/>
      <w:kern w:val="0"/>
      <w:szCs w:val="24"/>
    </w:rPr>
  </w:style>
  <w:style w:type="paragraph" w:customStyle="1" w:styleId="644">
    <w:name w:val="Char Char1 Char Char"/>
    <w:basedOn w:val="1"/>
    <w:qFormat/>
    <w:uiPriority w:val="0"/>
    <w:pPr>
      <w:keepNext/>
      <w:keepLines/>
      <w:widowControl/>
      <w:spacing w:line="360" w:lineRule="auto"/>
      <w:ind w:left="227" w:firstLine="200" w:firstLineChars="200"/>
      <w:jc w:val="left"/>
    </w:pPr>
    <w:rPr>
      <w:rFonts w:ascii="Tahoma" w:hAnsi="Tahoma" w:eastAsia="宋体" w:cs="Times New Roman"/>
      <w:sz w:val="24"/>
      <w:szCs w:val="20"/>
    </w:rPr>
  </w:style>
  <w:style w:type="paragraph" w:customStyle="1" w:styleId="645">
    <w:name w:val="CellBodyCenter"/>
    <w:basedOn w:val="1"/>
    <w:qFormat/>
    <w:uiPriority w:val="0"/>
    <w:pPr>
      <w:widowControl/>
      <w:overflowPunct w:val="0"/>
      <w:autoSpaceDE w:val="0"/>
      <w:autoSpaceDN w:val="0"/>
      <w:adjustRightInd w:val="0"/>
      <w:spacing w:before="60" w:after="60" w:line="360" w:lineRule="auto"/>
      <w:ind w:left="227" w:firstLine="540"/>
      <w:jc w:val="center"/>
      <w:textAlignment w:val="baseline"/>
    </w:pPr>
    <w:rPr>
      <w:rFonts w:ascii="Arial" w:hAnsi="Arial" w:eastAsia="仿宋_GB2312" w:cs="Times New Roman"/>
      <w:color w:val="000000"/>
      <w:kern w:val="0"/>
      <w:sz w:val="22"/>
      <w:szCs w:val="20"/>
    </w:rPr>
  </w:style>
  <w:style w:type="paragraph" w:customStyle="1" w:styleId="646">
    <w:name w:val="标题111"/>
    <w:basedOn w:val="1"/>
    <w:qFormat/>
    <w:uiPriority w:val="0"/>
    <w:pPr>
      <w:keepNext/>
      <w:keepLines/>
      <w:widowControl/>
      <w:suppressLineNumbers/>
      <w:tabs>
        <w:tab w:val="left" w:pos="1134"/>
      </w:tabs>
      <w:suppressAutoHyphens/>
      <w:spacing w:before="156" w:beforeLines="50" w:line="360" w:lineRule="auto"/>
      <w:ind w:left="1134" w:hanging="567"/>
      <w:jc w:val="left"/>
    </w:pPr>
    <w:rPr>
      <w:rFonts w:ascii="仿宋_GB2312" w:hAnsi="Times New Roman" w:eastAsia="仿宋_GB2312" w:cs="Times New Roman"/>
      <w:b/>
      <w:kern w:val="28"/>
      <w:sz w:val="28"/>
      <w:szCs w:val="20"/>
    </w:rPr>
  </w:style>
  <w:style w:type="paragraph" w:customStyle="1" w:styleId="647">
    <w:name w:val="main"/>
    <w:basedOn w:val="1"/>
    <w:qFormat/>
    <w:uiPriority w:val="0"/>
    <w:pPr>
      <w:widowControl/>
      <w:spacing w:before="100" w:beforeAutospacing="1" w:after="100" w:afterAutospacing="1"/>
      <w:ind w:left="227" w:firstLine="482"/>
      <w:jc w:val="left"/>
    </w:pPr>
    <w:rPr>
      <w:rFonts w:ascii="宋体" w:hAnsi="宋体" w:eastAsia="宋体" w:cs="Times New Roman"/>
      <w:color w:val="000000"/>
      <w:kern w:val="0"/>
      <w:sz w:val="24"/>
      <w:szCs w:val="20"/>
    </w:rPr>
  </w:style>
  <w:style w:type="paragraph" w:customStyle="1" w:styleId="648">
    <w:name w:val="zLabel6p3bL"/>
    <w:basedOn w:val="649"/>
    <w:qFormat/>
    <w:uiPriority w:val="0"/>
    <w:pPr>
      <w:spacing w:before="60"/>
    </w:pPr>
  </w:style>
  <w:style w:type="paragraph" w:customStyle="1" w:styleId="649">
    <w:name w:val="zLabel6p0bL"/>
    <w:qFormat/>
    <w:uiPriority w:val="0"/>
    <w:pPr>
      <w:spacing w:line="360" w:lineRule="auto"/>
      <w:ind w:left="28" w:right="57" w:hanging="482"/>
    </w:pPr>
    <w:rPr>
      <w:rFonts w:ascii="Arial" w:hAnsi="Arial" w:eastAsia="宋体" w:cs="Times New Roman"/>
      <w:sz w:val="12"/>
      <w:lang w:val="en-US" w:eastAsia="en-US" w:bidi="ar-SA"/>
    </w:rPr>
  </w:style>
  <w:style w:type="paragraph" w:customStyle="1" w:styleId="650">
    <w:name w:val="xl79"/>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51">
    <w:name w:val="S02-Definitions and Abbreviations"/>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652">
    <w:name w:val="xl63"/>
    <w:basedOn w:val="1"/>
    <w:qFormat/>
    <w:uiPriority w:val="0"/>
    <w:pPr>
      <w:widowControl/>
      <w:pBdr>
        <w:top w:val="single" w:color="auto" w:sz="4" w:space="0"/>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53">
    <w:name w:val="正文编号（1）"/>
    <w:basedOn w:val="1"/>
    <w:qFormat/>
    <w:uiPriority w:val="0"/>
    <w:pPr>
      <w:tabs>
        <w:tab w:val="left" w:leader="dot" w:pos="1701"/>
        <w:tab w:val="left" w:pos="9072"/>
      </w:tabs>
      <w:adjustRightInd w:val="0"/>
      <w:snapToGrid w:val="0"/>
      <w:spacing w:before="120" w:after="120" w:line="360" w:lineRule="atLeast"/>
      <w:ind w:left="2342" w:hanging="641"/>
      <w:jc w:val="left"/>
    </w:pPr>
    <w:rPr>
      <w:rFonts w:ascii="Times New Roman" w:hAnsi="Times New Roman" w:eastAsia="宋体" w:cs="Times New Roman"/>
      <w:kern w:val="21"/>
      <w:szCs w:val="20"/>
    </w:rPr>
  </w:style>
  <w:style w:type="paragraph" w:customStyle="1" w:styleId="654">
    <w:name w:val="五号线1.1.1"/>
    <w:qFormat/>
    <w:uiPriority w:val="0"/>
    <w:pPr>
      <w:tabs>
        <w:tab w:val="left" w:pos="851"/>
      </w:tabs>
      <w:spacing w:before="120" w:after="120" w:line="500" w:lineRule="exact"/>
      <w:ind w:left="851" w:hanging="851"/>
      <w:outlineLvl w:val="2"/>
    </w:pPr>
    <w:rPr>
      <w:rFonts w:ascii="宋体" w:hAnsi="Times New Roman" w:eastAsia="宋体" w:cs="Times New Roman"/>
      <w:spacing w:val="6"/>
      <w:w w:val="95"/>
      <w:sz w:val="24"/>
      <w:lang w:val="en-US" w:eastAsia="zh-CN" w:bidi="ar-SA"/>
    </w:rPr>
  </w:style>
  <w:style w:type="paragraph" w:customStyle="1" w:styleId="655">
    <w:name w:val="样式3-6"/>
    <w:basedOn w:val="1"/>
    <w:qFormat/>
    <w:uiPriority w:val="0"/>
    <w:pPr>
      <w:keepNext/>
      <w:keepLines/>
      <w:widowControl/>
      <w:suppressLineNumbers/>
      <w:tabs>
        <w:tab w:val="left" w:pos="1134"/>
      </w:tabs>
      <w:suppressAutoHyphens/>
      <w:spacing w:line="360" w:lineRule="auto"/>
      <w:ind w:left="1134" w:hanging="567"/>
      <w:jc w:val="center"/>
    </w:pPr>
    <w:rPr>
      <w:rFonts w:ascii="仿宋_GB2312" w:hAnsi="Times New Roman" w:eastAsia="仿宋_GB2312" w:cs="Times New Roman"/>
      <w:kern w:val="28"/>
      <w:sz w:val="28"/>
      <w:szCs w:val="20"/>
    </w:rPr>
  </w:style>
  <w:style w:type="paragraph" w:customStyle="1" w:styleId="656">
    <w:name w:val="h4tkstoo"/>
    <w:basedOn w:val="1"/>
    <w:qFormat/>
    <w:uiPriority w:val="0"/>
    <w:pPr>
      <w:widowControl/>
      <w:spacing w:before="120" w:after="240"/>
      <w:ind w:left="1134" w:right="397" w:firstLine="482"/>
      <w:jc w:val="left"/>
    </w:pPr>
    <w:rPr>
      <w:rFonts w:ascii="Arial" w:hAnsi="Arial" w:eastAsia="宋体" w:cs="Times New Roman"/>
      <w:b/>
      <w:kern w:val="0"/>
      <w:sz w:val="22"/>
      <w:szCs w:val="20"/>
      <w:lang w:val="en-GB"/>
    </w:rPr>
  </w:style>
  <w:style w:type="paragraph" w:customStyle="1" w:styleId="657">
    <w:name w:val="目录 31"/>
    <w:basedOn w:val="1"/>
    <w:next w:val="1"/>
    <w:qFormat/>
    <w:uiPriority w:val="39"/>
    <w:pPr>
      <w:spacing w:line="360" w:lineRule="auto"/>
      <w:ind w:left="480" w:firstLine="482"/>
      <w:jc w:val="left"/>
    </w:pPr>
    <w:rPr>
      <w:rFonts w:ascii="Times New Roman" w:hAnsi="Times New Roman" w:eastAsia="宋体" w:cs="Times New Roman"/>
      <w:i/>
      <w:sz w:val="20"/>
      <w:szCs w:val="20"/>
    </w:rPr>
  </w:style>
  <w:style w:type="paragraph" w:customStyle="1" w:styleId="658">
    <w:name w:val="样式29"/>
    <w:basedOn w:val="659"/>
    <w:qFormat/>
    <w:uiPriority w:val="0"/>
    <w:pPr>
      <w:tabs>
        <w:tab w:val="left" w:pos="360"/>
        <w:tab w:val="left" w:pos="1134"/>
      </w:tabs>
      <w:ind w:left="0" w:firstLine="0"/>
    </w:pPr>
  </w:style>
  <w:style w:type="paragraph" w:customStyle="1" w:styleId="659">
    <w:name w:val="样式24"/>
    <w:basedOn w:val="660"/>
    <w:qFormat/>
    <w:uiPriority w:val="0"/>
    <w:pPr>
      <w:tabs>
        <w:tab w:val="left" w:pos="360"/>
        <w:tab w:val="left" w:pos="1134"/>
      </w:tabs>
      <w:ind w:left="1134"/>
      <w:jc w:val="left"/>
    </w:pPr>
  </w:style>
  <w:style w:type="paragraph" w:customStyle="1" w:styleId="660">
    <w:name w:val="样式19"/>
    <w:basedOn w:val="1"/>
    <w:qFormat/>
    <w:uiPriority w:val="0"/>
    <w:pPr>
      <w:keepNext/>
      <w:tabs>
        <w:tab w:val="left" w:pos="360"/>
      </w:tabs>
      <w:spacing w:line="360" w:lineRule="auto"/>
      <w:ind w:left="-546" w:hanging="567"/>
      <w:jc w:val="center"/>
    </w:pPr>
    <w:rPr>
      <w:rFonts w:ascii="Times New Roman" w:hAnsi="Times New Roman" w:eastAsia="仿宋_GB2312" w:cs="Times New Roman"/>
      <w:b/>
      <w:kern w:val="28"/>
      <w:sz w:val="28"/>
      <w:szCs w:val="20"/>
    </w:rPr>
  </w:style>
  <w:style w:type="paragraph" w:customStyle="1" w:styleId="661">
    <w:name w:val="方案标题2"/>
    <w:next w:val="1"/>
    <w:qFormat/>
    <w:uiPriority w:val="0"/>
    <w:pPr>
      <w:keepNext/>
      <w:widowControl w:val="0"/>
      <w:adjustRightInd w:val="0"/>
      <w:snapToGrid w:val="0"/>
      <w:spacing w:before="156" w:beforeLines="50" w:line="440" w:lineRule="exact"/>
      <w:ind w:left="709" w:hanging="482"/>
      <w:outlineLvl w:val="1"/>
    </w:pPr>
    <w:rPr>
      <w:rFonts w:ascii="Times New Roman" w:hAnsi="Times New Roman" w:eastAsia="黑体" w:cs="Times New Roman"/>
      <w:b/>
      <w:sz w:val="28"/>
      <w:lang w:val="en-US" w:eastAsia="zh-CN" w:bidi="ar-SA"/>
    </w:rPr>
  </w:style>
  <w:style w:type="paragraph" w:customStyle="1" w:styleId="662">
    <w:name w:val="目录 81"/>
    <w:basedOn w:val="1"/>
    <w:next w:val="1"/>
    <w:qFormat/>
    <w:uiPriority w:val="39"/>
    <w:pPr>
      <w:spacing w:line="360" w:lineRule="auto"/>
      <w:ind w:left="1680" w:firstLine="482"/>
      <w:jc w:val="left"/>
    </w:pPr>
    <w:rPr>
      <w:rFonts w:ascii="Times New Roman" w:hAnsi="Times New Roman" w:eastAsia="宋体" w:cs="Times New Roman"/>
      <w:sz w:val="18"/>
      <w:szCs w:val="20"/>
    </w:rPr>
  </w:style>
  <w:style w:type="paragraph" w:customStyle="1" w:styleId="663">
    <w:name w:val="font9"/>
    <w:basedOn w:val="1"/>
    <w:qFormat/>
    <w:uiPriority w:val="0"/>
    <w:pPr>
      <w:widowControl/>
      <w:spacing w:before="100" w:beforeAutospacing="1" w:after="100" w:afterAutospacing="1"/>
      <w:ind w:left="227" w:firstLine="482"/>
      <w:jc w:val="left"/>
    </w:pPr>
    <w:rPr>
      <w:rFonts w:ascii="Verdana" w:hAnsi="Verdana" w:eastAsia="宋体" w:cs="Times New Roman"/>
      <w:kern w:val="0"/>
      <w:sz w:val="16"/>
      <w:szCs w:val="20"/>
    </w:rPr>
  </w:style>
  <w:style w:type="paragraph" w:customStyle="1" w:styleId="664">
    <w:name w:val="标书正文(0.3 缩进两字)"/>
    <w:basedOn w:val="665"/>
    <w:qFormat/>
    <w:uiPriority w:val="0"/>
    <w:pPr>
      <w:ind w:firstLine="504"/>
    </w:pPr>
  </w:style>
  <w:style w:type="paragraph" w:customStyle="1" w:styleId="665">
    <w:name w:val="样式 标书正文 + 海绿 首行缩进:  2 字符"/>
    <w:basedOn w:val="258"/>
    <w:qFormat/>
    <w:uiPriority w:val="0"/>
    <w:pPr>
      <w:spacing w:beforeLines="0" w:afterLines="0" w:line="360" w:lineRule="auto"/>
      <w:ind w:left="227" w:firstLine="200"/>
      <w:jc w:val="left"/>
    </w:pPr>
    <w:rPr>
      <w:rFonts w:ascii="宋体" w:hAnsi="Times New Roman" w:eastAsia="宋体"/>
      <w:spacing w:val="6"/>
      <w:szCs w:val="20"/>
    </w:rPr>
  </w:style>
  <w:style w:type="paragraph" w:customStyle="1" w:styleId="666">
    <w:name w:val="Access.FOX"/>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667">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668">
    <w:name w:val="样式3-20"/>
    <w:basedOn w:val="669"/>
    <w:qFormat/>
    <w:uiPriority w:val="0"/>
    <w:pPr>
      <w:tabs>
        <w:tab w:val="left" w:pos="1134"/>
      </w:tabs>
      <w:jc w:val="left"/>
    </w:pPr>
    <w:rPr>
      <w:b/>
    </w:rPr>
  </w:style>
  <w:style w:type="paragraph" w:customStyle="1" w:styleId="669">
    <w:name w:val="样式3-3"/>
    <w:basedOn w:val="1"/>
    <w:qFormat/>
    <w:uiPriority w:val="0"/>
    <w:pPr>
      <w:keepNext/>
      <w:keepLines/>
      <w:widowControl/>
      <w:suppressLineNumbers/>
      <w:tabs>
        <w:tab w:val="left" w:pos="1134"/>
      </w:tabs>
      <w:suppressAutoHyphens/>
      <w:spacing w:line="360" w:lineRule="auto"/>
      <w:ind w:left="1134" w:hanging="567"/>
      <w:jc w:val="center"/>
    </w:pPr>
    <w:rPr>
      <w:rFonts w:ascii="仿宋_GB2312" w:hAnsi="Times New Roman" w:eastAsia="仿宋_GB2312" w:cs="Times New Roman"/>
      <w:kern w:val="28"/>
      <w:sz w:val="28"/>
      <w:szCs w:val="20"/>
    </w:rPr>
  </w:style>
  <w:style w:type="paragraph" w:customStyle="1" w:styleId="670">
    <w:name w:val="正文四号字"/>
    <w:basedOn w:val="1"/>
    <w:qFormat/>
    <w:uiPriority w:val="0"/>
    <w:pPr>
      <w:adjustRightInd w:val="0"/>
      <w:spacing w:line="312" w:lineRule="atLeast"/>
      <w:ind w:left="227" w:firstLine="482"/>
      <w:jc w:val="left"/>
      <w:textAlignment w:val="baseline"/>
    </w:pPr>
    <w:rPr>
      <w:rFonts w:ascii="宋体" w:hAnsi="Times New Roman" w:eastAsia="宋体" w:cs="Times New Roman"/>
      <w:spacing w:val="5"/>
      <w:kern w:val="0"/>
      <w:sz w:val="28"/>
      <w:szCs w:val="20"/>
    </w:rPr>
  </w:style>
  <w:style w:type="paragraph" w:customStyle="1" w:styleId="671">
    <w:name w:val="样式28"/>
    <w:basedOn w:val="672"/>
    <w:qFormat/>
    <w:uiPriority w:val="0"/>
    <w:pPr>
      <w:keepNext w:val="0"/>
      <w:keepLines w:val="0"/>
      <w:widowControl w:val="0"/>
      <w:suppressLineNumbers w:val="0"/>
      <w:tabs>
        <w:tab w:val="left" w:pos="1134"/>
      </w:tabs>
      <w:suppressAutoHyphens w:val="0"/>
      <w:ind w:firstLine="567"/>
    </w:pPr>
    <w:rPr>
      <w:rFonts w:ascii="Times New Roman"/>
      <w:b w:val="0"/>
    </w:rPr>
  </w:style>
  <w:style w:type="paragraph" w:customStyle="1" w:styleId="672">
    <w:name w:val="样式3-26"/>
    <w:basedOn w:val="673"/>
    <w:qFormat/>
    <w:uiPriority w:val="0"/>
    <w:pPr>
      <w:tabs>
        <w:tab w:val="left" w:pos="1134"/>
      </w:tabs>
      <w:ind w:left="0" w:firstLine="0"/>
    </w:pPr>
  </w:style>
  <w:style w:type="paragraph" w:customStyle="1" w:styleId="673">
    <w:name w:val="样式3-25"/>
    <w:basedOn w:val="634"/>
    <w:qFormat/>
    <w:uiPriority w:val="0"/>
  </w:style>
  <w:style w:type="paragraph" w:customStyle="1" w:styleId="674">
    <w:name w:val="样式31"/>
    <w:basedOn w:val="1"/>
    <w:qFormat/>
    <w:uiPriority w:val="0"/>
    <w:pPr>
      <w:keepNext/>
      <w:spacing w:line="360" w:lineRule="auto"/>
      <w:ind w:left="227" w:firstLine="482"/>
      <w:jc w:val="left"/>
      <w:outlineLvl w:val="2"/>
    </w:pPr>
    <w:rPr>
      <w:rFonts w:ascii="Times New Roman" w:hAnsi="宋体" w:eastAsia="仿宋_GB2312" w:cs="Times New Roman"/>
      <w:b/>
      <w:kern w:val="28"/>
      <w:sz w:val="28"/>
      <w:szCs w:val="20"/>
    </w:rPr>
  </w:style>
  <w:style w:type="paragraph" w:customStyle="1" w:styleId="675">
    <w:name w:val="样式3-31"/>
    <w:basedOn w:val="676"/>
    <w:qFormat/>
    <w:uiPriority w:val="0"/>
    <w:pPr>
      <w:tabs>
        <w:tab w:val="left" w:pos="1134"/>
      </w:tabs>
    </w:pPr>
  </w:style>
  <w:style w:type="paragraph" w:customStyle="1" w:styleId="676">
    <w:name w:val="样式3-11"/>
    <w:basedOn w:val="1"/>
    <w:qFormat/>
    <w:uiPriority w:val="0"/>
    <w:pPr>
      <w:keepNext/>
      <w:tabs>
        <w:tab w:val="left" w:pos="1134"/>
      </w:tabs>
      <w:spacing w:line="360" w:lineRule="auto"/>
      <w:ind w:left="1134" w:hanging="567" w:firstLineChars="200"/>
      <w:jc w:val="left"/>
      <w:outlineLvl w:val="2"/>
    </w:pPr>
    <w:rPr>
      <w:rFonts w:ascii="仿宋_GB2312" w:hAnsi="宋体" w:eastAsia="仿宋_GB2312" w:cs="Times New Roman"/>
      <w:b/>
      <w:kern w:val="28"/>
      <w:sz w:val="28"/>
      <w:szCs w:val="20"/>
    </w:rPr>
  </w:style>
  <w:style w:type="paragraph" w:customStyle="1" w:styleId="677">
    <w:name w:val="标题11111"/>
    <w:basedOn w:val="3"/>
    <w:qFormat/>
    <w:uiPriority w:val="0"/>
    <w:pPr>
      <w:keepLines w:val="0"/>
      <w:tabs>
        <w:tab w:val="left" w:pos="432"/>
        <w:tab w:val="left" w:pos="567"/>
      </w:tabs>
      <w:spacing w:before="0" w:after="0" w:line="360" w:lineRule="auto"/>
      <w:ind w:left="567" w:hanging="567"/>
      <w:jc w:val="left"/>
    </w:pPr>
    <w:rPr>
      <w:rFonts w:ascii="仿宋_GB2312" w:hAnsi="宋体" w:eastAsia="仿宋_GB2312"/>
      <w:b w:val="0"/>
      <w:bCs w:val="0"/>
      <w:kern w:val="28"/>
      <w:sz w:val="32"/>
      <w:szCs w:val="20"/>
      <w:lang w:val="zh-CN"/>
    </w:rPr>
  </w:style>
  <w:style w:type="paragraph" w:customStyle="1" w:styleId="678">
    <w:name w:val="标题311"/>
    <w:basedOn w:val="1"/>
    <w:qFormat/>
    <w:uiPriority w:val="0"/>
    <w:pPr>
      <w:keepNext/>
      <w:spacing w:line="522" w:lineRule="exact"/>
      <w:ind w:left="227" w:firstLine="482"/>
      <w:jc w:val="left"/>
    </w:pPr>
    <w:rPr>
      <w:rFonts w:ascii="宋体" w:hAnsi="宋体" w:eastAsia="宋体" w:cs="Times New Roman"/>
      <w:kern w:val="28"/>
      <w:sz w:val="28"/>
      <w:szCs w:val="20"/>
    </w:rPr>
  </w:style>
  <w:style w:type="paragraph" w:customStyle="1" w:styleId="679">
    <w:name w:val="xl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b/>
      <w:i/>
      <w:kern w:val="0"/>
      <w:sz w:val="18"/>
      <w:szCs w:val="20"/>
    </w:rPr>
  </w:style>
  <w:style w:type="paragraph" w:customStyle="1" w:styleId="680">
    <w:name w:val="h4tkstot"/>
    <w:basedOn w:val="681"/>
    <w:qFormat/>
    <w:uiPriority w:val="0"/>
    <w:pPr>
      <w:ind w:left="1134" w:firstLine="0"/>
    </w:pPr>
  </w:style>
  <w:style w:type="paragraph" w:customStyle="1" w:styleId="681">
    <w:name w:val="h4tksto"/>
    <w:basedOn w:val="1"/>
    <w:qFormat/>
    <w:uiPriority w:val="0"/>
    <w:pPr>
      <w:widowControl/>
      <w:spacing w:before="120"/>
      <w:ind w:left="1135" w:right="397" w:hanging="284"/>
      <w:jc w:val="left"/>
    </w:pPr>
    <w:rPr>
      <w:rFonts w:ascii="Arial" w:hAnsi="Arial" w:eastAsia="宋体" w:cs="Times New Roman"/>
      <w:kern w:val="0"/>
      <w:sz w:val="22"/>
      <w:szCs w:val="20"/>
      <w:lang w:val="en-GB"/>
    </w:rPr>
  </w:style>
  <w:style w:type="paragraph" w:customStyle="1" w:styleId="682">
    <w:name w:val="xl64"/>
    <w:basedOn w:val="1"/>
    <w:qFormat/>
    <w:uiPriority w:val="0"/>
    <w:pPr>
      <w:widowControl/>
      <w:pBdr>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83">
    <w:name w:val="zSpace"/>
    <w:qFormat/>
    <w:uiPriority w:val="0"/>
    <w:pPr>
      <w:spacing w:line="360" w:lineRule="auto"/>
      <w:ind w:left="709" w:hanging="482"/>
    </w:pPr>
    <w:rPr>
      <w:rFonts w:ascii="Arial" w:hAnsi="Arial" w:eastAsia="宋体" w:cs="Times New Roman"/>
      <w:sz w:val="8"/>
      <w:lang w:val="en-US" w:eastAsia="en-US" w:bidi="ar-SA"/>
    </w:rPr>
  </w:style>
  <w:style w:type="paragraph" w:customStyle="1" w:styleId="684">
    <w:name w:val="样式23"/>
    <w:basedOn w:val="685"/>
    <w:qFormat/>
    <w:uiPriority w:val="0"/>
    <w:pPr>
      <w:tabs>
        <w:tab w:val="left" w:pos="1134"/>
      </w:tabs>
      <w:spacing w:after="0"/>
    </w:pPr>
  </w:style>
  <w:style w:type="paragraph" w:customStyle="1" w:styleId="685">
    <w:name w:val="样式22"/>
    <w:basedOn w:val="669"/>
    <w:qFormat/>
    <w:uiPriority w:val="0"/>
    <w:pPr>
      <w:keepLines w:val="0"/>
      <w:widowControl w:val="0"/>
      <w:suppressLineNumbers w:val="0"/>
      <w:suppressAutoHyphens w:val="0"/>
      <w:spacing w:after="120"/>
      <w:jc w:val="left"/>
    </w:pPr>
    <w:rPr>
      <w:rFonts w:ascii="Times New Roman"/>
      <w:b/>
    </w:rPr>
  </w:style>
  <w:style w:type="paragraph" w:customStyle="1" w:styleId="686">
    <w:name w:val="Table Text"/>
    <w:link w:val="687"/>
    <w:qFormat/>
    <w:uiPriority w:val="0"/>
    <w:pPr>
      <w:snapToGrid w:val="0"/>
      <w:spacing w:before="80" w:after="80" w:line="360" w:lineRule="auto"/>
      <w:ind w:left="709" w:hanging="482"/>
    </w:pPr>
    <w:rPr>
      <w:rFonts w:ascii="Arial" w:hAnsi="Arial" w:eastAsia="宋体" w:cs="Times New Roman"/>
      <w:sz w:val="18"/>
      <w:lang w:val="en-US" w:eastAsia="zh-CN" w:bidi="ar-SA"/>
    </w:rPr>
  </w:style>
  <w:style w:type="character" w:customStyle="1" w:styleId="687">
    <w:name w:val="Table Text Char"/>
    <w:link w:val="686"/>
    <w:qFormat/>
    <w:uiPriority w:val="0"/>
    <w:rPr>
      <w:rFonts w:ascii="Arial" w:hAnsi="Arial" w:eastAsia="宋体" w:cs="Times New Roman"/>
      <w:kern w:val="0"/>
      <w:sz w:val="18"/>
      <w:szCs w:val="20"/>
    </w:rPr>
  </w:style>
  <w:style w:type="paragraph" w:customStyle="1" w:styleId="688">
    <w:name w:val="1.1 概况"/>
    <w:basedOn w:val="4"/>
    <w:qFormat/>
    <w:uiPriority w:val="0"/>
    <w:pPr>
      <w:keepNext w:val="0"/>
      <w:widowControl/>
      <w:adjustRightInd w:val="0"/>
      <w:snapToGrid w:val="0"/>
      <w:spacing w:before="0" w:after="0" w:line="360" w:lineRule="auto"/>
      <w:ind w:left="453" w:hanging="340"/>
      <w:jc w:val="left"/>
    </w:pPr>
    <w:rPr>
      <w:rFonts w:ascii="Times New Roman" w:hAnsi="Times New Roman" w:eastAsia="宋体"/>
      <w:b w:val="0"/>
      <w:sz w:val="24"/>
      <w:lang w:val="zh-CN"/>
    </w:rPr>
  </w:style>
  <w:style w:type="paragraph" w:customStyle="1" w:styleId="689">
    <w:name w:val="样式 样式 Times New Roman 首行缩进:  2 字符 + 首行缩进:  2 字符"/>
    <w:basedOn w:val="1"/>
    <w:qFormat/>
    <w:uiPriority w:val="0"/>
    <w:pPr>
      <w:spacing w:line="560" w:lineRule="exact"/>
      <w:ind w:left="227" w:firstLine="200" w:firstLineChars="200"/>
      <w:jc w:val="left"/>
    </w:pPr>
    <w:rPr>
      <w:rFonts w:ascii="Times New Roman" w:hAnsi="Times New Roman" w:eastAsia="宋体" w:cs="Times New Roman"/>
      <w:sz w:val="28"/>
      <w:szCs w:val="20"/>
    </w:rPr>
  </w:style>
  <w:style w:type="paragraph" w:customStyle="1" w:styleId="690">
    <w:name w:val="五号线1"/>
    <w:qFormat/>
    <w:uiPriority w:val="0"/>
    <w:pPr>
      <w:pageBreakBefore/>
      <w:tabs>
        <w:tab w:val="left" w:pos="1385"/>
        <w:tab w:val="left" w:pos="1440"/>
      </w:tabs>
      <w:spacing w:before="120" w:after="120" w:line="500" w:lineRule="exact"/>
      <w:ind w:left="709" w:hanging="482"/>
      <w:jc w:val="center"/>
      <w:outlineLvl w:val="0"/>
    </w:pPr>
    <w:rPr>
      <w:rFonts w:ascii="宋体" w:hAnsi="Times New Roman" w:eastAsia="宋体" w:cs="Times New Roman"/>
      <w:b/>
      <w:spacing w:val="6"/>
      <w:w w:val="95"/>
      <w:sz w:val="36"/>
      <w:lang w:val="en-US" w:eastAsia="zh-CN" w:bidi="ar-SA"/>
    </w:rPr>
  </w:style>
  <w:style w:type="paragraph" w:customStyle="1" w:styleId="691">
    <w:name w:val="xl85"/>
    <w:basedOn w:val="1"/>
    <w:qFormat/>
    <w:uiPriority w:val="0"/>
    <w:pPr>
      <w:widowControl/>
      <w:pBdr>
        <w:top w:val="single" w:color="auto" w:sz="8" w:space="0"/>
        <w:left w:val="single" w:color="auto" w:sz="8" w:space="0"/>
        <w:bottom w:val="single" w:color="auto" w:sz="8" w:space="0"/>
      </w:pBdr>
      <w:spacing w:before="100" w:beforeAutospacing="1" w:after="100" w:afterAutospacing="1"/>
      <w:ind w:left="227" w:firstLine="482"/>
      <w:jc w:val="center"/>
    </w:pPr>
    <w:rPr>
      <w:rFonts w:ascii="Times New Roman" w:hAnsi="Times New Roman" w:eastAsia="宋体" w:cs="Times New Roman"/>
      <w:b/>
      <w:kern w:val="0"/>
      <w:sz w:val="20"/>
      <w:szCs w:val="20"/>
    </w:rPr>
  </w:style>
  <w:style w:type="paragraph" w:customStyle="1" w:styleId="692">
    <w:name w:val="text"/>
    <w:basedOn w:val="1"/>
    <w:qFormat/>
    <w:uiPriority w:val="0"/>
    <w:pPr>
      <w:widowControl/>
      <w:spacing w:before="100" w:beforeAutospacing="1" w:after="100" w:afterAutospacing="1" w:line="284" w:lineRule="atLeast"/>
      <w:ind w:left="227" w:firstLine="482"/>
      <w:jc w:val="left"/>
    </w:pPr>
    <w:rPr>
      <w:rFonts w:ascii="宋体" w:hAnsi="宋体" w:eastAsia="宋体" w:cs="Times New Roman"/>
      <w:color w:val="000000"/>
      <w:kern w:val="0"/>
      <w:sz w:val="18"/>
      <w:szCs w:val="20"/>
    </w:rPr>
  </w:style>
  <w:style w:type="paragraph" w:customStyle="1" w:styleId="693">
    <w:name w:val="五号线a)"/>
    <w:qFormat/>
    <w:uiPriority w:val="0"/>
    <w:pPr>
      <w:tabs>
        <w:tab w:val="left" w:pos="2520"/>
      </w:tabs>
      <w:spacing w:line="500" w:lineRule="exact"/>
      <w:ind w:left="2520" w:hanging="420"/>
      <w:outlineLvl w:val="5"/>
    </w:pPr>
    <w:rPr>
      <w:rFonts w:ascii="宋体" w:hAnsi="Times New Roman" w:eastAsia="宋体" w:cs="Times New Roman"/>
      <w:spacing w:val="6"/>
      <w:w w:val="95"/>
      <w:sz w:val="24"/>
      <w:lang w:val="en-US" w:eastAsia="zh-CN" w:bidi="ar-SA"/>
    </w:rPr>
  </w:style>
  <w:style w:type="paragraph" w:customStyle="1" w:styleId="694">
    <w:name w:val="font10"/>
    <w:basedOn w:val="1"/>
    <w:qFormat/>
    <w:uiPriority w:val="0"/>
    <w:pPr>
      <w:widowControl/>
      <w:spacing w:before="100" w:after="100"/>
      <w:ind w:left="227" w:firstLine="482"/>
      <w:jc w:val="left"/>
    </w:pPr>
    <w:rPr>
      <w:rFonts w:ascii="Times New Roman" w:hAnsi="Times New Roman" w:eastAsia="宋体" w:cs="Times New Roman"/>
      <w:kern w:val="0"/>
      <w:sz w:val="20"/>
      <w:szCs w:val="20"/>
    </w:rPr>
  </w:style>
  <w:style w:type="paragraph" w:customStyle="1" w:styleId="695">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b/>
      <w:kern w:val="0"/>
      <w:sz w:val="20"/>
      <w:szCs w:val="20"/>
    </w:rPr>
  </w:style>
  <w:style w:type="paragraph" w:customStyle="1" w:styleId="696">
    <w:name w:val="z-Top of Form"/>
    <w:next w:val="1"/>
    <w:qFormat/>
    <w:uiPriority w:val="0"/>
    <w:pPr>
      <w:widowControl w:val="0"/>
      <w:pBdr>
        <w:bottom w:val="double" w:color="000000" w:sz="2" w:space="0"/>
      </w:pBdr>
      <w:autoSpaceDE w:val="0"/>
      <w:autoSpaceDN w:val="0"/>
      <w:adjustRightInd w:val="0"/>
      <w:spacing w:line="360" w:lineRule="auto"/>
      <w:ind w:left="709" w:hanging="482"/>
      <w:jc w:val="center"/>
    </w:pPr>
    <w:rPr>
      <w:rFonts w:ascii="Arial" w:hAnsi="Arial" w:eastAsia="宋体" w:cs="Times New Roman"/>
      <w:vanish/>
      <w:sz w:val="16"/>
      <w:lang w:val="en-US" w:eastAsia="zh-CN" w:bidi="ar-SA"/>
    </w:rPr>
  </w:style>
  <w:style w:type="paragraph" w:customStyle="1" w:styleId="697">
    <w:name w:val="投标标题3"/>
    <w:qFormat/>
    <w:uiPriority w:val="0"/>
    <w:pPr>
      <w:spacing w:line="520" w:lineRule="exact"/>
      <w:ind w:left="709" w:hanging="482"/>
    </w:pPr>
    <w:rPr>
      <w:rFonts w:ascii="Times New Roman" w:hAnsi="Times New Roman" w:eastAsia="宋体" w:cs="Times New Roman"/>
      <w:b/>
      <w:sz w:val="28"/>
      <w:lang w:val="en-US" w:eastAsia="zh-CN" w:bidi="ar-SA"/>
    </w:rPr>
  </w:style>
  <w:style w:type="paragraph" w:customStyle="1" w:styleId="698">
    <w:name w:val="文档正文"/>
    <w:basedOn w:val="1"/>
    <w:qFormat/>
    <w:uiPriority w:val="0"/>
    <w:pPr>
      <w:adjustRightInd w:val="0"/>
      <w:snapToGrid w:val="0"/>
      <w:spacing w:line="480" w:lineRule="atLeast"/>
      <w:ind w:left="227" w:firstLine="360" w:firstLineChars="150"/>
      <w:jc w:val="center"/>
      <w:textAlignment w:val="baseline"/>
    </w:pPr>
    <w:rPr>
      <w:rFonts w:ascii="宋体" w:hAnsi="宋体" w:eastAsia="宋体" w:cs="Times New Roman"/>
      <w:sz w:val="24"/>
      <w:szCs w:val="20"/>
    </w:rPr>
  </w:style>
  <w:style w:type="paragraph" w:customStyle="1" w:styleId="699">
    <w:name w:val="xl92"/>
    <w:basedOn w:val="1"/>
    <w:qFormat/>
    <w:uiPriority w:val="0"/>
    <w:pPr>
      <w:widowControl/>
      <w:pBdr>
        <w:top w:val="single" w:color="auto" w:sz="8" w:space="0"/>
        <w:left w:val="single" w:color="auto" w:sz="8" w:space="0"/>
        <w:bottom w:val="single" w:color="auto" w:sz="4" w:space="0"/>
      </w:pBdr>
      <w:spacing w:before="100" w:beforeAutospacing="1" w:after="100" w:afterAutospacing="1"/>
      <w:ind w:left="227" w:firstLine="482"/>
      <w:jc w:val="center"/>
    </w:pPr>
    <w:rPr>
      <w:rFonts w:ascii="宋体" w:hAnsi="宋体" w:eastAsia="宋体" w:cs="Times New Roman"/>
      <w:kern w:val="0"/>
      <w:sz w:val="18"/>
      <w:szCs w:val="20"/>
    </w:rPr>
  </w:style>
  <w:style w:type="paragraph" w:customStyle="1" w:styleId="700">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27" w:firstLine="482"/>
      <w:jc w:val="center"/>
    </w:pPr>
    <w:rPr>
      <w:rFonts w:ascii="Times New Roman" w:hAnsi="Times New Roman" w:eastAsia="宋体" w:cs="Times New Roman"/>
      <w:b/>
      <w:kern w:val="0"/>
      <w:sz w:val="22"/>
      <w:szCs w:val="20"/>
      <w:lang w:val="en-GB"/>
    </w:rPr>
  </w:style>
  <w:style w:type="paragraph" w:customStyle="1" w:styleId="701">
    <w:name w:val="xl91"/>
    <w:basedOn w:val="1"/>
    <w:qFormat/>
    <w:uiPriority w:val="0"/>
    <w:pPr>
      <w:widowControl/>
      <w:pBdr>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702">
    <w:name w:val="zField10p0bL"/>
    <w:qFormat/>
    <w:uiPriority w:val="0"/>
    <w:pPr>
      <w:spacing w:line="360" w:lineRule="auto"/>
      <w:ind w:left="28" w:right="57" w:hanging="482"/>
    </w:pPr>
    <w:rPr>
      <w:rFonts w:ascii="Arial" w:hAnsi="Arial" w:eastAsia="宋体" w:cs="Times New Roman"/>
      <w:lang w:val="en-US" w:eastAsia="en-US" w:bidi="ar-SA"/>
    </w:rPr>
  </w:style>
  <w:style w:type="paragraph" w:customStyle="1" w:styleId="703">
    <w:name w:val="样式10"/>
    <w:basedOn w:val="1"/>
    <w:qFormat/>
    <w:uiPriority w:val="0"/>
    <w:pPr>
      <w:keepNext/>
      <w:tabs>
        <w:tab w:val="left" w:pos="1134"/>
      </w:tabs>
      <w:spacing w:line="360" w:lineRule="auto"/>
      <w:ind w:left="1134" w:hanging="567"/>
      <w:jc w:val="center"/>
    </w:pPr>
    <w:rPr>
      <w:rFonts w:ascii="仿宋_GB2312" w:hAnsi="Times New Roman" w:eastAsia="仿宋_GB2312" w:cs="Times New Roman"/>
      <w:b/>
      <w:kern w:val="28"/>
      <w:sz w:val="28"/>
      <w:szCs w:val="20"/>
    </w:rPr>
  </w:style>
  <w:style w:type="paragraph" w:customStyle="1" w:styleId="704">
    <w:name w:val="样式3-30"/>
    <w:basedOn w:val="705"/>
    <w:qFormat/>
    <w:uiPriority w:val="0"/>
    <w:pPr>
      <w:tabs>
        <w:tab w:val="left" w:pos="360"/>
        <w:tab w:val="left" w:pos="1134"/>
      </w:tabs>
      <w:ind w:left="1134" w:hanging="567"/>
    </w:pPr>
  </w:style>
  <w:style w:type="paragraph" w:customStyle="1" w:styleId="705">
    <w:name w:val="样式3-9"/>
    <w:basedOn w:val="1"/>
    <w:qFormat/>
    <w:uiPriority w:val="0"/>
    <w:pPr>
      <w:keepNext/>
      <w:keepLines/>
      <w:widowControl/>
      <w:suppressLineNumbers/>
      <w:tabs>
        <w:tab w:val="left" w:pos="360"/>
      </w:tabs>
      <w:suppressAutoHyphens/>
      <w:spacing w:line="360" w:lineRule="auto"/>
      <w:ind w:left="227" w:firstLine="482"/>
      <w:jc w:val="center"/>
    </w:pPr>
    <w:rPr>
      <w:rFonts w:ascii="仿宋_GB2312" w:hAnsi="Times New Roman" w:eastAsia="仿宋_GB2312" w:cs="Times New Roman"/>
      <w:kern w:val="28"/>
      <w:sz w:val="28"/>
      <w:szCs w:val="20"/>
    </w:rPr>
  </w:style>
  <w:style w:type="paragraph" w:customStyle="1" w:styleId="706">
    <w:name w:val="S01-General"/>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707">
    <w:name w:val="样式3-7"/>
    <w:basedOn w:val="655"/>
    <w:qFormat/>
    <w:uiPriority w:val="0"/>
  </w:style>
  <w:style w:type="paragraph" w:customStyle="1" w:styleId="708">
    <w:name w:val="表格1"/>
    <w:qFormat/>
    <w:uiPriority w:val="0"/>
    <w:pPr>
      <w:keepNext/>
      <w:spacing w:line="360" w:lineRule="auto"/>
      <w:ind w:left="709" w:hanging="482"/>
      <w:jc w:val="center"/>
    </w:pPr>
    <w:rPr>
      <w:rFonts w:ascii="宋体" w:hAnsi="Times New Roman" w:eastAsia="宋体" w:cs="Times New Roman"/>
      <w:snapToGrid w:val="0"/>
      <w:spacing w:val="6"/>
      <w:w w:val="95"/>
      <w:sz w:val="24"/>
      <w:lang w:val="en-US" w:eastAsia="zh-CN" w:bidi="ar-SA"/>
    </w:rPr>
  </w:style>
  <w:style w:type="paragraph" w:customStyle="1" w:styleId="709">
    <w:name w:val="样式3-14"/>
    <w:basedOn w:val="633"/>
    <w:qFormat/>
    <w:uiPriority w:val="0"/>
    <w:pPr>
      <w:keepLines w:val="0"/>
      <w:widowControl w:val="0"/>
      <w:suppressLineNumbers w:val="0"/>
      <w:suppressAutoHyphens w:val="0"/>
      <w:ind w:left="1134" w:hanging="567"/>
    </w:pPr>
    <w:rPr>
      <w:rFonts w:ascii="Times New Roman"/>
      <w:b w:val="0"/>
    </w:rPr>
  </w:style>
  <w:style w:type="paragraph" w:customStyle="1" w:styleId="710">
    <w:name w:val="表"/>
    <w:basedOn w:val="1"/>
    <w:qFormat/>
    <w:uiPriority w:val="0"/>
    <w:pPr>
      <w:keepNext/>
      <w:spacing w:before="156" w:beforeLines="50"/>
      <w:ind w:left="227" w:firstLine="482"/>
      <w:jc w:val="left"/>
    </w:pPr>
    <w:rPr>
      <w:rFonts w:ascii="宋体" w:hAnsi="宋体" w:eastAsia="宋体" w:cs="Times New Roman"/>
      <w:color w:val="FF0000"/>
      <w:kern w:val="21"/>
      <w:szCs w:val="20"/>
    </w:rPr>
  </w:style>
  <w:style w:type="paragraph" w:customStyle="1" w:styleId="711">
    <w:name w:val="TableText"/>
    <w:qFormat/>
    <w:uiPriority w:val="0"/>
    <w:pPr>
      <w:spacing w:before="60" w:line="360" w:lineRule="auto"/>
      <w:ind w:left="57" w:right="57" w:hanging="482"/>
    </w:pPr>
    <w:rPr>
      <w:rFonts w:ascii="Arial" w:hAnsi="Arial" w:eastAsia="宋体" w:cs="Times New Roman"/>
      <w:sz w:val="22"/>
      <w:lang w:val="en-US" w:eastAsia="en-US" w:bidi="ar-SA"/>
    </w:rPr>
  </w:style>
  <w:style w:type="paragraph" w:customStyle="1" w:styleId="712">
    <w:name w:val="样式1-4"/>
    <w:basedOn w:val="1"/>
    <w:qFormat/>
    <w:uiPriority w:val="0"/>
    <w:pPr>
      <w:keepNext/>
      <w:keepLines/>
      <w:widowControl/>
      <w:suppressLineNumbers/>
      <w:tabs>
        <w:tab w:val="left" w:pos="1134"/>
      </w:tabs>
      <w:suppressAutoHyphens/>
      <w:spacing w:line="360" w:lineRule="auto"/>
      <w:ind w:left="1134" w:hanging="567"/>
      <w:jc w:val="left"/>
    </w:pPr>
    <w:rPr>
      <w:rFonts w:ascii="仿宋_GB2312" w:hAnsi="Times New Roman" w:eastAsia="仿宋_GB2312" w:cs="Times New Roman"/>
      <w:kern w:val="28"/>
      <w:sz w:val="28"/>
      <w:szCs w:val="20"/>
    </w:rPr>
  </w:style>
  <w:style w:type="paragraph" w:customStyle="1" w:styleId="713">
    <w:name w:val="para"/>
    <w:qFormat/>
    <w:uiPriority w:val="0"/>
    <w:pPr>
      <w:spacing w:line="360" w:lineRule="auto"/>
      <w:ind w:left="709" w:hanging="482"/>
      <w:jc w:val="center"/>
    </w:pPr>
    <w:rPr>
      <w:rFonts w:ascii="Arial" w:hAnsi="Arial" w:eastAsia="宋体" w:cs="Times New Roman"/>
      <w:lang w:val="en-US" w:eastAsia="zh-CN" w:bidi="ar-SA"/>
    </w:rPr>
  </w:style>
  <w:style w:type="paragraph" w:customStyle="1" w:styleId="714">
    <w:name w:val="xl88"/>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715">
    <w:name w:val="样式3-2"/>
    <w:basedOn w:val="1"/>
    <w:qFormat/>
    <w:uiPriority w:val="0"/>
    <w:pPr>
      <w:keepNext/>
      <w:keepLines/>
      <w:widowControl/>
      <w:suppressLineNumbers/>
      <w:tabs>
        <w:tab w:val="left" w:pos="1134"/>
      </w:tabs>
      <w:suppressAutoHyphens/>
      <w:spacing w:line="360" w:lineRule="auto"/>
      <w:ind w:left="227" w:firstLine="567"/>
      <w:jc w:val="left"/>
    </w:pPr>
    <w:rPr>
      <w:rFonts w:ascii="仿宋_GB2312" w:hAnsi="Times New Roman" w:eastAsia="仿宋_GB2312" w:cs="Times New Roman"/>
      <w:kern w:val="28"/>
      <w:sz w:val="28"/>
      <w:szCs w:val="20"/>
    </w:rPr>
  </w:style>
  <w:style w:type="paragraph" w:customStyle="1" w:styleId="716">
    <w:name w:val="Table_Legend"/>
    <w:basedOn w:val="1"/>
    <w:next w:val="1"/>
    <w:qFormat/>
    <w:uiPriority w:val="0"/>
    <w:pPr>
      <w:keepNext/>
      <w:tabs>
        <w:tab w:val="left" w:pos="454"/>
      </w:tabs>
      <w:autoSpaceDE w:val="0"/>
      <w:autoSpaceDN w:val="0"/>
      <w:adjustRightInd w:val="0"/>
      <w:spacing w:before="86" w:line="199" w:lineRule="exact"/>
      <w:ind w:left="227" w:firstLine="482"/>
      <w:jc w:val="left"/>
      <w:textAlignment w:val="baseline"/>
    </w:pPr>
    <w:rPr>
      <w:rFonts w:ascii="Times New Roman" w:hAnsi="Times New Roman" w:eastAsia="宋体" w:cs="Times New Roman"/>
      <w:kern w:val="0"/>
      <w:sz w:val="18"/>
      <w:szCs w:val="20"/>
    </w:rPr>
  </w:style>
  <w:style w:type="paragraph" w:customStyle="1" w:styleId="717">
    <w:name w:val="ss"/>
    <w:basedOn w:val="35"/>
    <w:qFormat/>
    <w:uiPriority w:val="0"/>
    <w:pPr>
      <w:keepNext/>
      <w:spacing w:line="360" w:lineRule="auto"/>
      <w:jc w:val="left"/>
    </w:pPr>
    <w:rPr>
      <w:rFonts w:ascii="宋体" w:hAnsi="宋体"/>
      <w:color w:val="000000"/>
      <w:kern w:val="28"/>
      <w:sz w:val="28"/>
      <w:szCs w:val="20"/>
    </w:rPr>
  </w:style>
  <w:style w:type="paragraph" w:customStyle="1" w:styleId="718">
    <w:name w:val="正表格内容"/>
    <w:basedOn w:val="1"/>
    <w:qFormat/>
    <w:uiPriority w:val="0"/>
    <w:pPr>
      <w:keepNext/>
      <w:keepLines/>
      <w:widowControl/>
      <w:suppressLineNumbers/>
      <w:tabs>
        <w:tab w:val="left" w:pos="480"/>
      </w:tabs>
      <w:suppressAutoHyphens/>
      <w:autoSpaceDE w:val="0"/>
      <w:autoSpaceDN w:val="0"/>
      <w:adjustRightInd w:val="0"/>
      <w:ind w:left="227" w:firstLine="482"/>
      <w:jc w:val="center"/>
      <w:textAlignment w:val="bottom"/>
    </w:pPr>
    <w:rPr>
      <w:rFonts w:ascii="宋体" w:hAnsi="Times New Roman" w:eastAsia="宋体" w:cs="Times New Roman"/>
      <w:kern w:val="0"/>
      <w:sz w:val="18"/>
      <w:szCs w:val="20"/>
    </w:rPr>
  </w:style>
  <w:style w:type="paragraph" w:customStyle="1" w:styleId="719">
    <w:name w:val="xl8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kern w:val="0"/>
      <w:sz w:val="20"/>
      <w:szCs w:val="20"/>
    </w:rPr>
  </w:style>
  <w:style w:type="paragraph" w:customStyle="1" w:styleId="720">
    <w:name w:val="Char1 Char Char Char Char Char Char"/>
    <w:basedOn w:val="1"/>
    <w:qFormat/>
    <w:uiPriority w:val="0"/>
    <w:pPr>
      <w:ind w:left="227" w:firstLine="482"/>
      <w:jc w:val="left"/>
    </w:pPr>
    <w:rPr>
      <w:rFonts w:ascii="Tahoma" w:hAnsi="Tahoma" w:eastAsia="仿宋_GB2312" w:cs="Times New Roman"/>
      <w:b/>
      <w:sz w:val="24"/>
      <w:szCs w:val="20"/>
    </w:rPr>
  </w:style>
  <w:style w:type="paragraph" w:customStyle="1" w:styleId="721">
    <w:name w:val="样式 标书正文 + 首行缩进:  2 字符"/>
    <w:basedOn w:val="258"/>
    <w:qFormat/>
    <w:uiPriority w:val="0"/>
    <w:pPr>
      <w:spacing w:beforeLines="0" w:afterLines="0" w:line="360" w:lineRule="auto"/>
      <w:ind w:left="227" w:firstLine="484"/>
      <w:jc w:val="left"/>
    </w:pPr>
    <w:rPr>
      <w:rFonts w:ascii="Times New Roman" w:hAnsi="Times New Roman" w:eastAsia="宋体"/>
      <w:spacing w:val="1"/>
      <w:kern w:val="2"/>
      <w:szCs w:val="20"/>
    </w:rPr>
  </w:style>
  <w:style w:type="paragraph" w:customStyle="1" w:styleId="722">
    <w:name w:val="样式 标书正文 + 首行缩进:  2 字符1"/>
    <w:basedOn w:val="258"/>
    <w:qFormat/>
    <w:uiPriority w:val="0"/>
    <w:pPr>
      <w:spacing w:beforeLines="0" w:afterLines="0" w:line="360" w:lineRule="auto"/>
      <w:ind w:left="227" w:firstLine="200"/>
      <w:jc w:val="left"/>
    </w:pPr>
    <w:rPr>
      <w:rFonts w:ascii="Times New Roman" w:hAnsi="Times New Roman" w:eastAsia="宋体"/>
      <w:spacing w:val="6"/>
      <w:szCs w:val="20"/>
    </w:rPr>
  </w:style>
  <w:style w:type="paragraph" w:customStyle="1" w:styleId="723">
    <w:name w:val="目录 91"/>
    <w:basedOn w:val="1"/>
    <w:next w:val="1"/>
    <w:qFormat/>
    <w:uiPriority w:val="39"/>
    <w:pPr>
      <w:spacing w:line="360" w:lineRule="auto"/>
      <w:ind w:left="1920" w:firstLine="482"/>
      <w:jc w:val="left"/>
    </w:pPr>
    <w:rPr>
      <w:rFonts w:ascii="Times New Roman" w:hAnsi="Times New Roman" w:eastAsia="宋体" w:cs="Times New Roman"/>
      <w:sz w:val="18"/>
      <w:szCs w:val="20"/>
    </w:rPr>
  </w:style>
  <w:style w:type="paragraph" w:customStyle="1" w:styleId="724">
    <w:name w:val="五级"/>
    <w:basedOn w:val="4"/>
    <w:qFormat/>
    <w:uiPriority w:val="0"/>
    <w:pPr>
      <w:keepNext w:val="0"/>
      <w:keepLines w:val="0"/>
      <w:widowControl/>
      <w:adjustRightInd w:val="0"/>
      <w:snapToGrid w:val="0"/>
      <w:spacing w:before="0" w:after="0" w:line="360" w:lineRule="auto"/>
      <w:jc w:val="left"/>
    </w:pPr>
    <w:rPr>
      <w:rFonts w:ascii="宋体" w:hAnsi="宋体" w:eastAsia="宋体"/>
      <w:sz w:val="24"/>
      <w:lang w:val="zh-CN"/>
    </w:rPr>
  </w:style>
  <w:style w:type="paragraph" w:customStyle="1" w:styleId="725">
    <w:name w:val="表头文字"/>
    <w:basedOn w:val="1"/>
    <w:qFormat/>
    <w:uiPriority w:val="0"/>
    <w:pPr>
      <w:spacing w:line="300" w:lineRule="atLeast"/>
      <w:ind w:left="227" w:firstLine="482"/>
      <w:jc w:val="center"/>
    </w:pPr>
    <w:rPr>
      <w:rFonts w:ascii="Times New Roman" w:hAnsi="Times New Roman" w:eastAsia="宋体" w:cs="Times New Roman"/>
      <w:sz w:val="20"/>
      <w:szCs w:val="20"/>
    </w:rPr>
  </w:style>
  <w:style w:type="paragraph" w:customStyle="1" w:styleId="726">
    <w:name w:val="封面2"/>
    <w:basedOn w:val="1"/>
    <w:qFormat/>
    <w:uiPriority w:val="0"/>
    <w:pPr>
      <w:adjustRightInd w:val="0"/>
      <w:snapToGrid w:val="0"/>
      <w:spacing w:before="100" w:beforeAutospacing="1" w:after="100" w:afterAutospacing="1"/>
      <w:ind w:left="-5" w:leftChars="-5" w:firstLine="482"/>
      <w:jc w:val="center"/>
    </w:pPr>
    <w:rPr>
      <w:rFonts w:ascii="Times New Roman" w:hAnsi="Times New Roman" w:eastAsia="宋体" w:cs="Times New Roman"/>
      <w:b/>
      <w:sz w:val="72"/>
      <w:szCs w:val="20"/>
    </w:rPr>
  </w:style>
  <w:style w:type="paragraph" w:customStyle="1" w:styleId="727">
    <w:name w:val="标题3111"/>
    <w:basedOn w:val="5"/>
    <w:qFormat/>
    <w:uiPriority w:val="0"/>
    <w:pPr>
      <w:widowControl/>
      <w:tabs>
        <w:tab w:val="left" w:pos="567"/>
      </w:tabs>
      <w:adjustRightInd w:val="0"/>
      <w:snapToGrid w:val="0"/>
      <w:spacing w:line="360" w:lineRule="auto"/>
      <w:ind w:left="567" w:hanging="567" w:firstLineChars="200"/>
      <w:jc w:val="left"/>
      <w:outlineLvl w:val="9"/>
    </w:pPr>
    <w:rPr>
      <w:rFonts w:ascii="仿宋_GB2312" w:hAnsi="宋体" w:eastAsia="仿宋_GB2312"/>
      <w:color w:val="000000"/>
      <w:kern w:val="28"/>
      <w:sz w:val="28"/>
    </w:rPr>
  </w:style>
  <w:style w:type="paragraph" w:customStyle="1" w:styleId="728">
    <w:name w:val="条款"/>
    <w:basedOn w:val="46"/>
    <w:qFormat/>
    <w:uiPriority w:val="0"/>
    <w:pPr>
      <w:spacing w:line="360" w:lineRule="auto"/>
      <w:ind w:left="-108" w:firstLine="420" w:firstLineChars="200"/>
      <w:jc w:val="left"/>
    </w:pPr>
    <w:rPr>
      <w:rFonts w:hAnsi="宋体" w:cs="Times New Roman"/>
      <w:kern w:val="0"/>
      <w:szCs w:val="20"/>
    </w:rPr>
  </w:style>
  <w:style w:type="paragraph" w:customStyle="1" w:styleId="729">
    <w:name w:val="技术标题4"/>
    <w:basedOn w:val="638"/>
    <w:qFormat/>
    <w:uiPriority w:val="0"/>
    <w:pPr>
      <w:tabs>
        <w:tab w:val="left" w:pos="360"/>
        <w:tab w:val="left" w:pos="864"/>
      </w:tabs>
      <w:ind w:left="867" w:hanging="822"/>
    </w:pPr>
  </w:style>
  <w:style w:type="paragraph" w:customStyle="1" w:styleId="730">
    <w:name w:val="Style 樣式 標題 3 + (中文) MS Gothic 10.5 點 + (Latin) Times New Roman (A..."/>
    <w:basedOn w:val="1"/>
    <w:link w:val="731"/>
    <w:qFormat/>
    <w:uiPriority w:val="0"/>
    <w:pPr>
      <w:keepNext/>
      <w:tabs>
        <w:tab w:val="left" w:pos="1860"/>
      </w:tabs>
      <w:spacing w:after="156" w:afterLines="50"/>
      <w:ind w:left="1860" w:hanging="480"/>
      <w:jc w:val="left"/>
      <w:outlineLvl w:val="2"/>
    </w:pPr>
    <w:rPr>
      <w:rFonts w:ascii="Times New Roman" w:hAnsi="Times New Roman" w:eastAsia="PMingLiU" w:cs="Times New Roman"/>
      <w:b/>
      <w:snapToGrid w:val="0"/>
      <w:sz w:val="24"/>
      <w:szCs w:val="20"/>
      <w:lang w:val="en-AU" w:eastAsia="zh-TW"/>
    </w:rPr>
  </w:style>
  <w:style w:type="character" w:customStyle="1" w:styleId="731">
    <w:name w:val="Style 樣式 標題 3 + (中文) MS Gothic 10.5 點 + (Latin) Times New Roman (A... Char"/>
    <w:link w:val="730"/>
    <w:qFormat/>
    <w:uiPriority w:val="0"/>
    <w:rPr>
      <w:rFonts w:ascii="Times New Roman" w:hAnsi="Times New Roman" w:eastAsia="PMingLiU" w:cs="Times New Roman"/>
      <w:b/>
      <w:snapToGrid w:val="0"/>
      <w:sz w:val="24"/>
      <w:szCs w:val="20"/>
      <w:lang w:val="en-AU" w:eastAsia="zh-TW"/>
    </w:rPr>
  </w:style>
  <w:style w:type="paragraph" w:customStyle="1" w:styleId="732">
    <w:name w:val="标题4"/>
    <w:basedOn w:val="6"/>
    <w:qFormat/>
    <w:uiPriority w:val="0"/>
    <w:pPr>
      <w:keepNext w:val="0"/>
      <w:widowControl/>
      <w:tabs>
        <w:tab w:val="left" w:pos="340"/>
        <w:tab w:val="left" w:pos="567"/>
      </w:tabs>
      <w:adjustRightInd w:val="0"/>
      <w:snapToGrid w:val="0"/>
      <w:spacing w:before="100" w:beforeAutospacing="1" w:after="100" w:afterAutospacing="1" w:line="240" w:lineRule="auto"/>
      <w:jc w:val="left"/>
    </w:pPr>
    <w:rPr>
      <w:rFonts w:ascii="Arial" w:hAnsi="Times New Roman" w:eastAsia="黑体"/>
      <w:bCs w:val="0"/>
      <w:szCs w:val="24"/>
      <w:lang w:val="zh-CN"/>
    </w:rPr>
  </w:style>
  <w:style w:type="paragraph" w:customStyle="1" w:styleId="733">
    <w:name w:val="样式3-22"/>
    <w:basedOn w:val="669"/>
    <w:qFormat/>
    <w:uiPriority w:val="0"/>
    <w:pPr>
      <w:spacing w:after="120"/>
      <w:jc w:val="left"/>
    </w:pPr>
    <w:rPr>
      <w:b/>
    </w:rPr>
  </w:style>
  <w:style w:type="paragraph" w:customStyle="1" w:styleId="734">
    <w:name w:val="Char1 Char Char Char"/>
    <w:basedOn w:val="1"/>
    <w:qFormat/>
    <w:uiPriority w:val="0"/>
    <w:pPr>
      <w:ind w:left="227" w:firstLine="482"/>
      <w:jc w:val="left"/>
    </w:pPr>
    <w:rPr>
      <w:rFonts w:ascii="Tahoma" w:hAnsi="Tahoma" w:eastAsia="仿宋_GB2312" w:cs="Times New Roman"/>
      <w:b/>
      <w:sz w:val="24"/>
      <w:szCs w:val="20"/>
    </w:rPr>
  </w:style>
  <w:style w:type="paragraph" w:customStyle="1" w:styleId="735">
    <w:name w:val="MARGE"/>
    <w:basedOn w:val="1"/>
    <w:qFormat/>
    <w:uiPriority w:val="0"/>
    <w:pPr>
      <w:widowControl/>
      <w:ind w:left="227" w:firstLine="482"/>
      <w:jc w:val="left"/>
    </w:pPr>
    <w:rPr>
      <w:rFonts w:ascii="Arial" w:hAnsi="Arial" w:eastAsia="PMingLiU" w:cs="Times New Roman"/>
      <w:kern w:val="0"/>
      <w:sz w:val="24"/>
      <w:szCs w:val="20"/>
      <w:lang w:eastAsia="fr-FR"/>
    </w:rPr>
  </w:style>
  <w:style w:type="paragraph" w:customStyle="1" w:styleId="736">
    <w:name w:val="样式12"/>
    <w:basedOn w:val="629"/>
    <w:qFormat/>
    <w:uiPriority w:val="0"/>
    <w:pPr>
      <w:tabs>
        <w:tab w:val="left" w:pos="1134"/>
      </w:tabs>
      <w:ind w:left="1134" w:hanging="567"/>
    </w:pPr>
    <w:rPr>
      <w:rFonts w:ascii="Times New Roman"/>
    </w:rPr>
  </w:style>
  <w:style w:type="paragraph" w:customStyle="1" w:styleId="737">
    <w:name w:val="Style Body Text Indent 3 + Left  5.29 ch First line:  0.01 ch"/>
    <w:basedOn w:val="70"/>
    <w:qFormat/>
    <w:uiPriority w:val="0"/>
    <w:pPr>
      <w:tabs>
        <w:tab w:val="left" w:pos="-1843"/>
      </w:tabs>
      <w:suppressAutoHyphens/>
      <w:spacing w:line="240" w:lineRule="auto"/>
      <w:ind w:left="1416" w:leftChars="590" w:firstLine="0" w:firstLineChars="0"/>
      <w:jc w:val="left"/>
    </w:pPr>
    <w:rPr>
      <w:rFonts w:eastAsia="PMingLiU"/>
      <w:snapToGrid w:val="0"/>
      <w:kern w:val="0"/>
      <w:sz w:val="24"/>
      <w:szCs w:val="20"/>
      <w:lang w:val="en-GB" w:eastAsia="zh-TW"/>
    </w:rPr>
  </w:style>
  <w:style w:type="paragraph" w:customStyle="1" w:styleId="738">
    <w:name w:val="CellBodyItalic"/>
    <w:basedOn w:val="1"/>
    <w:qFormat/>
    <w:uiPriority w:val="0"/>
    <w:pPr>
      <w:widowControl/>
      <w:overflowPunct w:val="0"/>
      <w:autoSpaceDE w:val="0"/>
      <w:autoSpaceDN w:val="0"/>
      <w:adjustRightInd w:val="0"/>
      <w:spacing w:before="60" w:after="60"/>
      <w:ind w:left="227" w:firstLine="540"/>
      <w:jc w:val="left"/>
      <w:textAlignment w:val="baseline"/>
    </w:pPr>
    <w:rPr>
      <w:rFonts w:ascii="Arial" w:hAnsi="Arial" w:eastAsia="仿宋_GB2312" w:cs="Times New Roman"/>
      <w:i/>
      <w:color w:val="000000"/>
      <w:kern w:val="0"/>
      <w:sz w:val="24"/>
      <w:szCs w:val="20"/>
    </w:rPr>
  </w:style>
  <w:style w:type="paragraph" w:customStyle="1" w:styleId="739">
    <w:name w:val="S08-Equipment housing"/>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740">
    <w:name w:val="目录 21"/>
    <w:basedOn w:val="1"/>
    <w:next w:val="1"/>
    <w:qFormat/>
    <w:uiPriority w:val="39"/>
    <w:pPr>
      <w:spacing w:line="360" w:lineRule="auto"/>
      <w:ind w:left="240" w:firstLine="482"/>
      <w:jc w:val="left"/>
    </w:pPr>
    <w:rPr>
      <w:rFonts w:ascii="Times New Roman" w:hAnsi="Times New Roman" w:eastAsia="宋体" w:cs="Times New Roman"/>
      <w:smallCaps/>
      <w:sz w:val="20"/>
      <w:szCs w:val="20"/>
    </w:rPr>
  </w:style>
  <w:style w:type="paragraph" w:customStyle="1" w:styleId="741">
    <w:name w:val="StandardOhneEinzugOhneAbstand"/>
    <w:basedOn w:val="1"/>
    <w:qFormat/>
    <w:uiPriority w:val="0"/>
    <w:pPr>
      <w:widowControl/>
      <w:spacing w:line="288" w:lineRule="auto"/>
      <w:ind w:left="227" w:firstLine="482"/>
      <w:jc w:val="left"/>
    </w:pPr>
    <w:rPr>
      <w:rFonts w:ascii="Arial" w:hAnsi="Arial" w:eastAsia="宋体" w:cs="Times New Roman"/>
      <w:kern w:val="0"/>
      <w:sz w:val="22"/>
      <w:szCs w:val="20"/>
      <w:lang w:val="de-DE"/>
    </w:rPr>
  </w:style>
  <w:style w:type="paragraph" w:customStyle="1" w:styleId="742">
    <w:name w:val="样式3-23"/>
    <w:basedOn w:val="733"/>
    <w:qFormat/>
    <w:uiPriority w:val="0"/>
    <w:pPr>
      <w:tabs>
        <w:tab w:val="left" w:pos="-546"/>
      </w:tabs>
      <w:spacing w:after="0"/>
      <w:ind w:left="-546"/>
    </w:pPr>
  </w:style>
  <w:style w:type="paragraph" w:customStyle="1" w:styleId="743">
    <w:name w:val="样式3-17"/>
    <w:basedOn w:val="632"/>
    <w:qFormat/>
    <w:uiPriority w:val="0"/>
  </w:style>
  <w:style w:type="paragraph" w:customStyle="1" w:styleId="744">
    <w:name w:val="xl76"/>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745">
    <w:name w:val="五号线1.1"/>
    <w:qFormat/>
    <w:uiPriority w:val="0"/>
    <w:pPr>
      <w:tabs>
        <w:tab w:val="left" w:pos="720"/>
      </w:tabs>
      <w:spacing w:before="120" w:after="120" w:line="500" w:lineRule="exact"/>
      <w:ind w:left="709" w:hanging="482"/>
      <w:jc w:val="center"/>
      <w:outlineLvl w:val="1"/>
    </w:pPr>
    <w:rPr>
      <w:rFonts w:ascii="宋体" w:hAnsi="Times New Roman" w:eastAsia="宋体" w:cs="Times New Roman"/>
      <w:b/>
      <w:spacing w:val="6"/>
      <w:w w:val="95"/>
      <w:sz w:val="30"/>
      <w:lang w:val="en-US" w:eastAsia="zh-CN" w:bidi="ar-SA"/>
    </w:rPr>
  </w:style>
  <w:style w:type="paragraph" w:customStyle="1" w:styleId="746">
    <w:name w:val="四十投标表格"/>
    <w:qFormat/>
    <w:uiPriority w:val="0"/>
    <w:pPr>
      <w:spacing w:line="0" w:lineRule="atLeast"/>
      <w:ind w:left="709" w:hanging="482"/>
    </w:pPr>
    <w:rPr>
      <w:rFonts w:ascii="宋体" w:hAnsi="Times New Roman" w:eastAsia="宋体" w:cs="Times New Roman"/>
      <w:sz w:val="21"/>
      <w:lang w:val="en-US" w:eastAsia="zh-CN" w:bidi="ar-SA"/>
    </w:rPr>
  </w:style>
  <w:style w:type="paragraph" w:customStyle="1" w:styleId="747">
    <w:name w:val="样式32"/>
    <w:basedOn w:val="629"/>
    <w:qFormat/>
    <w:uiPriority w:val="0"/>
    <w:pPr>
      <w:keepNext w:val="0"/>
      <w:tabs>
        <w:tab w:val="left" w:pos="1134"/>
      </w:tabs>
      <w:ind w:left="1134" w:hanging="567"/>
    </w:pPr>
    <w:rPr>
      <w:rFonts w:ascii="Times New Roman"/>
    </w:rPr>
  </w:style>
  <w:style w:type="paragraph" w:customStyle="1" w:styleId="748">
    <w:name w:val="Subhead 2"/>
    <w:basedOn w:val="522"/>
    <w:qFormat/>
    <w:uiPriority w:val="0"/>
    <w:pPr>
      <w:pageBreakBefore w:val="0"/>
      <w:spacing w:before="340" w:after="0" w:line="360" w:lineRule="atLeast"/>
      <w:ind w:right="0" w:rightChars="0"/>
    </w:pPr>
    <w:rPr>
      <w:sz w:val="28"/>
    </w:rPr>
  </w:style>
  <w:style w:type="paragraph" w:customStyle="1" w:styleId="749">
    <w:name w:val="样式3-28"/>
    <w:basedOn w:val="672"/>
    <w:qFormat/>
    <w:uiPriority w:val="0"/>
    <w:pPr>
      <w:ind w:firstLine="567"/>
    </w:pPr>
  </w:style>
  <w:style w:type="paragraph" w:customStyle="1" w:styleId="750">
    <w:name w:val="样式21"/>
    <w:basedOn w:val="632"/>
    <w:qFormat/>
    <w:uiPriority w:val="0"/>
    <w:pPr>
      <w:keepLines w:val="0"/>
      <w:widowControl w:val="0"/>
      <w:suppressLineNumbers w:val="0"/>
      <w:suppressAutoHyphens w:val="0"/>
    </w:pPr>
    <w:rPr>
      <w:rFonts w:ascii="Times New Roman"/>
      <w:b w:val="0"/>
    </w:rPr>
  </w:style>
  <w:style w:type="paragraph" w:customStyle="1" w:styleId="751">
    <w:name w:val="正文首行缩进 21"/>
    <w:basedOn w:val="1"/>
    <w:qFormat/>
    <w:uiPriority w:val="0"/>
    <w:pPr>
      <w:spacing w:after="120"/>
      <w:ind w:left="420" w:leftChars="200" w:firstLine="420" w:firstLineChars="200"/>
      <w:jc w:val="left"/>
    </w:pPr>
    <w:rPr>
      <w:rFonts w:ascii="Times New Roman" w:hAnsi="Times New Roman" w:eastAsia="宋体" w:cs="Times New Roman"/>
      <w:szCs w:val="20"/>
    </w:rPr>
  </w:style>
  <w:style w:type="paragraph" w:customStyle="1" w:styleId="752">
    <w:name w:val="样式e"/>
    <w:basedOn w:val="1"/>
    <w:qFormat/>
    <w:uiPriority w:val="0"/>
    <w:pPr>
      <w:ind w:left="227" w:firstLine="482"/>
      <w:jc w:val="left"/>
    </w:pPr>
    <w:rPr>
      <w:rFonts w:ascii="仿宋_GB2312" w:hAnsi="Times New Roman" w:eastAsia="仿宋_GB2312" w:cs="Times New Roman"/>
      <w:color w:val="FF0000"/>
      <w:sz w:val="24"/>
      <w:szCs w:val="20"/>
    </w:rPr>
  </w:style>
  <w:style w:type="paragraph" w:customStyle="1" w:styleId="753">
    <w:name w:val="Table Head"/>
    <w:qFormat/>
    <w:uiPriority w:val="0"/>
    <w:pPr>
      <w:keepNext/>
      <w:keepLines/>
      <w:spacing w:before="60" w:after="60" w:line="360" w:lineRule="auto"/>
      <w:ind w:left="57" w:right="57" w:hanging="482"/>
    </w:pPr>
    <w:rPr>
      <w:rFonts w:ascii="Arial" w:hAnsi="Arial" w:eastAsia="宋体" w:cs="Times New Roman"/>
      <w:b/>
      <w:sz w:val="22"/>
      <w:lang w:val="en-US" w:eastAsia="en-US" w:bidi="ar-SA"/>
    </w:rPr>
  </w:style>
  <w:style w:type="paragraph" w:customStyle="1" w:styleId="754">
    <w:name w:val="样式16"/>
    <w:basedOn w:val="1"/>
    <w:qFormat/>
    <w:uiPriority w:val="0"/>
    <w:pPr>
      <w:keepNext/>
      <w:tabs>
        <w:tab w:val="left" w:pos="1134"/>
      </w:tabs>
      <w:spacing w:line="360" w:lineRule="auto"/>
      <w:ind w:left="1134" w:hanging="567"/>
      <w:jc w:val="left"/>
    </w:pPr>
    <w:rPr>
      <w:rFonts w:ascii="宋体" w:hAnsi="宋体" w:eastAsia="宋体" w:cs="Times New Roman"/>
      <w:kern w:val="0"/>
      <w:sz w:val="28"/>
      <w:szCs w:val="20"/>
    </w:rPr>
  </w:style>
  <w:style w:type="paragraph" w:customStyle="1" w:styleId="755">
    <w:name w:val="font1"/>
    <w:basedOn w:val="1"/>
    <w:qFormat/>
    <w:uiPriority w:val="0"/>
    <w:pPr>
      <w:widowControl/>
      <w:spacing w:before="100" w:beforeAutospacing="1" w:after="100" w:afterAutospacing="1"/>
      <w:ind w:left="227" w:firstLine="482"/>
      <w:jc w:val="left"/>
    </w:pPr>
    <w:rPr>
      <w:rFonts w:ascii="宋体" w:hAnsi="宋体" w:eastAsia="宋体" w:cs="Times New Roman"/>
      <w:kern w:val="0"/>
      <w:sz w:val="24"/>
      <w:szCs w:val="20"/>
    </w:rPr>
  </w:style>
  <w:style w:type="paragraph" w:customStyle="1" w:styleId="756">
    <w:name w:val="章"/>
    <w:basedOn w:val="1"/>
    <w:qFormat/>
    <w:uiPriority w:val="0"/>
    <w:pPr>
      <w:adjustRightInd w:val="0"/>
      <w:spacing w:before="120" w:after="240"/>
      <w:ind w:left="227" w:firstLine="482"/>
      <w:jc w:val="center"/>
      <w:textAlignment w:val="baseline"/>
    </w:pPr>
    <w:rPr>
      <w:rFonts w:ascii="宋体" w:hAnsi="Times New Roman" w:eastAsia="宋体" w:cs="Times New Roman"/>
      <w:b/>
      <w:spacing w:val="5"/>
      <w:kern w:val="0"/>
      <w:sz w:val="28"/>
      <w:szCs w:val="20"/>
    </w:rPr>
  </w:style>
  <w:style w:type="paragraph" w:customStyle="1" w:styleId="757">
    <w:name w:val="五号线1.1.1.1"/>
    <w:qFormat/>
    <w:uiPriority w:val="0"/>
    <w:pPr>
      <w:tabs>
        <w:tab w:val="left" w:pos="1505"/>
      </w:tabs>
      <w:spacing w:before="120" w:after="120" w:line="500" w:lineRule="exact"/>
      <w:ind w:left="709" w:firstLine="425"/>
      <w:outlineLvl w:val="3"/>
    </w:pPr>
    <w:rPr>
      <w:rFonts w:ascii="宋体" w:hAnsi="Times New Roman" w:eastAsia="宋体" w:cs="Times New Roman"/>
      <w:spacing w:val="6"/>
      <w:w w:val="95"/>
      <w:sz w:val="24"/>
      <w:lang w:val="en-US" w:eastAsia="zh-CN" w:bidi="ar-SA"/>
    </w:rPr>
  </w:style>
  <w:style w:type="paragraph" w:customStyle="1" w:styleId="758">
    <w:name w:val="技术附件标题"/>
    <w:basedOn w:val="6"/>
    <w:qFormat/>
    <w:uiPriority w:val="0"/>
    <w:pPr>
      <w:keepNext w:val="0"/>
      <w:widowControl/>
      <w:tabs>
        <w:tab w:val="left" w:pos="340"/>
        <w:tab w:val="left" w:pos="567"/>
      </w:tabs>
      <w:adjustRightInd w:val="0"/>
      <w:snapToGrid w:val="0"/>
      <w:spacing w:before="100" w:beforeAutospacing="1" w:after="100" w:afterAutospacing="1" w:line="240" w:lineRule="auto"/>
      <w:ind w:left="10" w:leftChars="-5" w:hanging="22" w:hangingChars="6"/>
      <w:jc w:val="left"/>
    </w:pPr>
    <w:rPr>
      <w:rFonts w:ascii="Arial" w:hAnsi="Times New Roman" w:eastAsia="黑体"/>
      <w:bCs w:val="0"/>
      <w:sz w:val="36"/>
      <w:szCs w:val="24"/>
    </w:rPr>
  </w:style>
  <w:style w:type="paragraph" w:customStyle="1" w:styleId="759">
    <w:name w:val="香奈儿 1"/>
    <w:basedOn w:val="15"/>
    <w:next w:val="760"/>
    <w:qFormat/>
    <w:uiPriority w:val="0"/>
    <w:pPr>
      <w:widowControl/>
      <w:tabs>
        <w:tab w:val="left" w:pos="1140"/>
      </w:tabs>
      <w:spacing w:before="100" w:after="100"/>
      <w:ind w:left="0" w:firstLine="0"/>
    </w:pPr>
    <w:rPr>
      <w:sz w:val="24"/>
    </w:rPr>
  </w:style>
  <w:style w:type="paragraph" w:customStyle="1" w:styleId="760">
    <w:name w:val="正文首行缩进1"/>
    <w:basedOn w:val="34"/>
    <w:qFormat/>
    <w:uiPriority w:val="0"/>
    <w:pPr>
      <w:spacing w:line="360" w:lineRule="auto"/>
      <w:ind w:left="227" w:firstLine="420" w:firstLineChars="100"/>
      <w:jc w:val="left"/>
    </w:pPr>
    <w:rPr>
      <w:sz w:val="24"/>
      <w:szCs w:val="20"/>
    </w:rPr>
  </w:style>
  <w:style w:type="paragraph" w:customStyle="1" w:styleId="761">
    <w:name w:val="标题211"/>
    <w:basedOn w:val="1"/>
    <w:qFormat/>
    <w:uiPriority w:val="0"/>
    <w:pPr>
      <w:keepNext/>
      <w:tabs>
        <w:tab w:val="left" w:pos="851"/>
      </w:tabs>
      <w:spacing w:line="360" w:lineRule="auto"/>
      <w:ind w:left="851" w:hanging="851"/>
      <w:jc w:val="left"/>
    </w:pPr>
    <w:rPr>
      <w:rFonts w:ascii="宋体" w:hAnsi="宋体" w:eastAsia="宋体" w:cs="Times New Roman"/>
      <w:color w:val="000000"/>
      <w:kern w:val="28"/>
      <w:sz w:val="28"/>
      <w:szCs w:val="20"/>
    </w:rPr>
  </w:style>
  <w:style w:type="paragraph" w:customStyle="1" w:styleId="762">
    <w:name w:val="样式 标书正文"/>
    <w:basedOn w:val="258"/>
    <w:qFormat/>
    <w:uiPriority w:val="0"/>
    <w:pPr>
      <w:spacing w:beforeLines="0" w:afterLines="0" w:line="360" w:lineRule="auto"/>
      <w:ind w:left="227" w:firstLine="200"/>
      <w:jc w:val="left"/>
    </w:pPr>
    <w:rPr>
      <w:rFonts w:ascii="Times New Roman" w:hAnsi="Times New Roman" w:eastAsia="宋体"/>
      <w:spacing w:val="6"/>
      <w:szCs w:val="20"/>
    </w:rPr>
  </w:style>
  <w:style w:type="paragraph" w:customStyle="1" w:styleId="763">
    <w:name w:val="表1"/>
    <w:basedOn w:val="1"/>
    <w:qFormat/>
    <w:uiPriority w:val="0"/>
    <w:pPr>
      <w:widowControl/>
      <w:wordWrap w:val="0"/>
      <w:adjustRightInd w:val="0"/>
      <w:snapToGrid w:val="0"/>
      <w:spacing w:line="240" w:lineRule="atLeast"/>
      <w:ind w:left="227" w:firstLine="482"/>
      <w:jc w:val="left"/>
      <w:textAlignment w:val="center"/>
    </w:pPr>
    <w:rPr>
      <w:rFonts w:ascii="黑体" w:hAnsi="Times New Roman" w:eastAsia="宋体" w:cs="Times New Roman"/>
      <w:sz w:val="18"/>
      <w:szCs w:val="20"/>
    </w:rPr>
  </w:style>
  <w:style w:type="paragraph" w:customStyle="1" w:styleId="764">
    <w:name w:val="表格中 5号居中无空格"/>
    <w:basedOn w:val="765"/>
    <w:qFormat/>
    <w:uiPriority w:val="0"/>
    <w:pPr>
      <w:jc w:val="center"/>
    </w:pPr>
    <w:rPr>
      <w:rFonts w:hAnsi="宋体"/>
      <w:sz w:val="21"/>
    </w:rPr>
  </w:style>
  <w:style w:type="paragraph" w:customStyle="1" w:styleId="765">
    <w:name w:val="正文（无开头空两格）"/>
    <w:basedOn w:val="258"/>
    <w:qFormat/>
    <w:uiPriority w:val="0"/>
    <w:pPr>
      <w:spacing w:beforeLines="0" w:afterLines="0" w:line="360" w:lineRule="auto"/>
      <w:ind w:left="227" w:firstLine="0" w:firstLineChars="0"/>
      <w:jc w:val="left"/>
    </w:pPr>
    <w:rPr>
      <w:rFonts w:ascii="Times New Roman" w:hAnsi="Times New Roman" w:eastAsia="宋体"/>
      <w:spacing w:val="1"/>
      <w:kern w:val="2"/>
      <w:szCs w:val="20"/>
    </w:rPr>
  </w:style>
  <w:style w:type="paragraph" w:customStyle="1" w:styleId="766">
    <w:name w:val="标号"/>
    <w:basedOn w:val="1"/>
    <w:qFormat/>
    <w:uiPriority w:val="0"/>
    <w:pPr>
      <w:keepNext/>
      <w:keepLines/>
      <w:widowControl/>
      <w:suppressLineNumbers/>
      <w:suppressAutoHyphens/>
      <w:spacing w:line="360" w:lineRule="auto"/>
      <w:ind w:left="227" w:firstLine="482"/>
      <w:jc w:val="center"/>
    </w:pPr>
    <w:rPr>
      <w:rFonts w:ascii="仿宋_GB2312" w:hAnsi="Times New Roman" w:eastAsia="仿宋_GB2312" w:cs="Times New Roman"/>
      <w:b/>
      <w:kern w:val="32"/>
      <w:sz w:val="32"/>
      <w:szCs w:val="20"/>
    </w:rPr>
  </w:style>
  <w:style w:type="paragraph" w:customStyle="1" w:styleId="767">
    <w:name w:val="±íÍ·"/>
    <w:basedOn w:val="1"/>
    <w:qFormat/>
    <w:uiPriority w:val="0"/>
    <w:pPr>
      <w:tabs>
        <w:tab w:val="left" w:pos="480"/>
      </w:tabs>
      <w:ind w:left="227" w:firstLine="482"/>
      <w:jc w:val="center"/>
    </w:pPr>
    <w:rPr>
      <w:rFonts w:ascii="宋体" w:hAnsi="Times New Roman" w:eastAsia="宋体" w:cs="Times New Roman"/>
      <w:kern w:val="0"/>
      <w:szCs w:val="20"/>
    </w:rPr>
  </w:style>
  <w:style w:type="paragraph" w:customStyle="1" w:styleId="768">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769">
    <w:name w:val="表格"/>
    <w:qFormat/>
    <w:uiPriority w:val="0"/>
    <w:pPr>
      <w:adjustRightInd w:val="0"/>
      <w:snapToGrid w:val="0"/>
      <w:spacing w:line="240" w:lineRule="exact"/>
      <w:ind w:left="709" w:hanging="482"/>
      <w:jc w:val="center"/>
    </w:pPr>
    <w:rPr>
      <w:rFonts w:ascii="Times New Roman" w:hAnsi="Times New Roman" w:eastAsia="宋体" w:cs="Times New Roman"/>
      <w:snapToGrid w:val="0"/>
      <w:color w:val="000000"/>
      <w:sz w:val="22"/>
      <w:lang w:val="en-US" w:eastAsia="zh-CN" w:bidi="ar-SA"/>
    </w:rPr>
  </w:style>
  <w:style w:type="paragraph" w:customStyle="1" w:styleId="770">
    <w:name w:val="样式3-5"/>
    <w:basedOn w:val="637"/>
    <w:qFormat/>
    <w:uiPriority w:val="0"/>
    <w:pPr>
      <w:tabs>
        <w:tab w:val="left" w:pos="720"/>
      </w:tabs>
      <w:spacing w:after="120"/>
      <w:ind w:firstLine="360"/>
      <w:jc w:val="left"/>
    </w:pPr>
  </w:style>
  <w:style w:type="paragraph" w:customStyle="1" w:styleId="771">
    <w:name w:val="封面"/>
    <w:basedOn w:val="64"/>
    <w:qFormat/>
    <w:uiPriority w:val="0"/>
    <w:pPr>
      <w:spacing w:line="360" w:lineRule="auto"/>
      <w:ind w:left="227" w:firstLine="425"/>
      <w:outlineLvl w:val="0"/>
    </w:pPr>
    <w:rPr>
      <w:rFonts w:ascii="仿宋_GB2312" w:hAnsi="Times New Roman" w:eastAsia="仿宋_GB2312"/>
      <w:b w:val="0"/>
      <w:bCs w:val="0"/>
      <w:kern w:val="52"/>
      <w:sz w:val="28"/>
      <w:szCs w:val="20"/>
    </w:rPr>
  </w:style>
  <w:style w:type="paragraph" w:customStyle="1" w:styleId="772">
    <w:name w:val="样式18"/>
    <w:basedOn w:val="637"/>
    <w:qFormat/>
    <w:uiPriority w:val="0"/>
    <w:pPr>
      <w:keepLines w:val="0"/>
      <w:widowControl w:val="0"/>
      <w:suppressLineNumbers w:val="0"/>
      <w:tabs>
        <w:tab w:val="left" w:pos="1134"/>
      </w:tabs>
      <w:suppressAutoHyphens w:val="0"/>
      <w:ind w:left="1134" w:hanging="567"/>
      <w:jc w:val="left"/>
    </w:pPr>
    <w:rPr>
      <w:rFonts w:ascii="Times New Roman"/>
      <w:b/>
    </w:rPr>
  </w:style>
  <w:style w:type="paragraph" w:customStyle="1" w:styleId="773">
    <w:name w:val="招标文件》"/>
    <w:basedOn w:val="461"/>
    <w:qFormat/>
    <w:uiPriority w:val="0"/>
    <w:pPr>
      <w:tabs>
        <w:tab w:val="left" w:pos="560"/>
      </w:tabs>
      <w:spacing w:before="120" w:beforeLines="0"/>
      <w:ind w:left="200" w:right="0" w:rightChars="0" w:firstLine="0" w:firstLineChars="0"/>
      <w:jc w:val="left"/>
    </w:pPr>
  </w:style>
  <w:style w:type="character" w:customStyle="1" w:styleId="774">
    <w:name w:val="招标文件正文 Char"/>
    <w:link w:val="461"/>
    <w:qFormat/>
    <w:uiPriority w:val="0"/>
    <w:rPr>
      <w:rFonts w:ascii="宋体" w:hAnsi="Times New Roman" w:eastAsia="宋体" w:cs="Times New Roman"/>
      <w:spacing w:val="10"/>
      <w:w w:val="95"/>
      <w:kern w:val="0"/>
      <w:szCs w:val="20"/>
    </w:rPr>
  </w:style>
  <w:style w:type="paragraph" w:customStyle="1" w:styleId="775">
    <w:name w:val="标题1111"/>
    <w:basedOn w:val="3"/>
    <w:qFormat/>
    <w:uiPriority w:val="0"/>
    <w:pPr>
      <w:keepLines w:val="0"/>
      <w:tabs>
        <w:tab w:val="left" w:pos="432"/>
        <w:tab w:val="left" w:pos="567"/>
      </w:tabs>
      <w:spacing w:before="0" w:after="0" w:line="360" w:lineRule="auto"/>
      <w:ind w:left="567" w:hanging="567"/>
      <w:jc w:val="left"/>
    </w:pPr>
    <w:rPr>
      <w:rFonts w:ascii="仿宋_GB2312" w:hAnsi="宋体" w:eastAsia="仿宋_GB2312"/>
      <w:b w:val="0"/>
      <w:bCs w:val="0"/>
      <w:kern w:val="28"/>
      <w:sz w:val="32"/>
      <w:szCs w:val="20"/>
      <w:lang w:val="zh-CN"/>
    </w:rPr>
  </w:style>
  <w:style w:type="paragraph" w:customStyle="1" w:styleId="776">
    <w:name w:val="样式9"/>
    <w:basedOn w:val="1"/>
    <w:qFormat/>
    <w:uiPriority w:val="0"/>
    <w:pPr>
      <w:keepNext/>
      <w:tabs>
        <w:tab w:val="left" w:pos="1134"/>
      </w:tabs>
      <w:spacing w:line="360" w:lineRule="auto"/>
      <w:ind w:left="1134" w:hanging="567"/>
      <w:jc w:val="center"/>
    </w:pPr>
    <w:rPr>
      <w:rFonts w:ascii="Times New Roman" w:hAnsi="Times New Roman" w:eastAsia="仿宋_GB2312" w:cs="Times New Roman"/>
      <w:b/>
      <w:kern w:val="28"/>
      <w:sz w:val="28"/>
      <w:szCs w:val="20"/>
    </w:rPr>
  </w:style>
  <w:style w:type="paragraph" w:customStyle="1" w:styleId="777">
    <w:name w:val="h4tkst"/>
    <w:basedOn w:val="778"/>
    <w:qFormat/>
    <w:uiPriority w:val="0"/>
    <w:pPr>
      <w:spacing w:line="240" w:lineRule="auto"/>
    </w:pPr>
    <w:rPr>
      <w:b w:val="0"/>
    </w:rPr>
  </w:style>
  <w:style w:type="paragraph" w:customStyle="1" w:styleId="778">
    <w:name w:val="h3tkst"/>
    <w:basedOn w:val="1"/>
    <w:qFormat/>
    <w:uiPriority w:val="0"/>
    <w:pPr>
      <w:widowControl/>
      <w:spacing w:before="120" w:after="120" w:line="360" w:lineRule="auto"/>
      <w:ind w:left="851" w:right="397" w:firstLine="482"/>
      <w:jc w:val="left"/>
    </w:pPr>
    <w:rPr>
      <w:rFonts w:ascii="Arial" w:hAnsi="Arial" w:eastAsia="宋体" w:cs="Times New Roman"/>
      <w:b/>
      <w:kern w:val="0"/>
      <w:sz w:val="22"/>
      <w:szCs w:val="20"/>
      <w:lang w:val="en-GB"/>
    </w:rPr>
  </w:style>
  <w:style w:type="paragraph" w:customStyle="1" w:styleId="779">
    <w:name w:val="样式 Times New Roman 首行缩进:  2 字符 左  2 字符"/>
    <w:basedOn w:val="1"/>
    <w:qFormat/>
    <w:uiPriority w:val="0"/>
    <w:pPr>
      <w:spacing w:line="560" w:lineRule="exact"/>
      <w:ind w:left="600" w:leftChars="200" w:firstLine="600" w:firstLineChars="200"/>
      <w:jc w:val="left"/>
    </w:pPr>
    <w:rPr>
      <w:rFonts w:ascii="Times New Roman" w:hAnsi="Times New Roman" w:eastAsia="宋体" w:cs="Times New Roman"/>
      <w:sz w:val="28"/>
      <w:szCs w:val="20"/>
    </w:rPr>
  </w:style>
  <w:style w:type="paragraph" w:customStyle="1" w:styleId="780">
    <w:name w:val="招标文件格式1"/>
    <w:basedOn w:val="1"/>
    <w:qFormat/>
    <w:uiPriority w:val="0"/>
    <w:pPr>
      <w:pageBreakBefore/>
      <w:spacing w:before="120" w:after="120" w:line="480" w:lineRule="exact"/>
      <w:ind w:left="227" w:firstLine="482"/>
      <w:jc w:val="left"/>
      <w:outlineLvl w:val="1"/>
    </w:pPr>
    <w:rPr>
      <w:rFonts w:ascii="宋体" w:hAnsi="Times New Roman" w:eastAsia="宋体" w:cs="Times New Roman"/>
      <w:b/>
      <w:spacing w:val="10"/>
      <w:w w:val="95"/>
      <w:kern w:val="0"/>
      <w:sz w:val="28"/>
      <w:szCs w:val="20"/>
    </w:rPr>
  </w:style>
  <w:style w:type="paragraph" w:customStyle="1" w:styleId="781">
    <w:name w:val="Normal Style 01"/>
    <w:basedOn w:val="1"/>
    <w:qFormat/>
    <w:uiPriority w:val="0"/>
    <w:pPr>
      <w:widowControl/>
      <w:overflowPunct w:val="0"/>
      <w:autoSpaceDE w:val="0"/>
      <w:autoSpaceDN w:val="0"/>
      <w:adjustRightInd w:val="0"/>
      <w:spacing w:line="317" w:lineRule="auto"/>
      <w:ind w:left="227" w:firstLine="567"/>
      <w:jc w:val="left"/>
      <w:textAlignment w:val="baseline"/>
    </w:pPr>
    <w:rPr>
      <w:rFonts w:ascii="Arial" w:hAnsi="Arial" w:eastAsia="宋体" w:cs="Times New Roman"/>
      <w:spacing w:val="6"/>
      <w:kern w:val="0"/>
      <w:sz w:val="22"/>
      <w:szCs w:val="20"/>
      <w:lang w:val="en-GB"/>
    </w:rPr>
  </w:style>
  <w:style w:type="paragraph" w:customStyle="1" w:styleId="782">
    <w:name w:val="6.2.2"/>
    <w:basedOn w:val="1"/>
    <w:qFormat/>
    <w:uiPriority w:val="0"/>
    <w:pPr>
      <w:autoSpaceDE w:val="0"/>
      <w:autoSpaceDN w:val="0"/>
      <w:adjustRightInd w:val="0"/>
      <w:spacing w:line="360" w:lineRule="auto"/>
      <w:ind w:left="493"/>
      <w:jc w:val="left"/>
    </w:pPr>
    <w:rPr>
      <w:rFonts w:ascii="Times New Roman" w:hAnsi="Times New Roman" w:eastAsia="宋体" w:cs="Times New Roman"/>
      <w:kern w:val="0"/>
      <w:sz w:val="24"/>
      <w:szCs w:val="20"/>
    </w:rPr>
  </w:style>
  <w:style w:type="paragraph" w:customStyle="1" w:styleId="783">
    <w:name w:val="封面3"/>
    <w:basedOn w:val="1"/>
    <w:qFormat/>
    <w:uiPriority w:val="0"/>
    <w:pPr>
      <w:adjustRightInd w:val="0"/>
      <w:snapToGrid w:val="0"/>
      <w:spacing w:before="100" w:beforeAutospacing="1" w:after="100" w:afterAutospacing="1"/>
      <w:ind w:left="1351" w:leftChars="-5" w:hanging="1351" w:hangingChars="9"/>
      <w:jc w:val="center"/>
    </w:pPr>
    <w:rPr>
      <w:rFonts w:ascii="Times New Roman" w:hAnsi="Times New Roman" w:eastAsia="宋体" w:cs="Times New Roman"/>
      <w:b/>
      <w:sz w:val="36"/>
      <w:szCs w:val="20"/>
    </w:rPr>
  </w:style>
  <w:style w:type="paragraph" w:customStyle="1" w:styleId="784">
    <w:name w:val="四号线正文 Char1"/>
    <w:basedOn w:val="1"/>
    <w:qFormat/>
    <w:uiPriority w:val="0"/>
    <w:pPr>
      <w:spacing w:line="500" w:lineRule="exact"/>
      <w:ind w:left="227" w:firstLine="425"/>
      <w:jc w:val="left"/>
    </w:pPr>
    <w:rPr>
      <w:rFonts w:ascii="宋体" w:hAnsi="宋体" w:eastAsia="宋体" w:cs="Times New Roman"/>
      <w:sz w:val="24"/>
      <w:szCs w:val="20"/>
    </w:rPr>
  </w:style>
  <w:style w:type="paragraph" w:customStyle="1" w:styleId="785">
    <w:name w:val="招标文件正文居中"/>
    <w:qFormat/>
    <w:uiPriority w:val="0"/>
    <w:pPr>
      <w:spacing w:before="120" w:after="120" w:line="300" w:lineRule="auto"/>
      <w:ind w:left="709" w:hanging="482"/>
      <w:jc w:val="center"/>
    </w:pPr>
    <w:rPr>
      <w:rFonts w:ascii="宋体" w:hAnsi="Times New Roman" w:eastAsia="宋体" w:cs="Times New Roman"/>
      <w:spacing w:val="10"/>
      <w:w w:val="95"/>
      <w:sz w:val="21"/>
      <w:lang w:val="en-US" w:eastAsia="zh-CN" w:bidi="ar-SA"/>
    </w:rPr>
  </w:style>
  <w:style w:type="paragraph" w:customStyle="1" w:styleId="786">
    <w:name w:val="h4tkstind"/>
    <w:basedOn w:val="681"/>
    <w:qFormat/>
    <w:uiPriority w:val="0"/>
    <w:pPr>
      <w:ind w:left="2268" w:hanging="567"/>
    </w:pPr>
  </w:style>
  <w:style w:type="paragraph" w:customStyle="1" w:styleId="787">
    <w:name w:val="xl87"/>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kern w:val="0"/>
      <w:sz w:val="20"/>
      <w:szCs w:val="20"/>
    </w:rPr>
  </w:style>
  <w:style w:type="paragraph" w:customStyle="1" w:styleId="788">
    <w:name w:val="xl69"/>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textAlignment w:val="bottom"/>
    </w:pPr>
    <w:rPr>
      <w:rFonts w:ascii="宋体" w:hAnsi="宋体" w:eastAsia="宋体" w:cs="Times New Roman"/>
      <w:kern w:val="0"/>
      <w:sz w:val="20"/>
      <w:szCs w:val="20"/>
    </w:rPr>
  </w:style>
  <w:style w:type="paragraph" w:customStyle="1" w:styleId="789">
    <w:name w:val="Normal 0li"/>
    <w:basedOn w:val="1"/>
    <w:qFormat/>
    <w:uiPriority w:val="0"/>
    <w:pPr>
      <w:widowControl/>
      <w:ind w:left="227" w:firstLine="482"/>
      <w:jc w:val="left"/>
    </w:pPr>
    <w:rPr>
      <w:rFonts w:ascii="FuturaA Bk BT" w:hAnsi="FuturaA Bk BT" w:eastAsia="宋体" w:cs="Times New Roman"/>
      <w:kern w:val="0"/>
      <w:sz w:val="20"/>
      <w:szCs w:val="20"/>
      <w:lang w:eastAsia="en-US"/>
    </w:rPr>
  </w:style>
  <w:style w:type="paragraph" w:customStyle="1" w:styleId="790">
    <w:name w:val="技术标题1"/>
    <w:basedOn w:val="6"/>
    <w:qFormat/>
    <w:uiPriority w:val="0"/>
    <w:pPr>
      <w:keepNext w:val="0"/>
      <w:widowControl/>
      <w:tabs>
        <w:tab w:val="left" w:pos="340"/>
        <w:tab w:val="left" w:pos="567"/>
      </w:tabs>
      <w:adjustRightInd w:val="0"/>
      <w:snapToGrid w:val="0"/>
      <w:spacing w:before="312" w:beforeLines="100" w:after="156" w:afterLines="50" w:line="360" w:lineRule="auto"/>
      <w:jc w:val="left"/>
    </w:pPr>
    <w:rPr>
      <w:rFonts w:ascii="Arial" w:hAnsi="Times New Roman"/>
      <w:bCs w:val="0"/>
      <w:sz w:val="32"/>
      <w:szCs w:val="24"/>
      <w:lang w:val="zh-CN"/>
    </w:rPr>
  </w:style>
  <w:style w:type="paragraph" w:customStyle="1" w:styleId="791">
    <w:name w:val="S07-Synchronisation"/>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792">
    <w:name w:val="xl8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Cs w:val="20"/>
    </w:rPr>
  </w:style>
  <w:style w:type="paragraph" w:customStyle="1" w:styleId="793">
    <w:name w:val="样式 标书正文 + (符号) 宋体 黑色 首行缩进:  2 字符"/>
    <w:basedOn w:val="258"/>
    <w:qFormat/>
    <w:uiPriority w:val="0"/>
    <w:pPr>
      <w:spacing w:beforeLines="0" w:afterLines="0" w:line="360" w:lineRule="auto"/>
      <w:ind w:left="227" w:firstLine="504"/>
      <w:jc w:val="left"/>
    </w:pPr>
    <w:rPr>
      <w:rFonts w:ascii="Times New Roman" w:hAnsi="宋体" w:eastAsia="宋体"/>
      <w:color w:val="000000"/>
      <w:spacing w:val="6"/>
      <w:szCs w:val="20"/>
    </w:rPr>
  </w:style>
  <w:style w:type="paragraph" w:customStyle="1" w:styleId="794">
    <w:name w:val="南京通信正文"/>
    <w:basedOn w:val="1"/>
    <w:qFormat/>
    <w:uiPriority w:val="0"/>
    <w:pPr>
      <w:tabs>
        <w:tab w:val="left" w:pos="1260"/>
      </w:tabs>
      <w:adjustRightInd w:val="0"/>
      <w:spacing w:line="360" w:lineRule="auto"/>
      <w:ind w:left="227" w:firstLine="200" w:firstLineChars="200"/>
      <w:jc w:val="left"/>
      <w:textAlignment w:val="baseline"/>
    </w:pPr>
    <w:rPr>
      <w:rFonts w:ascii="Times New Roman" w:hAnsi="Times New Roman" w:eastAsia="宋体" w:cs="Times New Roman"/>
      <w:sz w:val="24"/>
      <w:szCs w:val="20"/>
    </w:rPr>
  </w:style>
  <w:style w:type="paragraph" w:customStyle="1" w:styleId="795">
    <w:name w:val="样式14"/>
    <w:basedOn w:val="1"/>
    <w:qFormat/>
    <w:uiPriority w:val="0"/>
    <w:pPr>
      <w:keepNext/>
      <w:tabs>
        <w:tab w:val="left" w:pos="1134"/>
      </w:tabs>
      <w:spacing w:line="360" w:lineRule="auto"/>
      <w:ind w:left="1134" w:hanging="567"/>
      <w:jc w:val="center"/>
    </w:pPr>
    <w:rPr>
      <w:rFonts w:ascii="黑体" w:hAnsi="Times New Roman" w:eastAsia="仿宋_GB2312" w:cs="Times New Roman"/>
      <w:b/>
      <w:kern w:val="28"/>
      <w:sz w:val="28"/>
      <w:szCs w:val="20"/>
    </w:rPr>
  </w:style>
  <w:style w:type="paragraph" w:customStyle="1" w:styleId="796">
    <w:name w:val="目录 71"/>
    <w:basedOn w:val="1"/>
    <w:next w:val="1"/>
    <w:qFormat/>
    <w:uiPriority w:val="39"/>
    <w:pPr>
      <w:spacing w:line="360" w:lineRule="auto"/>
      <w:ind w:left="1440" w:firstLine="482"/>
      <w:jc w:val="left"/>
    </w:pPr>
    <w:rPr>
      <w:rFonts w:ascii="Times New Roman" w:hAnsi="Times New Roman" w:eastAsia="宋体" w:cs="Times New Roman"/>
      <w:sz w:val="18"/>
      <w:szCs w:val="20"/>
    </w:rPr>
  </w:style>
  <w:style w:type="paragraph" w:customStyle="1" w:styleId="797">
    <w:name w:val="样式3-32"/>
    <w:basedOn w:val="629"/>
    <w:qFormat/>
    <w:uiPriority w:val="0"/>
    <w:pPr>
      <w:tabs>
        <w:tab w:val="left" w:pos="1134"/>
      </w:tabs>
      <w:ind w:left="1134" w:hanging="567"/>
    </w:pPr>
  </w:style>
  <w:style w:type="paragraph" w:customStyle="1" w:styleId="798">
    <w:name w:val="目录3"/>
    <w:basedOn w:val="799"/>
    <w:qFormat/>
    <w:uiPriority w:val="0"/>
    <w:pPr>
      <w:keepNext/>
      <w:keepLines/>
      <w:widowControl/>
      <w:suppressLineNumbers/>
      <w:suppressAutoHyphens/>
    </w:pPr>
    <w:rPr>
      <w:rFonts w:eastAsia="仿宋_GB2312"/>
      <w:kern w:val="28"/>
      <w:sz w:val="28"/>
    </w:rPr>
  </w:style>
  <w:style w:type="paragraph" w:customStyle="1" w:styleId="799">
    <w:name w:val="目录 11"/>
    <w:basedOn w:val="1"/>
    <w:next w:val="1"/>
    <w:qFormat/>
    <w:uiPriority w:val="39"/>
    <w:pPr>
      <w:spacing w:before="120" w:after="120" w:line="360" w:lineRule="auto"/>
      <w:ind w:left="227" w:firstLine="482"/>
      <w:jc w:val="left"/>
    </w:pPr>
    <w:rPr>
      <w:rFonts w:ascii="Times New Roman" w:hAnsi="Times New Roman" w:eastAsia="宋体" w:cs="Times New Roman"/>
      <w:b/>
      <w:caps/>
      <w:sz w:val="20"/>
      <w:szCs w:val="20"/>
    </w:rPr>
  </w:style>
  <w:style w:type="paragraph" w:customStyle="1" w:styleId="800">
    <w:name w:val="样式3-1"/>
    <w:basedOn w:val="1"/>
    <w:qFormat/>
    <w:uiPriority w:val="0"/>
    <w:pPr>
      <w:keepNext/>
      <w:keepLines/>
      <w:widowControl/>
      <w:suppressLineNumbers/>
      <w:tabs>
        <w:tab w:val="left" w:pos="1134"/>
      </w:tabs>
      <w:suppressAutoHyphens/>
      <w:spacing w:line="360" w:lineRule="auto"/>
      <w:ind w:left="1134" w:hanging="567"/>
      <w:jc w:val="left"/>
    </w:pPr>
    <w:rPr>
      <w:rFonts w:ascii="Times New Roman" w:hAnsi="Times New Roman" w:eastAsia="仿宋_GB2312" w:cs="Times New Roman"/>
      <w:b/>
      <w:kern w:val="28"/>
      <w:sz w:val="28"/>
      <w:szCs w:val="20"/>
    </w:rPr>
  </w:style>
  <w:style w:type="paragraph" w:customStyle="1" w:styleId="801">
    <w:name w:val="目录 41"/>
    <w:basedOn w:val="1"/>
    <w:next w:val="1"/>
    <w:qFormat/>
    <w:uiPriority w:val="39"/>
    <w:pPr>
      <w:spacing w:line="360" w:lineRule="auto"/>
      <w:ind w:left="720" w:firstLine="482"/>
      <w:jc w:val="left"/>
    </w:pPr>
    <w:rPr>
      <w:rFonts w:ascii="Times New Roman" w:hAnsi="Times New Roman" w:eastAsia="宋体" w:cs="Times New Roman"/>
      <w:sz w:val="18"/>
      <w:szCs w:val="20"/>
    </w:rPr>
  </w:style>
  <w:style w:type="paragraph" w:customStyle="1" w:styleId="802">
    <w:name w:val="样式 左侧:  0 厘米 悬挂缩进: 1.25 字符"/>
    <w:basedOn w:val="1"/>
    <w:qFormat/>
    <w:uiPriority w:val="0"/>
    <w:pPr>
      <w:ind w:left="227" w:firstLine="482"/>
      <w:jc w:val="left"/>
    </w:pPr>
    <w:rPr>
      <w:rFonts w:ascii="Times New Roman" w:hAnsi="Times New Roman" w:eastAsia="宋体" w:cs="Times New Roman"/>
      <w:sz w:val="28"/>
      <w:szCs w:val="20"/>
    </w:rPr>
  </w:style>
  <w:style w:type="paragraph" w:customStyle="1" w:styleId="803">
    <w:name w:val="样式 样式 (符号) 宋体 五号 蓝色 居中 行距: 单倍行距 + 自动设置"/>
    <w:basedOn w:val="1"/>
    <w:qFormat/>
    <w:uiPriority w:val="0"/>
    <w:pPr>
      <w:ind w:left="227" w:firstLine="482"/>
      <w:jc w:val="center"/>
    </w:pPr>
    <w:rPr>
      <w:rFonts w:ascii="宋体" w:hAnsi="宋体" w:eastAsia="宋体" w:cs="Times New Roman"/>
      <w:kern w:val="0"/>
      <w:szCs w:val="20"/>
    </w:rPr>
  </w:style>
  <w:style w:type="paragraph" w:customStyle="1" w:styleId="804">
    <w:name w:val="招标文件标题"/>
    <w:qFormat/>
    <w:uiPriority w:val="0"/>
    <w:pPr>
      <w:spacing w:before="120" w:after="120" w:line="480" w:lineRule="exact"/>
      <w:ind w:left="709" w:hanging="482"/>
      <w:jc w:val="center"/>
      <w:outlineLvl w:val="0"/>
    </w:pPr>
    <w:rPr>
      <w:rFonts w:ascii="宋体" w:hAnsi="Times New Roman" w:eastAsia="宋体" w:cs="Times New Roman"/>
      <w:b/>
      <w:spacing w:val="10"/>
      <w:w w:val="95"/>
      <w:sz w:val="30"/>
      <w:lang w:val="en-US" w:eastAsia="zh-CN" w:bidi="ar-SA"/>
    </w:rPr>
  </w:style>
  <w:style w:type="paragraph" w:customStyle="1" w:styleId="805">
    <w:name w:val="文本框1"/>
    <w:qFormat/>
    <w:uiPriority w:val="0"/>
    <w:pPr>
      <w:spacing w:line="360" w:lineRule="auto"/>
      <w:ind w:left="709" w:hanging="482"/>
      <w:jc w:val="center"/>
    </w:pPr>
    <w:rPr>
      <w:rFonts w:ascii="宋体" w:hAnsi="Times New Roman" w:eastAsia="宋体" w:cs="Times New Roman"/>
      <w:spacing w:val="6"/>
      <w:w w:val="95"/>
      <w:sz w:val="24"/>
      <w:lang w:val="en-US" w:eastAsia="zh-CN" w:bidi="ar-SA"/>
    </w:rPr>
  </w:style>
  <w:style w:type="paragraph" w:customStyle="1" w:styleId="806">
    <w:name w:val="正文3"/>
    <w:qFormat/>
    <w:uiPriority w:val="0"/>
    <w:pPr>
      <w:widowControl w:val="0"/>
      <w:adjustRightInd w:val="0"/>
      <w:spacing w:line="312" w:lineRule="atLeast"/>
      <w:ind w:left="709" w:hanging="482"/>
      <w:jc w:val="both"/>
      <w:textAlignment w:val="baseline"/>
    </w:pPr>
    <w:rPr>
      <w:rFonts w:ascii="宋体" w:hAnsi="Times New Roman" w:eastAsia="宋体" w:cs="Times New Roman"/>
      <w:sz w:val="34"/>
      <w:lang w:val="en-US" w:eastAsia="zh-CN" w:bidi="ar-SA"/>
    </w:rPr>
  </w:style>
  <w:style w:type="paragraph" w:customStyle="1" w:styleId="807">
    <w:name w:val="Grafik"/>
    <w:next w:val="1"/>
    <w:qFormat/>
    <w:uiPriority w:val="0"/>
    <w:pPr>
      <w:keepNext/>
      <w:keepLines/>
      <w:spacing w:before="240" w:after="120" w:line="360" w:lineRule="auto"/>
      <w:ind w:left="1134" w:hanging="482"/>
    </w:pPr>
    <w:rPr>
      <w:rFonts w:ascii="Arial" w:hAnsi="Arial" w:eastAsia="宋体" w:cs="Times New Roman"/>
      <w:sz w:val="22"/>
      <w:lang w:val="en-US" w:eastAsia="zh-CN" w:bidi="ar-SA"/>
    </w:rPr>
  </w:style>
  <w:style w:type="paragraph" w:customStyle="1" w:styleId="808">
    <w:name w:val="zField10p3bC"/>
    <w:basedOn w:val="702"/>
    <w:qFormat/>
    <w:uiPriority w:val="0"/>
    <w:pPr>
      <w:spacing w:before="60"/>
      <w:ind w:left="57"/>
      <w:jc w:val="center"/>
    </w:pPr>
  </w:style>
  <w:style w:type="paragraph" w:customStyle="1" w:styleId="809">
    <w:name w:val="xl74"/>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10">
    <w:name w:val="签署"/>
    <w:basedOn w:val="1"/>
    <w:qFormat/>
    <w:uiPriority w:val="0"/>
    <w:pPr>
      <w:keepNext/>
      <w:keepLines/>
      <w:widowControl/>
      <w:suppressLineNumbers/>
      <w:suppressAutoHyphens/>
      <w:spacing w:line="360" w:lineRule="auto"/>
      <w:ind w:left="227" w:firstLine="800" w:firstLineChars="800"/>
      <w:jc w:val="left"/>
    </w:pPr>
    <w:rPr>
      <w:rFonts w:ascii="Times New Roman" w:hAnsi="Times New Roman" w:eastAsia="楷体_GB2312" w:cs="Times New Roman"/>
      <w:b/>
      <w:kern w:val="28"/>
      <w:sz w:val="28"/>
      <w:szCs w:val="20"/>
    </w:rPr>
  </w:style>
  <w:style w:type="paragraph" w:customStyle="1" w:styleId="811">
    <w:name w:val="样式 1.2.1.1 海拔高度 +"/>
    <w:basedOn w:val="576"/>
    <w:qFormat/>
    <w:uiPriority w:val="0"/>
    <w:pPr>
      <w:ind w:left="1120" w:hanging="760"/>
    </w:pPr>
    <w:rPr>
      <w:kern w:val="0"/>
    </w:rPr>
  </w:style>
  <w:style w:type="paragraph" w:customStyle="1" w:styleId="812">
    <w:name w:val="标题31"/>
    <w:basedOn w:val="5"/>
    <w:qFormat/>
    <w:uiPriority w:val="0"/>
    <w:pPr>
      <w:widowControl/>
      <w:tabs>
        <w:tab w:val="left" w:pos="1134"/>
      </w:tabs>
      <w:adjustRightInd w:val="0"/>
      <w:snapToGrid w:val="0"/>
      <w:spacing w:line="360" w:lineRule="auto"/>
      <w:ind w:left="1134" w:hanging="567" w:firstLineChars="200"/>
      <w:jc w:val="left"/>
    </w:pPr>
    <w:rPr>
      <w:rFonts w:ascii="仿宋_GB2312" w:hAnsi="宋体" w:eastAsia="仿宋_GB2312"/>
      <w:color w:val="000000"/>
      <w:kern w:val="28"/>
      <w:sz w:val="28"/>
      <w:lang w:val="zh-CN"/>
    </w:rPr>
  </w:style>
  <w:style w:type="paragraph" w:customStyle="1" w:styleId="813">
    <w:name w:val="五号线1)"/>
    <w:qFormat/>
    <w:uiPriority w:val="0"/>
    <w:pPr>
      <w:tabs>
        <w:tab w:val="left" w:pos="927"/>
      </w:tabs>
      <w:spacing w:line="500" w:lineRule="exact"/>
      <w:ind w:left="709" w:firstLine="567"/>
      <w:outlineLvl w:val="4"/>
    </w:pPr>
    <w:rPr>
      <w:rFonts w:ascii="宋体" w:hAnsi="Times New Roman" w:eastAsia="宋体" w:cs="Times New Roman"/>
      <w:spacing w:val="6"/>
      <w:w w:val="95"/>
      <w:sz w:val="24"/>
      <w:lang w:val="en-US" w:eastAsia="zh-CN" w:bidi="ar-SA"/>
    </w:rPr>
  </w:style>
  <w:style w:type="paragraph" w:customStyle="1" w:styleId="814">
    <w:name w:val="LAL"/>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line="360" w:lineRule="auto"/>
      <w:ind w:left="3119" w:hanging="284"/>
    </w:pPr>
    <w:rPr>
      <w:rFonts w:ascii="Ascom Frutiger-Light" w:hAnsi="Ascom Frutiger-Light" w:eastAsia="宋体" w:cs="Times New Roman"/>
      <w:lang w:val="en-GB" w:eastAsia="en-US" w:bidi="ar-SA"/>
    </w:rPr>
  </w:style>
  <w:style w:type="paragraph" w:customStyle="1" w:styleId="815">
    <w:name w:val="Telephony"/>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816">
    <w:name w:val="11"/>
    <w:basedOn w:val="64"/>
    <w:qFormat/>
    <w:uiPriority w:val="0"/>
    <w:pPr>
      <w:spacing w:line="360" w:lineRule="auto"/>
      <w:ind w:left="227" w:firstLine="425"/>
      <w:outlineLvl w:val="0"/>
    </w:pPr>
    <w:rPr>
      <w:rFonts w:ascii="仿宋_GB2312" w:hAnsi="Times New Roman" w:eastAsia="仿宋_GB2312"/>
      <w:b w:val="0"/>
      <w:bCs w:val="0"/>
      <w:kern w:val="52"/>
      <w:sz w:val="28"/>
      <w:szCs w:val="20"/>
    </w:rPr>
  </w:style>
  <w:style w:type="paragraph" w:customStyle="1" w:styleId="817">
    <w:name w:val="xl65"/>
    <w:basedOn w:val="1"/>
    <w:qFormat/>
    <w:uiPriority w:val="0"/>
    <w:pPr>
      <w:widowControl/>
      <w:pBdr>
        <w:top w:val="single" w:color="auto" w:sz="8" w:space="0"/>
        <w:left w:val="single" w:color="auto" w:sz="8" w:space="0"/>
        <w:bottom w:val="single" w:color="auto" w:sz="8" w:space="0"/>
      </w:pBdr>
      <w:spacing w:before="100" w:beforeAutospacing="1" w:after="100" w:afterAutospacing="1"/>
      <w:ind w:left="227" w:firstLine="482"/>
      <w:jc w:val="center"/>
    </w:pPr>
    <w:rPr>
      <w:rFonts w:ascii="宋体" w:hAnsi="宋体" w:eastAsia="宋体" w:cs="Times New Roman"/>
      <w:b/>
      <w:kern w:val="0"/>
      <w:sz w:val="22"/>
      <w:szCs w:val="20"/>
    </w:rPr>
  </w:style>
  <w:style w:type="paragraph" w:customStyle="1" w:styleId="818">
    <w:name w:val="Table_Text"/>
    <w:basedOn w:val="1"/>
    <w:qFormat/>
    <w:uiPriority w:val="0"/>
    <w:pPr>
      <w:keepLines/>
      <w:tabs>
        <w:tab w:val="left" w:pos="794"/>
        <w:tab w:val="left" w:pos="1191"/>
        <w:tab w:val="left" w:pos="1588"/>
        <w:tab w:val="left" w:pos="1985"/>
      </w:tabs>
      <w:adjustRightInd w:val="0"/>
      <w:spacing w:before="100" w:after="100" w:line="240" w:lineRule="atLeast"/>
      <w:ind w:left="227" w:firstLine="425"/>
      <w:jc w:val="left"/>
      <w:textAlignment w:val="baseline"/>
    </w:pPr>
    <w:rPr>
      <w:rFonts w:ascii="宋体" w:hAnsi="Times New Roman" w:eastAsia="宋体" w:cs="Times New Roman"/>
      <w:kern w:val="0"/>
      <w:sz w:val="24"/>
      <w:szCs w:val="20"/>
    </w:rPr>
  </w:style>
  <w:style w:type="paragraph" w:customStyle="1" w:styleId="819">
    <w:name w:val="xl93"/>
    <w:basedOn w:val="1"/>
    <w:qFormat/>
    <w:uiPriority w:val="0"/>
    <w:pPr>
      <w:widowControl/>
      <w:pBdr>
        <w:left w:val="single" w:color="auto" w:sz="8" w:space="0"/>
      </w:pBdr>
      <w:spacing w:before="100" w:beforeAutospacing="1" w:after="100" w:afterAutospacing="1"/>
      <w:ind w:left="227" w:firstLine="482"/>
      <w:jc w:val="center"/>
    </w:pPr>
    <w:rPr>
      <w:rFonts w:ascii="宋体" w:hAnsi="宋体" w:eastAsia="宋体" w:cs="Times New Roman"/>
      <w:kern w:val="0"/>
      <w:sz w:val="18"/>
      <w:szCs w:val="20"/>
    </w:rPr>
  </w:style>
  <w:style w:type="paragraph" w:customStyle="1" w:styleId="820">
    <w:name w:val="样式 宋体 小四 行距: 1.5 倍行距"/>
    <w:basedOn w:val="1"/>
    <w:qFormat/>
    <w:uiPriority w:val="0"/>
    <w:pPr>
      <w:ind w:left="227" w:firstLine="482"/>
      <w:jc w:val="left"/>
    </w:pPr>
    <w:rPr>
      <w:rFonts w:ascii="宋体" w:hAnsi="宋体" w:eastAsia="宋体" w:cs="Times New Roman"/>
      <w:kern w:val="10"/>
      <w:sz w:val="24"/>
      <w:szCs w:val="20"/>
    </w:rPr>
  </w:style>
  <w:style w:type="paragraph" w:customStyle="1" w:styleId="821">
    <w:name w:val="正表头"/>
    <w:basedOn w:val="1"/>
    <w:qFormat/>
    <w:uiPriority w:val="0"/>
    <w:pPr>
      <w:tabs>
        <w:tab w:val="left" w:pos="480"/>
      </w:tabs>
      <w:autoSpaceDE w:val="0"/>
      <w:autoSpaceDN w:val="0"/>
      <w:adjustRightInd w:val="0"/>
      <w:ind w:left="227" w:firstLine="482"/>
      <w:jc w:val="center"/>
    </w:pPr>
    <w:rPr>
      <w:rFonts w:hint="eastAsia" w:ascii="宋体" w:hAnsi="Tms Rmn" w:eastAsia="宋体" w:cs="Times New Roman"/>
      <w:kern w:val="0"/>
      <w:szCs w:val="20"/>
    </w:rPr>
  </w:style>
  <w:style w:type="paragraph" w:customStyle="1" w:styleId="822">
    <w:name w:val="样式 Times New Roman 左侧:  2.96 厘米"/>
    <w:basedOn w:val="1"/>
    <w:qFormat/>
    <w:uiPriority w:val="0"/>
    <w:pPr>
      <w:spacing w:line="560" w:lineRule="exact"/>
      <w:ind w:left="1680" w:firstLine="420"/>
      <w:jc w:val="left"/>
    </w:pPr>
    <w:rPr>
      <w:rFonts w:ascii="Times New Roman" w:hAnsi="Times New Roman" w:eastAsia="Times New Roman" w:cs="Times New Roman"/>
      <w:sz w:val="28"/>
      <w:szCs w:val="20"/>
    </w:rPr>
  </w:style>
  <w:style w:type="paragraph" w:customStyle="1" w:styleId="823">
    <w:name w:val="paratit"/>
    <w:basedOn w:val="1"/>
    <w:qFormat/>
    <w:uiPriority w:val="0"/>
    <w:pPr>
      <w:widowControl/>
      <w:suppressAutoHyphens/>
      <w:ind w:left="227" w:firstLine="482"/>
      <w:jc w:val="left"/>
    </w:pPr>
    <w:rPr>
      <w:rFonts w:ascii="Arial" w:hAnsi="Arial" w:eastAsia="Times New Roman" w:cs="Times New Roman"/>
      <w:b/>
      <w:color w:val="006699"/>
      <w:kern w:val="0"/>
      <w:sz w:val="18"/>
      <w:szCs w:val="20"/>
      <w:lang w:eastAsia="en-US"/>
    </w:rPr>
  </w:style>
  <w:style w:type="paragraph" w:customStyle="1" w:styleId="824">
    <w:name w:val="xl70"/>
    <w:basedOn w:val="1"/>
    <w:qFormat/>
    <w:uiPriority w:val="0"/>
    <w:pPr>
      <w:widowControl/>
      <w:pBdr>
        <w:top w:val="single" w:color="auto" w:sz="4" w:space="0"/>
        <w:bottom w:val="single" w:color="auto" w:sz="8" w:space="0"/>
        <w:right w:val="single" w:color="auto" w:sz="8" w:space="0"/>
      </w:pBdr>
      <w:spacing w:before="100" w:beforeAutospacing="1" w:after="100" w:afterAutospacing="1"/>
      <w:ind w:left="227" w:firstLine="482"/>
      <w:jc w:val="center"/>
      <w:textAlignment w:val="bottom"/>
    </w:pPr>
    <w:rPr>
      <w:rFonts w:ascii="宋体" w:hAnsi="宋体" w:eastAsia="宋体" w:cs="Times New Roman"/>
      <w:kern w:val="0"/>
      <w:sz w:val="20"/>
      <w:szCs w:val="20"/>
    </w:rPr>
  </w:style>
  <w:style w:type="paragraph" w:customStyle="1" w:styleId="825">
    <w:name w:val="zDocNo11p3bC"/>
    <w:qFormat/>
    <w:uiPriority w:val="0"/>
    <w:pPr>
      <w:widowControl w:val="0"/>
      <w:spacing w:before="60" w:line="360" w:lineRule="auto"/>
      <w:ind w:left="57" w:right="57" w:hanging="482"/>
      <w:jc w:val="center"/>
    </w:pPr>
    <w:rPr>
      <w:rFonts w:ascii="Arial" w:hAnsi="Arial" w:eastAsia="宋体" w:cs="Times New Roman"/>
      <w:sz w:val="22"/>
      <w:lang w:val="en-US" w:eastAsia="en-US" w:bidi="ar-SA"/>
    </w:rPr>
  </w:style>
  <w:style w:type="paragraph" w:customStyle="1" w:styleId="826">
    <w:name w:val="封面1"/>
    <w:basedOn w:val="1"/>
    <w:qFormat/>
    <w:uiPriority w:val="0"/>
    <w:pPr>
      <w:wordWrap w:val="0"/>
      <w:adjustRightInd w:val="0"/>
      <w:snapToGrid w:val="0"/>
      <w:spacing w:line="360" w:lineRule="auto"/>
      <w:ind w:left="227" w:right="1928" w:firstLine="482"/>
      <w:jc w:val="left"/>
    </w:pPr>
    <w:rPr>
      <w:rFonts w:ascii="黑体" w:hAnsi="Times New Roman" w:eastAsia="黑体" w:cs="Times New Roman"/>
      <w:b/>
      <w:sz w:val="44"/>
      <w:szCs w:val="20"/>
    </w:rPr>
  </w:style>
  <w:style w:type="paragraph" w:customStyle="1" w:styleId="827">
    <w:name w:val="xl96"/>
    <w:basedOn w:val="1"/>
    <w:qFormat/>
    <w:uiPriority w:val="0"/>
    <w:pPr>
      <w:widowControl/>
      <w:pBdr>
        <w:bottom w:val="single" w:color="auto" w:sz="8" w:space="0"/>
      </w:pBdr>
      <w:spacing w:before="100" w:beforeAutospacing="1" w:after="100" w:afterAutospacing="1"/>
      <w:ind w:left="227" w:firstLine="482"/>
      <w:jc w:val="left"/>
    </w:pPr>
    <w:rPr>
      <w:rFonts w:ascii="宋体" w:hAnsi="宋体" w:eastAsia="宋体" w:cs="Times New Roman"/>
      <w:kern w:val="0"/>
      <w:sz w:val="18"/>
      <w:szCs w:val="20"/>
    </w:rPr>
  </w:style>
  <w:style w:type="paragraph" w:customStyle="1" w:styleId="828">
    <w:name w:val="TM"/>
    <w:qFormat/>
    <w:uiPriority w:val="0"/>
    <w:pPr>
      <w:tabs>
        <w:tab w:val="left" w:pos="576"/>
        <w:tab w:val="left" w:pos="720"/>
        <w:tab w:val="left" w:pos="864"/>
        <w:tab w:val="left" w:pos="1008"/>
        <w:tab w:val="left" w:pos="1152"/>
        <w:tab w:val="left" w:pos="1296"/>
        <w:tab w:val="right" w:leader="dot" w:pos="9648"/>
      </w:tabs>
      <w:spacing w:line="360" w:lineRule="auto"/>
      <w:ind w:left="709" w:hanging="482"/>
    </w:pPr>
    <w:rPr>
      <w:rFonts w:ascii="Univers (W1)" w:hAnsi="Univers (W1)" w:eastAsia="宋体" w:cs="Times New Roman"/>
      <w:sz w:val="22"/>
      <w:lang w:val="fr-FR" w:eastAsia="en-US" w:bidi="ar-SA"/>
    </w:rPr>
  </w:style>
  <w:style w:type="paragraph" w:customStyle="1" w:styleId="829">
    <w:name w:val="样式25"/>
    <w:basedOn w:val="1"/>
    <w:next w:val="732"/>
    <w:qFormat/>
    <w:uiPriority w:val="0"/>
    <w:pPr>
      <w:spacing w:line="360" w:lineRule="auto"/>
      <w:ind w:left="227" w:firstLine="482"/>
      <w:jc w:val="left"/>
    </w:pPr>
    <w:rPr>
      <w:rFonts w:ascii="Times New Roman" w:hAnsi="Times New Roman" w:eastAsia="宋体" w:cs="Times New Roman"/>
      <w:sz w:val="24"/>
      <w:szCs w:val="20"/>
    </w:rPr>
  </w:style>
  <w:style w:type="paragraph" w:customStyle="1" w:styleId="830">
    <w:name w:val="Aufz鋒lungsEbene2"/>
    <w:basedOn w:val="1"/>
    <w:qFormat/>
    <w:uiPriority w:val="0"/>
    <w:pPr>
      <w:widowControl/>
      <w:spacing w:line="288" w:lineRule="auto"/>
      <w:ind w:left="1701" w:hanging="284"/>
      <w:jc w:val="left"/>
    </w:pPr>
    <w:rPr>
      <w:rFonts w:ascii="Arial" w:hAnsi="Arial" w:eastAsia="宋体" w:cs="Times New Roman"/>
      <w:kern w:val="0"/>
      <w:sz w:val="22"/>
      <w:szCs w:val="20"/>
      <w:lang w:val="en-GB"/>
    </w:rPr>
  </w:style>
  <w:style w:type="paragraph" w:customStyle="1" w:styleId="831">
    <w:name w:val="xl77"/>
    <w:basedOn w:val="1"/>
    <w:qFormat/>
    <w:uiPriority w:val="0"/>
    <w:pPr>
      <w:widowControl/>
      <w:pBdr>
        <w:lef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32">
    <w:name w:val="目录1"/>
    <w:basedOn w:val="799"/>
    <w:qFormat/>
    <w:uiPriority w:val="0"/>
    <w:pPr>
      <w:keepNext/>
      <w:keepLines/>
      <w:widowControl/>
      <w:suppressLineNumbers/>
      <w:suppressAutoHyphens/>
    </w:pPr>
    <w:rPr>
      <w:rFonts w:eastAsia="仿宋_GB2312"/>
      <w:b w:val="0"/>
      <w:kern w:val="28"/>
      <w:sz w:val="28"/>
    </w:rPr>
  </w:style>
  <w:style w:type="paragraph" w:customStyle="1" w:styleId="833">
    <w:name w:val="项目符号1"/>
    <w:basedOn w:val="1"/>
    <w:qFormat/>
    <w:uiPriority w:val="0"/>
    <w:pPr>
      <w:tabs>
        <w:tab w:val="left" w:pos="1260"/>
      </w:tabs>
      <w:overflowPunct w:val="0"/>
      <w:adjustRightInd w:val="0"/>
      <w:snapToGrid w:val="0"/>
      <w:spacing w:before="120" w:line="360" w:lineRule="auto"/>
      <w:ind w:left="1260" w:hanging="420"/>
      <w:jc w:val="left"/>
    </w:pPr>
    <w:rPr>
      <w:rFonts w:ascii="宋体" w:hAnsi="Times New Roman" w:eastAsia="宋体" w:cs="Times New Roman"/>
      <w:snapToGrid w:val="0"/>
      <w:kern w:val="0"/>
      <w:szCs w:val="20"/>
    </w:rPr>
  </w:style>
  <w:style w:type="paragraph" w:customStyle="1" w:styleId="834">
    <w:name w:val="Subhead 3"/>
    <w:basedOn w:val="1"/>
    <w:qFormat/>
    <w:uiPriority w:val="0"/>
    <w:pPr>
      <w:keepNext/>
      <w:widowControl/>
      <w:tabs>
        <w:tab w:val="left" w:pos="1134"/>
      </w:tabs>
      <w:autoSpaceDE w:val="0"/>
      <w:autoSpaceDN w:val="0"/>
      <w:adjustRightInd w:val="0"/>
      <w:spacing w:before="340" w:line="300" w:lineRule="atLeast"/>
      <w:ind w:left="1134" w:hanging="1134"/>
      <w:jc w:val="left"/>
    </w:pPr>
    <w:rPr>
      <w:rFonts w:ascii="Arial" w:hAnsi="Arial" w:eastAsia="黑体" w:cs="Times New Roman"/>
      <w:b/>
      <w:kern w:val="0"/>
      <w:sz w:val="24"/>
      <w:szCs w:val="20"/>
    </w:rPr>
  </w:style>
  <w:style w:type="paragraph" w:customStyle="1" w:styleId="835">
    <w:name w:val="Para"/>
    <w:qFormat/>
    <w:uiPriority w:val="0"/>
    <w:pPr>
      <w:suppressAutoHyphens/>
      <w:spacing w:after="160" w:line="360" w:lineRule="auto"/>
      <w:ind w:left="709" w:hanging="482"/>
    </w:pPr>
    <w:rPr>
      <w:rFonts w:ascii="Arial" w:hAnsi="Arial" w:eastAsia="Times New Roman" w:cs="Times New Roman"/>
      <w:sz w:val="18"/>
      <w:lang w:val="en-US" w:eastAsia="en-US" w:bidi="ar-SA"/>
    </w:rPr>
  </w:style>
  <w:style w:type="paragraph" w:customStyle="1" w:styleId="836">
    <w:name w:val="Normal 11"/>
    <w:basedOn w:val="1"/>
    <w:qFormat/>
    <w:uiPriority w:val="0"/>
    <w:pPr>
      <w:widowControl/>
      <w:spacing w:line="360" w:lineRule="auto"/>
      <w:ind w:left="544" w:right="397" w:firstLine="482"/>
      <w:jc w:val="left"/>
    </w:pPr>
    <w:rPr>
      <w:rFonts w:ascii="Arial" w:hAnsi="Arial" w:eastAsia="宋体" w:cs="Times New Roman"/>
      <w:kern w:val="0"/>
      <w:sz w:val="22"/>
      <w:szCs w:val="20"/>
      <w:lang w:val="nl-NL"/>
    </w:rPr>
  </w:style>
  <w:style w:type="paragraph" w:customStyle="1" w:styleId="837">
    <w:name w:val="样式11"/>
    <w:basedOn w:val="357"/>
    <w:qFormat/>
    <w:uiPriority w:val="0"/>
    <w:pPr>
      <w:keepNext/>
      <w:tabs>
        <w:tab w:val="left" w:pos="1134"/>
      </w:tabs>
      <w:spacing w:line="360" w:lineRule="auto"/>
      <w:ind w:left="1134" w:leftChars="0" w:hanging="567" w:firstLineChars="200"/>
      <w:jc w:val="left"/>
      <w:outlineLvl w:val="2"/>
    </w:pPr>
    <w:rPr>
      <w:rFonts w:hAnsi="宋体" w:eastAsia="仿宋_GB2312"/>
      <w:b/>
      <w:bCs w:val="0"/>
      <w:kern w:val="28"/>
      <w:sz w:val="28"/>
      <w:szCs w:val="20"/>
    </w:rPr>
  </w:style>
  <w:style w:type="paragraph" w:customStyle="1" w:styleId="838">
    <w:name w:val="投标标题1"/>
    <w:qFormat/>
    <w:uiPriority w:val="0"/>
    <w:pPr>
      <w:adjustRightInd w:val="0"/>
      <w:snapToGrid w:val="0"/>
      <w:spacing w:line="440" w:lineRule="exact"/>
      <w:ind w:left="709" w:hanging="482"/>
      <w:jc w:val="both"/>
    </w:pPr>
    <w:rPr>
      <w:rFonts w:ascii="黑体" w:hAnsi="Times New Roman" w:eastAsia="黑体" w:cs="Times New Roman"/>
      <w:b/>
      <w:sz w:val="28"/>
      <w:lang w:val="en-US" w:eastAsia="zh-CN" w:bidi="ar-SA"/>
    </w:rPr>
  </w:style>
  <w:style w:type="paragraph" w:customStyle="1" w:styleId="839">
    <w:name w:val="Body"/>
    <w:qFormat/>
    <w:uiPriority w:val="0"/>
    <w:pPr>
      <w:spacing w:after="120" w:line="360" w:lineRule="auto"/>
      <w:ind w:left="1418" w:hanging="482"/>
    </w:pPr>
    <w:rPr>
      <w:rFonts w:ascii="Arial" w:hAnsi="Arial" w:eastAsia="宋体" w:cs="Times New Roman"/>
      <w:sz w:val="22"/>
      <w:lang w:val="en-US" w:eastAsia="en-US" w:bidi="ar-SA"/>
    </w:rPr>
  </w:style>
  <w:style w:type="paragraph" w:customStyle="1" w:styleId="840">
    <w:name w:val="ind"/>
    <w:basedOn w:val="1"/>
    <w:qFormat/>
    <w:uiPriority w:val="0"/>
    <w:pPr>
      <w:widowControl/>
      <w:tabs>
        <w:tab w:val="left" w:pos="2977"/>
      </w:tabs>
      <w:spacing w:before="40" w:line="360" w:lineRule="auto"/>
      <w:ind w:left="2977" w:right="397" w:hanging="851"/>
      <w:jc w:val="left"/>
    </w:pPr>
    <w:rPr>
      <w:rFonts w:ascii="Arial" w:hAnsi="Arial" w:eastAsia="宋体" w:cs="Times New Roman"/>
      <w:kern w:val="0"/>
      <w:sz w:val="22"/>
      <w:szCs w:val="20"/>
      <w:lang w:val="nl-NL"/>
    </w:rPr>
  </w:style>
  <w:style w:type="paragraph" w:customStyle="1" w:styleId="841">
    <w:name w:val="z-Bottom of Form"/>
    <w:next w:val="1"/>
    <w:qFormat/>
    <w:uiPriority w:val="0"/>
    <w:pPr>
      <w:widowControl w:val="0"/>
      <w:pBdr>
        <w:top w:val="double" w:color="000000" w:sz="2" w:space="0"/>
      </w:pBdr>
      <w:autoSpaceDE w:val="0"/>
      <w:autoSpaceDN w:val="0"/>
      <w:adjustRightInd w:val="0"/>
      <w:spacing w:line="360" w:lineRule="auto"/>
      <w:ind w:left="709" w:hanging="482"/>
      <w:jc w:val="center"/>
    </w:pPr>
    <w:rPr>
      <w:rFonts w:ascii="Arial" w:hAnsi="Arial" w:eastAsia="宋体" w:cs="Times New Roman"/>
      <w:vanish/>
      <w:sz w:val="16"/>
      <w:lang w:val="en-US" w:eastAsia="zh-CN" w:bidi="ar-SA"/>
    </w:rPr>
  </w:style>
  <w:style w:type="paragraph" w:customStyle="1" w:styleId="842">
    <w:name w:val="样式1-1"/>
    <w:basedOn w:val="1"/>
    <w:qFormat/>
    <w:uiPriority w:val="0"/>
    <w:pPr>
      <w:keepNext/>
      <w:keepLines/>
      <w:widowControl/>
      <w:suppressLineNumbers/>
      <w:tabs>
        <w:tab w:val="left" w:pos="1134"/>
      </w:tabs>
      <w:suppressAutoHyphens/>
      <w:spacing w:line="360" w:lineRule="auto"/>
      <w:ind w:left="1134" w:hanging="567"/>
      <w:jc w:val="left"/>
    </w:pPr>
    <w:rPr>
      <w:rFonts w:ascii="Times New Roman" w:hAnsi="Times New Roman" w:eastAsia="仿宋_GB2312" w:cs="Times New Roman"/>
      <w:b/>
      <w:kern w:val="28"/>
      <w:sz w:val="28"/>
      <w:szCs w:val="20"/>
    </w:rPr>
  </w:style>
  <w:style w:type="paragraph" w:customStyle="1" w:styleId="843">
    <w:name w:val="Off_Std"/>
    <w:qFormat/>
    <w:uiPriority w:val="0"/>
    <w:pPr>
      <w:spacing w:before="56" w:after="112" w:line="244" w:lineRule="exact"/>
      <w:ind w:left="567" w:hanging="482"/>
      <w:jc w:val="both"/>
    </w:pPr>
    <w:rPr>
      <w:rFonts w:ascii="FuturaA Bk BT" w:hAnsi="FuturaA Bk BT" w:eastAsia="宋体" w:cs="Times New Roman"/>
      <w:sz w:val="22"/>
      <w:lang w:val="en-US" w:eastAsia="en-US" w:bidi="ar-SA"/>
    </w:rPr>
  </w:style>
  <w:style w:type="paragraph" w:customStyle="1" w:styleId="844">
    <w:name w:val="标题6"/>
    <w:basedOn w:val="8"/>
    <w:qFormat/>
    <w:uiPriority w:val="0"/>
    <w:pPr>
      <w:tabs>
        <w:tab w:val="left" w:pos="432"/>
        <w:tab w:val="left" w:pos="1152"/>
        <w:tab w:val="right" w:leader="dot" w:pos="9061"/>
      </w:tabs>
      <w:snapToGrid/>
      <w:ind w:firstLine="0"/>
      <w:jc w:val="center"/>
    </w:pPr>
    <w:rPr>
      <w:rFonts w:ascii="宋体" w:eastAsia="宋体"/>
      <w:sz w:val="21"/>
    </w:rPr>
  </w:style>
  <w:style w:type="paragraph" w:customStyle="1" w:styleId="845">
    <w:name w:val="zLogo"/>
    <w:qFormat/>
    <w:uiPriority w:val="0"/>
    <w:pPr>
      <w:widowControl w:val="0"/>
      <w:spacing w:before="140" w:line="360" w:lineRule="auto"/>
      <w:ind w:left="142" w:hanging="482"/>
    </w:pPr>
    <w:rPr>
      <w:rFonts w:ascii="Arial" w:hAnsi="Arial" w:eastAsia="宋体" w:cs="Times New Roman"/>
      <w:b/>
      <w:sz w:val="28"/>
      <w:lang w:val="en-US" w:eastAsia="en-US" w:bidi="ar-SA"/>
    </w:rPr>
  </w:style>
  <w:style w:type="paragraph" w:customStyle="1" w:styleId="846">
    <w:name w:val="样式3-21"/>
    <w:basedOn w:val="632"/>
    <w:qFormat/>
    <w:uiPriority w:val="0"/>
    <w:pPr>
      <w:tabs>
        <w:tab w:val="left" w:pos="-546"/>
        <w:tab w:val="clear" w:pos="1134"/>
      </w:tabs>
      <w:ind w:left="-546"/>
    </w:pPr>
  </w:style>
  <w:style w:type="paragraph" w:customStyle="1" w:styleId="847">
    <w:name w:val="正文编号1）"/>
    <w:basedOn w:val="1"/>
    <w:qFormat/>
    <w:uiPriority w:val="0"/>
    <w:pPr>
      <w:tabs>
        <w:tab w:val="left" w:leader="dot" w:pos="1701"/>
        <w:tab w:val="left" w:pos="9072"/>
      </w:tabs>
      <w:snapToGrid w:val="0"/>
      <w:spacing w:before="120" w:after="120" w:line="360" w:lineRule="atLeast"/>
      <w:ind w:left="2341" w:hanging="442"/>
      <w:jc w:val="left"/>
    </w:pPr>
    <w:rPr>
      <w:rFonts w:ascii="Times New Roman" w:hAnsi="Times New Roman" w:eastAsia="宋体" w:cs="Times New Roman"/>
      <w:kern w:val="21"/>
      <w:szCs w:val="20"/>
    </w:rPr>
  </w:style>
  <w:style w:type="paragraph" w:customStyle="1" w:styleId="848">
    <w:name w:val="表头"/>
    <w:basedOn w:val="1"/>
    <w:link w:val="849"/>
    <w:qFormat/>
    <w:uiPriority w:val="0"/>
    <w:pPr>
      <w:keepNext/>
      <w:keepLines/>
      <w:widowControl/>
      <w:suppressLineNumbers/>
      <w:tabs>
        <w:tab w:val="left" w:pos="480"/>
      </w:tabs>
      <w:suppressAutoHyphens/>
      <w:autoSpaceDE w:val="0"/>
      <w:autoSpaceDN w:val="0"/>
      <w:adjustRightInd w:val="0"/>
      <w:ind w:left="227" w:firstLine="482"/>
      <w:jc w:val="center"/>
      <w:textAlignment w:val="bottom"/>
    </w:pPr>
    <w:rPr>
      <w:rFonts w:ascii="宋体" w:hAnsi="Times New Roman" w:eastAsia="宋体" w:cs="Times New Roman"/>
      <w:kern w:val="0"/>
      <w:szCs w:val="20"/>
    </w:rPr>
  </w:style>
  <w:style w:type="character" w:customStyle="1" w:styleId="849">
    <w:name w:val="表头 Char"/>
    <w:link w:val="848"/>
    <w:qFormat/>
    <w:uiPriority w:val="0"/>
    <w:rPr>
      <w:rFonts w:ascii="宋体" w:hAnsi="Times New Roman" w:eastAsia="宋体" w:cs="Times New Roman"/>
      <w:kern w:val="0"/>
      <w:szCs w:val="20"/>
    </w:rPr>
  </w:style>
  <w:style w:type="paragraph" w:customStyle="1" w:styleId="850">
    <w:name w:val="普通 (Web)"/>
    <w:basedOn w:val="1"/>
    <w:qFormat/>
    <w:uiPriority w:val="0"/>
    <w:pPr>
      <w:widowControl/>
      <w:spacing w:before="100" w:beforeAutospacing="1" w:after="100" w:afterAutospacing="1"/>
      <w:ind w:left="227" w:firstLine="482"/>
      <w:jc w:val="left"/>
    </w:pPr>
    <w:rPr>
      <w:rFonts w:ascii="Times New Roman" w:hAnsi="Times New Roman" w:eastAsia="宋体" w:cs="Times New Roman"/>
      <w:kern w:val="0"/>
      <w:sz w:val="24"/>
      <w:szCs w:val="20"/>
      <w:lang w:val="en-GB" w:eastAsia="en-US"/>
    </w:rPr>
  </w:style>
  <w:style w:type="paragraph" w:customStyle="1" w:styleId="851">
    <w:name w:val="标题11"/>
    <w:basedOn w:val="3"/>
    <w:qFormat/>
    <w:uiPriority w:val="0"/>
    <w:pPr>
      <w:keepLines w:val="0"/>
      <w:tabs>
        <w:tab w:val="left" w:pos="360"/>
        <w:tab w:val="left" w:pos="432"/>
      </w:tabs>
      <w:spacing w:before="0" w:after="0" w:line="360" w:lineRule="auto"/>
      <w:ind w:left="567" w:hanging="567"/>
      <w:jc w:val="left"/>
    </w:pPr>
    <w:rPr>
      <w:rFonts w:ascii="仿宋_GB2312" w:hAnsi="宋体" w:eastAsia="仿宋_GB2312"/>
      <w:b w:val="0"/>
      <w:bCs w:val="0"/>
      <w:kern w:val="28"/>
      <w:sz w:val="32"/>
      <w:szCs w:val="20"/>
      <w:lang w:val="zh-CN"/>
    </w:rPr>
  </w:style>
  <w:style w:type="paragraph" w:customStyle="1" w:styleId="852">
    <w:name w:val="xl71"/>
    <w:basedOn w:val="1"/>
    <w:qFormat/>
    <w:uiPriority w:val="0"/>
    <w:pPr>
      <w:widowControl/>
      <w:pBdr>
        <w:top w:val="single" w:color="auto" w:sz="4"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853">
    <w:name w:val="标题（节）"/>
    <w:basedOn w:val="3"/>
    <w:qFormat/>
    <w:uiPriority w:val="0"/>
    <w:pPr>
      <w:keepLines w:val="0"/>
      <w:pageBreakBefore/>
      <w:tabs>
        <w:tab w:val="left" w:pos="432"/>
        <w:tab w:val="left" w:pos="1995"/>
      </w:tabs>
      <w:spacing w:before="0" w:after="0" w:line="360" w:lineRule="auto"/>
      <w:ind w:left="1996" w:hanging="1996"/>
      <w:jc w:val="left"/>
    </w:pPr>
    <w:rPr>
      <w:rFonts w:ascii="FuturaA Bk BT" w:hAnsi="FuturaA Bk BT"/>
      <w:b w:val="0"/>
      <w:bCs w:val="0"/>
      <w:kern w:val="2"/>
      <w:sz w:val="36"/>
      <w:szCs w:val="20"/>
      <w:lang w:val="zh-CN"/>
    </w:rPr>
  </w:style>
  <w:style w:type="paragraph" w:customStyle="1" w:styleId="854">
    <w:name w:val="xl95"/>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kern w:val="0"/>
      <w:sz w:val="18"/>
      <w:szCs w:val="20"/>
    </w:rPr>
  </w:style>
  <w:style w:type="paragraph" w:customStyle="1" w:styleId="855">
    <w:name w:val="正文编号●"/>
    <w:basedOn w:val="1"/>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Times New Roman"/>
      <w:kern w:val="21"/>
      <w:sz w:val="20"/>
      <w:szCs w:val="20"/>
    </w:rPr>
  </w:style>
  <w:style w:type="paragraph" w:customStyle="1" w:styleId="856">
    <w:name w:val="S04-Transport"/>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857">
    <w:name w:val="txt:p:0"/>
    <w:qFormat/>
    <w:uiPriority w:val="0"/>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line="360" w:lineRule="auto"/>
      <w:ind w:left="709" w:hanging="482"/>
      <w:jc w:val="both"/>
    </w:pPr>
    <w:rPr>
      <w:rFonts w:ascii="Helvetica" w:hAnsi="Helvetica" w:eastAsia="宋体" w:cs="Times New Roman"/>
      <w:lang w:val="it-IT" w:eastAsia="zh-CN" w:bidi="ar-SA"/>
    </w:rPr>
  </w:style>
  <w:style w:type="paragraph" w:customStyle="1" w:styleId="858">
    <w:name w:val="沈阳 款，1."/>
    <w:qFormat/>
    <w:uiPriority w:val="0"/>
    <w:pPr>
      <w:keepNext/>
      <w:tabs>
        <w:tab w:val="left" w:pos="1680"/>
      </w:tabs>
      <w:adjustRightInd w:val="0"/>
      <w:spacing w:line="360" w:lineRule="auto"/>
      <w:ind w:left="1680" w:hanging="420"/>
      <w:jc w:val="both"/>
      <w:outlineLvl w:val="3"/>
    </w:pPr>
    <w:rPr>
      <w:rFonts w:ascii="楷体_GB2312" w:hAnsi="Times New Roman" w:eastAsia="楷体_GB2312" w:cs="Times New Roman"/>
      <w:kern w:val="2"/>
      <w:sz w:val="28"/>
      <w:lang w:val="en-US" w:eastAsia="zh-CN" w:bidi="ar-SA"/>
    </w:rPr>
  </w:style>
  <w:style w:type="paragraph" w:customStyle="1" w:styleId="859">
    <w:name w:val="标"/>
    <w:basedOn w:val="799"/>
    <w:qFormat/>
    <w:uiPriority w:val="0"/>
    <w:pPr>
      <w:keepNext/>
      <w:keepLines/>
      <w:widowControl/>
      <w:suppressLineNumbers/>
      <w:suppressAutoHyphens/>
      <w:jc w:val="center"/>
    </w:pPr>
    <w:rPr>
      <w:rFonts w:ascii="宋体" w:hAnsi="宋体"/>
      <w:b w:val="0"/>
      <w:kern w:val="28"/>
      <w:sz w:val="28"/>
    </w:rPr>
  </w:style>
  <w:style w:type="paragraph" w:customStyle="1" w:styleId="860">
    <w:name w:val="目录 51"/>
    <w:basedOn w:val="1"/>
    <w:next w:val="1"/>
    <w:qFormat/>
    <w:uiPriority w:val="39"/>
    <w:pPr>
      <w:spacing w:line="360" w:lineRule="auto"/>
      <w:ind w:left="960" w:firstLine="482"/>
      <w:jc w:val="left"/>
    </w:pPr>
    <w:rPr>
      <w:rFonts w:ascii="Times New Roman" w:hAnsi="Times New Roman" w:eastAsia="宋体" w:cs="Times New Roman"/>
      <w:sz w:val="18"/>
      <w:szCs w:val="20"/>
    </w:rPr>
  </w:style>
  <w:style w:type="paragraph" w:customStyle="1" w:styleId="861">
    <w:name w:val="zFooterLine6p0bL"/>
    <w:qFormat/>
    <w:uiPriority w:val="0"/>
    <w:pPr>
      <w:spacing w:line="360" w:lineRule="auto"/>
      <w:ind w:left="709" w:hanging="482"/>
    </w:pPr>
    <w:rPr>
      <w:rFonts w:ascii="Arial Narrow" w:hAnsi="Arial Narrow" w:eastAsia="宋体" w:cs="Times New Roman"/>
      <w:sz w:val="12"/>
      <w:lang w:val="en-US" w:eastAsia="en-US" w:bidi="ar-SA"/>
    </w:rPr>
  </w:style>
  <w:style w:type="paragraph" w:customStyle="1" w:styleId="862">
    <w:name w:val="标题21"/>
    <w:basedOn w:val="4"/>
    <w:qFormat/>
    <w:uiPriority w:val="0"/>
    <w:pPr>
      <w:keepNext w:val="0"/>
      <w:keepLines w:val="0"/>
      <w:widowControl/>
      <w:tabs>
        <w:tab w:val="left" w:pos="851"/>
      </w:tabs>
      <w:adjustRightInd w:val="0"/>
      <w:snapToGrid w:val="0"/>
      <w:spacing w:before="0" w:after="0" w:line="360" w:lineRule="auto"/>
      <w:ind w:left="851" w:hanging="851"/>
      <w:jc w:val="left"/>
    </w:pPr>
    <w:rPr>
      <w:rFonts w:ascii="仿宋_GB2312" w:hAnsi="宋体" w:eastAsia="仿宋_GB2312"/>
      <w:kern w:val="28"/>
      <w:sz w:val="24"/>
      <w:lang w:val="zh-CN"/>
    </w:rPr>
  </w:style>
  <w:style w:type="paragraph" w:customStyle="1" w:styleId="863">
    <w:name w:val="SDH.FOX515T"/>
    <w:basedOn w:val="666"/>
    <w:next w:val="1"/>
    <w:qFormat/>
    <w:uiPriority w:val="0"/>
  </w:style>
  <w:style w:type="paragraph" w:customStyle="1" w:styleId="864">
    <w:name w:val="titel pag1"/>
    <w:basedOn w:val="1"/>
    <w:qFormat/>
    <w:uiPriority w:val="0"/>
    <w:pPr>
      <w:widowControl/>
      <w:spacing w:line="360" w:lineRule="auto"/>
      <w:ind w:left="227" w:firstLine="482"/>
      <w:jc w:val="center"/>
    </w:pPr>
    <w:rPr>
      <w:rFonts w:ascii="Arial" w:hAnsi="Arial" w:eastAsia="宋体" w:cs="Times New Roman"/>
      <w:kern w:val="0"/>
      <w:sz w:val="22"/>
      <w:szCs w:val="20"/>
      <w:lang w:val="en-GB"/>
    </w:rPr>
  </w:style>
  <w:style w:type="paragraph" w:customStyle="1" w:styleId="865">
    <w:name w:val="paravet"/>
    <w:basedOn w:val="713"/>
    <w:next w:val="713"/>
    <w:qFormat/>
    <w:uiPriority w:val="0"/>
    <w:pPr>
      <w:keepNext/>
      <w:spacing w:before="240" w:after="60"/>
      <w:ind w:left="1138"/>
      <w:jc w:val="left"/>
    </w:pPr>
    <w:rPr>
      <w:rFonts w:eastAsia="Times New Roman"/>
      <w:b/>
      <w:color w:val="006699"/>
      <w:sz w:val="22"/>
      <w:lang w:val="en-GB" w:eastAsia="en-US"/>
    </w:rPr>
  </w:style>
  <w:style w:type="paragraph" w:customStyle="1" w:styleId="866">
    <w:name w:val="xl72"/>
    <w:basedOn w:val="1"/>
    <w:qFormat/>
    <w:uiPriority w:val="0"/>
    <w:pPr>
      <w:widowControl/>
      <w:pBdr>
        <w:top w:val="single" w:color="auto" w:sz="4" w:space="0"/>
        <w:left w:val="single" w:color="auto" w:sz="8" w:space="0"/>
        <w:bottom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67">
    <w:name w:val="样式3-29"/>
    <w:basedOn w:val="634"/>
    <w:qFormat/>
    <w:uiPriority w:val="0"/>
  </w:style>
  <w:style w:type="paragraph" w:customStyle="1" w:styleId="868">
    <w:name w:val="CellBody"/>
    <w:basedOn w:val="1"/>
    <w:qFormat/>
    <w:uiPriority w:val="0"/>
    <w:pPr>
      <w:widowControl/>
      <w:overflowPunct w:val="0"/>
      <w:autoSpaceDE w:val="0"/>
      <w:autoSpaceDN w:val="0"/>
      <w:adjustRightInd w:val="0"/>
      <w:spacing w:before="60" w:after="120"/>
      <w:ind w:left="1701" w:firstLine="482"/>
      <w:jc w:val="left"/>
      <w:textAlignment w:val="baseline"/>
    </w:pPr>
    <w:rPr>
      <w:rFonts w:ascii="Times New Roman" w:hAnsi="Times New Roman" w:eastAsia="Times" w:cs="Times New Roman"/>
      <w:color w:val="000000"/>
      <w:kern w:val="0"/>
      <w:sz w:val="22"/>
      <w:szCs w:val="20"/>
    </w:rPr>
  </w:style>
  <w:style w:type="paragraph" w:customStyle="1" w:styleId="869">
    <w:name w:val="样式1-3"/>
    <w:basedOn w:val="1"/>
    <w:qFormat/>
    <w:uiPriority w:val="0"/>
    <w:pPr>
      <w:keepNext/>
      <w:tabs>
        <w:tab w:val="left" w:pos="1134"/>
      </w:tabs>
      <w:spacing w:line="360" w:lineRule="auto"/>
      <w:ind w:left="1134" w:hanging="567"/>
      <w:jc w:val="left"/>
    </w:pPr>
    <w:rPr>
      <w:rFonts w:ascii="Times New Roman" w:hAnsi="Times New Roman" w:eastAsia="仿宋_GB2312" w:cs="Times New Roman"/>
      <w:b/>
      <w:kern w:val="28"/>
      <w:sz w:val="28"/>
      <w:szCs w:val="20"/>
    </w:rPr>
  </w:style>
  <w:style w:type="paragraph" w:customStyle="1" w:styleId="870">
    <w:name w:val="样式30"/>
    <w:basedOn w:val="776"/>
    <w:qFormat/>
    <w:uiPriority w:val="0"/>
  </w:style>
  <w:style w:type="paragraph" w:customStyle="1" w:styleId="871">
    <w:name w:val="样式15"/>
    <w:basedOn w:val="659"/>
    <w:qFormat/>
    <w:uiPriority w:val="0"/>
  </w:style>
  <w:style w:type="paragraph" w:customStyle="1" w:styleId="872">
    <w:name w:val="字元 字元 Char Char Char 字元 字元"/>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873">
    <w:name w:val="xl73"/>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74">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75">
    <w:name w:val="xl94"/>
    <w:basedOn w:val="1"/>
    <w:qFormat/>
    <w:uiPriority w:val="0"/>
    <w:pPr>
      <w:widowControl/>
      <w:pBdr>
        <w:top w:val="single" w:color="auto" w:sz="4" w:space="0"/>
        <w:left w:val="single" w:color="auto" w:sz="8" w:space="0"/>
        <w:bottom w:val="single" w:color="auto" w:sz="8" w:space="0"/>
      </w:pBdr>
      <w:spacing w:before="100" w:beforeAutospacing="1" w:after="100" w:afterAutospacing="1"/>
      <w:ind w:left="227" w:firstLine="482"/>
      <w:jc w:val="center"/>
    </w:pPr>
    <w:rPr>
      <w:rFonts w:ascii="宋体" w:hAnsi="宋体" w:eastAsia="宋体" w:cs="Times New Roman"/>
      <w:kern w:val="0"/>
      <w:sz w:val="18"/>
      <w:szCs w:val="20"/>
    </w:rPr>
  </w:style>
  <w:style w:type="paragraph" w:customStyle="1" w:styleId="876">
    <w:name w:val="图字"/>
    <w:basedOn w:val="1"/>
    <w:qFormat/>
    <w:uiPriority w:val="0"/>
    <w:pPr>
      <w:keepNext/>
      <w:keepLines/>
      <w:widowControl/>
      <w:suppressLineNumbers/>
      <w:suppressAutoHyphens/>
      <w:spacing w:line="240" w:lineRule="atLeast"/>
      <w:ind w:left="227" w:firstLine="482"/>
      <w:jc w:val="center"/>
    </w:pPr>
    <w:rPr>
      <w:rFonts w:ascii="仿宋_GB2312" w:hAnsi="Times New Roman" w:eastAsia="仿宋_GB2312" w:cs="Times New Roman"/>
      <w:kern w:val="21"/>
      <w:szCs w:val="20"/>
    </w:rPr>
  </w:style>
  <w:style w:type="paragraph" w:customStyle="1" w:styleId="877">
    <w:name w:val="目录 61"/>
    <w:basedOn w:val="1"/>
    <w:next w:val="1"/>
    <w:qFormat/>
    <w:uiPriority w:val="39"/>
    <w:pPr>
      <w:spacing w:line="360" w:lineRule="auto"/>
      <w:ind w:left="1200" w:firstLine="482"/>
      <w:jc w:val="left"/>
    </w:pPr>
    <w:rPr>
      <w:rFonts w:ascii="Times New Roman" w:hAnsi="Times New Roman" w:eastAsia="宋体" w:cs="Times New Roman"/>
      <w:sz w:val="18"/>
      <w:szCs w:val="20"/>
    </w:rPr>
  </w:style>
  <w:style w:type="paragraph" w:customStyle="1" w:styleId="878">
    <w:name w:val="Char Char Char Char1 Char Char Char Char Char Char Char Char"/>
    <w:basedOn w:val="1"/>
    <w:qFormat/>
    <w:uiPriority w:val="0"/>
    <w:pPr>
      <w:ind w:left="227" w:firstLine="482"/>
      <w:jc w:val="left"/>
    </w:pPr>
    <w:rPr>
      <w:rFonts w:ascii="Tahoma" w:hAnsi="Tahoma" w:eastAsia="仿宋_GB2312" w:cs="Times New Roman"/>
      <w:b/>
      <w:sz w:val="24"/>
      <w:szCs w:val="20"/>
    </w:rPr>
  </w:style>
  <w:style w:type="paragraph" w:customStyle="1" w:styleId="879">
    <w:name w:val="样式20"/>
    <w:basedOn w:val="669"/>
    <w:qFormat/>
    <w:uiPriority w:val="0"/>
    <w:pPr>
      <w:keepLines w:val="0"/>
      <w:widowControl w:val="0"/>
      <w:suppressLineNumbers w:val="0"/>
      <w:suppressAutoHyphens w:val="0"/>
      <w:jc w:val="left"/>
    </w:pPr>
    <w:rPr>
      <w:rFonts w:ascii="Times New Roman"/>
      <w:b/>
    </w:rPr>
  </w:style>
  <w:style w:type="paragraph" w:customStyle="1" w:styleId="880">
    <w:name w:val="第一部分"/>
    <w:basedOn w:val="3"/>
    <w:qFormat/>
    <w:uiPriority w:val="0"/>
    <w:pPr>
      <w:tabs>
        <w:tab w:val="left" w:pos="432"/>
      </w:tabs>
      <w:autoSpaceDE w:val="0"/>
      <w:spacing w:before="0" w:after="0" w:line="360" w:lineRule="auto"/>
      <w:jc w:val="center"/>
    </w:pPr>
    <w:rPr>
      <w:rFonts w:ascii="Arial" w:hAnsi="Arial" w:eastAsia="黑体"/>
      <w:b w:val="0"/>
      <w:bCs w:val="0"/>
      <w:spacing w:val="1"/>
      <w:sz w:val="36"/>
      <w:szCs w:val="20"/>
      <w:lang w:val="zh-CN"/>
    </w:rPr>
  </w:style>
  <w:style w:type="paragraph" w:customStyle="1" w:styleId="881">
    <w:name w:val="样式3-8"/>
    <w:basedOn w:val="1"/>
    <w:qFormat/>
    <w:uiPriority w:val="0"/>
    <w:pPr>
      <w:keepNext/>
      <w:keepLines/>
      <w:widowControl/>
      <w:suppressLineNumbers/>
      <w:tabs>
        <w:tab w:val="left" w:pos="1134"/>
      </w:tabs>
      <w:suppressAutoHyphens/>
      <w:spacing w:line="360" w:lineRule="auto"/>
      <w:ind w:left="1134" w:hanging="567"/>
      <w:jc w:val="center"/>
    </w:pPr>
    <w:rPr>
      <w:rFonts w:ascii="仿宋_GB2312" w:hAnsi="Times New Roman" w:eastAsia="仿宋_GB2312" w:cs="Times New Roman"/>
      <w:kern w:val="28"/>
      <w:sz w:val="28"/>
      <w:szCs w:val="20"/>
    </w:rPr>
  </w:style>
  <w:style w:type="paragraph" w:customStyle="1" w:styleId="882">
    <w:name w:val="样式1-6"/>
    <w:basedOn w:val="1"/>
    <w:qFormat/>
    <w:uiPriority w:val="0"/>
    <w:pPr>
      <w:keepNext/>
      <w:tabs>
        <w:tab w:val="left" w:pos="1134"/>
      </w:tabs>
      <w:spacing w:line="360" w:lineRule="auto"/>
      <w:ind w:left="1134" w:hanging="567"/>
      <w:jc w:val="left"/>
    </w:pPr>
    <w:rPr>
      <w:rFonts w:ascii="宋体" w:hAnsi="宋体" w:eastAsia="宋体" w:cs="Times New Roman"/>
      <w:color w:val="000000"/>
      <w:kern w:val="28"/>
      <w:sz w:val="28"/>
      <w:szCs w:val="20"/>
    </w:rPr>
  </w:style>
  <w:style w:type="paragraph" w:customStyle="1" w:styleId="883">
    <w:name w:val="Õý±í¸ñÄÚÈÝ"/>
    <w:basedOn w:val="1"/>
    <w:qFormat/>
    <w:uiPriority w:val="0"/>
    <w:pPr>
      <w:tabs>
        <w:tab w:val="left" w:pos="480"/>
      </w:tabs>
      <w:ind w:left="227" w:firstLine="482"/>
      <w:jc w:val="center"/>
    </w:pPr>
    <w:rPr>
      <w:rFonts w:ascii="宋体" w:hAnsi="Times New Roman" w:eastAsia="宋体" w:cs="Times New Roman"/>
      <w:kern w:val="0"/>
      <w:sz w:val="18"/>
      <w:szCs w:val="20"/>
    </w:rPr>
  </w:style>
  <w:style w:type="paragraph" w:customStyle="1" w:styleId="884">
    <w:name w:val="xl83"/>
    <w:basedOn w:val="1"/>
    <w:qFormat/>
    <w:uiPriority w:val="0"/>
    <w:pPr>
      <w:widowControl/>
      <w:pBdr>
        <w:bottom w:val="single" w:color="auto" w:sz="8" w:space="0"/>
      </w:pBdr>
      <w:spacing w:before="100" w:beforeAutospacing="1" w:after="100" w:afterAutospacing="1"/>
      <w:ind w:left="227" w:firstLine="482"/>
      <w:jc w:val="left"/>
    </w:pPr>
    <w:rPr>
      <w:rFonts w:ascii="宋体" w:hAnsi="宋体" w:eastAsia="宋体" w:cs="Times New Roman"/>
      <w:kern w:val="0"/>
      <w:sz w:val="24"/>
      <w:szCs w:val="20"/>
    </w:rPr>
  </w:style>
  <w:style w:type="paragraph" w:customStyle="1" w:styleId="885">
    <w:name w:val="Figure_#"/>
    <w:basedOn w:val="1"/>
    <w:next w:val="1"/>
    <w:qFormat/>
    <w:uiPriority w:val="0"/>
    <w:pPr>
      <w:keepNext/>
      <w:tabs>
        <w:tab w:val="left" w:pos="794"/>
        <w:tab w:val="left" w:pos="1191"/>
        <w:tab w:val="left" w:pos="1588"/>
        <w:tab w:val="left" w:pos="1985"/>
      </w:tabs>
      <w:spacing w:before="480" w:after="120"/>
      <w:ind w:left="227" w:firstLine="482"/>
      <w:jc w:val="center"/>
    </w:pPr>
    <w:rPr>
      <w:rFonts w:ascii="Times New Roman" w:hAnsi="Times New Roman" w:eastAsia="宋体" w:cs="Times New Roman"/>
      <w:caps/>
      <w:kern w:val="0"/>
      <w:sz w:val="24"/>
      <w:szCs w:val="20"/>
      <w:lang w:val="de-DE" w:eastAsia="en-US"/>
    </w:rPr>
  </w:style>
  <w:style w:type="paragraph" w:customStyle="1" w:styleId="886">
    <w:name w:val="样式1-2"/>
    <w:basedOn w:val="5"/>
    <w:qFormat/>
    <w:uiPriority w:val="0"/>
    <w:pPr>
      <w:widowControl/>
      <w:tabs>
        <w:tab w:val="left" w:pos="1134"/>
      </w:tabs>
      <w:adjustRightInd w:val="0"/>
      <w:snapToGrid w:val="0"/>
      <w:spacing w:line="360" w:lineRule="auto"/>
      <w:ind w:left="1134" w:hanging="567" w:firstLineChars="200"/>
      <w:jc w:val="left"/>
    </w:pPr>
    <w:rPr>
      <w:rFonts w:ascii="仿宋_GB2312" w:hAnsi="宋体" w:eastAsia="仿宋_GB2312"/>
      <w:color w:val="000000"/>
      <w:kern w:val="28"/>
      <w:sz w:val="28"/>
      <w:lang w:val="zh-CN"/>
    </w:rPr>
  </w:style>
  <w:style w:type="paragraph" w:customStyle="1" w:styleId="887">
    <w:name w:val="字元 字元 Char Char Char Char Char Char Char"/>
    <w:basedOn w:val="1"/>
    <w:qFormat/>
    <w:uiPriority w:val="0"/>
    <w:pPr>
      <w:ind w:left="227" w:firstLine="482"/>
      <w:jc w:val="left"/>
    </w:pPr>
    <w:rPr>
      <w:rFonts w:ascii="Tahoma" w:hAnsi="Tahoma" w:eastAsia="宋体" w:cs="Times New Roman"/>
      <w:sz w:val="24"/>
      <w:szCs w:val="20"/>
    </w:rPr>
  </w:style>
  <w:style w:type="paragraph" w:customStyle="1" w:styleId="888">
    <w:name w:val="标题2111"/>
    <w:basedOn w:val="862"/>
    <w:qFormat/>
    <w:uiPriority w:val="0"/>
    <w:pPr>
      <w:tabs>
        <w:tab w:val="clear" w:pos="851"/>
      </w:tabs>
      <w:ind w:left="0" w:firstLine="0"/>
    </w:pPr>
    <w:rPr>
      <w:b w:val="0"/>
    </w:rPr>
  </w:style>
  <w:style w:type="paragraph" w:customStyle="1" w:styleId="889">
    <w:name w:val="xl75"/>
    <w:basedOn w:val="1"/>
    <w:qFormat/>
    <w:uiPriority w:val="0"/>
    <w:pPr>
      <w:widowControl/>
      <w:pBdr>
        <w:top w:val="single" w:color="auto" w:sz="8" w:space="0"/>
        <w:left w:val="single" w:color="auto" w:sz="8" w:space="0"/>
        <w:bottom w:val="single" w:color="auto" w:sz="4"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90">
    <w:name w:val="目录4"/>
    <w:basedOn w:val="799"/>
    <w:qFormat/>
    <w:uiPriority w:val="0"/>
    <w:pPr>
      <w:keepNext/>
      <w:keepLines/>
      <w:widowControl/>
      <w:suppressLineNumbers/>
      <w:suppressAutoHyphens/>
    </w:pPr>
    <w:rPr>
      <w:rFonts w:eastAsia="仿宋_GB2312"/>
      <w:kern w:val="28"/>
      <w:sz w:val="28"/>
    </w:rPr>
  </w:style>
  <w:style w:type="paragraph" w:customStyle="1" w:styleId="891">
    <w:name w:val="默认段落字体 Para Char Char Char Char Char Char Char Char Char1 Char"/>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892">
    <w:name w:val="9L"/>
    <w:qFormat/>
    <w:uiPriority w:val="0"/>
    <w:pPr>
      <w:spacing w:line="360" w:lineRule="auto"/>
      <w:ind w:left="709" w:hanging="482"/>
    </w:pPr>
    <w:rPr>
      <w:rFonts w:ascii="Arial" w:hAnsi="Arial" w:eastAsia="Times New Roman" w:cs="Times New Roman"/>
      <w:sz w:val="14"/>
      <w:lang w:val="en-GB" w:eastAsia="en-US" w:bidi="ar-SA"/>
    </w:rPr>
  </w:style>
  <w:style w:type="paragraph" w:customStyle="1" w:styleId="893">
    <w:name w:val="xl98"/>
    <w:basedOn w:val="1"/>
    <w:qFormat/>
    <w:uiPriority w:val="0"/>
    <w:pPr>
      <w:widowControl/>
      <w:pBdr>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18"/>
      <w:szCs w:val="20"/>
    </w:rPr>
  </w:style>
  <w:style w:type="paragraph" w:customStyle="1" w:styleId="894">
    <w:name w:val="样式3-33"/>
    <w:basedOn w:val="628"/>
    <w:qFormat/>
    <w:uiPriority w:val="0"/>
  </w:style>
  <w:style w:type="paragraph" w:customStyle="1" w:styleId="895">
    <w:name w:val="样式3-27"/>
    <w:basedOn w:val="672"/>
    <w:qFormat/>
    <w:uiPriority w:val="0"/>
  </w:style>
  <w:style w:type="paragraph" w:customStyle="1" w:styleId="896">
    <w:name w:val="样式13"/>
    <w:basedOn w:val="1"/>
    <w:qFormat/>
    <w:uiPriority w:val="0"/>
    <w:pPr>
      <w:keepNext/>
      <w:tabs>
        <w:tab w:val="left" w:pos="1134"/>
      </w:tabs>
      <w:spacing w:line="360" w:lineRule="auto"/>
      <w:ind w:left="1134" w:hanging="567"/>
      <w:jc w:val="center"/>
    </w:pPr>
    <w:rPr>
      <w:rFonts w:ascii="仿宋_GB2312" w:hAnsi="Times New Roman" w:eastAsia="仿宋_GB2312" w:cs="Times New Roman"/>
      <w:b/>
      <w:kern w:val="28"/>
      <w:sz w:val="28"/>
      <w:szCs w:val="20"/>
    </w:rPr>
  </w:style>
  <w:style w:type="paragraph" w:customStyle="1" w:styleId="897">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Times New Roman" w:hAnsi="Times New Roman" w:eastAsia="宋体" w:cs="Times New Roman"/>
      <w:kern w:val="0"/>
      <w:sz w:val="20"/>
      <w:szCs w:val="20"/>
    </w:rPr>
  </w:style>
  <w:style w:type="paragraph" w:customStyle="1" w:styleId="898">
    <w:name w:val="zCoNa11p3bC"/>
    <w:qFormat/>
    <w:uiPriority w:val="0"/>
    <w:pPr>
      <w:spacing w:before="60" w:line="360" w:lineRule="auto"/>
      <w:ind w:left="57" w:right="57" w:hanging="482"/>
      <w:jc w:val="center"/>
    </w:pPr>
    <w:rPr>
      <w:rFonts w:ascii="Arial" w:hAnsi="Arial" w:eastAsia="宋体" w:cs="Times New Roman"/>
      <w:sz w:val="22"/>
      <w:lang w:val="en-US" w:eastAsia="en-US" w:bidi="ar-SA"/>
    </w:rPr>
  </w:style>
  <w:style w:type="paragraph" w:customStyle="1" w:styleId="899">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900">
    <w:name w:val="vierkant_n1"/>
    <w:qFormat/>
    <w:uiPriority w:val="0"/>
    <w:pPr>
      <w:tabs>
        <w:tab w:val="left" w:pos="1418"/>
      </w:tabs>
      <w:spacing w:line="360" w:lineRule="auto"/>
      <w:ind w:left="1418" w:hanging="284"/>
      <w:jc w:val="both"/>
    </w:pPr>
    <w:rPr>
      <w:rFonts w:ascii="Arial" w:hAnsi="Arial" w:eastAsia="Times New Roman" w:cs="Times New Roman"/>
      <w:sz w:val="22"/>
      <w:lang w:val="en-GB" w:eastAsia="en-US" w:bidi="ar-SA"/>
    </w:rPr>
  </w:style>
  <w:style w:type="paragraph" w:customStyle="1" w:styleId="901">
    <w:name w:val="方案正文"/>
    <w:qFormat/>
    <w:uiPriority w:val="0"/>
    <w:pPr>
      <w:widowControl w:val="0"/>
      <w:adjustRightInd w:val="0"/>
      <w:snapToGrid w:val="0"/>
      <w:spacing w:line="440" w:lineRule="exact"/>
      <w:ind w:left="709" w:firstLine="200" w:firstLineChars="200"/>
    </w:pPr>
    <w:rPr>
      <w:rFonts w:ascii="Times New Roman" w:hAnsi="Times New Roman" w:eastAsia="宋体" w:cs="Times New Roman"/>
      <w:sz w:val="26"/>
      <w:lang w:val="en-US" w:eastAsia="zh-CN" w:bidi="ar-SA"/>
    </w:rPr>
  </w:style>
  <w:style w:type="paragraph" w:customStyle="1" w:styleId="902">
    <w:name w:val="zClause6p0bL"/>
    <w:qFormat/>
    <w:uiPriority w:val="0"/>
    <w:pPr>
      <w:pBdr>
        <w:bottom w:val="single" w:color="auto" w:sz="6" w:space="1"/>
      </w:pBdr>
      <w:spacing w:line="360" w:lineRule="auto"/>
      <w:ind w:left="709" w:hanging="482"/>
    </w:pPr>
    <w:rPr>
      <w:rFonts w:ascii="Arial" w:hAnsi="Arial" w:eastAsia="宋体" w:cs="Times New Roman"/>
      <w:sz w:val="12"/>
      <w:lang w:val="en-US" w:eastAsia="en-US" w:bidi="ar-SA"/>
    </w:rPr>
  </w:style>
  <w:style w:type="paragraph" w:customStyle="1" w:styleId="903">
    <w:name w:val="标题411"/>
    <w:basedOn w:val="6"/>
    <w:qFormat/>
    <w:uiPriority w:val="0"/>
    <w:pPr>
      <w:keepNext w:val="0"/>
      <w:widowControl/>
      <w:tabs>
        <w:tab w:val="left" w:pos="340"/>
        <w:tab w:val="left" w:pos="567"/>
        <w:tab w:val="left" w:pos="1134"/>
      </w:tabs>
      <w:adjustRightInd w:val="0"/>
      <w:snapToGrid w:val="0"/>
      <w:spacing w:before="0" w:after="0" w:line="360" w:lineRule="auto"/>
      <w:ind w:left="1134" w:hanging="567"/>
      <w:jc w:val="left"/>
    </w:pPr>
    <w:rPr>
      <w:rFonts w:ascii="Times New Roman" w:hAnsi="宋体"/>
      <w:b w:val="0"/>
      <w:bCs w:val="0"/>
      <w:kern w:val="0"/>
      <w:szCs w:val="24"/>
      <w:lang w:val="zh-CN"/>
    </w:rPr>
  </w:style>
  <w:style w:type="paragraph" w:customStyle="1" w:styleId="904">
    <w:name w:val="样式8"/>
    <w:basedOn w:val="1"/>
    <w:qFormat/>
    <w:uiPriority w:val="0"/>
    <w:pPr>
      <w:keepNext/>
      <w:tabs>
        <w:tab w:val="left" w:pos="1134"/>
      </w:tabs>
      <w:spacing w:line="360" w:lineRule="auto"/>
      <w:ind w:left="1134" w:hanging="567"/>
      <w:jc w:val="center"/>
    </w:pPr>
    <w:rPr>
      <w:rFonts w:ascii="仿宋_GB2312" w:hAnsi="Times New Roman" w:eastAsia="仿宋_GB2312" w:cs="Times New Roman"/>
      <w:b/>
      <w:kern w:val="28"/>
      <w:sz w:val="28"/>
      <w:szCs w:val="20"/>
    </w:rPr>
  </w:style>
  <w:style w:type="paragraph" w:customStyle="1" w:styleId="905">
    <w:name w:val="●"/>
    <w:basedOn w:val="1"/>
    <w:qFormat/>
    <w:uiPriority w:val="0"/>
    <w:pPr>
      <w:tabs>
        <w:tab w:val="left" w:leader="dot" w:pos="1701"/>
        <w:tab w:val="left" w:pos="9072"/>
      </w:tabs>
      <w:snapToGrid w:val="0"/>
      <w:spacing w:before="120" w:after="120" w:line="360" w:lineRule="atLeast"/>
      <w:ind w:left="2485" w:hanging="360"/>
      <w:jc w:val="left"/>
    </w:pPr>
    <w:rPr>
      <w:rFonts w:ascii="Times New Roman" w:hAnsi="Times New Roman" w:eastAsia="宋体" w:cs="Times New Roman"/>
      <w:kern w:val="21"/>
      <w:szCs w:val="20"/>
    </w:rPr>
  </w:style>
  <w:style w:type="paragraph" w:customStyle="1" w:styleId="906">
    <w:name w:val="Table Heading"/>
    <w:qFormat/>
    <w:uiPriority w:val="0"/>
    <w:pPr>
      <w:snapToGrid w:val="0"/>
      <w:spacing w:line="360" w:lineRule="auto"/>
      <w:ind w:left="709" w:hanging="482"/>
      <w:jc w:val="center"/>
    </w:pPr>
    <w:rPr>
      <w:rFonts w:ascii="Arial" w:hAnsi="Arial" w:eastAsia="黑体" w:cs="Times New Roman"/>
      <w:sz w:val="18"/>
      <w:lang w:val="en-US" w:eastAsia="en-US" w:bidi="ar-SA"/>
    </w:rPr>
  </w:style>
  <w:style w:type="paragraph" w:customStyle="1" w:styleId="907">
    <w:name w:val="样式1-5"/>
    <w:basedOn w:val="1"/>
    <w:qFormat/>
    <w:uiPriority w:val="0"/>
    <w:pPr>
      <w:keepNext/>
      <w:keepLines/>
      <w:widowControl/>
      <w:suppressLineNumbers/>
      <w:tabs>
        <w:tab w:val="left" w:pos="1134"/>
      </w:tabs>
      <w:suppressAutoHyphens/>
      <w:spacing w:line="360" w:lineRule="auto"/>
      <w:ind w:left="1134" w:hanging="567"/>
      <w:jc w:val="left"/>
    </w:pPr>
    <w:rPr>
      <w:rFonts w:ascii="仿宋_GB2312" w:hAnsi="Times New Roman" w:eastAsia="仿宋_GB2312" w:cs="Times New Roman"/>
      <w:kern w:val="28"/>
      <w:sz w:val="28"/>
      <w:szCs w:val="20"/>
    </w:rPr>
  </w:style>
  <w:style w:type="paragraph" w:customStyle="1" w:styleId="908">
    <w:name w:val="字元 字元 Char Char Char Char Char Char Char1"/>
    <w:basedOn w:val="1"/>
    <w:qFormat/>
    <w:uiPriority w:val="0"/>
    <w:pPr>
      <w:spacing w:line="480" w:lineRule="exact"/>
      <w:ind w:left="227" w:firstLine="200" w:firstLineChars="200"/>
      <w:jc w:val="left"/>
    </w:pPr>
    <w:rPr>
      <w:rFonts w:ascii="Times New Roman" w:hAnsi="Times New Roman" w:eastAsia="宋体" w:cs="Times New Roman"/>
      <w:sz w:val="24"/>
      <w:szCs w:val="20"/>
    </w:rPr>
  </w:style>
  <w:style w:type="character" w:customStyle="1" w:styleId="909">
    <w:name w:val="Char Char Char Char Char1"/>
    <w:qFormat/>
    <w:uiPriority w:val="0"/>
    <w:rPr>
      <w:rFonts w:ascii="宋体" w:hAnsi="宋体" w:eastAsia="宋体"/>
      <w:kern w:val="2"/>
      <w:sz w:val="24"/>
      <w:lang w:val="en-US" w:eastAsia="zh-CN" w:bidi="ar-SA"/>
    </w:rPr>
  </w:style>
  <w:style w:type="paragraph" w:customStyle="1" w:styleId="910">
    <w:name w:val="正文(首行缩进)"/>
    <w:basedOn w:val="1"/>
    <w:qFormat/>
    <w:uiPriority w:val="0"/>
    <w:pPr>
      <w:spacing w:line="420" w:lineRule="atLeast"/>
      <w:ind w:left="227" w:firstLine="200" w:firstLineChars="200"/>
      <w:jc w:val="left"/>
    </w:pPr>
    <w:rPr>
      <w:rFonts w:ascii="Times New Roman" w:hAnsi="Times New Roman" w:eastAsia="仿宋_GB2312" w:cs="Times New Roman"/>
      <w:snapToGrid w:val="0"/>
      <w:kern w:val="0"/>
      <w:sz w:val="24"/>
      <w:szCs w:val="24"/>
    </w:rPr>
  </w:style>
  <w:style w:type="paragraph" w:customStyle="1" w:styleId="911">
    <w:name w:val="样式 表格中 5号居中无空格 + 宋体"/>
    <w:basedOn w:val="764"/>
    <w:qFormat/>
    <w:uiPriority w:val="0"/>
    <w:pPr>
      <w:textAlignment w:val="center"/>
    </w:pPr>
    <w:rPr>
      <w:rFonts w:ascii="宋体"/>
    </w:rPr>
  </w:style>
  <w:style w:type="paragraph" w:customStyle="1" w:styleId="912">
    <w:name w:val="样式 说明书  正文 + 首行缩进:  2 字符"/>
    <w:basedOn w:val="1"/>
    <w:qFormat/>
    <w:uiPriority w:val="0"/>
    <w:pPr>
      <w:adjustRightInd w:val="0"/>
      <w:snapToGrid w:val="0"/>
      <w:spacing w:line="460" w:lineRule="exact"/>
      <w:ind w:left="227" w:firstLine="480" w:firstLineChars="200"/>
      <w:jc w:val="left"/>
    </w:pPr>
    <w:rPr>
      <w:rFonts w:ascii="Times New Roman" w:hAnsi="Times New Roman" w:eastAsia="宋体" w:cs="宋体"/>
      <w:sz w:val="24"/>
      <w:szCs w:val="20"/>
    </w:rPr>
  </w:style>
  <w:style w:type="paragraph" w:customStyle="1" w:styleId="913">
    <w:name w:val="Char Char Char Char Char Char Char Char Char Char Char Char Char"/>
    <w:basedOn w:val="1"/>
    <w:qFormat/>
    <w:uiPriority w:val="0"/>
    <w:pPr>
      <w:ind w:left="227" w:firstLine="482"/>
      <w:jc w:val="left"/>
    </w:pPr>
    <w:rPr>
      <w:rFonts w:ascii="仿宋_GB2312" w:hAnsi="Times New Roman" w:eastAsia="仿宋_GB2312" w:cs="Times New Roman"/>
      <w:b/>
      <w:sz w:val="32"/>
      <w:szCs w:val="32"/>
    </w:rPr>
  </w:style>
  <w:style w:type="paragraph" w:customStyle="1" w:styleId="914">
    <w:name w:val="正文段落格式"/>
    <w:basedOn w:val="276"/>
    <w:link w:val="915"/>
    <w:qFormat/>
    <w:uiPriority w:val="0"/>
    <w:pPr>
      <w:autoSpaceDE/>
      <w:autoSpaceDN/>
      <w:adjustRightInd/>
      <w:snapToGrid/>
      <w:spacing w:line="480" w:lineRule="exact"/>
      <w:ind w:left="227" w:firstLine="200" w:firstLineChars="200"/>
      <w:jc w:val="left"/>
    </w:pPr>
    <w:rPr>
      <w:rFonts w:ascii="Times New Roman" w:hAnsi="Times New Roman"/>
      <w:szCs w:val="20"/>
    </w:rPr>
  </w:style>
  <w:style w:type="character" w:customStyle="1" w:styleId="915">
    <w:name w:val="正文段落格式 Char"/>
    <w:link w:val="914"/>
    <w:qFormat/>
    <w:uiPriority w:val="0"/>
    <w:rPr>
      <w:rFonts w:ascii="Times New Roman" w:hAnsi="Times New Roman" w:eastAsia="宋体" w:cs="宋体"/>
      <w:sz w:val="24"/>
      <w:szCs w:val="20"/>
    </w:rPr>
  </w:style>
  <w:style w:type="paragraph" w:customStyle="1" w:styleId="916">
    <w:name w:val="Normal 2"/>
    <w:basedOn w:val="1"/>
    <w:qFormat/>
    <w:uiPriority w:val="0"/>
    <w:pPr>
      <w:keepNext/>
      <w:keepLines/>
      <w:widowControl/>
      <w:tabs>
        <w:tab w:val="left" w:pos="720"/>
      </w:tabs>
      <w:suppressAutoHyphens/>
      <w:ind w:left="720" w:right="170" w:hanging="720"/>
      <w:jc w:val="left"/>
    </w:pPr>
    <w:rPr>
      <w:rFonts w:ascii="Times New Roman" w:hAnsi="Times New Roman" w:eastAsia="宋体" w:cs="Times New Roman"/>
      <w:snapToGrid w:val="0"/>
      <w:kern w:val="0"/>
      <w:sz w:val="20"/>
      <w:szCs w:val="20"/>
      <w:lang w:val="fr-FR"/>
    </w:rPr>
  </w:style>
  <w:style w:type="paragraph" w:customStyle="1" w:styleId="917">
    <w:name w:val="Texte3"/>
    <w:basedOn w:val="1"/>
    <w:qFormat/>
    <w:uiPriority w:val="0"/>
    <w:pPr>
      <w:widowControl/>
      <w:ind w:left="964" w:firstLine="482"/>
      <w:jc w:val="left"/>
    </w:pPr>
    <w:rPr>
      <w:rFonts w:ascii="Arial" w:hAnsi="Arial" w:eastAsia="宋体" w:cs="Times New Roman"/>
      <w:kern w:val="0"/>
      <w:sz w:val="24"/>
      <w:szCs w:val="20"/>
      <w:lang w:val="fr-FR"/>
    </w:rPr>
  </w:style>
  <w:style w:type="paragraph" w:customStyle="1" w:styleId="918">
    <w:name w:val="Texte2"/>
    <w:basedOn w:val="1"/>
    <w:qFormat/>
    <w:uiPriority w:val="0"/>
    <w:pPr>
      <w:widowControl/>
      <w:ind w:left="624" w:firstLine="482"/>
      <w:jc w:val="left"/>
    </w:pPr>
    <w:rPr>
      <w:rFonts w:ascii="Arial" w:hAnsi="Arial" w:eastAsia="宋体" w:cs="Times New Roman"/>
      <w:kern w:val="0"/>
      <w:sz w:val="24"/>
      <w:szCs w:val="20"/>
      <w:lang w:val="fr-FR"/>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920">
    <w:name w:val="编号标题2 Char Char Char Char Char Char Char Char Char Char Ch"/>
    <w:qFormat/>
    <w:uiPriority w:val="0"/>
    <w:rPr>
      <w:rFonts w:ascii="Arial" w:hAnsi="Arial" w:eastAsia="黑体"/>
      <w:bCs/>
      <w:kern w:val="2"/>
      <w:sz w:val="21"/>
      <w:szCs w:val="32"/>
      <w:lang w:val="en-US" w:eastAsia="zh-CN" w:bidi="ar-SA"/>
    </w:rPr>
  </w:style>
  <w:style w:type="character" w:customStyle="1" w:styleId="921">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Times New Roman" w:hAnsi="Times New Roman" w:eastAsia="宋体"/>
      <w:bCs/>
      <w:sz w:val="28"/>
      <w:szCs w:val="28"/>
    </w:rPr>
  </w:style>
  <w:style w:type="paragraph" w:customStyle="1" w:styleId="922">
    <w:name w:val="Titre 2 lignes module"/>
    <w:basedOn w:val="1"/>
    <w:qFormat/>
    <w:uiPriority w:val="0"/>
    <w:pPr>
      <w:widowControl/>
      <w:spacing w:before="120"/>
      <w:ind w:left="227" w:firstLine="482"/>
      <w:jc w:val="center"/>
    </w:pPr>
    <w:rPr>
      <w:rFonts w:ascii="Arial" w:hAnsi="Arial" w:eastAsia="宋体" w:cs="Times New Roman"/>
      <w:b/>
      <w:kern w:val="0"/>
      <w:sz w:val="24"/>
      <w:szCs w:val="20"/>
      <w:lang w:eastAsia="fr-FR"/>
    </w:rPr>
  </w:style>
  <w:style w:type="paragraph" w:customStyle="1" w:styleId="923">
    <w:name w:val="Tableau_norm2droite"/>
    <w:basedOn w:val="1"/>
    <w:qFormat/>
    <w:uiPriority w:val="0"/>
    <w:pPr>
      <w:widowControl/>
      <w:spacing w:before="72"/>
      <w:ind w:left="227" w:firstLine="482"/>
      <w:jc w:val="right"/>
    </w:pPr>
    <w:rPr>
      <w:rFonts w:ascii="Arial" w:hAnsi="Arial" w:eastAsia="宋体" w:cs="Times New Roman"/>
      <w:kern w:val="0"/>
      <w:sz w:val="24"/>
      <w:szCs w:val="20"/>
      <w:lang w:eastAsia="fr-FR"/>
    </w:rPr>
  </w:style>
  <w:style w:type="character" w:customStyle="1" w:styleId="924">
    <w:name w:val="标题 1 1 Char Char Char Char"/>
    <w:qFormat/>
    <w:uiPriority w:val="0"/>
    <w:rPr>
      <w:rFonts w:eastAsia="黑体"/>
      <w:bCs/>
      <w:kern w:val="44"/>
      <w:sz w:val="21"/>
      <w:szCs w:val="44"/>
      <w:lang w:val="en-US" w:eastAsia="zh-CN" w:bidi="ar-SA"/>
    </w:rPr>
  </w:style>
  <w:style w:type="character" w:customStyle="1" w:styleId="925">
    <w:name w:val="编号标题2 Char Char Char"/>
    <w:qFormat/>
    <w:uiPriority w:val="0"/>
    <w:rPr>
      <w:rFonts w:ascii="Arial" w:hAnsi="Arial" w:eastAsia="黑体"/>
      <w:bCs/>
      <w:kern w:val="2"/>
      <w:sz w:val="21"/>
      <w:szCs w:val="32"/>
      <w:lang w:val="en-US" w:eastAsia="zh-CN" w:bidi="ar-SA"/>
    </w:rPr>
  </w:style>
  <w:style w:type="character" w:customStyle="1" w:styleId="926">
    <w:name w:val="text12st_hs1"/>
    <w:qFormat/>
    <w:uiPriority w:val="0"/>
    <w:rPr>
      <w:color w:val="000000"/>
      <w:sz w:val="19"/>
      <w:szCs w:val="19"/>
      <w:u w:val="none"/>
    </w:rPr>
  </w:style>
  <w:style w:type="paragraph" w:customStyle="1" w:styleId="927">
    <w:name w:val="表格文本"/>
    <w:basedOn w:val="1"/>
    <w:link w:val="928"/>
    <w:qFormat/>
    <w:uiPriority w:val="0"/>
    <w:pPr>
      <w:spacing w:line="360" w:lineRule="auto"/>
      <w:ind w:left="227" w:firstLine="482"/>
      <w:jc w:val="center"/>
    </w:pPr>
    <w:rPr>
      <w:rFonts w:ascii="Arial" w:hAnsi="Arial" w:eastAsia="宋体" w:cs="Arial"/>
      <w:snapToGrid w:val="0"/>
      <w:color w:val="000000"/>
      <w:kern w:val="0"/>
      <w:szCs w:val="20"/>
    </w:rPr>
  </w:style>
  <w:style w:type="character" w:customStyle="1" w:styleId="928">
    <w:name w:val="表格文本 Char"/>
    <w:link w:val="927"/>
    <w:qFormat/>
    <w:uiPriority w:val="0"/>
    <w:rPr>
      <w:rFonts w:ascii="Arial" w:hAnsi="Arial" w:eastAsia="宋体" w:cs="Arial"/>
      <w:snapToGrid w:val="0"/>
      <w:color w:val="000000"/>
      <w:kern w:val="0"/>
      <w:szCs w:val="20"/>
    </w:rPr>
  </w:style>
  <w:style w:type="character" w:customStyle="1" w:styleId="929">
    <w:name w:val="样式 宋体 小四1"/>
    <w:qFormat/>
    <w:uiPriority w:val="0"/>
    <w:rPr>
      <w:rFonts w:ascii="宋体" w:hAnsi="宋体"/>
      <w:sz w:val="24"/>
    </w:rPr>
  </w:style>
  <w:style w:type="paragraph" w:customStyle="1" w:styleId="930">
    <w:name w:val="t1"/>
    <w:basedOn w:val="1"/>
    <w:qFormat/>
    <w:uiPriority w:val="0"/>
    <w:pPr>
      <w:tabs>
        <w:tab w:val="left" w:pos="420"/>
        <w:tab w:val="left" w:pos="879"/>
      </w:tabs>
      <w:spacing w:after="120" w:line="360" w:lineRule="auto"/>
      <w:ind w:left="1155" w:hanging="215"/>
      <w:jc w:val="left"/>
    </w:pPr>
    <w:rPr>
      <w:rFonts w:ascii="宋体" w:hAnsi="Times New Roman" w:eastAsia="宋体" w:cs="Times New Roman"/>
      <w:sz w:val="24"/>
      <w:szCs w:val="20"/>
    </w:rPr>
  </w:style>
  <w:style w:type="paragraph" w:customStyle="1" w:styleId="931">
    <w:name w:val="一"/>
    <w:basedOn w:val="3"/>
    <w:qFormat/>
    <w:uiPriority w:val="0"/>
    <w:pPr>
      <w:keepNext w:val="0"/>
      <w:keepLines w:val="0"/>
      <w:tabs>
        <w:tab w:val="left" w:pos="432"/>
      </w:tabs>
      <w:autoSpaceDE w:val="0"/>
      <w:autoSpaceDN w:val="0"/>
      <w:adjustRightInd w:val="0"/>
      <w:spacing w:before="0" w:after="0" w:line="360" w:lineRule="auto"/>
      <w:jc w:val="left"/>
    </w:pPr>
    <w:rPr>
      <w:rFonts w:ascii="宋体" w:hAnsi="宋体"/>
      <w:kern w:val="0"/>
      <w:sz w:val="28"/>
      <w:szCs w:val="20"/>
      <w:lang w:val="zh-CN"/>
    </w:rPr>
  </w:style>
  <w:style w:type="character" w:customStyle="1" w:styleId="932">
    <w:name w:val="一 Char"/>
    <w:qFormat/>
    <w:uiPriority w:val="0"/>
    <w:rPr>
      <w:rFonts w:ascii="宋体" w:hAnsi="宋体" w:eastAsia="宋体"/>
      <w:b/>
      <w:bCs/>
      <w:sz w:val="28"/>
      <w:lang w:val="en-US" w:eastAsia="zh-CN" w:bidi="ar-SA"/>
    </w:rPr>
  </w:style>
  <w:style w:type="paragraph" w:customStyle="1" w:styleId="933">
    <w:name w:val="1.1"/>
    <w:basedOn w:val="4"/>
    <w:qFormat/>
    <w:uiPriority w:val="0"/>
    <w:pPr>
      <w:keepNext w:val="0"/>
      <w:keepLines w:val="0"/>
      <w:widowControl/>
      <w:autoSpaceDE w:val="0"/>
      <w:autoSpaceDN w:val="0"/>
      <w:adjustRightInd w:val="0"/>
      <w:snapToGrid w:val="0"/>
      <w:spacing w:before="0" w:after="0" w:line="360" w:lineRule="auto"/>
      <w:jc w:val="left"/>
      <w:outlineLvl w:val="2"/>
    </w:pPr>
    <w:rPr>
      <w:rFonts w:ascii="宋体" w:hAnsi="宋体" w:eastAsia="宋体"/>
      <w:kern w:val="0"/>
      <w:sz w:val="21"/>
      <w:lang w:val="zh-CN"/>
    </w:rPr>
  </w:style>
  <w:style w:type="paragraph" w:customStyle="1" w:styleId="934">
    <w:name w:val="点项"/>
    <w:basedOn w:val="1"/>
    <w:qFormat/>
    <w:uiPriority w:val="0"/>
    <w:pPr>
      <w:spacing w:line="360" w:lineRule="auto"/>
      <w:ind w:left="227" w:firstLine="482"/>
      <w:jc w:val="left"/>
    </w:pPr>
    <w:rPr>
      <w:rFonts w:ascii="Times New Roman" w:hAnsi="Times New Roman" w:eastAsia="宋体" w:cs="Times New Roman"/>
      <w:bCs/>
      <w:szCs w:val="24"/>
    </w:rPr>
  </w:style>
  <w:style w:type="paragraph" w:customStyle="1" w:styleId="935">
    <w:name w:val="样式 题注 + 首行缩进:  2 字符"/>
    <w:basedOn w:val="22"/>
    <w:qFormat/>
    <w:uiPriority w:val="0"/>
    <w:pPr>
      <w:adjustRightInd w:val="0"/>
      <w:snapToGrid w:val="0"/>
      <w:spacing w:line="500" w:lineRule="exact"/>
      <w:ind w:left="227" w:firstLine="482"/>
      <w:jc w:val="center"/>
    </w:pPr>
    <w:rPr>
      <w:rFonts w:ascii="Arial" w:hAnsi="Arial" w:eastAsia="宋体"/>
      <w:snapToGrid w:val="0"/>
      <w:kern w:val="24"/>
      <w:sz w:val="24"/>
      <w:szCs w:val="24"/>
    </w:rPr>
  </w:style>
  <w:style w:type="paragraph" w:customStyle="1" w:styleId="936">
    <w:name w:val="正文段落"/>
    <w:basedOn w:val="1"/>
    <w:qFormat/>
    <w:uiPriority w:val="0"/>
    <w:pPr>
      <w:autoSpaceDE w:val="0"/>
      <w:autoSpaceDN w:val="0"/>
      <w:adjustRightInd w:val="0"/>
      <w:spacing w:line="360" w:lineRule="auto"/>
      <w:ind w:left="227" w:firstLine="567"/>
      <w:jc w:val="left"/>
      <w:textAlignment w:val="baseline"/>
    </w:pPr>
    <w:rPr>
      <w:rFonts w:ascii="宋体" w:hAnsi="Tms Rmn" w:eastAsia="宋体" w:cs="Times New Roman"/>
      <w:kern w:val="0"/>
      <w:sz w:val="28"/>
      <w:szCs w:val="20"/>
    </w:rPr>
  </w:style>
  <w:style w:type="character" w:customStyle="1" w:styleId="937">
    <w:name w:val="Style 新細明體 14 pt"/>
    <w:qFormat/>
    <w:uiPriority w:val="0"/>
    <w:rPr>
      <w:rFonts w:ascii="PMingLiU" w:hAnsi="PMingLiU"/>
      <w:spacing w:val="30"/>
      <w:sz w:val="28"/>
    </w:rPr>
  </w:style>
  <w:style w:type="paragraph" w:customStyle="1" w:styleId="938">
    <w:name w:val="应答条款 Char Char"/>
    <w:basedOn w:val="1"/>
    <w:next w:val="1"/>
    <w:qFormat/>
    <w:uiPriority w:val="0"/>
    <w:pPr>
      <w:spacing w:after="50" w:afterLines="50" w:line="320" w:lineRule="exact"/>
      <w:ind w:left="227" w:firstLine="200" w:firstLineChars="200"/>
      <w:jc w:val="left"/>
    </w:pPr>
    <w:rPr>
      <w:rFonts w:ascii="Arial" w:hAnsi="Arial" w:eastAsia="宋体" w:cs="Arial"/>
      <w:snapToGrid w:val="0"/>
      <w:color w:val="0000FF"/>
      <w:kern w:val="0"/>
      <w:szCs w:val="21"/>
      <w:lang w:val="en-GB"/>
    </w:rPr>
  </w:style>
  <w:style w:type="paragraph" w:customStyle="1" w:styleId="939">
    <w:name w:val="小标题"/>
    <w:basedOn w:val="1"/>
    <w:qFormat/>
    <w:uiPriority w:val="0"/>
    <w:pPr>
      <w:ind w:left="200" w:leftChars="200" w:firstLine="482"/>
      <w:jc w:val="left"/>
    </w:pPr>
    <w:rPr>
      <w:rFonts w:ascii="Arial" w:hAnsi="Arial" w:eastAsia="宋体" w:cs="Times New Roman"/>
      <w:b/>
      <w:bCs/>
      <w:szCs w:val="20"/>
    </w:rPr>
  </w:style>
  <w:style w:type="paragraph" w:customStyle="1" w:styleId="940">
    <w:name w:val="Body2"/>
    <w:basedOn w:val="3"/>
    <w:qFormat/>
    <w:uiPriority w:val="0"/>
    <w:pPr>
      <w:keepLines w:val="0"/>
      <w:widowControl/>
      <w:tabs>
        <w:tab w:val="left" w:pos="432"/>
        <w:tab w:val="left" w:pos="1008"/>
      </w:tabs>
      <w:spacing w:before="120" w:after="240" w:line="240" w:lineRule="auto"/>
      <w:ind w:left="1152"/>
      <w:jc w:val="left"/>
      <w:outlineLvl w:val="9"/>
    </w:pPr>
    <w:rPr>
      <w:rFonts w:ascii="Arial" w:hAnsi="Arial" w:eastAsia="PMingLiU"/>
      <w:bCs w:val="0"/>
      <w:kern w:val="0"/>
      <w:sz w:val="28"/>
      <w:szCs w:val="28"/>
      <w:lang w:val="zh-CN" w:eastAsia="zh-TW"/>
    </w:rPr>
  </w:style>
  <w:style w:type="paragraph" w:customStyle="1" w:styleId="941">
    <w:name w:val="Body6"/>
    <w:basedOn w:val="8"/>
    <w:qFormat/>
    <w:uiPriority w:val="0"/>
    <w:pPr>
      <w:keepNext w:val="0"/>
      <w:keepLines w:val="0"/>
      <w:widowControl/>
      <w:tabs>
        <w:tab w:val="left" w:pos="360"/>
        <w:tab w:val="left" w:pos="1008"/>
        <w:tab w:val="left" w:pos="1152"/>
      </w:tabs>
      <w:snapToGrid/>
      <w:spacing w:before="0" w:after="240" w:line="240" w:lineRule="auto"/>
      <w:ind w:left="1728"/>
      <w:jc w:val="left"/>
      <w:outlineLvl w:val="9"/>
    </w:pPr>
    <w:rPr>
      <w:rFonts w:eastAsia="PMingLiU"/>
      <w:b w:val="0"/>
      <w:kern w:val="0"/>
      <w:lang w:val="zh-CN" w:eastAsia="zh-TW"/>
    </w:rPr>
  </w:style>
  <w:style w:type="paragraph" w:customStyle="1" w:styleId="942">
    <w:name w:val="Body1"/>
    <w:basedOn w:val="3"/>
    <w:qFormat/>
    <w:uiPriority w:val="0"/>
    <w:pPr>
      <w:keepLines w:val="0"/>
      <w:widowControl/>
      <w:tabs>
        <w:tab w:val="left" w:pos="432"/>
        <w:tab w:val="left" w:pos="1008"/>
      </w:tabs>
      <w:spacing w:before="120" w:after="240" w:line="240" w:lineRule="auto"/>
      <w:ind w:left="1008" w:hanging="1008"/>
      <w:jc w:val="left"/>
      <w:outlineLvl w:val="9"/>
    </w:pPr>
    <w:rPr>
      <w:rFonts w:ascii="Arial" w:hAnsi="Arial" w:eastAsia="PMingLiU"/>
      <w:b w:val="0"/>
      <w:bCs w:val="0"/>
      <w:caps/>
      <w:kern w:val="28"/>
      <w:sz w:val="28"/>
      <w:szCs w:val="28"/>
      <w:lang w:val="zh-CN" w:eastAsia="zh-TW"/>
    </w:rPr>
  </w:style>
  <w:style w:type="paragraph" w:customStyle="1" w:styleId="943">
    <w:name w:val="Body7"/>
    <w:basedOn w:val="9"/>
    <w:qFormat/>
    <w:uiPriority w:val="0"/>
    <w:pPr>
      <w:keepNext w:val="0"/>
      <w:keepLines w:val="0"/>
      <w:widowControl/>
      <w:numPr>
        <w:ilvl w:val="3"/>
        <w:numId w:val="3"/>
      </w:numPr>
      <w:tabs>
        <w:tab w:val="left" w:pos="1296"/>
        <w:tab w:val="left" w:pos="1553"/>
        <w:tab w:val="clear" w:pos="2160"/>
      </w:tabs>
      <w:adjustRightInd/>
      <w:spacing w:before="0" w:after="240" w:line="240" w:lineRule="auto"/>
      <w:ind w:left="2304" w:firstLine="0"/>
      <w:jc w:val="left"/>
      <w:textAlignment w:val="auto"/>
      <w:outlineLvl w:val="9"/>
    </w:pPr>
    <w:rPr>
      <w:rFonts w:ascii="Arial" w:hAnsi="Arial" w:eastAsia="PMingLiU"/>
      <w:b w:val="0"/>
      <w:bCs w:val="0"/>
      <w:kern w:val="0"/>
      <w:szCs w:val="20"/>
      <w:lang w:val="zh-CN" w:eastAsia="zh-TW"/>
    </w:rPr>
  </w:style>
  <w:style w:type="paragraph" w:customStyle="1" w:styleId="944">
    <w:name w:val="Style Heading 1 + Justified"/>
    <w:basedOn w:val="3"/>
    <w:qFormat/>
    <w:uiPriority w:val="0"/>
    <w:pPr>
      <w:keepLines w:val="0"/>
      <w:widowControl/>
      <w:numPr>
        <w:ilvl w:val="4"/>
        <w:numId w:val="4"/>
      </w:numPr>
      <w:tabs>
        <w:tab w:val="left" w:pos="432"/>
        <w:tab w:val="left" w:pos="1008"/>
        <w:tab w:val="left" w:pos="1152"/>
        <w:tab w:val="clear" w:pos="2160"/>
      </w:tabs>
      <w:spacing w:before="120" w:after="360" w:line="240" w:lineRule="auto"/>
      <w:ind w:left="1152" w:hanging="1152"/>
      <w:jc w:val="left"/>
    </w:pPr>
    <w:rPr>
      <w:rFonts w:ascii="Arial" w:hAnsi="Arial" w:eastAsia="PMingLiU" w:cs="PMingLiU"/>
      <w:bCs w:val="0"/>
      <w:kern w:val="28"/>
      <w:sz w:val="28"/>
      <w:szCs w:val="28"/>
      <w:lang w:val="zh-CN" w:eastAsia="zh-TW"/>
    </w:rPr>
  </w:style>
  <w:style w:type="paragraph" w:customStyle="1" w:styleId="945">
    <w:name w:val="Style Heading 4 + Justified"/>
    <w:basedOn w:val="6"/>
    <w:qFormat/>
    <w:uiPriority w:val="0"/>
    <w:pPr>
      <w:keepNext w:val="0"/>
      <w:widowControl/>
      <w:tabs>
        <w:tab w:val="left" w:pos="340"/>
        <w:tab w:val="left" w:pos="567"/>
        <w:tab w:val="left" w:pos="1680"/>
      </w:tabs>
      <w:adjustRightInd w:val="0"/>
      <w:snapToGrid w:val="0"/>
      <w:spacing w:before="0" w:after="240" w:line="240" w:lineRule="auto"/>
      <w:ind w:left="1680" w:hanging="420"/>
      <w:jc w:val="left"/>
    </w:pPr>
    <w:rPr>
      <w:rFonts w:ascii="Arial" w:hAnsi="Times New Roman" w:eastAsia="PMingLiU" w:cs="PMingLiU"/>
      <w:b w:val="0"/>
      <w:bCs w:val="0"/>
      <w:kern w:val="0"/>
      <w:sz w:val="21"/>
      <w:szCs w:val="24"/>
      <w:lang w:val="zh-CN" w:eastAsia="zh-TW"/>
    </w:rPr>
  </w:style>
  <w:style w:type="paragraph" w:customStyle="1" w:styleId="946">
    <w:name w:val="Style Heading 5 + Justified"/>
    <w:basedOn w:val="7"/>
    <w:qFormat/>
    <w:uiPriority w:val="0"/>
    <w:pPr>
      <w:keepNext w:val="0"/>
      <w:keepLines w:val="0"/>
      <w:widowControl/>
      <w:tabs>
        <w:tab w:val="left" w:pos="432"/>
        <w:tab w:val="left" w:pos="1008"/>
        <w:tab w:val="left" w:pos="2100"/>
      </w:tabs>
      <w:spacing w:before="0" w:after="240" w:line="240" w:lineRule="auto"/>
      <w:ind w:left="2100" w:hanging="420"/>
    </w:pPr>
    <w:rPr>
      <w:rFonts w:ascii="Arial" w:hAnsi="Arial" w:eastAsia="PMingLiU" w:cs="PMingLiU"/>
      <w:b w:val="0"/>
      <w:bCs w:val="0"/>
      <w:kern w:val="0"/>
      <w:sz w:val="24"/>
      <w:szCs w:val="24"/>
      <w:lang w:val="zh-CN" w:eastAsia="zh-TW"/>
    </w:rPr>
  </w:style>
  <w:style w:type="paragraph" w:customStyle="1" w:styleId="947">
    <w:name w:val="L9标题1"/>
    <w:basedOn w:val="1"/>
    <w:qFormat/>
    <w:uiPriority w:val="0"/>
    <w:pPr>
      <w:tabs>
        <w:tab w:val="left" w:pos="425"/>
      </w:tabs>
      <w:spacing w:before="100" w:beforeLines="100" w:after="50" w:afterLines="50" w:line="360" w:lineRule="auto"/>
      <w:ind w:left="425" w:hanging="425"/>
      <w:jc w:val="left"/>
    </w:pPr>
    <w:rPr>
      <w:rFonts w:ascii="Times New Roman" w:hAnsi="Times New Roman" w:eastAsia="宋体" w:cs="Times New Roman"/>
      <w:b/>
      <w:sz w:val="28"/>
      <w:szCs w:val="24"/>
    </w:rPr>
  </w:style>
  <w:style w:type="paragraph" w:customStyle="1" w:styleId="948">
    <w:name w:val="l9标题2"/>
    <w:basedOn w:val="1"/>
    <w:qFormat/>
    <w:uiPriority w:val="0"/>
    <w:pPr>
      <w:tabs>
        <w:tab w:val="left" w:pos="567"/>
      </w:tabs>
      <w:spacing w:before="100" w:beforeLines="100" w:after="50" w:afterLines="50" w:line="360" w:lineRule="auto"/>
      <w:ind w:left="567" w:hanging="567"/>
      <w:jc w:val="left"/>
    </w:pPr>
    <w:rPr>
      <w:rFonts w:ascii="Times New Roman" w:hAnsi="Times New Roman" w:eastAsia="宋体" w:cs="Times New Roman"/>
      <w:b/>
      <w:bCs/>
      <w:sz w:val="24"/>
      <w:szCs w:val="24"/>
    </w:rPr>
  </w:style>
  <w:style w:type="paragraph" w:customStyle="1" w:styleId="949">
    <w:name w:val="l9标题3"/>
    <w:basedOn w:val="948"/>
    <w:qFormat/>
    <w:uiPriority w:val="0"/>
    <w:pPr>
      <w:tabs>
        <w:tab w:val="left" w:pos="709"/>
        <w:tab w:val="clear" w:pos="567"/>
      </w:tabs>
      <w:spacing w:before="0" w:beforeLines="0" w:after="0" w:afterLines="0"/>
      <w:ind w:left="709" w:hanging="709"/>
    </w:pPr>
    <w:rPr>
      <w:rFonts w:ascii="宋体" w:hAnsi="宋体"/>
      <w:b w:val="0"/>
      <w:snapToGrid w:val="0"/>
      <w:sz w:val="28"/>
      <w:szCs w:val="28"/>
    </w:rPr>
  </w:style>
  <w:style w:type="paragraph" w:customStyle="1" w:styleId="950">
    <w:name w:val="l9标题4"/>
    <w:basedOn w:val="948"/>
    <w:qFormat/>
    <w:uiPriority w:val="0"/>
    <w:pPr>
      <w:tabs>
        <w:tab w:val="left" w:pos="737"/>
        <w:tab w:val="clear" w:pos="567"/>
      </w:tabs>
      <w:spacing w:before="0" w:beforeLines="0" w:after="120" w:line="240" w:lineRule="auto"/>
      <w:ind w:left="737" w:hanging="737"/>
    </w:pPr>
    <w:rPr>
      <w:rFonts w:ascii="仿宋_GB2312" w:hAnsi="Arial" w:eastAsia="仿宋_GB2312" w:cs="Arial"/>
      <w:b w:val="0"/>
      <w:snapToGrid w:val="0"/>
    </w:rPr>
  </w:style>
  <w:style w:type="paragraph" w:customStyle="1" w:styleId="951">
    <w:name w:val="l9标题5"/>
    <w:basedOn w:val="948"/>
    <w:qFormat/>
    <w:uiPriority w:val="0"/>
    <w:pPr>
      <w:spacing w:before="0" w:beforeLines="0" w:after="190"/>
    </w:pPr>
    <w:rPr>
      <w:b w:val="0"/>
    </w:rPr>
  </w:style>
  <w:style w:type="paragraph" w:customStyle="1" w:styleId="952">
    <w:name w:val="l9标题6"/>
    <w:basedOn w:val="951"/>
    <w:qFormat/>
    <w:uiPriority w:val="0"/>
    <w:pPr>
      <w:tabs>
        <w:tab w:val="left" w:pos="2818"/>
        <w:tab w:val="clear" w:pos="567"/>
      </w:tabs>
      <w:ind w:left="2098" w:firstLine="0"/>
    </w:pPr>
  </w:style>
  <w:style w:type="paragraph" w:customStyle="1" w:styleId="953">
    <w:name w:val="l9标题7"/>
    <w:basedOn w:val="952"/>
    <w:qFormat/>
    <w:uiPriority w:val="0"/>
    <w:pPr>
      <w:tabs>
        <w:tab w:val="left" w:pos="3238"/>
        <w:tab w:val="clear" w:pos="2818"/>
      </w:tabs>
      <w:ind w:left="3238" w:hanging="720"/>
    </w:pPr>
  </w:style>
  <w:style w:type="table" w:customStyle="1" w:styleId="954">
    <w:name w:val="Table Grid1"/>
    <w:basedOn w:val="90"/>
    <w:qFormat/>
    <w:uiPriority w:val="0"/>
    <w:pPr>
      <w:widowControl w:val="0"/>
    </w:pPr>
    <w:rPr>
      <w:rFonts w:ascii="等线" w:hAnsi="等线" w:eastAsia="PMingLiU"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5">
    <w:name w:val="Body2a"/>
    <w:basedOn w:val="940"/>
    <w:next w:val="1"/>
    <w:qFormat/>
    <w:uiPriority w:val="0"/>
    <w:pPr>
      <w:tabs>
        <w:tab w:val="left" w:pos="2592"/>
        <w:tab w:val="clear" w:pos="1008"/>
      </w:tabs>
      <w:spacing w:before="0" w:after="0"/>
    </w:pPr>
    <w:rPr>
      <w:b w:val="0"/>
      <w:sz w:val="24"/>
      <w:szCs w:val="20"/>
      <w:lang w:val="en-GB"/>
    </w:rPr>
  </w:style>
  <w:style w:type="character" w:customStyle="1" w:styleId="956">
    <w:name w:val="樣式 標題 3 + (中文) MS Gothic 10.5 點 Char Char Char Char Char Char Char Char"/>
    <w:qFormat/>
    <w:uiPriority w:val="0"/>
    <w:rPr>
      <w:rFonts w:hAnsi="PMingLiU" w:eastAsia="MS Gothic"/>
      <w:bCs/>
      <w:snapToGrid w:val="0"/>
      <w:kern w:val="2"/>
      <w:sz w:val="24"/>
      <w:szCs w:val="24"/>
      <w:lang w:val="en-AU" w:eastAsia="zh-TW"/>
    </w:rPr>
  </w:style>
  <w:style w:type="paragraph" w:customStyle="1" w:styleId="957">
    <w:name w:val="樣式 標題 3 + (中文) MS Gothic 10.5 點 Char Char Char Char Char Char"/>
    <w:basedOn w:val="5"/>
    <w:qFormat/>
    <w:uiPriority w:val="0"/>
    <w:pPr>
      <w:widowControl/>
      <w:tabs>
        <w:tab w:val="left" w:pos="1395"/>
      </w:tabs>
      <w:adjustRightInd w:val="0"/>
      <w:snapToGrid w:val="0"/>
      <w:spacing w:line="240" w:lineRule="auto"/>
      <w:ind w:left="1395" w:hanging="555"/>
    </w:pPr>
    <w:rPr>
      <w:rFonts w:hAnsi="PMingLiU" w:eastAsia="MS Gothic"/>
      <w:b w:val="0"/>
      <w:snapToGrid w:val="0"/>
      <w:color w:val="000000"/>
      <w:sz w:val="21"/>
      <w:szCs w:val="24"/>
      <w:lang w:val="en-AU" w:eastAsia="zh-TW"/>
    </w:rPr>
  </w:style>
  <w:style w:type="paragraph" w:customStyle="1" w:styleId="958">
    <w:name w:val="Style Style Style Body Text + Justified + (Complex) Times New Roman..."/>
    <w:basedOn w:val="1"/>
    <w:qFormat/>
    <w:uiPriority w:val="0"/>
    <w:pPr>
      <w:numPr>
        <w:ilvl w:val="0"/>
        <w:numId w:val="5"/>
      </w:numPr>
      <w:tabs>
        <w:tab w:val="left" w:pos="4044"/>
        <w:tab w:val="clear" w:pos="2722"/>
      </w:tabs>
      <w:ind w:left="4044" w:hanging="454"/>
      <w:jc w:val="left"/>
    </w:pPr>
    <w:rPr>
      <w:rFonts w:ascii="Times New Roman" w:hAnsi="Times New Roman" w:eastAsia="PMingLiU" w:cs="Times New Roman"/>
      <w:snapToGrid w:val="0"/>
      <w:kern w:val="0"/>
      <w:sz w:val="24"/>
      <w:szCs w:val="24"/>
      <w:lang w:val="en-AU"/>
    </w:rPr>
  </w:style>
  <w:style w:type="paragraph" w:customStyle="1" w:styleId="959">
    <w:name w:val="Style Body Text Indent 3 + Left  6.5 ch First line:  0 ch"/>
    <w:basedOn w:val="70"/>
    <w:qFormat/>
    <w:uiPriority w:val="0"/>
    <w:pPr>
      <w:tabs>
        <w:tab w:val="left" w:pos="-1843"/>
        <w:tab w:val="left" w:pos="-2"/>
        <w:tab w:val="left" w:pos="849"/>
        <w:tab w:val="left" w:pos="1560"/>
      </w:tabs>
      <w:suppressAutoHyphens/>
      <w:spacing w:line="240" w:lineRule="auto"/>
      <w:ind w:left="1560" w:hanging="720" w:firstLineChars="0"/>
      <w:jc w:val="left"/>
    </w:pPr>
    <w:rPr>
      <w:rFonts w:eastAsia="PMingLiU" w:cs="PMingLiU"/>
      <w:snapToGrid w:val="0"/>
      <w:kern w:val="0"/>
      <w:sz w:val="24"/>
      <w:szCs w:val="24"/>
      <w:lang w:val="en-GB" w:eastAsia="zh-TW"/>
    </w:rPr>
  </w:style>
  <w:style w:type="character" w:customStyle="1" w:styleId="960">
    <w:name w:val="Right Par 8"/>
    <w:qFormat/>
    <w:uiPriority w:val="0"/>
  </w:style>
  <w:style w:type="paragraph" w:customStyle="1" w:styleId="961">
    <w:name w:val="項目1A"/>
    <w:basedOn w:val="1"/>
    <w:qFormat/>
    <w:uiPriority w:val="0"/>
    <w:pPr>
      <w:tabs>
        <w:tab w:val="left" w:pos="1701"/>
      </w:tabs>
      <w:snapToGrid w:val="0"/>
      <w:spacing w:line="400" w:lineRule="atLeast"/>
      <w:ind w:left="227" w:firstLine="482"/>
      <w:jc w:val="left"/>
    </w:pPr>
    <w:rPr>
      <w:rFonts w:ascii="Times New Roman" w:hAnsi="Times New Roman" w:eastAsia="DFKai-SB" w:cs="Times New Roman"/>
      <w:sz w:val="26"/>
      <w:szCs w:val="26"/>
      <w:lang w:eastAsia="zh-TW"/>
    </w:rPr>
  </w:style>
  <w:style w:type="paragraph" w:customStyle="1" w:styleId="962">
    <w:name w:val="Appendix Style2"/>
    <w:basedOn w:val="1"/>
    <w:qFormat/>
    <w:uiPriority w:val="0"/>
    <w:pPr>
      <w:tabs>
        <w:tab w:val="left" w:pos="1260"/>
      </w:tabs>
      <w:ind w:left="227" w:firstLine="482"/>
      <w:jc w:val="left"/>
    </w:pPr>
    <w:rPr>
      <w:rFonts w:ascii="Times New Roman Bold" w:hAnsi="Times New Roman Bold" w:eastAsia="PMingLiU" w:cs="Times New Roman"/>
      <w:b/>
      <w:snapToGrid w:val="0"/>
      <w:kern w:val="0"/>
      <w:sz w:val="24"/>
      <w:szCs w:val="24"/>
      <w:lang w:val="en-AU" w:eastAsia="zh-TW"/>
    </w:rPr>
  </w:style>
  <w:style w:type="paragraph" w:customStyle="1" w:styleId="963">
    <w:name w:val="Appendix Index"/>
    <w:basedOn w:val="1"/>
    <w:qFormat/>
    <w:uiPriority w:val="0"/>
    <w:pPr>
      <w:tabs>
        <w:tab w:val="left" w:pos="432"/>
      </w:tabs>
      <w:ind w:left="432" w:hanging="432"/>
      <w:jc w:val="left"/>
    </w:pPr>
    <w:rPr>
      <w:rFonts w:ascii="Times New Roman" w:hAnsi="Times New Roman" w:eastAsia="PMingLiU" w:cs="Times New Roman"/>
      <w:snapToGrid w:val="0"/>
      <w:kern w:val="0"/>
      <w:sz w:val="24"/>
      <w:szCs w:val="24"/>
      <w:lang w:val="en-AU"/>
    </w:rPr>
  </w:style>
  <w:style w:type="paragraph" w:customStyle="1" w:styleId="964">
    <w:name w:val="Appendix Index level 2"/>
    <w:basedOn w:val="1"/>
    <w:qFormat/>
    <w:uiPriority w:val="0"/>
    <w:pPr>
      <w:ind w:left="227" w:firstLine="482"/>
      <w:jc w:val="left"/>
    </w:pPr>
    <w:rPr>
      <w:rFonts w:ascii="Times New Roman" w:hAnsi="Times New Roman" w:eastAsia="PMingLiU" w:cs="Times New Roman"/>
      <w:snapToGrid w:val="0"/>
      <w:kern w:val="0"/>
      <w:sz w:val="24"/>
      <w:szCs w:val="24"/>
      <w:lang w:val="en-AU" w:eastAsia="en-US"/>
    </w:rPr>
  </w:style>
  <w:style w:type="character" w:customStyle="1" w:styleId="965">
    <w:name w:val="3 bullet Char Char Char"/>
    <w:qFormat/>
    <w:uiPriority w:val="0"/>
    <w:rPr>
      <w:rFonts w:ascii="Arial" w:hAnsi="Arial" w:eastAsia="PMingLiU"/>
      <w:sz w:val="24"/>
      <w:szCs w:val="24"/>
      <w:lang w:val="en-US" w:eastAsia="zh-TW" w:bidi="ar-SA"/>
    </w:rPr>
  </w:style>
  <w:style w:type="character" w:customStyle="1" w:styleId="966">
    <w:name w:val="Heading 3 Char1 字元"/>
    <w:qFormat/>
    <w:uiPriority w:val="0"/>
    <w:rPr>
      <w:rFonts w:ascii="Arial" w:hAnsi="Arial" w:eastAsia="PMingLiU"/>
      <w:sz w:val="24"/>
      <w:szCs w:val="24"/>
      <w:lang w:val="en-US" w:eastAsia="zh-TW" w:bidi="ar-SA"/>
    </w:rPr>
  </w:style>
  <w:style w:type="character" w:customStyle="1" w:styleId="967">
    <w:name w:val="列表编号3 字元"/>
    <w:qFormat/>
    <w:uiPriority w:val="0"/>
    <w:rPr>
      <w:rFonts w:eastAsia="宋体"/>
      <w:color w:val="000000"/>
      <w:kern w:val="2"/>
      <w:sz w:val="24"/>
      <w:szCs w:val="24"/>
      <w:lang w:val="en-US" w:eastAsia="zh-CN" w:bidi="ar-SA"/>
    </w:rPr>
  </w:style>
  <w:style w:type="paragraph" w:customStyle="1" w:styleId="968">
    <w:name w:val="正文内容"/>
    <w:basedOn w:val="1"/>
    <w:qFormat/>
    <w:uiPriority w:val="0"/>
    <w:pPr>
      <w:ind w:left="227" w:firstLine="482"/>
      <w:jc w:val="center"/>
    </w:pPr>
    <w:rPr>
      <w:rFonts w:ascii="宋体" w:hAnsi="宋体" w:eastAsia="宋体" w:cs="宋体"/>
      <w:sz w:val="28"/>
      <w:szCs w:val="20"/>
    </w:rPr>
  </w:style>
  <w:style w:type="paragraph" w:customStyle="1" w:styleId="969">
    <w:name w:val="节"/>
    <w:basedOn w:val="4"/>
    <w:qFormat/>
    <w:uiPriority w:val="0"/>
    <w:pPr>
      <w:keepNext w:val="0"/>
      <w:widowControl/>
      <w:adjustRightInd w:val="0"/>
      <w:snapToGrid w:val="0"/>
      <w:spacing w:line="416" w:lineRule="auto"/>
      <w:jc w:val="left"/>
    </w:pPr>
    <w:rPr>
      <w:rFonts w:ascii="黑体" w:hAnsi="Times New Roman" w:eastAsia="宋体"/>
      <w:b w:val="0"/>
      <w:bCs w:val="0"/>
      <w:sz w:val="30"/>
      <w:lang w:val="zh-CN"/>
    </w:rPr>
  </w:style>
  <w:style w:type="character" w:customStyle="1" w:styleId="970">
    <w:name w:val="章 Char"/>
    <w:qFormat/>
    <w:uiPriority w:val="0"/>
    <w:rPr>
      <w:rFonts w:ascii="黑体" w:eastAsia="黑体"/>
      <w:kern w:val="2"/>
      <w:sz w:val="44"/>
      <w:szCs w:val="30"/>
      <w:lang w:val="en-US" w:eastAsia="zh-CN" w:bidi="ar-SA"/>
    </w:rPr>
  </w:style>
  <w:style w:type="paragraph" w:customStyle="1" w:styleId="971">
    <w:name w:val="第一小节"/>
    <w:next w:val="1"/>
    <w:qFormat/>
    <w:uiPriority w:val="0"/>
    <w:pPr>
      <w:spacing w:line="360" w:lineRule="auto"/>
      <w:ind w:left="709" w:hanging="482"/>
    </w:pPr>
    <w:rPr>
      <w:rFonts w:ascii="黑体" w:hAnsi="Times New Roman" w:eastAsia="黑体" w:cs="Times New Roman"/>
      <w:iCs/>
      <w:kern w:val="2"/>
      <w:sz w:val="30"/>
      <w:szCs w:val="24"/>
      <w:lang w:val="en-US" w:eastAsia="zh-CN" w:bidi="ar-SA"/>
    </w:rPr>
  </w:style>
  <w:style w:type="paragraph" w:customStyle="1" w:styleId="972">
    <w:name w:val="第二小节"/>
    <w:next w:val="1"/>
    <w:qFormat/>
    <w:uiPriority w:val="0"/>
    <w:pPr>
      <w:spacing w:line="360" w:lineRule="auto"/>
      <w:ind w:left="709" w:firstLine="700" w:firstLineChars="250"/>
    </w:pPr>
    <w:rPr>
      <w:rFonts w:ascii="Times New Roman" w:hAnsi="Times New Roman" w:eastAsia="宋体" w:cs="Times New Roman"/>
      <w:b/>
      <w:kern w:val="2"/>
      <w:sz w:val="28"/>
      <w:szCs w:val="24"/>
      <w:lang w:val="en-US" w:eastAsia="zh-CN" w:bidi="ar-SA"/>
    </w:rPr>
  </w:style>
  <w:style w:type="paragraph" w:customStyle="1" w:styleId="973">
    <w:name w:val="样式 第二小节 + 首行缩进:  0 字符"/>
    <w:basedOn w:val="972"/>
    <w:qFormat/>
    <w:uiPriority w:val="0"/>
    <w:pPr>
      <w:ind w:firstLine="0" w:firstLineChars="0"/>
    </w:pPr>
    <w:rPr>
      <w:rFonts w:ascii="宋体" w:hAnsi="宋体" w:cs="宋体"/>
      <w:bCs/>
      <w:szCs w:val="20"/>
    </w:rPr>
  </w:style>
  <w:style w:type="paragraph" w:customStyle="1" w:styleId="974">
    <w:name w:val="样式 标题 1标题1 + 行距: 单倍行距"/>
    <w:basedOn w:val="3"/>
    <w:qFormat/>
    <w:uiPriority w:val="0"/>
    <w:pPr>
      <w:keepNext w:val="0"/>
      <w:keepLines w:val="0"/>
      <w:widowControl/>
      <w:tabs>
        <w:tab w:val="left" w:pos="432"/>
      </w:tabs>
      <w:adjustRightInd w:val="0"/>
      <w:snapToGrid w:val="0"/>
      <w:spacing w:before="0" w:after="0" w:line="240" w:lineRule="auto"/>
      <w:jc w:val="left"/>
    </w:pPr>
    <w:rPr>
      <w:rFonts w:ascii="黑体" w:eastAsia="黑体" w:cs="宋体"/>
      <w:b w:val="0"/>
      <w:bCs w:val="0"/>
      <w:kern w:val="2"/>
      <w:szCs w:val="20"/>
      <w:lang w:val="zh-CN"/>
    </w:rPr>
  </w:style>
  <w:style w:type="paragraph" w:customStyle="1" w:styleId="975">
    <w:name w:val="正文条款"/>
    <w:basedOn w:val="1"/>
    <w:next w:val="1"/>
    <w:qFormat/>
    <w:uiPriority w:val="0"/>
    <w:pPr>
      <w:spacing w:after="50" w:afterLines="50" w:line="320" w:lineRule="exact"/>
      <w:ind w:left="200" w:leftChars="200" w:firstLine="200" w:firstLineChars="200"/>
      <w:jc w:val="left"/>
    </w:pPr>
    <w:rPr>
      <w:rFonts w:ascii="Arial" w:hAnsi="Arial" w:eastAsia="宋体" w:cs="Arial"/>
      <w:snapToGrid w:val="0"/>
      <w:color w:val="0000FF"/>
      <w:kern w:val="0"/>
      <w:szCs w:val="21"/>
      <w:lang w:val="en-GB"/>
    </w:rPr>
  </w:style>
  <w:style w:type="paragraph" w:customStyle="1" w:styleId="976">
    <w:name w:val="容量"/>
    <w:basedOn w:val="1"/>
    <w:qFormat/>
    <w:uiPriority w:val="0"/>
    <w:pPr>
      <w:adjustRightInd w:val="0"/>
      <w:spacing w:line="312" w:lineRule="atLeast"/>
      <w:ind w:left="227" w:firstLine="482"/>
      <w:jc w:val="left"/>
      <w:textAlignment w:val="baseline"/>
    </w:pPr>
    <w:rPr>
      <w:rFonts w:ascii="Times New Roman" w:hAnsi="Times New Roman" w:eastAsia="宋体" w:cs="Times New Roman"/>
      <w:kern w:val="0"/>
      <w:sz w:val="24"/>
      <w:szCs w:val="20"/>
    </w:rPr>
  </w:style>
  <w:style w:type="paragraph" w:customStyle="1" w:styleId="977">
    <w:name w:val="Style Style Body Text + Justified + Before:  0.11 ch"/>
    <w:basedOn w:val="1"/>
    <w:qFormat/>
    <w:uiPriority w:val="0"/>
    <w:pPr>
      <w:tabs>
        <w:tab w:val="left" w:pos="1111"/>
      </w:tabs>
      <w:ind w:left="1111" w:hanging="284"/>
      <w:jc w:val="left"/>
    </w:pPr>
    <w:rPr>
      <w:rFonts w:ascii="Times New Roman" w:hAnsi="Times New Roman" w:eastAsia="PMingLiU" w:cs="Times New Roman"/>
      <w:snapToGrid w:val="0"/>
      <w:kern w:val="0"/>
      <w:sz w:val="24"/>
      <w:szCs w:val="24"/>
      <w:lang w:val="en-AU"/>
    </w:rPr>
  </w:style>
  <w:style w:type="paragraph" w:customStyle="1" w:styleId="978">
    <w:name w:val="需求1"/>
    <w:basedOn w:val="35"/>
    <w:qFormat/>
    <w:uiPriority w:val="0"/>
    <w:pPr>
      <w:autoSpaceDE w:val="0"/>
      <w:autoSpaceDN w:val="0"/>
      <w:adjustRightInd w:val="0"/>
      <w:spacing w:before="120" w:beforeLines="50" w:line="336" w:lineRule="auto"/>
      <w:ind w:firstLine="540" w:firstLineChars="0"/>
      <w:jc w:val="left"/>
      <w:textAlignment w:val="baseline"/>
    </w:pPr>
    <w:rPr>
      <w:rFonts w:ascii="宋体"/>
      <w:b/>
      <w:kern w:val="0"/>
      <w:sz w:val="21"/>
      <w:szCs w:val="20"/>
    </w:rPr>
  </w:style>
  <w:style w:type="paragraph" w:customStyle="1" w:styleId="979">
    <w:name w:val="需求2"/>
    <w:basedOn w:val="35"/>
    <w:qFormat/>
    <w:uiPriority w:val="0"/>
    <w:pPr>
      <w:autoSpaceDE w:val="0"/>
      <w:autoSpaceDN w:val="0"/>
      <w:adjustRightInd w:val="0"/>
      <w:spacing w:before="120" w:beforeLines="50" w:line="336" w:lineRule="auto"/>
      <w:ind w:firstLine="540" w:firstLineChars="0"/>
      <w:jc w:val="left"/>
      <w:textAlignment w:val="baseline"/>
    </w:pPr>
    <w:rPr>
      <w:rFonts w:ascii="宋体"/>
      <w:b/>
      <w:bCs/>
      <w:kern w:val="0"/>
      <w:sz w:val="21"/>
      <w:szCs w:val="20"/>
    </w:rPr>
  </w:style>
  <w:style w:type="paragraph" w:customStyle="1" w:styleId="980">
    <w:name w:val="样式 标题 2标题 2 Char Char Char Char Char Char Char Char Char Char C..."/>
    <w:basedOn w:val="4"/>
    <w:link w:val="981"/>
    <w:qFormat/>
    <w:uiPriority w:val="0"/>
    <w:pPr>
      <w:keepNext w:val="0"/>
      <w:keepLines w:val="0"/>
      <w:pageBreakBefore/>
      <w:widowControl/>
      <w:adjustRightInd w:val="0"/>
      <w:snapToGrid w:val="0"/>
      <w:spacing w:before="360" w:after="60" w:line="240" w:lineRule="auto"/>
      <w:jc w:val="left"/>
    </w:pPr>
    <w:rPr>
      <w:rFonts w:ascii="Times New Roman" w:hAnsi="Times New Roman" w:eastAsia="宋体"/>
      <w:b w:val="0"/>
      <w:bCs w:val="0"/>
      <w:caps/>
      <w:snapToGrid w:val="0"/>
      <w:color w:val="000000"/>
      <w:sz w:val="28"/>
      <w:szCs w:val="20"/>
      <w:lang w:val="en-GB"/>
    </w:rPr>
  </w:style>
  <w:style w:type="character" w:customStyle="1" w:styleId="981">
    <w:name w:val="样式 标题 2标题 2 Char Char Char Char Char Char Char Char Char Char C... Char"/>
    <w:link w:val="980"/>
    <w:qFormat/>
    <w:uiPriority w:val="0"/>
    <w:rPr>
      <w:rFonts w:ascii="Times New Roman" w:hAnsi="Times New Roman" w:eastAsia="宋体" w:cs="Times New Roman"/>
      <w:caps/>
      <w:snapToGrid w:val="0"/>
      <w:color w:val="000000"/>
      <w:sz w:val="28"/>
      <w:szCs w:val="20"/>
      <w:lang w:val="en-GB"/>
    </w:rPr>
  </w:style>
  <w:style w:type="paragraph" w:customStyle="1" w:styleId="982">
    <w:name w:val="样式 标题 3第二层条第三层论文标题 21.1.1 标题 3列表编号33 bullet2head:3#Head..."/>
    <w:basedOn w:val="5"/>
    <w:qFormat/>
    <w:uiPriority w:val="0"/>
    <w:pPr>
      <w:keepLines/>
      <w:widowControl/>
      <w:suppressAutoHyphens/>
      <w:adjustRightInd w:val="0"/>
      <w:snapToGrid w:val="0"/>
      <w:spacing w:before="156" w:beforeLines="50" w:line="300" w:lineRule="auto"/>
      <w:ind w:left="-2" w:leftChars="-2" w:hanging="4" w:hangingChars="2"/>
    </w:pPr>
    <w:rPr>
      <w:rFonts w:cs="宋体"/>
      <w:b w:val="0"/>
      <w:smallCaps/>
      <w:color w:val="000000"/>
      <w:sz w:val="21"/>
      <w:szCs w:val="21"/>
      <w:lang w:val="zh-CN"/>
    </w:rPr>
  </w:style>
  <w:style w:type="paragraph" w:customStyle="1" w:styleId="983">
    <w:name w:val="样式 标题 4标题 5 Char Char标题 1)第四层条第五层H5dsddRoman listh5PIM..."/>
    <w:basedOn w:val="6"/>
    <w:qFormat/>
    <w:uiPriority w:val="0"/>
    <w:pPr>
      <w:keepNext w:val="0"/>
      <w:widowControl/>
      <w:tabs>
        <w:tab w:val="left" w:pos="340"/>
        <w:tab w:val="left" w:pos="567"/>
      </w:tabs>
      <w:suppressAutoHyphens/>
      <w:adjustRightInd w:val="0"/>
      <w:snapToGrid w:val="0"/>
      <w:spacing w:before="120" w:after="0" w:line="300" w:lineRule="auto"/>
      <w:ind w:right="170"/>
      <w:jc w:val="left"/>
    </w:pPr>
    <w:rPr>
      <w:rFonts w:ascii="Times New Roman" w:hAnsi="Times New Roman" w:cs="宋体"/>
      <w:b w:val="0"/>
      <w:bCs w:val="0"/>
      <w:smallCaps/>
      <w:snapToGrid w:val="0"/>
      <w:kern w:val="0"/>
      <w:sz w:val="21"/>
      <w:szCs w:val="21"/>
      <w:lang w:val="en-GB"/>
    </w:rPr>
  </w:style>
  <w:style w:type="paragraph" w:customStyle="1" w:styleId="984">
    <w:name w:val="样式 标题 2标题 2 Char Char Char Char Char Char Char Char Char Char C...1"/>
    <w:basedOn w:val="4"/>
    <w:qFormat/>
    <w:uiPriority w:val="0"/>
    <w:pPr>
      <w:keepNext w:val="0"/>
      <w:keepLines w:val="0"/>
      <w:pageBreakBefore/>
      <w:widowControl/>
      <w:adjustRightInd w:val="0"/>
      <w:snapToGrid w:val="0"/>
      <w:spacing w:before="360" w:after="60" w:line="240" w:lineRule="auto"/>
      <w:ind w:right="170"/>
      <w:jc w:val="left"/>
    </w:pPr>
    <w:rPr>
      <w:rFonts w:ascii="宋体" w:hAnsi="宋体" w:eastAsia="宋体"/>
      <w:b w:val="0"/>
      <w:bCs w:val="0"/>
      <w:caps/>
      <w:sz w:val="21"/>
      <w:szCs w:val="21"/>
      <w:lang w:val="en-GB"/>
    </w:rPr>
  </w:style>
  <w:style w:type="paragraph" w:customStyle="1" w:styleId="985">
    <w:name w:val="默认段落字体 Para Char Char Char Char Char Char Char Char Char Char"/>
    <w:basedOn w:val="1"/>
    <w:qFormat/>
    <w:uiPriority w:val="0"/>
    <w:pPr>
      <w:ind w:left="227" w:firstLine="482"/>
      <w:jc w:val="left"/>
    </w:pPr>
    <w:rPr>
      <w:rFonts w:ascii="Tahoma" w:hAnsi="Tahoma" w:eastAsia="宋体" w:cs="Times New Roman"/>
      <w:sz w:val="24"/>
      <w:szCs w:val="20"/>
    </w:rPr>
  </w:style>
  <w:style w:type="character" w:customStyle="1" w:styleId="986">
    <w:name w:val="font"/>
    <w:qFormat/>
    <w:uiPriority w:val="0"/>
  </w:style>
  <w:style w:type="paragraph" w:customStyle="1" w:styleId="987">
    <w:name w:val="标准正文"/>
    <w:basedOn w:val="1"/>
    <w:qFormat/>
    <w:uiPriority w:val="0"/>
    <w:pPr>
      <w:adjustRightInd w:val="0"/>
      <w:snapToGrid w:val="0"/>
      <w:spacing w:before="115" w:beforeLines="25" w:line="240" w:lineRule="exact"/>
      <w:ind w:left="-86" w:leftChars="-30" w:right="-86" w:rightChars="-30" w:firstLine="482"/>
      <w:jc w:val="center"/>
    </w:pPr>
    <w:rPr>
      <w:rFonts w:ascii="Times New Roman" w:hAnsi="Times New Roman" w:eastAsia="宋体" w:cs="Times New Roman"/>
      <w:spacing w:val="-6"/>
      <w:sz w:val="15"/>
      <w:szCs w:val="28"/>
    </w:rPr>
  </w:style>
  <w:style w:type="paragraph" w:customStyle="1" w:styleId="988">
    <w:name w:val="表格文字小 (左对齐)"/>
    <w:basedOn w:val="1"/>
    <w:qFormat/>
    <w:uiPriority w:val="0"/>
    <w:pPr>
      <w:adjustRightInd w:val="0"/>
      <w:spacing w:line="240" w:lineRule="atLeast"/>
      <w:ind w:left="227" w:firstLine="482"/>
      <w:jc w:val="left"/>
      <w:textAlignment w:val="baseline"/>
    </w:pPr>
    <w:rPr>
      <w:rFonts w:ascii="宋体" w:hAnsi="Times New Roman" w:eastAsia="宋体" w:cs="Times New Roman"/>
      <w:sz w:val="18"/>
      <w:szCs w:val="18"/>
    </w:rPr>
  </w:style>
  <w:style w:type="paragraph" w:customStyle="1" w:styleId="989">
    <w:name w:val="Char Char Char1 Char Char Char Char Char Char Char Char Char Char Char Char Char Char Char Char Char Char Char Char Char Char Char Char Char Char Char Char Char Char Char"/>
    <w:basedOn w:val="1"/>
    <w:qFormat/>
    <w:uiPriority w:val="0"/>
    <w:pPr>
      <w:ind w:left="227" w:firstLine="482"/>
      <w:jc w:val="left"/>
    </w:pPr>
    <w:rPr>
      <w:rFonts w:ascii="Tahoma" w:hAnsi="Tahoma" w:eastAsia="宋体" w:cs="Times New Roman"/>
      <w:sz w:val="24"/>
      <w:szCs w:val="20"/>
    </w:rPr>
  </w:style>
  <w:style w:type="paragraph" w:customStyle="1" w:styleId="990">
    <w:name w:val="Appendix Index level 1"/>
    <w:basedOn w:val="1"/>
    <w:qFormat/>
    <w:uiPriority w:val="0"/>
    <w:pPr>
      <w:tabs>
        <w:tab w:val="left" w:pos="1121"/>
      </w:tabs>
      <w:spacing w:before="120" w:beforeLines="50" w:after="120" w:afterLines="50" w:line="360" w:lineRule="auto"/>
      <w:ind w:left="1121" w:hanging="720"/>
      <w:jc w:val="left"/>
    </w:pPr>
    <w:rPr>
      <w:rFonts w:ascii="Times New Roman" w:hAnsi="Times New Roman" w:eastAsia="PMingLiU" w:cs="Times New Roman"/>
      <w:snapToGrid w:val="0"/>
      <w:kern w:val="0"/>
      <w:sz w:val="24"/>
      <w:szCs w:val="24"/>
      <w:lang w:val="en-AU" w:eastAsia="zh-TW"/>
    </w:rPr>
  </w:style>
  <w:style w:type="paragraph" w:customStyle="1" w:styleId="991">
    <w:name w:val="Appendix Index level 3"/>
    <w:basedOn w:val="990"/>
    <w:next w:val="1"/>
    <w:qFormat/>
    <w:uiPriority w:val="0"/>
    <w:pPr>
      <w:tabs>
        <w:tab w:val="left" w:pos="1276"/>
        <w:tab w:val="clear" w:pos="1121"/>
      </w:tabs>
      <w:spacing w:before="60" w:beforeLines="0" w:after="60" w:afterLines="0" w:line="240" w:lineRule="auto"/>
      <w:ind w:left="1418" w:hanging="567"/>
    </w:pPr>
    <w:rPr>
      <w:rFonts w:cs="PMingLiU"/>
    </w:rPr>
  </w:style>
  <w:style w:type="paragraph" w:customStyle="1" w:styleId="992">
    <w:name w:val="Char Char Char1 Char Char Char Char Char Char Char Char Char Char Char Char Char Char Char Char Char Char Char Char Char"/>
    <w:basedOn w:val="1"/>
    <w:qFormat/>
    <w:uiPriority w:val="0"/>
    <w:pPr>
      <w:ind w:left="227" w:firstLine="482"/>
      <w:jc w:val="left"/>
    </w:pPr>
    <w:rPr>
      <w:rFonts w:ascii="Tahoma" w:hAnsi="Tahoma" w:eastAsia="宋体" w:cs="Times New Roman"/>
      <w:sz w:val="24"/>
      <w:szCs w:val="20"/>
    </w:rPr>
  </w:style>
  <w:style w:type="paragraph" w:customStyle="1" w:styleId="993">
    <w:name w:val="Char Char Char1 Char Char Char Char Char Char Char Char Char Char Char Char Char Char Char Char Char Char Char Char Char Char Char Char1 Char Char Char"/>
    <w:basedOn w:val="1"/>
    <w:qFormat/>
    <w:uiPriority w:val="0"/>
    <w:pPr>
      <w:ind w:left="227" w:firstLine="482"/>
      <w:jc w:val="left"/>
    </w:pPr>
    <w:rPr>
      <w:rFonts w:ascii="Tahoma" w:hAnsi="Tahoma" w:eastAsia="宋体" w:cs="Times New Roman"/>
      <w:sz w:val="24"/>
      <w:szCs w:val="20"/>
    </w:rPr>
  </w:style>
  <w:style w:type="paragraph" w:customStyle="1" w:styleId="994">
    <w:name w:val="默认段落字体 Para Char Char Char Char Char Char Char"/>
    <w:basedOn w:val="1"/>
    <w:qFormat/>
    <w:uiPriority w:val="0"/>
    <w:pPr>
      <w:ind w:left="227" w:firstLine="482"/>
      <w:jc w:val="left"/>
    </w:pPr>
    <w:rPr>
      <w:rFonts w:ascii="Tahoma" w:hAnsi="Tahoma" w:eastAsia="宋体" w:cs="Times New Roman"/>
      <w:sz w:val="24"/>
      <w:szCs w:val="20"/>
    </w:rPr>
  </w:style>
  <w:style w:type="paragraph" w:customStyle="1" w:styleId="995">
    <w:name w:val="黑正文"/>
    <w:basedOn w:val="1"/>
    <w:qFormat/>
    <w:uiPriority w:val="0"/>
    <w:pPr>
      <w:widowControl/>
      <w:numPr>
        <w:ilvl w:val="0"/>
        <w:numId w:val="6"/>
      </w:numPr>
      <w:spacing w:line="360" w:lineRule="auto"/>
      <w:jc w:val="left"/>
    </w:pPr>
    <w:rPr>
      <w:rFonts w:ascii="楷体_GB2312" w:hAnsi="Times New Roman" w:eastAsia="楷体_GB2312" w:cs="Times New Roman"/>
      <w:b/>
      <w:kern w:val="0"/>
      <w:sz w:val="28"/>
      <w:szCs w:val="24"/>
    </w:rPr>
  </w:style>
  <w:style w:type="paragraph" w:customStyle="1" w:styleId="996">
    <w:name w:val="pt9"/>
    <w:basedOn w:val="1"/>
    <w:qFormat/>
    <w:uiPriority w:val="0"/>
    <w:pPr>
      <w:widowControl/>
      <w:spacing w:before="100" w:beforeAutospacing="1" w:after="100" w:afterAutospacing="1"/>
      <w:ind w:left="227" w:firstLine="482"/>
      <w:jc w:val="left"/>
    </w:pPr>
    <w:rPr>
      <w:rFonts w:ascii="宋体" w:hAnsi="宋体" w:eastAsia="宋体" w:cs="Times New Roman"/>
      <w:kern w:val="0"/>
      <w:sz w:val="24"/>
      <w:szCs w:val="24"/>
    </w:rPr>
  </w:style>
  <w:style w:type="paragraph" w:customStyle="1" w:styleId="997">
    <w:name w:val="Xie图文中"/>
    <w:qFormat/>
    <w:uiPriority w:val="0"/>
    <w:pPr>
      <w:widowControl w:val="0"/>
      <w:adjustRightInd w:val="0"/>
      <w:snapToGrid w:val="0"/>
      <w:spacing w:line="360" w:lineRule="auto"/>
      <w:ind w:left="709" w:hanging="482"/>
      <w:jc w:val="center"/>
    </w:pPr>
    <w:rPr>
      <w:rFonts w:ascii="Times New Roman" w:hAnsi="Times New Roman" w:eastAsia="仿宋_GB2312" w:cs="Times New Roman"/>
      <w:sz w:val="24"/>
      <w:lang w:val="en-US" w:eastAsia="zh-CN" w:bidi="ar-SA"/>
    </w:rPr>
  </w:style>
  <w:style w:type="character" w:customStyle="1" w:styleId="998">
    <w:name w:val="top11"/>
    <w:qFormat/>
    <w:uiPriority w:val="0"/>
  </w:style>
  <w:style w:type="paragraph" w:customStyle="1" w:styleId="999">
    <w:name w:val="Char Char Char1 Char Char Char Char Char Char Char Char Char Char Char Char Char Char Char Char Char Char Char Char Char Char Char Char Char"/>
    <w:basedOn w:val="1"/>
    <w:qFormat/>
    <w:uiPriority w:val="0"/>
    <w:pPr>
      <w:ind w:left="227" w:firstLine="482"/>
      <w:jc w:val="left"/>
    </w:pPr>
    <w:rPr>
      <w:rFonts w:ascii="Tahoma" w:hAnsi="Tahoma" w:eastAsia="宋体" w:cs="Times New Roman"/>
      <w:sz w:val="24"/>
      <w:szCs w:val="20"/>
    </w:rPr>
  </w:style>
  <w:style w:type="paragraph" w:customStyle="1" w:styleId="1000">
    <w:name w:val="Char Char Char1 Char Char Char Char Char Char Char Char Char Char Char Char Char Char Char Char Char Char Char Char Char Char Char Char Char1"/>
    <w:basedOn w:val="1"/>
    <w:qFormat/>
    <w:uiPriority w:val="0"/>
    <w:pPr>
      <w:ind w:left="227" w:firstLine="482"/>
      <w:jc w:val="left"/>
    </w:pPr>
    <w:rPr>
      <w:rFonts w:ascii="Tahoma" w:hAnsi="Tahoma" w:eastAsia="宋体" w:cs="Times New Roman"/>
      <w:sz w:val="24"/>
      <w:szCs w:val="20"/>
    </w:rPr>
  </w:style>
  <w:style w:type="paragraph" w:customStyle="1" w:styleId="1001">
    <w:name w:val="Char Char2 Char Char Char Char1"/>
    <w:basedOn w:val="1"/>
    <w:qFormat/>
    <w:uiPriority w:val="0"/>
    <w:pPr>
      <w:ind w:left="227" w:firstLine="482"/>
      <w:jc w:val="left"/>
    </w:pPr>
    <w:rPr>
      <w:rFonts w:ascii="Tahoma" w:hAnsi="Tahoma" w:eastAsia="宋体" w:cs="仿宋_GB2312"/>
      <w:sz w:val="24"/>
      <w:szCs w:val="20"/>
    </w:rPr>
  </w:style>
  <w:style w:type="paragraph" w:customStyle="1" w:styleId="1002">
    <w:name w:val="招标项目符号1"/>
    <w:basedOn w:val="1"/>
    <w:link w:val="1003"/>
    <w:qFormat/>
    <w:uiPriority w:val="0"/>
    <w:pPr>
      <w:numPr>
        <w:ilvl w:val="0"/>
        <w:numId w:val="7"/>
      </w:numPr>
      <w:tabs>
        <w:tab w:val="left" w:pos="540"/>
        <w:tab w:val="left" w:pos="840"/>
        <w:tab w:val="clear" w:pos="360"/>
      </w:tabs>
      <w:ind w:left="840" w:right="210" w:rightChars="100" w:hanging="420"/>
      <w:jc w:val="left"/>
    </w:pPr>
    <w:rPr>
      <w:rFonts w:ascii="宋体" w:hAnsi="宋体" w:eastAsia="宋体" w:cs="Times New Roman"/>
      <w:szCs w:val="20"/>
      <w:lang w:val="zh-CN"/>
    </w:rPr>
  </w:style>
  <w:style w:type="character" w:customStyle="1" w:styleId="1003">
    <w:name w:val="招标项目符号1 Char Char"/>
    <w:link w:val="1002"/>
    <w:qFormat/>
    <w:uiPriority w:val="0"/>
    <w:rPr>
      <w:rFonts w:ascii="宋体" w:hAnsi="宋体" w:eastAsia="宋体" w:cs="Times New Roman"/>
      <w:szCs w:val="20"/>
      <w:lang w:val="zh-CN"/>
    </w:rPr>
  </w:style>
  <w:style w:type="paragraph" w:customStyle="1" w:styleId="1004">
    <w:name w:val="招标正文"/>
    <w:basedOn w:val="1"/>
    <w:qFormat/>
    <w:uiPriority w:val="0"/>
    <w:pPr>
      <w:spacing w:line="360" w:lineRule="auto"/>
      <w:ind w:left="227" w:firstLine="200" w:firstLineChars="200"/>
      <w:jc w:val="left"/>
    </w:pPr>
    <w:rPr>
      <w:rFonts w:ascii="Times New Roman" w:hAnsi="Times New Roman" w:eastAsia="宋体" w:cs="Times New Roman"/>
      <w:kern w:val="0"/>
      <w:szCs w:val="20"/>
    </w:rPr>
  </w:style>
  <w:style w:type="paragraph" w:customStyle="1" w:styleId="1005">
    <w:name w:val="二级标题格式"/>
    <w:basedOn w:val="4"/>
    <w:qFormat/>
    <w:uiPriority w:val="0"/>
    <w:pPr>
      <w:keepNext w:val="0"/>
      <w:keepLines w:val="0"/>
      <w:widowControl/>
      <w:adjustRightInd w:val="0"/>
      <w:snapToGrid w:val="0"/>
      <w:spacing w:before="0" w:after="240" w:afterLines="100" w:line="240" w:lineRule="auto"/>
      <w:jc w:val="left"/>
    </w:pPr>
    <w:rPr>
      <w:rFonts w:ascii="Times New Roman" w:hAnsi="Times New Roman" w:eastAsia="宋体"/>
      <w:bCs w:val="0"/>
      <w:sz w:val="24"/>
      <w:szCs w:val="28"/>
      <w:lang w:val="zh-CN"/>
    </w:rPr>
  </w:style>
  <w:style w:type="paragraph" w:customStyle="1" w:styleId="1006">
    <w:name w:val="三级标题格式"/>
    <w:basedOn w:val="5"/>
    <w:qFormat/>
    <w:uiPriority w:val="0"/>
    <w:pPr>
      <w:widowControl/>
      <w:adjustRightInd w:val="0"/>
      <w:snapToGrid w:val="0"/>
      <w:spacing w:after="240" w:afterLines="100" w:line="240" w:lineRule="auto"/>
    </w:pPr>
    <w:rPr>
      <w:rFonts w:eastAsia="黑体"/>
      <w:b w:val="0"/>
      <w:bCs w:val="0"/>
      <w:color w:val="000000"/>
      <w:sz w:val="28"/>
      <w:szCs w:val="28"/>
      <w:lang w:val="zh-CN"/>
    </w:rPr>
  </w:style>
  <w:style w:type="paragraph" w:customStyle="1" w:styleId="1007">
    <w:name w:val="四级标题格式"/>
    <w:basedOn w:val="6"/>
    <w:link w:val="1008"/>
    <w:qFormat/>
    <w:uiPriority w:val="0"/>
    <w:pPr>
      <w:keepNext w:val="0"/>
      <w:widowControl/>
      <w:tabs>
        <w:tab w:val="left" w:pos="340"/>
        <w:tab w:val="left" w:pos="567"/>
      </w:tabs>
      <w:adjustRightInd w:val="0"/>
      <w:snapToGrid w:val="0"/>
      <w:spacing w:before="0" w:after="240" w:afterLines="100" w:line="240" w:lineRule="auto"/>
      <w:jc w:val="left"/>
    </w:pPr>
    <w:rPr>
      <w:rFonts w:ascii="Times New Roman" w:hAnsi="Times New Roman" w:eastAsia="黑体"/>
      <w:b w:val="0"/>
    </w:rPr>
  </w:style>
  <w:style w:type="character" w:customStyle="1" w:styleId="1008">
    <w:name w:val="四级标题格式 Char"/>
    <w:link w:val="1007"/>
    <w:qFormat/>
    <w:uiPriority w:val="0"/>
    <w:rPr>
      <w:rFonts w:ascii="Times New Roman" w:hAnsi="Times New Roman" w:eastAsia="黑体" w:cs="Times New Roman"/>
      <w:bCs/>
      <w:sz w:val="28"/>
      <w:szCs w:val="28"/>
    </w:rPr>
  </w:style>
  <w:style w:type="paragraph" w:customStyle="1" w:styleId="1009">
    <w:name w:val="五级标题格式"/>
    <w:basedOn w:val="7"/>
    <w:link w:val="1010"/>
    <w:qFormat/>
    <w:uiPriority w:val="0"/>
    <w:pPr>
      <w:keepNext w:val="0"/>
      <w:keepLines w:val="0"/>
      <w:tabs>
        <w:tab w:val="left" w:pos="432"/>
        <w:tab w:val="left" w:pos="1008"/>
      </w:tabs>
      <w:spacing w:before="0" w:after="120" w:afterLines="50" w:line="240" w:lineRule="auto"/>
    </w:pPr>
    <w:rPr>
      <w:sz w:val="24"/>
    </w:rPr>
  </w:style>
  <w:style w:type="character" w:customStyle="1" w:styleId="1010">
    <w:name w:val="五级标题格式 Char"/>
    <w:link w:val="1009"/>
    <w:qFormat/>
    <w:uiPriority w:val="0"/>
    <w:rPr>
      <w:rFonts w:ascii="Times New Roman" w:hAnsi="Times New Roman" w:eastAsia="宋体" w:cs="Times New Roman"/>
      <w:b/>
      <w:bCs/>
      <w:sz w:val="24"/>
      <w:szCs w:val="28"/>
    </w:rPr>
  </w:style>
  <w:style w:type="paragraph" w:customStyle="1" w:styleId="1011">
    <w:name w:val="九级标题格式"/>
    <w:basedOn w:val="914"/>
    <w:qFormat/>
    <w:uiPriority w:val="0"/>
    <w:pPr>
      <w:spacing w:after="120" w:afterLines="50" w:line="336" w:lineRule="auto"/>
      <w:ind w:firstLine="187" w:firstLineChars="0"/>
    </w:pPr>
  </w:style>
  <w:style w:type="paragraph" w:customStyle="1" w:styleId="1012">
    <w:name w:val="六级标题格式"/>
    <w:basedOn w:val="1"/>
    <w:qFormat/>
    <w:uiPriority w:val="0"/>
    <w:pPr>
      <w:spacing w:after="50" w:afterLines="50" w:line="336" w:lineRule="auto"/>
      <w:ind w:left="227" w:firstLine="482"/>
      <w:jc w:val="left"/>
      <w:outlineLvl w:val="5"/>
    </w:pPr>
    <w:rPr>
      <w:rFonts w:ascii="Times New Roman" w:hAnsi="Times New Roman" w:eastAsia="宋体" w:cs="Times New Roman"/>
      <w:sz w:val="24"/>
      <w:szCs w:val="24"/>
    </w:rPr>
  </w:style>
  <w:style w:type="paragraph" w:customStyle="1" w:styleId="1013">
    <w:name w:val="七级标题格式"/>
    <w:basedOn w:val="1"/>
    <w:qFormat/>
    <w:uiPriority w:val="0"/>
    <w:pPr>
      <w:spacing w:after="50" w:afterLines="50" w:line="336" w:lineRule="auto"/>
      <w:ind w:left="227" w:firstLine="482"/>
      <w:jc w:val="left"/>
      <w:outlineLvl w:val="6"/>
    </w:pPr>
    <w:rPr>
      <w:rFonts w:ascii="Times New Roman" w:hAnsi="Times New Roman" w:eastAsia="宋体" w:cs="Times New Roman"/>
      <w:sz w:val="24"/>
      <w:szCs w:val="24"/>
    </w:rPr>
  </w:style>
  <w:style w:type="paragraph" w:customStyle="1" w:styleId="1014">
    <w:name w:val="八级正文格式"/>
    <w:basedOn w:val="914"/>
    <w:qFormat/>
    <w:uiPriority w:val="0"/>
    <w:pPr>
      <w:spacing w:after="120" w:afterLines="50" w:line="336" w:lineRule="auto"/>
      <w:ind w:firstLine="0" w:firstLineChars="0"/>
    </w:pPr>
  </w:style>
  <w:style w:type="paragraph" w:customStyle="1" w:styleId="1015">
    <w:name w:val="图名格式"/>
    <w:basedOn w:val="177"/>
    <w:qFormat/>
    <w:uiPriority w:val="0"/>
    <w:pPr>
      <w:spacing w:after="50" w:afterLines="50"/>
      <w:ind w:left="227" w:firstLine="482"/>
    </w:pPr>
    <w:rPr>
      <w:rFonts w:cs="宋体"/>
      <w:b/>
      <w:lang w:val="en-US"/>
    </w:rPr>
  </w:style>
  <w:style w:type="paragraph" w:customStyle="1" w:styleId="1016">
    <w:name w:val="段落格式"/>
    <w:basedOn w:val="1"/>
    <w:link w:val="1017"/>
    <w:qFormat/>
    <w:uiPriority w:val="0"/>
    <w:pPr>
      <w:widowControl/>
      <w:adjustRightInd w:val="0"/>
      <w:snapToGrid w:val="0"/>
      <w:spacing w:after="156" w:afterLines="50"/>
      <w:ind w:left="227" w:firstLine="480" w:firstLineChars="200"/>
      <w:jc w:val="left"/>
    </w:pPr>
    <w:rPr>
      <w:rFonts w:ascii="宋体" w:hAnsi="宋体" w:eastAsia="宋体" w:cs="Times New Roman"/>
      <w:kern w:val="0"/>
      <w:sz w:val="24"/>
      <w:szCs w:val="24"/>
    </w:rPr>
  </w:style>
  <w:style w:type="character" w:customStyle="1" w:styleId="1017">
    <w:name w:val="段落格式 Char"/>
    <w:link w:val="1016"/>
    <w:qFormat/>
    <w:uiPriority w:val="0"/>
    <w:rPr>
      <w:rFonts w:ascii="宋体" w:hAnsi="宋体" w:eastAsia="宋体" w:cs="Times New Roman"/>
      <w:kern w:val="0"/>
      <w:sz w:val="24"/>
      <w:szCs w:val="24"/>
    </w:rPr>
  </w:style>
  <w:style w:type="paragraph" w:customStyle="1" w:styleId="1018">
    <w:name w:val="图签格式"/>
    <w:basedOn w:val="1"/>
    <w:link w:val="1019"/>
    <w:qFormat/>
    <w:uiPriority w:val="0"/>
    <w:pPr>
      <w:widowControl/>
      <w:adjustRightInd w:val="0"/>
      <w:snapToGrid w:val="0"/>
      <w:spacing w:after="156" w:afterLines="50" w:line="360" w:lineRule="auto"/>
      <w:ind w:left="227" w:firstLine="482"/>
      <w:jc w:val="center"/>
    </w:pPr>
    <w:rPr>
      <w:rFonts w:ascii="宋体" w:hAnsi="宋体" w:eastAsia="宋体" w:cs="Times New Roman"/>
      <w:color w:val="00CC00"/>
      <w:kern w:val="0"/>
      <w:sz w:val="24"/>
      <w:szCs w:val="24"/>
    </w:rPr>
  </w:style>
  <w:style w:type="character" w:customStyle="1" w:styleId="1019">
    <w:name w:val="图签格式 Char"/>
    <w:link w:val="1018"/>
    <w:qFormat/>
    <w:uiPriority w:val="0"/>
    <w:rPr>
      <w:rFonts w:ascii="宋体" w:hAnsi="宋体" w:eastAsia="宋体" w:cs="Times New Roman"/>
      <w:color w:val="00CC00"/>
      <w:kern w:val="0"/>
      <w:sz w:val="24"/>
      <w:szCs w:val="24"/>
    </w:rPr>
  </w:style>
  <w:style w:type="paragraph" w:customStyle="1" w:styleId="1020">
    <w:name w:val="Char Char22 Char Char Char Char Char Char Char Char"/>
    <w:basedOn w:val="1"/>
    <w:qFormat/>
    <w:uiPriority w:val="0"/>
    <w:pPr>
      <w:spacing w:line="360" w:lineRule="auto"/>
      <w:ind w:left="227" w:firstLine="200" w:firstLineChars="200"/>
      <w:jc w:val="left"/>
    </w:pPr>
    <w:rPr>
      <w:rFonts w:ascii="宋体" w:hAnsi="宋体" w:eastAsia="宋体" w:cs="宋体"/>
      <w:sz w:val="24"/>
      <w:szCs w:val="24"/>
    </w:rPr>
  </w:style>
  <w:style w:type="character" w:customStyle="1" w:styleId="1021">
    <w:name w:val="款，1 Char"/>
    <w:qFormat/>
    <w:uiPriority w:val="0"/>
    <w:rPr>
      <w:rFonts w:eastAsia="宋体"/>
      <w:b/>
      <w:sz w:val="28"/>
      <w:lang w:val="en-US" w:eastAsia="zh-CN"/>
    </w:rPr>
  </w:style>
  <w:style w:type="character" w:customStyle="1" w:styleId="1022">
    <w:name w:val="Char Char17"/>
    <w:qFormat/>
    <w:uiPriority w:val="0"/>
    <w:rPr>
      <w:rFonts w:ascii="Arial" w:hAnsi="Arial" w:eastAsia="黑体"/>
      <w:b/>
      <w:sz w:val="24"/>
      <w:lang w:val="en-US" w:eastAsia="zh-CN"/>
    </w:rPr>
  </w:style>
  <w:style w:type="character" w:customStyle="1" w:styleId="1023">
    <w:name w:val="Char Char15"/>
    <w:qFormat/>
    <w:uiPriority w:val="0"/>
    <w:rPr>
      <w:rFonts w:ascii="Arial" w:hAnsi="Arial" w:eastAsia="黑体"/>
      <w:sz w:val="24"/>
      <w:lang w:val="en-US" w:eastAsia="zh-CN"/>
    </w:rPr>
  </w:style>
  <w:style w:type="character" w:customStyle="1" w:styleId="1024">
    <w:name w:val="101节 Char Char Char Char Char"/>
    <w:qFormat/>
    <w:uiPriority w:val="0"/>
    <w:rPr>
      <w:rFonts w:ascii="华文细黑" w:hAnsi="Arial" w:eastAsia="华文细黑"/>
      <w:b/>
      <w:sz w:val="44"/>
      <w:lang w:val="en-US" w:eastAsia="zh-CN"/>
    </w:rPr>
  </w:style>
  <w:style w:type="character" w:customStyle="1" w:styleId="1025">
    <w:name w:val="正文缩进   技术 Char"/>
    <w:link w:val="1026"/>
    <w:qFormat/>
    <w:uiPriority w:val="0"/>
    <w:rPr>
      <w:rFonts w:ascii="宋体" w:hAnsi="宋体"/>
      <w:color w:val="0000FF"/>
    </w:rPr>
  </w:style>
  <w:style w:type="paragraph" w:customStyle="1" w:styleId="1026">
    <w:name w:val="正文缩进   技术"/>
    <w:basedOn w:val="21"/>
    <w:link w:val="1025"/>
    <w:qFormat/>
    <w:uiPriority w:val="0"/>
    <w:pPr>
      <w:spacing w:line="400" w:lineRule="exact"/>
      <w:ind w:left="227" w:firstLine="482"/>
    </w:pPr>
    <w:rPr>
      <w:rFonts w:ascii="宋体" w:hAnsi="宋体" w:eastAsiaTheme="minorEastAsia" w:cstheme="minorBidi"/>
      <w:color w:val="0000FF"/>
      <w:szCs w:val="22"/>
    </w:rPr>
  </w:style>
  <w:style w:type="character" w:customStyle="1" w:styleId="1027">
    <w:name w:val="样式 标题 3 Char"/>
    <w:link w:val="1028"/>
    <w:qFormat/>
    <w:uiPriority w:val="0"/>
    <w:rPr>
      <w:rFonts w:ascii="Arial" w:hAnsi="Arial"/>
      <w:b/>
      <w:sz w:val="24"/>
    </w:rPr>
  </w:style>
  <w:style w:type="paragraph" w:customStyle="1" w:styleId="1028">
    <w:name w:val="样式 标题 3"/>
    <w:basedOn w:val="4"/>
    <w:link w:val="1027"/>
    <w:qFormat/>
    <w:uiPriority w:val="0"/>
    <w:pPr>
      <w:keepNext w:val="0"/>
      <w:widowControl/>
      <w:adjustRightInd w:val="0"/>
      <w:snapToGrid w:val="0"/>
      <w:spacing w:line="240" w:lineRule="auto"/>
      <w:jc w:val="left"/>
    </w:pPr>
    <w:rPr>
      <w:rFonts w:eastAsiaTheme="minorEastAsia" w:cstheme="minorBidi"/>
      <w:bCs w:val="0"/>
      <w:sz w:val="24"/>
      <w:szCs w:val="22"/>
    </w:rPr>
  </w:style>
  <w:style w:type="character" w:customStyle="1" w:styleId="1029">
    <w:name w:val="应答文本 Char Char"/>
    <w:link w:val="1030"/>
    <w:qFormat/>
    <w:uiPriority w:val="0"/>
    <w:rPr>
      <w:rFonts w:ascii="宋体" w:hAnsi="宋体"/>
      <w:b/>
      <w:spacing w:val="10"/>
    </w:rPr>
  </w:style>
  <w:style w:type="paragraph" w:customStyle="1" w:styleId="1030">
    <w:name w:val="应答文本"/>
    <w:basedOn w:val="1"/>
    <w:link w:val="1029"/>
    <w:qFormat/>
    <w:uiPriority w:val="0"/>
    <w:pPr>
      <w:adjustRightInd w:val="0"/>
      <w:spacing w:line="400" w:lineRule="exact"/>
      <w:ind w:left="421" w:leftChars="172" w:right="100" w:rightChars="100" w:hanging="60" w:hangingChars="26"/>
      <w:jc w:val="left"/>
    </w:pPr>
    <w:rPr>
      <w:rFonts w:ascii="宋体" w:hAnsi="宋体"/>
      <w:b/>
      <w:spacing w:val="10"/>
    </w:rPr>
  </w:style>
  <w:style w:type="character" w:customStyle="1" w:styleId="1031">
    <w:name w:val="unnamed11"/>
    <w:qFormat/>
    <w:uiPriority w:val="0"/>
    <w:rPr>
      <w:rFonts w:hint="eastAsia" w:ascii="宋体" w:hAnsi="宋体" w:eastAsia="宋体"/>
      <w:sz w:val="21"/>
    </w:rPr>
  </w:style>
  <w:style w:type="character" w:customStyle="1" w:styleId="1032">
    <w:name w:val="Char Char9"/>
    <w:qFormat/>
    <w:uiPriority w:val="0"/>
    <w:rPr>
      <w:rFonts w:eastAsia="宋体"/>
      <w:kern w:val="2"/>
      <w:sz w:val="21"/>
      <w:lang w:val="en-US" w:eastAsia="zh-CN"/>
    </w:rPr>
  </w:style>
  <w:style w:type="character" w:customStyle="1" w:styleId="1033">
    <w:name w:val="tt1"/>
    <w:qFormat/>
    <w:uiPriority w:val="0"/>
    <w:rPr>
      <w:rFonts w:hint="default" w:ascii="Arial" w:hAnsi="Arial"/>
      <w:color w:val="000000"/>
      <w:sz w:val="22"/>
    </w:rPr>
  </w:style>
  <w:style w:type="character" w:customStyle="1" w:styleId="1034">
    <w:name w:val="Char Char12"/>
    <w:qFormat/>
    <w:uiPriority w:val="0"/>
    <w:rPr>
      <w:rFonts w:eastAsia="仿宋_GB2312"/>
      <w:kern w:val="2"/>
      <w:sz w:val="32"/>
    </w:rPr>
  </w:style>
  <w:style w:type="character" w:customStyle="1" w:styleId="1035">
    <w:name w:val="样式 正文首行缩进2 Char"/>
    <w:link w:val="1036"/>
    <w:qFormat/>
    <w:uiPriority w:val="0"/>
    <w:rPr>
      <w:rFonts w:ascii="Arial" w:hAnsi="Arial"/>
      <w:kern w:val="24"/>
      <w:lang w:val="zh-CN"/>
    </w:rPr>
  </w:style>
  <w:style w:type="paragraph" w:customStyle="1" w:styleId="1036">
    <w:name w:val="样式 正文首行缩进2"/>
    <w:basedOn w:val="1"/>
    <w:link w:val="1035"/>
    <w:qFormat/>
    <w:uiPriority w:val="0"/>
    <w:pPr>
      <w:tabs>
        <w:tab w:val="left" w:pos="432"/>
        <w:tab w:val="left" w:pos="1080"/>
      </w:tabs>
      <w:spacing w:line="400" w:lineRule="exact"/>
      <w:ind w:left="432" w:hanging="432"/>
      <w:jc w:val="left"/>
    </w:pPr>
    <w:rPr>
      <w:rFonts w:ascii="Arial" w:hAnsi="Arial"/>
      <w:kern w:val="24"/>
      <w:lang w:val="zh-CN"/>
    </w:rPr>
  </w:style>
  <w:style w:type="character" w:customStyle="1" w:styleId="1037">
    <w:name w:val="ft-hanggao1"/>
    <w:qFormat/>
    <w:uiPriority w:val="0"/>
    <w:rPr>
      <w:color w:val="000000"/>
      <w:sz w:val="18"/>
    </w:rPr>
  </w:style>
  <w:style w:type="character" w:customStyle="1" w:styleId="1038">
    <w:name w:val="Char Char14"/>
    <w:qFormat/>
    <w:uiPriority w:val="0"/>
    <w:rPr>
      <w:rFonts w:ascii="Arial" w:hAnsi="Arial" w:eastAsia="黑体"/>
      <w:sz w:val="21"/>
      <w:lang w:val="en-US" w:eastAsia="zh-CN"/>
    </w:rPr>
  </w:style>
  <w:style w:type="character" w:customStyle="1" w:styleId="1039">
    <w:name w:val="Char Char18"/>
    <w:qFormat/>
    <w:uiPriority w:val="0"/>
    <w:rPr>
      <w:rFonts w:eastAsia="仿宋_GB2312"/>
      <w:kern w:val="2"/>
      <w:sz w:val="32"/>
      <w:lang w:val="en-US" w:eastAsia="zh-CN"/>
    </w:rPr>
  </w:style>
  <w:style w:type="character" w:customStyle="1" w:styleId="1040">
    <w:name w:val="样式 1 + (符号) Times New Roman 首行缩进:  2 字符 行距: 固定值 24 磅 Char"/>
    <w:link w:val="1041"/>
    <w:qFormat/>
    <w:uiPriority w:val="0"/>
    <w:rPr>
      <w:rFonts w:ascii="宋体"/>
      <w:sz w:val="28"/>
    </w:rPr>
  </w:style>
  <w:style w:type="paragraph" w:customStyle="1" w:styleId="1041">
    <w:name w:val="样式 1 + (符号) Times New Roman 首行缩进:  2 字符 行距: 固定值 24 磅"/>
    <w:basedOn w:val="3"/>
    <w:link w:val="1040"/>
    <w:qFormat/>
    <w:uiPriority w:val="0"/>
    <w:pPr>
      <w:keepNext w:val="0"/>
      <w:keepLines w:val="0"/>
      <w:tabs>
        <w:tab w:val="left" w:pos="432"/>
      </w:tabs>
      <w:spacing w:before="0" w:after="0" w:line="480" w:lineRule="exact"/>
      <w:ind w:firstLine="590" w:firstLineChars="200"/>
      <w:jc w:val="left"/>
      <w:outlineLvl w:val="9"/>
    </w:pPr>
    <w:rPr>
      <w:rFonts w:ascii="宋体" w:hAnsiTheme="minorHAnsi" w:eastAsiaTheme="minorEastAsia" w:cstheme="minorBidi"/>
      <w:b w:val="0"/>
      <w:bCs w:val="0"/>
      <w:kern w:val="2"/>
      <w:sz w:val="28"/>
      <w:szCs w:val="22"/>
    </w:rPr>
  </w:style>
  <w:style w:type="character" w:customStyle="1" w:styleId="1042">
    <w:name w:val="文字 Char"/>
    <w:link w:val="1043"/>
    <w:qFormat/>
    <w:uiPriority w:val="0"/>
    <w:rPr>
      <w:rFonts w:ascii="宋体"/>
      <w:sz w:val="28"/>
    </w:rPr>
  </w:style>
  <w:style w:type="paragraph" w:customStyle="1" w:styleId="1043">
    <w:name w:val="文字"/>
    <w:basedOn w:val="1"/>
    <w:link w:val="1042"/>
    <w:qFormat/>
    <w:uiPriority w:val="0"/>
    <w:pPr>
      <w:tabs>
        <w:tab w:val="left" w:pos="8520"/>
      </w:tabs>
      <w:spacing w:line="312" w:lineRule="auto"/>
      <w:ind w:left="227" w:right="-210" w:firstLine="556"/>
      <w:jc w:val="left"/>
    </w:pPr>
    <w:rPr>
      <w:rFonts w:ascii="宋体"/>
      <w:sz w:val="28"/>
    </w:rPr>
  </w:style>
  <w:style w:type="character" w:customStyle="1" w:styleId="1044">
    <w:name w:val="招标项目符号2 Char Char"/>
    <w:link w:val="1045"/>
    <w:qFormat/>
    <w:uiPriority w:val="0"/>
    <w:rPr>
      <w:rFonts w:ascii="宋体" w:hAnsi="宋体"/>
      <w:lang w:val="zh-CN"/>
    </w:rPr>
  </w:style>
  <w:style w:type="paragraph" w:customStyle="1" w:styleId="1045">
    <w:name w:val="招标项目符号2"/>
    <w:basedOn w:val="1002"/>
    <w:link w:val="1044"/>
    <w:qFormat/>
    <w:uiPriority w:val="0"/>
    <w:pPr>
      <w:numPr>
        <w:numId w:val="0"/>
      </w:numPr>
      <w:tabs>
        <w:tab w:val="left" w:pos="1486"/>
        <w:tab w:val="clear" w:pos="540"/>
      </w:tabs>
      <w:ind w:left="840" w:right="0" w:hanging="420"/>
    </w:pPr>
    <w:rPr>
      <w:rFonts w:eastAsiaTheme="minorEastAsia" w:cstheme="minorBidi"/>
      <w:szCs w:val="22"/>
    </w:rPr>
  </w:style>
  <w:style w:type="character" w:customStyle="1" w:styleId="1046">
    <w:name w:val="even Char Char"/>
    <w:qFormat/>
    <w:uiPriority w:val="0"/>
    <w:rPr>
      <w:kern w:val="2"/>
      <w:sz w:val="18"/>
    </w:rPr>
  </w:style>
  <w:style w:type="character" w:customStyle="1" w:styleId="1047">
    <w:name w:val="款，1 Char Char"/>
    <w:qFormat/>
    <w:uiPriority w:val="0"/>
    <w:rPr>
      <w:b/>
      <w:sz w:val="28"/>
    </w:rPr>
  </w:style>
  <w:style w:type="character" w:customStyle="1" w:styleId="1048">
    <w:name w:val="样式 标题 2 + Char"/>
    <w:link w:val="1049"/>
    <w:qFormat/>
    <w:uiPriority w:val="0"/>
    <w:rPr>
      <w:rFonts w:ascii="Arial" w:hAnsi="Arial"/>
      <w:b/>
    </w:rPr>
  </w:style>
  <w:style w:type="paragraph" w:customStyle="1" w:styleId="1049">
    <w:name w:val="样式 标题 2 +"/>
    <w:basedOn w:val="4"/>
    <w:link w:val="1048"/>
    <w:qFormat/>
    <w:uiPriority w:val="0"/>
    <w:pPr>
      <w:keepNext w:val="0"/>
      <w:widowControl/>
      <w:adjustRightInd w:val="0"/>
      <w:snapToGrid w:val="0"/>
      <w:spacing w:line="360" w:lineRule="auto"/>
      <w:jc w:val="left"/>
    </w:pPr>
    <w:rPr>
      <w:rFonts w:eastAsiaTheme="minorEastAsia" w:cstheme="minorBidi"/>
      <w:bCs w:val="0"/>
      <w:sz w:val="21"/>
      <w:szCs w:val="22"/>
    </w:rPr>
  </w:style>
  <w:style w:type="character" w:customStyle="1" w:styleId="1050">
    <w:name w:val="样式 标题 44 dashd3dash4 dash1d131dash14 dash2d232dash2... Char"/>
    <w:link w:val="1051"/>
    <w:qFormat/>
    <w:uiPriority w:val="0"/>
    <w:rPr>
      <w:rFonts w:ascii="Arial" w:hAnsi="Arial" w:eastAsia="黑体"/>
      <w:b/>
      <w:color w:val="000000"/>
      <w:sz w:val="24"/>
    </w:rPr>
  </w:style>
  <w:style w:type="paragraph" w:customStyle="1" w:styleId="1051">
    <w:name w:val="样式 标题 44 dashd3dash4 dash1d131dash14 dash2d232dash2..."/>
    <w:basedOn w:val="6"/>
    <w:link w:val="1050"/>
    <w:qFormat/>
    <w:uiPriority w:val="0"/>
    <w:pPr>
      <w:keepNext w:val="0"/>
      <w:widowControl/>
      <w:tabs>
        <w:tab w:val="left" w:pos="340"/>
        <w:tab w:val="left" w:pos="567"/>
        <w:tab w:val="left" w:pos="864"/>
      </w:tabs>
      <w:adjustRightInd w:val="0"/>
      <w:snapToGrid w:val="0"/>
      <w:spacing w:line="372" w:lineRule="auto"/>
      <w:ind w:left="864" w:hanging="864"/>
      <w:jc w:val="left"/>
    </w:pPr>
    <w:rPr>
      <w:rFonts w:ascii="Arial" w:hAnsi="Arial" w:eastAsia="黑体" w:cstheme="minorBidi"/>
      <w:bCs w:val="0"/>
      <w:color w:val="000000"/>
      <w:sz w:val="24"/>
      <w:szCs w:val="22"/>
    </w:rPr>
  </w:style>
  <w:style w:type="character" w:customStyle="1" w:styleId="1052">
    <w:name w:val="text4"/>
    <w:qFormat/>
    <w:uiPriority w:val="0"/>
  </w:style>
  <w:style w:type="character" w:customStyle="1" w:styleId="1053">
    <w:name w:val="Char Char11"/>
    <w:qFormat/>
    <w:uiPriority w:val="0"/>
    <w:rPr>
      <w:rFonts w:ascii="宋体" w:hAnsi="宋体" w:eastAsia="宋体"/>
      <w:kern w:val="2"/>
      <w:sz w:val="24"/>
      <w:lang w:val="en-US" w:eastAsia="zh-CN"/>
    </w:rPr>
  </w:style>
  <w:style w:type="character" w:customStyle="1" w:styleId="1054">
    <w:name w:val="txt"/>
    <w:qFormat/>
    <w:uiPriority w:val="0"/>
  </w:style>
  <w:style w:type="character" w:customStyle="1" w:styleId="1055">
    <w:name w:val="Char Char13"/>
    <w:qFormat/>
    <w:uiPriority w:val="0"/>
    <w:rPr>
      <w:b/>
      <w:kern w:val="2"/>
      <w:sz w:val="21"/>
    </w:rPr>
  </w:style>
  <w:style w:type="paragraph" w:customStyle="1" w:styleId="1056">
    <w:name w:val="font18"/>
    <w:basedOn w:val="1"/>
    <w:qFormat/>
    <w:uiPriority w:val="0"/>
    <w:pPr>
      <w:widowControl/>
      <w:spacing w:before="100" w:beforeAutospacing="1" w:after="100" w:afterAutospacing="1"/>
      <w:ind w:left="227" w:firstLine="482"/>
      <w:jc w:val="left"/>
    </w:pPr>
    <w:rPr>
      <w:rFonts w:ascii="宋体" w:hAnsi="宋体" w:eastAsia="宋体" w:cs="Times New Roman"/>
      <w:color w:val="008000"/>
      <w:kern w:val="0"/>
      <w:sz w:val="20"/>
      <w:szCs w:val="20"/>
    </w:rPr>
  </w:style>
  <w:style w:type="paragraph" w:customStyle="1" w:styleId="1057">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FF0000"/>
      <w:kern w:val="0"/>
      <w:sz w:val="20"/>
      <w:szCs w:val="20"/>
    </w:rPr>
  </w:style>
  <w:style w:type="paragraph" w:customStyle="1" w:styleId="105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i/>
      <w:kern w:val="0"/>
      <w:sz w:val="20"/>
      <w:szCs w:val="20"/>
    </w:rPr>
  </w:style>
  <w:style w:type="paragraph" w:customStyle="1" w:styleId="1059">
    <w:name w:val="Char2 Char Char Char Char Char Char"/>
    <w:basedOn w:val="1"/>
    <w:qFormat/>
    <w:uiPriority w:val="0"/>
    <w:pPr>
      <w:adjustRightInd w:val="0"/>
      <w:spacing w:line="360" w:lineRule="auto"/>
      <w:ind w:left="227" w:firstLine="482"/>
      <w:jc w:val="left"/>
    </w:pPr>
    <w:rPr>
      <w:rFonts w:ascii="Times New Roman" w:hAnsi="Times New Roman" w:eastAsia="宋体" w:cs="Times New Roman"/>
      <w:kern w:val="0"/>
      <w:sz w:val="24"/>
      <w:szCs w:val="20"/>
    </w:rPr>
  </w:style>
  <w:style w:type="paragraph" w:customStyle="1" w:styleId="1060">
    <w:name w:val="Table Cell"/>
    <w:basedOn w:val="1"/>
    <w:qFormat/>
    <w:uiPriority w:val="0"/>
    <w:pPr>
      <w:keepLines/>
      <w:widowControl/>
      <w:suppressAutoHyphens/>
      <w:spacing w:before="60" w:after="60"/>
      <w:ind w:left="227" w:right="113" w:firstLine="482"/>
      <w:jc w:val="left"/>
    </w:pPr>
    <w:rPr>
      <w:rFonts w:ascii="Times New Roman" w:hAnsi="Times New Roman" w:eastAsia="宋体" w:cs="Times New Roman"/>
      <w:kern w:val="0"/>
      <w:sz w:val="20"/>
      <w:szCs w:val="20"/>
      <w:lang w:val="en-AU" w:eastAsia="en-US"/>
    </w:rPr>
  </w:style>
  <w:style w:type="paragraph" w:customStyle="1" w:styleId="106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b/>
      <w:color w:val="000000"/>
      <w:kern w:val="0"/>
      <w:sz w:val="20"/>
      <w:szCs w:val="20"/>
    </w:rPr>
  </w:style>
  <w:style w:type="paragraph" w:customStyle="1" w:styleId="106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FF00"/>
      <w:kern w:val="0"/>
      <w:sz w:val="20"/>
      <w:szCs w:val="20"/>
    </w:rPr>
  </w:style>
  <w:style w:type="paragraph" w:customStyle="1" w:styleId="1063">
    <w:name w:val="招标标题1"/>
    <w:basedOn w:val="3"/>
    <w:next w:val="1004"/>
    <w:qFormat/>
    <w:uiPriority w:val="0"/>
    <w:pPr>
      <w:tabs>
        <w:tab w:val="left" w:pos="425"/>
      </w:tabs>
      <w:spacing w:before="240" w:after="180" w:line="240" w:lineRule="auto"/>
      <w:ind w:left="425" w:hanging="425"/>
      <w:jc w:val="left"/>
    </w:pPr>
    <w:rPr>
      <w:rFonts w:eastAsia="黑体"/>
      <w:b w:val="0"/>
      <w:bCs w:val="0"/>
      <w:sz w:val="32"/>
      <w:szCs w:val="20"/>
      <w:lang w:val="zh-CN"/>
    </w:rPr>
  </w:style>
  <w:style w:type="paragraph" w:customStyle="1" w:styleId="106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kern w:val="0"/>
      <w:sz w:val="20"/>
      <w:szCs w:val="20"/>
    </w:rPr>
  </w:style>
  <w:style w:type="paragraph" w:customStyle="1" w:styleId="1065">
    <w:name w:val="Char Char Char Char Char Char1 Char"/>
    <w:basedOn w:val="1"/>
    <w:qFormat/>
    <w:uiPriority w:val="0"/>
    <w:pPr>
      <w:widowControl/>
      <w:spacing w:after="160" w:line="240" w:lineRule="exact"/>
      <w:ind w:left="227" w:firstLine="482"/>
      <w:jc w:val="left"/>
    </w:pPr>
    <w:rPr>
      <w:rFonts w:ascii="Verdana" w:hAnsi="Verdana" w:eastAsia="宋体" w:cs="Times New Roman"/>
      <w:kern w:val="0"/>
      <w:szCs w:val="20"/>
      <w:lang w:eastAsia="en-US"/>
    </w:rPr>
  </w:style>
  <w:style w:type="paragraph" w:customStyle="1" w:styleId="1066">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FF"/>
      <w:kern w:val="0"/>
      <w:sz w:val="20"/>
      <w:szCs w:val="20"/>
    </w:rPr>
  </w:style>
  <w:style w:type="paragraph" w:customStyle="1" w:styleId="1067">
    <w:name w:val="样式 样式 正文首行缩进 + 首行缩进:  2 字符 段前: 5 磅 段后: 5 磅"/>
    <w:basedOn w:val="1068"/>
    <w:qFormat/>
    <w:uiPriority w:val="0"/>
  </w:style>
  <w:style w:type="paragraph" w:customStyle="1" w:styleId="1068">
    <w:name w:val="样式 正文首行缩进"/>
    <w:basedOn w:val="1"/>
    <w:qFormat/>
    <w:uiPriority w:val="0"/>
    <w:pPr>
      <w:spacing w:line="400" w:lineRule="exact"/>
      <w:ind w:left="227" w:firstLine="200" w:firstLineChars="200"/>
      <w:jc w:val="left"/>
    </w:pPr>
    <w:rPr>
      <w:rFonts w:ascii="宋体" w:hAnsi="宋体" w:eastAsia="宋体" w:cs="Times New Roman"/>
      <w:kern w:val="24"/>
      <w:szCs w:val="20"/>
    </w:rPr>
  </w:style>
  <w:style w:type="paragraph" w:customStyle="1" w:styleId="1069">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Times New Roman" w:hAnsi="Times New Roman" w:eastAsia="宋体" w:cs="Times New Roman"/>
      <w:color w:val="FF0000"/>
      <w:kern w:val="0"/>
      <w:sz w:val="20"/>
      <w:szCs w:val="20"/>
    </w:rPr>
  </w:style>
  <w:style w:type="paragraph" w:customStyle="1" w:styleId="1070">
    <w:name w:val="投标－标题6"/>
    <w:basedOn w:val="1071"/>
    <w:next w:val="1"/>
    <w:qFormat/>
    <w:uiPriority w:val="0"/>
    <w:pPr>
      <w:tabs>
        <w:tab w:val="left" w:pos="425"/>
        <w:tab w:val="left" w:pos="567"/>
        <w:tab w:val="left" w:pos="709"/>
        <w:tab w:val="left" w:pos="772"/>
        <w:tab w:val="left" w:pos="851"/>
        <w:tab w:val="left" w:pos="992"/>
        <w:tab w:val="left" w:pos="1006"/>
        <w:tab w:val="left" w:pos="1134"/>
        <w:tab w:val="left" w:pos="1553"/>
      </w:tabs>
      <w:ind w:left="1152" w:hanging="1152"/>
      <w:outlineLvl w:val="5"/>
    </w:pPr>
  </w:style>
  <w:style w:type="paragraph" w:customStyle="1" w:styleId="1071">
    <w:name w:val="投标—标题5"/>
    <w:basedOn w:val="1072"/>
    <w:next w:val="1"/>
    <w:link w:val="1077"/>
    <w:qFormat/>
    <w:uiPriority w:val="0"/>
    <w:pPr>
      <w:tabs>
        <w:tab w:val="left" w:pos="425"/>
        <w:tab w:val="left" w:pos="567"/>
        <w:tab w:val="left" w:pos="709"/>
        <w:tab w:val="left" w:pos="772"/>
        <w:tab w:val="left" w:pos="851"/>
        <w:tab w:val="left" w:pos="992"/>
        <w:tab w:val="left" w:pos="1006"/>
        <w:tab w:val="left" w:pos="1553"/>
      </w:tabs>
      <w:ind w:left="1008" w:hanging="1008"/>
      <w:outlineLvl w:val="4"/>
    </w:pPr>
  </w:style>
  <w:style w:type="paragraph" w:customStyle="1" w:styleId="1072">
    <w:name w:val="投标—标题4"/>
    <w:basedOn w:val="1073"/>
    <w:next w:val="1"/>
    <w:link w:val="1076"/>
    <w:qFormat/>
    <w:uiPriority w:val="0"/>
    <w:pPr>
      <w:tabs>
        <w:tab w:val="left" w:pos="425"/>
        <w:tab w:val="left" w:pos="567"/>
        <w:tab w:val="left" w:pos="709"/>
        <w:tab w:val="left" w:pos="772"/>
        <w:tab w:val="left" w:pos="851"/>
        <w:tab w:val="left" w:pos="1006"/>
        <w:tab w:val="left" w:pos="1553"/>
      </w:tabs>
      <w:spacing w:before="60"/>
      <w:ind w:left="1553" w:hanging="864"/>
      <w:outlineLvl w:val="3"/>
    </w:pPr>
    <w:rPr>
      <w:sz w:val="24"/>
    </w:rPr>
  </w:style>
  <w:style w:type="paragraph" w:customStyle="1" w:styleId="1073">
    <w:name w:val="投标—标题3"/>
    <w:basedOn w:val="1074"/>
    <w:next w:val="1"/>
    <w:qFormat/>
    <w:uiPriority w:val="0"/>
    <w:pPr>
      <w:tabs>
        <w:tab w:val="left" w:pos="425"/>
        <w:tab w:val="left" w:pos="567"/>
        <w:tab w:val="left" w:pos="709"/>
        <w:tab w:val="left" w:pos="772"/>
        <w:tab w:val="left" w:pos="1006"/>
      </w:tabs>
      <w:ind w:left="1006" w:hanging="720"/>
      <w:outlineLvl w:val="2"/>
    </w:pPr>
    <w:rPr>
      <w:sz w:val="28"/>
    </w:rPr>
  </w:style>
  <w:style w:type="paragraph" w:customStyle="1" w:styleId="1074">
    <w:name w:val="投标—标题2"/>
    <w:basedOn w:val="1075"/>
    <w:next w:val="1"/>
    <w:qFormat/>
    <w:uiPriority w:val="0"/>
    <w:pPr>
      <w:keepNext w:val="0"/>
      <w:keepLines w:val="0"/>
      <w:tabs>
        <w:tab w:val="left" w:pos="425"/>
        <w:tab w:val="left" w:pos="567"/>
        <w:tab w:val="left" w:pos="772"/>
      </w:tabs>
      <w:adjustRightInd w:val="0"/>
      <w:spacing w:before="120" w:after="120"/>
      <w:ind w:left="772" w:hanging="576"/>
      <w:outlineLvl w:val="1"/>
    </w:pPr>
    <w:rPr>
      <w:sz w:val="30"/>
    </w:rPr>
  </w:style>
  <w:style w:type="paragraph" w:customStyle="1" w:styleId="1075">
    <w:name w:val="投标—标题1"/>
    <w:basedOn w:val="3"/>
    <w:next w:val="1"/>
    <w:qFormat/>
    <w:uiPriority w:val="0"/>
    <w:pPr>
      <w:tabs>
        <w:tab w:val="left" w:pos="425"/>
      </w:tabs>
      <w:spacing w:before="240" w:after="180" w:line="240" w:lineRule="auto"/>
      <w:ind w:left="425" w:hanging="425"/>
      <w:jc w:val="left"/>
    </w:pPr>
    <w:rPr>
      <w:rFonts w:eastAsia="黑体"/>
      <w:b w:val="0"/>
      <w:bCs w:val="0"/>
      <w:sz w:val="32"/>
      <w:szCs w:val="20"/>
      <w:lang w:val="zh-CN"/>
    </w:rPr>
  </w:style>
  <w:style w:type="character" w:customStyle="1" w:styleId="1076">
    <w:name w:val="投标—标题4 Char"/>
    <w:link w:val="1072"/>
    <w:qFormat/>
    <w:uiPriority w:val="0"/>
    <w:rPr>
      <w:rFonts w:ascii="Times New Roman" w:hAnsi="Times New Roman" w:eastAsia="黑体" w:cs="Times New Roman"/>
      <w:kern w:val="44"/>
      <w:sz w:val="24"/>
      <w:szCs w:val="20"/>
      <w:lang w:val="zh-CN"/>
    </w:rPr>
  </w:style>
  <w:style w:type="character" w:customStyle="1" w:styleId="1077">
    <w:name w:val="投标—标题5 Char"/>
    <w:link w:val="1071"/>
    <w:qFormat/>
    <w:uiPriority w:val="0"/>
    <w:rPr>
      <w:rFonts w:ascii="Times New Roman" w:hAnsi="Times New Roman" w:eastAsia="黑体" w:cs="Times New Roman"/>
      <w:kern w:val="44"/>
      <w:sz w:val="24"/>
      <w:szCs w:val="20"/>
      <w:lang w:val="zh-CN"/>
    </w:rPr>
  </w:style>
  <w:style w:type="paragraph" w:customStyle="1" w:styleId="107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9900"/>
      <w:kern w:val="0"/>
      <w:sz w:val="20"/>
      <w:szCs w:val="20"/>
    </w:rPr>
  </w:style>
  <w:style w:type="paragraph" w:customStyle="1" w:styleId="1079">
    <w:name w:val="retrait3"/>
    <w:basedOn w:val="1"/>
    <w:qFormat/>
    <w:uiPriority w:val="0"/>
    <w:pPr>
      <w:widowControl/>
      <w:spacing w:before="20" w:after="20"/>
      <w:ind w:left="851" w:firstLine="482"/>
      <w:jc w:val="left"/>
    </w:pPr>
    <w:rPr>
      <w:rFonts w:ascii="Arial" w:hAnsi="Arial" w:eastAsia="宋体" w:cs="Times New Roman"/>
      <w:kern w:val="0"/>
      <w:sz w:val="24"/>
      <w:szCs w:val="20"/>
      <w:lang w:val="en-GB"/>
    </w:rPr>
  </w:style>
  <w:style w:type="paragraph" w:customStyle="1" w:styleId="1080">
    <w:name w:val="font22"/>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FF0000"/>
      <w:kern w:val="0"/>
      <w:sz w:val="20"/>
      <w:szCs w:val="20"/>
    </w:rPr>
  </w:style>
  <w:style w:type="paragraph" w:customStyle="1" w:styleId="108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Times New Roman" w:hAnsi="Times New Roman" w:eastAsia="宋体" w:cs="Times New Roman"/>
      <w:color w:val="008000"/>
      <w:kern w:val="0"/>
      <w:sz w:val="20"/>
      <w:szCs w:val="20"/>
    </w:rPr>
  </w:style>
  <w:style w:type="paragraph" w:customStyle="1" w:styleId="108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8000"/>
      <w:kern w:val="0"/>
      <w:sz w:val="20"/>
      <w:szCs w:val="20"/>
    </w:rPr>
  </w:style>
  <w:style w:type="paragraph" w:customStyle="1" w:styleId="108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FF0000"/>
      <w:kern w:val="0"/>
      <w:sz w:val="20"/>
      <w:szCs w:val="20"/>
    </w:rPr>
  </w:style>
  <w:style w:type="paragraph" w:customStyle="1" w:styleId="1084">
    <w:name w:val="Table Col Heading"/>
    <w:basedOn w:val="1060"/>
    <w:qFormat/>
    <w:uiPriority w:val="0"/>
    <w:rPr>
      <w:b/>
    </w:rPr>
  </w:style>
  <w:style w:type="paragraph" w:customStyle="1" w:styleId="108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6600"/>
      <w:kern w:val="0"/>
      <w:sz w:val="20"/>
      <w:szCs w:val="20"/>
    </w:rPr>
  </w:style>
  <w:style w:type="paragraph" w:customStyle="1" w:styleId="108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FF00"/>
      <w:kern w:val="0"/>
      <w:sz w:val="20"/>
      <w:szCs w:val="20"/>
    </w:rPr>
  </w:style>
  <w:style w:type="paragraph" w:customStyle="1" w:styleId="1087">
    <w:name w:val="font32"/>
    <w:basedOn w:val="1"/>
    <w:qFormat/>
    <w:uiPriority w:val="0"/>
    <w:pPr>
      <w:widowControl/>
      <w:spacing w:before="100" w:beforeAutospacing="1" w:after="100" w:afterAutospacing="1"/>
      <w:ind w:left="227" w:firstLine="482"/>
      <w:jc w:val="left"/>
    </w:pPr>
    <w:rPr>
      <w:rFonts w:ascii="宋体" w:hAnsi="宋体" w:eastAsia="宋体" w:cs="Times New Roman"/>
      <w:color w:val="000000"/>
      <w:kern w:val="0"/>
      <w:sz w:val="20"/>
      <w:szCs w:val="20"/>
    </w:rPr>
  </w:style>
  <w:style w:type="paragraph" w:customStyle="1" w:styleId="1088">
    <w:name w:val="需求书2"/>
    <w:basedOn w:val="1"/>
    <w:qFormat/>
    <w:uiPriority w:val="0"/>
    <w:pPr>
      <w:spacing w:line="360" w:lineRule="auto"/>
      <w:ind w:left="840" w:hanging="840" w:hangingChars="350"/>
      <w:jc w:val="left"/>
    </w:pPr>
    <w:rPr>
      <w:rFonts w:ascii="Times New Roman" w:hAnsi="Times New Roman" w:eastAsia="宋体" w:cs="Times New Roman"/>
      <w:sz w:val="24"/>
      <w:szCs w:val="20"/>
    </w:rPr>
  </w:style>
  <w:style w:type="paragraph" w:customStyle="1" w:styleId="108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090">
    <w:name w:val="xiao b"/>
    <w:basedOn w:val="1"/>
    <w:qFormat/>
    <w:uiPriority w:val="0"/>
    <w:pPr>
      <w:ind w:left="227" w:firstLine="482"/>
      <w:jc w:val="center"/>
    </w:pPr>
    <w:rPr>
      <w:rFonts w:ascii="Times New Roman" w:hAnsi="Times New Roman" w:eastAsia="黑体" w:cs="Times New Roman"/>
      <w:sz w:val="24"/>
      <w:szCs w:val="20"/>
    </w:rPr>
  </w:style>
  <w:style w:type="paragraph" w:customStyle="1" w:styleId="10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09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800000"/>
      <w:kern w:val="0"/>
      <w:sz w:val="20"/>
      <w:szCs w:val="20"/>
    </w:rPr>
  </w:style>
  <w:style w:type="paragraph" w:customStyle="1" w:styleId="1093">
    <w:name w:val="投标正文"/>
    <w:basedOn w:val="1"/>
    <w:qFormat/>
    <w:uiPriority w:val="0"/>
    <w:pPr>
      <w:ind w:left="227" w:firstLine="482"/>
      <w:jc w:val="left"/>
    </w:pPr>
    <w:rPr>
      <w:rFonts w:ascii="Times New Roman" w:hAnsi="Times New Roman" w:eastAsia="宋体" w:cs="Times New Roman"/>
      <w:kern w:val="0"/>
      <w:szCs w:val="20"/>
    </w:rPr>
  </w:style>
  <w:style w:type="paragraph" w:customStyle="1" w:styleId="1094">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0000FF"/>
      <w:kern w:val="0"/>
      <w:sz w:val="20"/>
      <w:szCs w:val="20"/>
    </w:rPr>
  </w:style>
  <w:style w:type="paragraph" w:customStyle="1" w:styleId="109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CCFF"/>
      <w:kern w:val="0"/>
      <w:sz w:val="20"/>
      <w:szCs w:val="20"/>
    </w:rPr>
  </w:style>
  <w:style w:type="paragraph" w:customStyle="1" w:styleId="1096">
    <w:name w:val="qian"/>
    <w:basedOn w:val="1"/>
    <w:qFormat/>
    <w:uiPriority w:val="0"/>
    <w:pPr>
      <w:tabs>
        <w:tab w:val="left" w:pos="425"/>
        <w:tab w:val="left" w:pos="4395"/>
      </w:tabs>
      <w:ind w:left="4" w:hanging="425"/>
      <w:jc w:val="left"/>
    </w:pPr>
    <w:rPr>
      <w:rFonts w:ascii="Times New Roman" w:hAnsi="Times New Roman" w:eastAsia="宋体" w:cs="Times New Roman"/>
      <w:szCs w:val="20"/>
    </w:rPr>
  </w:style>
  <w:style w:type="paragraph" w:customStyle="1" w:styleId="1097">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00FF00"/>
      <w:kern w:val="0"/>
      <w:sz w:val="20"/>
      <w:szCs w:val="20"/>
    </w:rPr>
  </w:style>
  <w:style w:type="paragraph" w:customStyle="1" w:styleId="1098">
    <w:name w:val="列表框1"/>
    <w:basedOn w:val="1"/>
    <w:next w:val="1"/>
    <w:link w:val="1099"/>
    <w:qFormat/>
    <w:uiPriority w:val="0"/>
    <w:pPr>
      <w:tabs>
        <w:tab w:val="left" w:pos="432"/>
        <w:tab w:val="left" w:pos="1779"/>
      </w:tabs>
      <w:adjustRightInd w:val="0"/>
      <w:snapToGrid w:val="0"/>
      <w:spacing w:line="360" w:lineRule="auto"/>
      <w:ind w:left="432" w:hanging="432"/>
      <w:jc w:val="left"/>
    </w:pPr>
    <w:rPr>
      <w:rFonts w:ascii="宋体" w:hAnsi="宋体" w:eastAsia="宋体" w:cs="Times New Roman"/>
      <w:kern w:val="0"/>
      <w:szCs w:val="20"/>
      <w:lang w:val="zh-CN"/>
    </w:rPr>
  </w:style>
  <w:style w:type="character" w:customStyle="1" w:styleId="1099">
    <w:name w:val="列表框1 Char Char"/>
    <w:link w:val="1098"/>
    <w:qFormat/>
    <w:uiPriority w:val="0"/>
    <w:rPr>
      <w:rFonts w:ascii="宋体" w:hAnsi="宋体" w:eastAsia="宋体" w:cs="Times New Roman"/>
      <w:kern w:val="0"/>
      <w:szCs w:val="20"/>
      <w:lang w:val="zh-CN"/>
    </w:rPr>
  </w:style>
  <w:style w:type="paragraph" w:customStyle="1" w:styleId="1100">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FF"/>
      <w:kern w:val="0"/>
      <w:sz w:val="20"/>
      <w:szCs w:val="20"/>
    </w:rPr>
  </w:style>
  <w:style w:type="paragraph" w:customStyle="1" w:styleId="110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00FF"/>
      <w:kern w:val="0"/>
      <w:sz w:val="20"/>
      <w:szCs w:val="20"/>
    </w:rPr>
  </w:style>
  <w:style w:type="paragraph" w:customStyle="1" w:styleId="110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i/>
      <w:kern w:val="0"/>
      <w:sz w:val="20"/>
      <w:szCs w:val="20"/>
    </w:rPr>
  </w:style>
  <w:style w:type="paragraph" w:customStyle="1" w:styleId="1103">
    <w:name w:val="font15"/>
    <w:basedOn w:val="1"/>
    <w:qFormat/>
    <w:uiPriority w:val="0"/>
    <w:pPr>
      <w:widowControl/>
      <w:spacing w:before="100" w:beforeAutospacing="1" w:after="100" w:afterAutospacing="1"/>
      <w:ind w:left="227" w:firstLine="482"/>
      <w:jc w:val="left"/>
    </w:pPr>
    <w:rPr>
      <w:rFonts w:ascii="宋体" w:hAnsi="宋体" w:eastAsia="宋体" w:cs="Times New Roman"/>
      <w:color w:val="FF00FF"/>
      <w:kern w:val="0"/>
      <w:sz w:val="20"/>
      <w:szCs w:val="20"/>
    </w:rPr>
  </w:style>
  <w:style w:type="paragraph" w:customStyle="1" w:styleId="11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6600"/>
      <w:kern w:val="0"/>
      <w:sz w:val="20"/>
      <w:szCs w:val="20"/>
    </w:rPr>
  </w:style>
  <w:style w:type="paragraph" w:customStyle="1" w:styleId="1105">
    <w:name w:val="Plain Text1"/>
    <w:basedOn w:val="1"/>
    <w:qFormat/>
    <w:uiPriority w:val="0"/>
    <w:pPr>
      <w:adjustRightInd w:val="0"/>
      <w:spacing w:line="312" w:lineRule="atLeast"/>
      <w:ind w:left="227" w:firstLine="482"/>
      <w:jc w:val="left"/>
      <w:textAlignment w:val="baseline"/>
    </w:pPr>
    <w:rPr>
      <w:rFonts w:ascii="宋体" w:hAnsi="Courier New" w:eastAsia="宋体" w:cs="Times New Roman"/>
      <w:kern w:val="0"/>
      <w:sz w:val="28"/>
      <w:szCs w:val="20"/>
    </w:rPr>
  </w:style>
  <w:style w:type="paragraph" w:customStyle="1" w:styleId="110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9900"/>
      <w:kern w:val="0"/>
      <w:sz w:val="20"/>
      <w:szCs w:val="20"/>
    </w:rPr>
  </w:style>
  <w:style w:type="paragraph" w:customStyle="1" w:styleId="1107">
    <w:name w:val="段"/>
    <w:qFormat/>
    <w:uiPriority w:val="0"/>
    <w:pPr>
      <w:autoSpaceDE w:val="0"/>
      <w:autoSpaceDN w:val="0"/>
      <w:spacing w:line="360" w:lineRule="auto"/>
      <w:ind w:left="709" w:firstLine="200" w:firstLineChars="200"/>
      <w:jc w:val="both"/>
    </w:pPr>
    <w:rPr>
      <w:rFonts w:ascii="宋体" w:hAnsi="Times New Roman" w:eastAsia="宋体" w:cs="Times New Roman"/>
      <w:sz w:val="21"/>
      <w:lang w:val="en-US" w:eastAsia="zh-CN" w:bidi="ar-SA"/>
    </w:rPr>
  </w:style>
  <w:style w:type="paragraph" w:customStyle="1" w:styleId="110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color w:val="FF00FF"/>
      <w:kern w:val="0"/>
      <w:sz w:val="20"/>
      <w:szCs w:val="20"/>
    </w:rPr>
  </w:style>
  <w:style w:type="paragraph" w:customStyle="1" w:styleId="1109">
    <w:name w:val="font28"/>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00FF00"/>
      <w:kern w:val="0"/>
      <w:sz w:val="20"/>
      <w:szCs w:val="20"/>
    </w:rPr>
  </w:style>
  <w:style w:type="paragraph" w:customStyle="1" w:styleId="111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00"/>
      <w:kern w:val="0"/>
      <w:sz w:val="20"/>
      <w:szCs w:val="20"/>
    </w:rPr>
  </w:style>
  <w:style w:type="paragraph" w:customStyle="1" w:styleId="111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kern w:val="0"/>
      <w:sz w:val="20"/>
      <w:szCs w:val="20"/>
    </w:rPr>
  </w:style>
  <w:style w:type="paragraph" w:customStyle="1" w:styleId="1112">
    <w:name w:val="Normal2"/>
    <w:qFormat/>
    <w:uiPriority w:val="0"/>
    <w:pPr>
      <w:widowControl w:val="0"/>
      <w:adjustRightInd w:val="0"/>
      <w:spacing w:line="0" w:lineRule="atLeast"/>
      <w:ind w:left="709" w:hanging="482"/>
      <w:textAlignment w:val="baseline"/>
    </w:pPr>
    <w:rPr>
      <w:rFonts w:ascii="宋体" w:hAnsi="Times New Roman" w:eastAsia="宋体" w:cs="Times New Roman"/>
      <w:sz w:val="34"/>
      <w:lang w:val="en-US" w:eastAsia="zh-CN" w:bidi="ar-SA"/>
    </w:rPr>
  </w:style>
  <w:style w:type="paragraph" w:customStyle="1" w:styleId="11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800080"/>
      <w:kern w:val="0"/>
      <w:sz w:val="20"/>
      <w:szCs w:val="20"/>
    </w:rPr>
  </w:style>
  <w:style w:type="paragraph" w:customStyle="1" w:styleId="1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00"/>
      <w:kern w:val="0"/>
      <w:sz w:val="20"/>
      <w:szCs w:val="20"/>
    </w:rPr>
  </w:style>
  <w:style w:type="paragraph" w:customStyle="1" w:styleId="1115">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color w:val="00FF00"/>
      <w:kern w:val="0"/>
      <w:sz w:val="20"/>
      <w:szCs w:val="20"/>
    </w:rPr>
  </w:style>
  <w:style w:type="paragraph" w:customStyle="1" w:styleId="11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00FF"/>
      <w:kern w:val="0"/>
      <w:sz w:val="20"/>
      <w:szCs w:val="20"/>
    </w:rPr>
  </w:style>
  <w:style w:type="paragraph" w:customStyle="1" w:styleId="111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11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8000"/>
      <w:kern w:val="0"/>
      <w:sz w:val="20"/>
      <w:szCs w:val="20"/>
    </w:rPr>
  </w:style>
  <w:style w:type="paragraph" w:customStyle="1" w:styleId="1119">
    <w:name w:val="Body Text Indent 21"/>
    <w:basedOn w:val="1"/>
    <w:qFormat/>
    <w:uiPriority w:val="0"/>
    <w:pPr>
      <w:autoSpaceDE w:val="0"/>
      <w:autoSpaceDN w:val="0"/>
      <w:adjustRightInd w:val="0"/>
      <w:ind w:left="227" w:firstLine="420"/>
      <w:jc w:val="left"/>
      <w:textAlignment w:val="baseline"/>
    </w:pPr>
    <w:rPr>
      <w:rFonts w:ascii="Times New Roman" w:hAnsi="Times New Roman" w:eastAsia="宋体" w:cs="Times New Roman"/>
      <w:szCs w:val="20"/>
    </w:rPr>
  </w:style>
  <w:style w:type="paragraph" w:customStyle="1" w:styleId="1120">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9900"/>
      <w:kern w:val="0"/>
      <w:sz w:val="20"/>
      <w:szCs w:val="20"/>
    </w:rPr>
  </w:style>
  <w:style w:type="paragraph" w:customStyle="1" w:styleId="1121">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FF00"/>
      <w:kern w:val="0"/>
      <w:sz w:val="20"/>
      <w:szCs w:val="20"/>
    </w:rPr>
  </w:style>
  <w:style w:type="paragraph" w:customStyle="1" w:styleId="1122">
    <w:name w:val="font13"/>
    <w:basedOn w:val="1"/>
    <w:qFormat/>
    <w:uiPriority w:val="0"/>
    <w:pPr>
      <w:widowControl/>
      <w:spacing w:before="100" w:beforeAutospacing="1" w:after="100" w:afterAutospacing="1"/>
      <w:ind w:left="227" w:firstLine="482"/>
      <w:jc w:val="left"/>
    </w:pPr>
    <w:rPr>
      <w:rFonts w:ascii="宋体" w:hAnsi="宋体" w:eastAsia="宋体" w:cs="Times New Roman"/>
      <w:color w:val="000000"/>
      <w:kern w:val="0"/>
      <w:sz w:val="20"/>
      <w:szCs w:val="20"/>
    </w:rPr>
  </w:style>
  <w:style w:type="paragraph" w:customStyle="1" w:styleId="1123">
    <w:name w:val="xl1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124">
    <w:name w:val="章节序"/>
    <w:basedOn w:val="1"/>
    <w:qFormat/>
    <w:uiPriority w:val="0"/>
    <w:pPr>
      <w:widowControl/>
      <w:adjustRightInd w:val="0"/>
      <w:ind w:left="227" w:firstLine="420" w:firstLineChars="200"/>
      <w:jc w:val="left"/>
    </w:pPr>
    <w:rPr>
      <w:rFonts w:ascii="Arial" w:hAnsi="Arial" w:eastAsia="楷体_GB2312" w:cs="Times New Roman"/>
      <w:szCs w:val="20"/>
    </w:rPr>
  </w:style>
  <w:style w:type="paragraph" w:customStyle="1" w:styleId="1125">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b/>
      <w:color w:val="0000FF"/>
      <w:kern w:val="0"/>
      <w:sz w:val="20"/>
      <w:szCs w:val="20"/>
    </w:rPr>
  </w:style>
  <w:style w:type="paragraph" w:customStyle="1" w:styleId="112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6600"/>
      <w:kern w:val="0"/>
      <w:sz w:val="20"/>
      <w:szCs w:val="20"/>
    </w:rPr>
  </w:style>
  <w:style w:type="paragraph" w:customStyle="1" w:styleId="1127">
    <w:name w:val="表头样式"/>
    <w:basedOn w:val="927"/>
    <w:qFormat/>
    <w:uiPriority w:val="0"/>
    <w:pPr>
      <w:adjustRightInd w:val="0"/>
      <w:snapToGrid w:val="0"/>
      <w:spacing w:line="300" w:lineRule="exact"/>
    </w:pPr>
    <w:rPr>
      <w:rFonts w:hAnsi="宋体" w:eastAsia="楷体_GB2312" w:cs="Times New Roman"/>
      <w:snapToGrid/>
      <w:color w:val="auto"/>
      <w:kern w:val="2"/>
    </w:rPr>
  </w:style>
  <w:style w:type="paragraph" w:customStyle="1" w:styleId="112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6600"/>
      <w:kern w:val="0"/>
      <w:sz w:val="20"/>
      <w:szCs w:val="20"/>
    </w:rPr>
  </w:style>
  <w:style w:type="paragraph" w:customStyle="1" w:styleId="1129">
    <w:name w:val="font30"/>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FF6600"/>
      <w:kern w:val="0"/>
      <w:sz w:val="20"/>
      <w:szCs w:val="20"/>
    </w:rPr>
  </w:style>
  <w:style w:type="paragraph" w:customStyle="1" w:styleId="113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113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13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0000"/>
      <w:kern w:val="0"/>
      <w:sz w:val="20"/>
      <w:szCs w:val="20"/>
    </w:rPr>
  </w:style>
  <w:style w:type="paragraph" w:customStyle="1" w:styleId="113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color w:val="808000"/>
      <w:kern w:val="0"/>
      <w:sz w:val="20"/>
      <w:szCs w:val="20"/>
    </w:rPr>
  </w:style>
  <w:style w:type="paragraph" w:customStyle="1" w:styleId="113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13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13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0000FF"/>
      <w:kern w:val="0"/>
      <w:sz w:val="20"/>
      <w:szCs w:val="20"/>
    </w:rPr>
  </w:style>
  <w:style w:type="paragraph" w:customStyle="1" w:styleId="1137">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13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0000"/>
      <w:kern w:val="0"/>
      <w:sz w:val="20"/>
      <w:szCs w:val="20"/>
    </w:rPr>
  </w:style>
  <w:style w:type="paragraph" w:customStyle="1" w:styleId="113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FF0000"/>
      <w:kern w:val="0"/>
      <w:sz w:val="20"/>
      <w:szCs w:val="20"/>
    </w:rPr>
  </w:style>
  <w:style w:type="paragraph" w:customStyle="1" w:styleId="114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8000"/>
      <w:kern w:val="0"/>
      <w:sz w:val="20"/>
      <w:szCs w:val="20"/>
    </w:rPr>
  </w:style>
  <w:style w:type="paragraph" w:customStyle="1" w:styleId="114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b/>
      <w:kern w:val="0"/>
      <w:sz w:val="20"/>
      <w:szCs w:val="20"/>
    </w:rPr>
  </w:style>
  <w:style w:type="paragraph" w:customStyle="1" w:styleId="114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FF"/>
      <w:kern w:val="0"/>
      <w:sz w:val="20"/>
      <w:szCs w:val="20"/>
    </w:rPr>
  </w:style>
  <w:style w:type="paragraph" w:customStyle="1" w:styleId="1143">
    <w:name w:val="xl100"/>
    <w:basedOn w:val="1"/>
    <w:qFormat/>
    <w:uiPriority w:val="0"/>
    <w:pPr>
      <w:widowControl/>
      <w:pBdr>
        <w:top w:val="single" w:color="auto" w:sz="4" w:space="0"/>
        <w:bottom w:val="double" w:color="auto" w:sz="6" w:space="0"/>
        <w:right w:val="single" w:color="auto" w:sz="4" w:space="0"/>
      </w:pBdr>
      <w:spacing w:before="100" w:beforeAutospacing="1" w:after="100" w:afterAutospacing="1"/>
      <w:ind w:left="227" w:firstLine="482"/>
      <w:jc w:val="center"/>
      <w:textAlignment w:val="center"/>
    </w:pPr>
    <w:rPr>
      <w:rFonts w:hint="eastAsia" w:ascii="华文新魏" w:hAnsi="Arial Unicode MS" w:eastAsia="华文新魏" w:cs="Times New Roman"/>
      <w:b/>
      <w:kern w:val="0"/>
      <w:sz w:val="24"/>
      <w:szCs w:val="20"/>
    </w:rPr>
  </w:style>
  <w:style w:type="paragraph" w:customStyle="1" w:styleId="1144">
    <w:name w:val="zhengwen"/>
    <w:basedOn w:val="1"/>
    <w:qFormat/>
    <w:uiPriority w:val="0"/>
    <w:pPr>
      <w:adjustRightInd w:val="0"/>
      <w:snapToGrid w:val="0"/>
      <w:spacing w:line="520" w:lineRule="exact"/>
      <w:ind w:left="227" w:firstLine="200" w:firstLineChars="200"/>
      <w:jc w:val="left"/>
    </w:pPr>
    <w:rPr>
      <w:rFonts w:ascii="Times New Roman" w:hAnsi="Times New Roman" w:eastAsia="宋体" w:cs="Times New Roman"/>
      <w:sz w:val="28"/>
      <w:szCs w:val="20"/>
    </w:rPr>
  </w:style>
  <w:style w:type="paragraph" w:customStyle="1" w:styleId="1145">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FF00FF"/>
      <w:kern w:val="0"/>
      <w:sz w:val="20"/>
      <w:szCs w:val="20"/>
    </w:rPr>
  </w:style>
  <w:style w:type="paragraph" w:customStyle="1" w:styleId="1146">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FF00"/>
      <w:kern w:val="0"/>
      <w:sz w:val="20"/>
      <w:szCs w:val="20"/>
    </w:rPr>
  </w:style>
  <w:style w:type="paragraph" w:customStyle="1" w:styleId="1147">
    <w:name w:val="font14"/>
    <w:basedOn w:val="1"/>
    <w:qFormat/>
    <w:uiPriority w:val="0"/>
    <w:pPr>
      <w:widowControl/>
      <w:spacing w:before="100" w:beforeAutospacing="1" w:after="100" w:afterAutospacing="1"/>
      <w:ind w:left="227" w:firstLine="482"/>
      <w:jc w:val="left"/>
    </w:pPr>
    <w:rPr>
      <w:rFonts w:ascii="Arial" w:hAnsi="Arial" w:eastAsia="宋体" w:cs="Times New Roman"/>
      <w:color w:val="0000FF"/>
      <w:kern w:val="0"/>
      <w:sz w:val="20"/>
      <w:szCs w:val="20"/>
    </w:rPr>
  </w:style>
  <w:style w:type="paragraph" w:customStyle="1" w:styleId="1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00FF"/>
      <w:kern w:val="0"/>
      <w:sz w:val="20"/>
      <w:szCs w:val="20"/>
    </w:rPr>
  </w:style>
  <w:style w:type="paragraph" w:customStyle="1" w:styleId="1149">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kern w:val="0"/>
      <w:sz w:val="20"/>
      <w:szCs w:val="20"/>
    </w:rPr>
  </w:style>
  <w:style w:type="paragraph" w:customStyle="1" w:styleId="115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kern w:val="0"/>
      <w:sz w:val="20"/>
      <w:szCs w:val="20"/>
    </w:rPr>
  </w:style>
  <w:style w:type="paragraph" w:customStyle="1" w:styleId="1151">
    <w:name w:val="Char Char Char Char Char Char1 Char1"/>
    <w:basedOn w:val="1"/>
    <w:qFormat/>
    <w:uiPriority w:val="0"/>
    <w:pPr>
      <w:widowControl/>
      <w:spacing w:after="160" w:line="240" w:lineRule="exact"/>
      <w:ind w:left="227" w:firstLine="482"/>
      <w:jc w:val="left"/>
    </w:pPr>
    <w:rPr>
      <w:rFonts w:ascii="Verdana" w:hAnsi="Verdana" w:eastAsia="宋体" w:cs="Times New Roman"/>
      <w:kern w:val="0"/>
      <w:szCs w:val="20"/>
      <w:lang w:eastAsia="en-US"/>
    </w:rPr>
  </w:style>
  <w:style w:type="paragraph" w:customStyle="1" w:styleId="1152">
    <w:name w:val="正文表标题"/>
    <w:next w:val="1"/>
    <w:qFormat/>
    <w:uiPriority w:val="0"/>
    <w:pPr>
      <w:tabs>
        <w:tab w:val="left" w:pos="360"/>
      </w:tabs>
      <w:spacing w:line="360" w:lineRule="auto"/>
      <w:ind w:left="360" w:hanging="360"/>
      <w:jc w:val="center"/>
    </w:pPr>
    <w:rPr>
      <w:rFonts w:ascii="黑体" w:hAnsi="Times New Roman" w:eastAsia="黑体" w:cs="Times New Roman"/>
      <w:sz w:val="21"/>
      <w:lang w:val="en-US" w:eastAsia="zh-CN" w:bidi="ar-SA"/>
    </w:rPr>
  </w:style>
  <w:style w:type="paragraph" w:customStyle="1" w:styleId="1153">
    <w:name w:val="font17"/>
    <w:basedOn w:val="1"/>
    <w:qFormat/>
    <w:uiPriority w:val="0"/>
    <w:pPr>
      <w:widowControl/>
      <w:spacing w:before="100" w:beforeAutospacing="1" w:after="100" w:afterAutospacing="1"/>
      <w:ind w:left="227" w:firstLine="482"/>
      <w:jc w:val="left"/>
    </w:pPr>
    <w:rPr>
      <w:rFonts w:ascii="宋体" w:hAnsi="宋体" w:eastAsia="宋体" w:cs="Times New Roman"/>
      <w:color w:val="FF6600"/>
      <w:kern w:val="0"/>
      <w:sz w:val="20"/>
      <w:szCs w:val="20"/>
    </w:rPr>
  </w:style>
  <w:style w:type="paragraph" w:customStyle="1" w:styleId="115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Times New Roman" w:hAnsi="Times New Roman" w:eastAsia="宋体" w:cs="Times New Roman"/>
      <w:color w:val="FF0000"/>
      <w:kern w:val="0"/>
      <w:sz w:val="20"/>
      <w:szCs w:val="20"/>
    </w:rPr>
  </w:style>
  <w:style w:type="paragraph" w:customStyle="1" w:styleId="115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FF00"/>
      <w:kern w:val="0"/>
      <w:sz w:val="20"/>
      <w:szCs w:val="20"/>
    </w:rPr>
  </w:style>
  <w:style w:type="paragraph" w:customStyle="1" w:styleId="115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00FF"/>
      <w:kern w:val="0"/>
      <w:sz w:val="20"/>
      <w:szCs w:val="20"/>
    </w:rPr>
  </w:style>
  <w:style w:type="paragraph" w:customStyle="1" w:styleId="1157">
    <w:name w:val="font19"/>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008000"/>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b/>
      <w:color w:val="008000"/>
      <w:kern w:val="0"/>
      <w:sz w:val="20"/>
      <w:szCs w:val="20"/>
    </w:rPr>
  </w:style>
  <w:style w:type="paragraph" w:customStyle="1" w:styleId="115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00"/>
      <w:kern w:val="0"/>
      <w:sz w:val="20"/>
      <w:szCs w:val="20"/>
    </w:rPr>
  </w:style>
  <w:style w:type="paragraph" w:customStyle="1" w:styleId="1160">
    <w:name w:val="font29"/>
    <w:basedOn w:val="1"/>
    <w:qFormat/>
    <w:uiPriority w:val="0"/>
    <w:pPr>
      <w:widowControl/>
      <w:spacing w:before="100" w:beforeAutospacing="1" w:after="100" w:afterAutospacing="1"/>
      <w:ind w:left="227" w:firstLine="482"/>
      <w:jc w:val="left"/>
    </w:pPr>
    <w:rPr>
      <w:rFonts w:ascii="宋体" w:hAnsi="宋体" w:eastAsia="宋体" w:cs="Times New Roman"/>
      <w:color w:val="FF6600"/>
      <w:kern w:val="0"/>
      <w:sz w:val="20"/>
      <w:szCs w:val="20"/>
    </w:rPr>
  </w:style>
  <w:style w:type="paragraph" w:customStyle="1" w:styleId="1161">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808000"/>
      <w:kern w:val="0"/>
      <w:sz w:val="20"/>
      <w:szCs w:val="20"/>
    </w:rPr>
  </w:style>
  <w:style w:type="paragraph" w:customStyle="1" w:styleId="116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6600"/>
      <w:kern w:val="0"/>
      <w:sz w:val="20"/>
      <w:szCs w:val="20"/>
    </w:rPr>
  </w:style>
  <w:style w:type="paragraph" w:customStyle="1" w:styleId="116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kern w:val="0"/>
      <w:sz w:val="20"/>
      <w:szCs w:val="20"/>
    </w:rPr>
  </w:style>
  <w:style w:type="paragraph" w:customStyle="1" w:styleId="1164">
    <w:name w:val="font27"/>
    <w:basedOn w:val="1"/>
    <w:qFormat/>
    <w:uiPriority w:val="0"/>
    <w:pPr>
      <w:widowControl/>
      <w:spacing w:before="100" w:beforeAutospacing="1" w:after="100" w:afterAutospacing="1"/>
      <w:ind w:left="227" w:firstLine="482"/>
      <w:jc w:val="left"/>
    </w:pPr>
    <w:rPr>
      <w:rFonts w:ascii="宋体" w:hAnsi="宋体" w:eastAsia="宋体" w:cs="Times New Roman"/>
      <w:color w:val="00FF00"/>
      <w:kern w:val="0"/>
      <w:sz w:val="20"/>
      <w:szCs w:val="20"/>
    </w:rPr>
  </w:style>
  <w:style w:type="paragraph" w:customStyle="1" w:styleId="1165">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b/>
      <w:color w:val="FF0000"/>
      <w:kern w:val="0"/>
      <w:sz w:val="20"/>
      <w:szCs w:val="20"/>
    </w:rPr>
  </w:style>
  <w:style w:type="paragraph" w:customStyle="1" w:styleId="1166">
    <w:name w:val="msolistparagraph"/>
    <w:basedOn w:val="1"/>
    <w:qFormat/>
    <w:uiPriority w:val="0"/>
    <w:pPr>
      <w:widowControl/>
      <w:ind w:left="227" w:firstLine="420"/>
      <w:jc w:val="left"/>
    </w:pPr>
    <w:rPr>
      <w:rFonts w:ascii="宋体" w:hAnsi="宋体" w:eastAsia="宋体" w:cs="Times New Roman"/>
      <w:kern w:val="0"/>
      <w:sz w:val="24"/>
      <w:szCs w:val="20"/>
    </w:rPr>
  </w:style>
  <w:style w:type="paragraph" w:customStyle="1" w:styleId="116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168">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FF"/>
      <w:kern w:val="0"/>
      <w:sz w:val="20"/>
      <w:szCs w:val="20"/>
    </w:rPr>
  </w:style>
  <w:style w:type="paragraph" w:customStyle="1" w:styleId="116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0000FF"/>
      <w:kern w:val="0"/>
      <w:sz w:val="20"/>
      <w:szCs w:val="20"/>
    </w:rPr>
  </w:style>
  <w:style w:type="paragraph" w:customStyle="1" w:styleId="1170">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008000"/>
      <w:kern w:val="0"/>
      <w:sz w:val="20"/>
      <w:szCs w:val="20"/>
    </w:rPr>
  </w:style>
  <w:style w:type="paragraph" w:customStyle="1" w:styleId="1171">
    <w:name w:val="正文样式"/>
    <w:basedOn w:val="35"/>
    <w:qFormat/>
    <w:uiPriority w:val="0"/>
    <w:pPr>
      <w:spacing w:line="360" w:lineRule="auto"/>
      <w:ind w:firstLine="420"/>
      <w:jc w:val="left"/>
    </w:pPr>
    <w:rPr>
      <w:rFonts w:ascii="宋体"/>
      <w:sz w:val="21"/>
      <w:szCs w:val="20"/>
    </w:rPr>
  </w:style>
  <w:style w:type="paragraph" w:customStyle="1" w:styleId="117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00FF"/>
      <w:kern w:val="0"/>
      <w:sz w:val="20"/>
      <w:szCs w:val="20"/>
    </w:rPr>
  </w:style>
  <w:style w:type="paragraph" w:customStyle="1" w:styleId="117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00FF00"/>
      <w:kern w:val="0"/>
      <w:sz w:val="20"/>
      <w:szCs w:val="20"/>
    </w:rPr>
  </w:style>
  <w:style w:type="paragraph" w:customStyle="1" w:styleId="1174">
    <w:name w:val="招标标题3"/>
    <w:basedOn w:val="1175"/>
    <w:next w:val="1004"/>
    <w:qFormat/>
    <w:uiPriority w:val="0"/>
    <w:pPr>
      <w:tabs>
        <w:tab w:val="left" w:pos="432"/>
        <w:tab w:val="left" w:pos="709"/>
        <w:tab w:val="left" w:pos="777"/>
      </w:tabs>
      <w:ind w:left="709" w:hanging="709"/>
      <w:outlineLvl w:val="2"/>
    </w:pPr>
  </w:style>
  <w:style w:type="paragraph" w:customStyle="1" w:styleId="1175">
    <w:name w:val="招标标题2"/>
    <w:basedOn w:val="1063"/>
    <w:next w:val="1004"/>
    <w:qFormat/>
    <w:uiPriority w:val="0"/>
    <w:pPr>
      <w:keepNext w:val="0"/>
      <w:keepLines w:val="0"/>
      <w:tabs>
        <w:tab w:val="left" w:pos="777"/>
        <w:tab w:val="clear" w:pos="425"/>
      </w:tabs>
      <w:adjustRightInd w:val="0"/>
      <w:spacing w:before="120" w:after="120" w:line="360" w:lineRule="auto"/>
      <w:ind w:left="777" w:right="100" w:rightChars="100" w:hanging="567"/>
      <w:outlineLvl w:val="1"/>
    </w:pPr>
    <w:rPr>
      <w:rFonts w:eastAsia="宋体"/>
      <w:kern w:val="2"/>
      <w:sz w:val="21"/>
    </w:rPr>
  </w:style>
  <w:style w:type="paragraph" w:customStyle="1" w:styleId="11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00FF"/>
      <w:kern w:val="0"/>
      <w:sz w:val="20"/>
      <w:szCs w:val="20"/>
    </w:rPr>
  </w:style>
  <w:style w:type="paragraph" w:customStyle="1" w:styleId="1177">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8000"/>
      <w:kern w:val="0"/>
      <w:sz w:val="20"/>
      <w:szCs w:val="20"/>
    </w:rPr>
  </w:style>
  <w:style w:type="paragraph" w:customStyle="1" w:styleId="1178">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FF"/>
      <w:kern w:val="0"/>
      <w:sz w:val="20"/>
      <w:szCs w:val="20"/>
    </w:rPr>
  </w:style>
  <w:style w:type="paragraph" w:customStyle="1" w:styleId="117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008000"/>
      <w:kern w:val="0"/>
      <w:sz w:val="20"/>
      <w:szCs w:val="20"/>
    </w:rPr>
  </w:style>
  <w:style w:type="paragraph" w:customStyle="1" w:styleId="118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FF0000"/>
      <w:kern w:val="0"/>
      <w:sz w:val="20"/>
      <w:szCs w:val="20"/>
    </w:rPr>
  </w:style>
  <w:style w:type="paragraph" w:customStyle="1" w:styleId="1181">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6600"/>
      <w:kern w:val="0"/>
      <w:sz w:val="20"/>
      <w:szCs w:val="20"/>
    </w:rPr>
  </w:style>
  <w:style w:type="paragraph" w:customStyle="1" w:styleId="118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6600"/>
      <w:kern w:val="0"/>
      <w:sz w:val="20"/>
      <w:szCs w:val="20"/>
    </w:rPr>
  </w:style>
  <w:style w:type="paragraph" w:customStyle="1" w:styleId="118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00FF00"/>
      <w:kern w:val="0"/>
      <w:sz w:val="20"/>
      <w:szCs w:val="20"/>
    </w:rPr>
  </w:style>
  <w:style w:type="paragraph" w:customStyle="1" w:styleId="118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6600"/>
      <w:kern w:val="0"/>
      <w:sz w:val="20"/>
      <w:szCs w:val="20"/>
    </w:rPr>
  </w:style>
  <w:style w:type="paragraph" w:customStyle="1" w:styleId="1185">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186">
    <w:name w:val="Char2 Char Char Char Char Char Char1 Char Char"/>
    <w:basedOn w:val="1"/>
    <w:qFormat/>
    <w:uiPriority w:val="0"/>
    <w:pPr>
      <w:spacing w:line="360" w:lineRule="auto"/>
      <w:ind w:left="227" w:firstLine="200" w:firstLineChars="200"/>
      <w:jc w:val="left"/>
    </w:pPr>
    <w:rPr>
      <w:rFonts w:ascii="Tahoma" w:hAnsi="Tahoma" w:eastAsia="宋体" w:cs="Times New Roman"/>
      <w:sz w:val="24"/>
      <w:szCs w:val="20"/>
    </w:rPr>
  </w:style>
  <w:style w:type="paragraph" w:customStyle="1" w:styleId="1187">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8000"/>
      <w:kern w:val="0"/>
      <w:sz w:val="20"/>
      <w:szCs w:val="20"/>
    </w:rPr>
  </w:style>
  <w:style w:type="paragraph" w:customStyle="1" w:styleId="1188">
    <w:name w:val="Body Text Indent 22"/>
    <w:basedOn w:val="1"/>
    <w:qFormat/>
    <w:uiPriority w:val="0"/>
    <w:pPr>
      <w:autoSpaceDE w:val="0"/>
      <w:autoSpaceDN w:val="0"/>
      <w:adjustRightInd w:val="0"/>
      <w:ind w:left="227" w:firstLine="420"/>
      <w:jc w:val="left"/>
      <w:textAlignment w:val="baseline"/>
    </w:pPr>
    <w:rPr>
      <w:rFonts w:ascii="Times New Roman" w:hAnsi="Times New Roman" w:eastAsia="宋体" w:cs="Times New Roman"/>
      <w:szCs w:val="20"/>
    </w:rPr>
  </w:style>
  <w:style w:type="paragraph" w:customStyle="1" w:styleId="118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FF00"/>
      <w:kern w:val="0"/>
      <w:sz w:val="20"/>
      <w:szCs w:val="20"/>
    </w:rPr>
  </w:style>
  <w:style w:type="paragraph" w:customStyle="1" w:styleId="119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0000FF"/>
      <w:kern w:val="0"/>
      <w:sz w:val="20"/>
      <w:szCs w:val="20"/>
    </w:rPr>
  </w:style>
  <w:style w:type="paragraph" w:customStyle="1" w:styleId="11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0000FF"/>
      <w:kern w:val="0"/>
      <w:sz w:val="20"/>
      <w:szCs w:val="20"/>
    </w:rPr>
  </w:style>
  <w:style w:type="paragraph" w:customStyle="1" w:styleId="119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00FF"/>
      <w:kern w:val="0"/>
      <w:sz w:val="20"/>
      <w:szCs w:val="20"/>
    </w:rPr>
  </w:style>
  <w:style w:type="paragraph" w:customStyle="1" w:styleId="1193">
    <w:name w:val="招标标题4"/>
    <w:basedOn w:val="1174"/>
    <w:next w:val="1004"/>
    <w:qFormat/>
    <w:uiPriority w:val="0"/>
    <w:pPr>
      <w:spacing w:before="60"/>
      <w:ind w:left="432" w:hanging="432"/>
      <w:outlineLvl w:val="3"/>
    </w:pPr>
    <w:rPr>
      <w:rFonts w:ascii="宋体" w:hAnsi="宋体"/>
    </w:rPr>
  </w:style>
  <w:style w:type="paragraph" w:customStyle="1" w:styleId="1194">
    <w:name w:val="xl99"/>
    <w:basedOn w:val="1"/>
    <w:qFormat/>
    <w:uiPriority w:val="0"/>
    <w:pPr>
      <w:widowControl/>
      <w:pBdr>
        <w:top w:val="single" w:color="auto" w:sz="4" w:space="0"/>
        <w:bottom w:val="double" w:color="auto" w:sz="6" w:space="0"/>
      </w:pBdr>
      <w:spacing w:before="100" w:beforeAutospacing="1" w:after="100" w:afterAutospacing="1"/>
      <w:ind w:left="227" w:firstLine="482"/>
      <w:jc w:val="center"/>
      <w:textAlignment w:val="center"/>
    </w:pPr>
    <w:rPr>
      <w:rFonts w:hint="eastAsia" w:ascii="华文新魏" w:hAnsi="Arial Unicode MS" w:eastAsia="华文新魏" w:cs="Times New Roman"/>
      <w:b/>
      <w:kern w:val="0"/>
      <w:sz w:val="24"/>
      <w:szCs w:val="20"/>
    </w:rPr>
  </w:style>
  <w:style w:type="paragraph" w:customStyle="1" w:styleId="1195">
    <w:name w:val="xl2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19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00FF"/>
      <w:kern w:val="0"/>
      <w:sz w:val="20"/>
      <w:szCs w:val="20"/>
    </w:rPr>
  </w:style>
  <w:style w:type="paragraph" w:customStyle="1" w:styleId="1197">
    <w:name w:val="列表项目"/>
    <w:basedOn w:val="1"/>
    <w:qFormat/>
    <w:uiPriority w:val="0"/>
    <w:pPr>
      <w:tabs>
        <w:tab w:val="left" w:pos="420"/>
      </w:tabs>
      <w:spacing w:line="288" w:lineRule="auto"/>
      <w:ind w:left="432" w:hanging="432"/>
      <w:jc w:val="left"/>
    </w:pPr>
    <w:rPr>
      <w:rFonts w:ascii="Times New Roman" w:hAnsi="Times New Roman" w:eastAsia="宋体" w:cs="Times New Roman"/>
      <w:sz w:val="24"/>
      <w:szCs w:val="20"/>
    </w:rPr>
  </w:style>
  <w:style w:type="paragraph" w:customStyle="1" w:styleId="1198">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00"/>
      <w:kern w:val="0"/>
      <w:sz w:val="20"/>
      <w:szCs w:val="20"/>
    </w:rPr>
  </w:style>
  <w:style w:type="paragraph" w:customStyle="1" w:styleId="1199">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6600"/>
      <w:kern w:val="0"/>
      <w:sz w:val="20"/>
      <w:szCs w:val="20"/>
    </w:rPr>
  </w:style>
  <w:style w:type="paragraph" w:customStyle="1" w:styleId="1200">
    <w:name w:val="招标标题6"/>
    <w:basedOn w:val="1201"/>
    <w:next w:val="1004"/>
    <w:qFormat/>
    <w:uiPriority w:val="0"/>
    <w:pPr>
      <w:tabs>
        <w:tab w:val="left" w:pos="709"/>
        <w:tab w:val="left" w:pos="777"/>
        <w:tab w:val="left" w:pos="992"/>
        <w:tab w:val="left" w:pos="1134"/>
      </w:tabs>
      <w:ind w:left="1134" w:hanging="1134"/>
      <w:outlineLvl w:val="5"/>
    </w:pPr>
  </w:style>
  <w:style w:type="paragraph" w:customStyle="1" w:styleId="1201">
    <w:name w:val="招标标题5"/>
    <w:basedOn w:val="1193"/>
    <w:next w:val="1004"/>
    <w:qFormat/>
    <w:uiPriority w:val="0"/>
    <w:pPr>
      <w:tabs>
        <w:tab w:val="left" w:pos="992"/>
        <w:tab w:val="clear" w:pos="432"/>
      </w:tabs>
      <w:ind w:left="992" w:hanging="992"/>
      <w:outlineLvl w:val="4"/>
    </w:pPr>
  </w:style>
  <w:style w:type="paragraph" w:customStyle="1" w:styleId="1202">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00FF"/>
      <w:kern w:val="0"/>
      <w:sz w:val="20"/>
      <w:szCs w:val="20"/>
    </w:rPr>
  </w:style>
  <w:style w:type="paragraph" w:customStyle="1" w:styleId="1203">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008000"/>
      <w:kern w:val="0"/>
      <w:sz w:val="20"/>
      <w:szCs w:val="20"/>
    </w:rPr>
  </w:style>
  <w:style w:type="paragraph" w:customStyle="1" w:styleId="1204">
    <w:name w:val="Normal3"/>
    <w:qFormat/>
    <w:uiPriority w:val="0"/>
    <w:pPr>
      <w:widowControl w:val="0"/>
      <w:adjustRightInd w:val="0"/>
      <w:spacing w:line="0" w:lineRule="atLeast"/>
      <w:ind w:left="709" w:hanging="482"/>
      <w:textAlignment w:val="baseline"/>
    </w:pPr>
    <w:rPr>
      <w:rFonts w:ascii="宋体" w:hAnsi="Times New Roman" w:eastAsia="宋体" w:cs="Times New Roman"/>
      <w:sz w:val="34"/>
      <w:lang w:val="en-US" w:eastAsia="zh-CN" w:bidi="ar-SA"/>
    </w:rPr>
  </w:style>
  <w:style w:type="paragraph" w:customStyle="1" w:styleId="1205">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0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20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00"/>
      <w:kern w:val="0"/>
      <w:sz w:val="20"/>
      <w:szCs w:val="20"/>
    </w:rPr>
  </w:style>
  <w:style w:type="paragraph" w:customStyle="1" w:styleId="1208">
    <w:name w:val="font25"/>
    <w:basedOn w:val="1"/>
    <w:qFormat/>
    <w:uiPriority w:val="0"/>
    <w:pPr>
      <w:widowControl/>
      <w:spacing w:before="100" w:beforeAutospacing="1" w:after="100" w:afterAutospacing="1"/>
      <w:ind w:left="227" w:firstLine="482"/>
      <w:jc w:val="left"/>
    </w:pPr>
    <w:rPr>
      <w:rFonts w:ascii="宋体" w:hAnsi="宋体" w:eastAsia="宋体" w:cs="Times New Roman"/>
      <w:color w:val="FF00FF"/>
      <w:kern w:val="0"/>
      <w:sz w:val="20"/>
      <w:szCs w:val="20"/>
    </w:rPr>
  </w:style>
  <w:style w:type="paragraph" w:customStyle="1" w:styleId="1209">
    <w:name w:val="font26"/>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FF00FF"/>
      <w:kern w:val="0"/>
      <w:sz w:val="20"/>
      <w:szCs w:val="20"/>
    </w:rPr>
  </w:style>
  <w:style w:type="paragraph" w:customStyle="1" w:styleId="121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000000"/>
      <w:kern w:val="0"/>
      <w:sz w:val="20"/>
      <w:szCs w:val="20"/>
    </w:rPr>
  </w:style>
  <w:style w:type="paragraph" w:customStyle="1" w:styleId="1211">
    <w:name w:val="Tétière"/>
    <w:basedOn w:val="1"/>
    <w:qFormat/>
    <w:uiPriority w:val="0"/>
    <w:pPr>
      <w:widowControl/>
      <w:spacing w:before="60" w:after="60"/>
      <w:ind w:left="227" w:firstLine="482"/>
      <w:jc w:val="center"/>
    </w:pPr>
    <w:rPr>
      <w:rFonts w:ascii="Arial" w:hAnsi="Arial" w:eastAsia="宋体" w:cs="Times New Roman"/>
      <w:b/>
      <w:kern w:val="0"/>
      <w:sz w:val="16"/>
      <w:szCs w:val="20"/>
      <w:lang w:val="en-GB"/>
    </w:rPr>
  </w:style>
  <w:style w:type="paragraph" w:customStyle="1" w:styleId="121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kern w:val="0"/>
      <w:sz w:val="20"/>
      <w:szCs w:val="20"/>
    </w:rPr>
  </w:style>
  <w:style w:type="paragraph" w:customStyle="1" w:styleId="121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color w:val="FF0000"/>
      <w:kern w:val="0"/>
      <w:sz w:val="20"/>
      <w:szCs w:val="20"/>
    </w:rPr>
  </w:style>
  <w:style w:type="paragraph" w:customStyle="1" w:styleId="121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215">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8000"/>
      <w:kern w:val="0"/>
      <w:sz w:val="20"/>
      <w:szCs w:val="20"/>
    </w:rPr>
  </w:style>
  <w:style w:type="paragraph" w:customStyle="1" w:styleId="121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0000"/>
      <w:kern w:val="0"/>
      <w:sz w:val="20"/>
      <w:szCs w:val="20"/>
    </w:rPr>
  </w:style>
  <w:style w:type="paragraph" w:customStyle="1" w:styleId="1217">
    <w:name w:val="重点"/>
    <w:basedOn w:val="1"/>
    <w:qFormat/>
    <w:uiPriority w:val="0"/>
    <w:pPr>
      <w:tabs>
        <w:tab w:val="left" w:pos="0"/>
        <w:tab w:val="left" w:pos="432"/>
      </w:tabs>
      <w:adjustRightInd w:val="0"/>
      <w:snapToGrid w:val="0"/>
      <w:spacing w:line="560" w:lineRule="atLeast"/>
      <w:ind w:left="432" w:hanging="432"/>
      <w:jc w:val="left"/>
    </w:pPr>
    <w:rPr>
      <w:rFonts w:ascii="Times New Roman" w:hAnsi="Times New Roman" w:eastAsia="宋体" w:cs="Times New Roman"/>
      <w:kern w:val="24"/>
      <w:sz w:val="30"/>
      <w:szCs w:val="20"/>
    </w:rPr>
  </w:style>
  <w:style w:type="paragraph" w:customStyle="1" w:styleId="121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kern w:val="0"/>
      <w:sz w:val="20"/>
      <w:szCs w:val="20"/>
    </w:rPr>
  </w:style>
  <w:style w:type="paragraph" w:customStyle="1" w:styleId="1219">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8000"/>
      <w:kern w:val="0"/>
      <w:sz w:val="20"/>
      <w:szCs w:val="20"/>
    </w:rPr>
  </w:style>
  <w:style w:type="paragraph" w:customStyle="1" w:styleId="122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color w:val="0000FF"/>
      <w:kern w:val="0"/>
      <w:sz w:val="20"/>
      <w:szCs w:val="20"/>
    </w:rPr>
  </w:style>
  <w:style w:type="paragraph" w:customStyle="1" w:styleId="12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000000"/>
      <w:kern w:val="0"/>
      <w:sz w:val="20"/>
      <w:szCs w:val="20"/>
    </w:rPr>
  </w:style>
  <w:style w:type="paragraph" w:customStyle="1" w:styleId="1222">
    <w:name w:val="Plain Text2"/>
    <w:basedOn w:val="1"/>
    <w:qFormat/>
    <w:uiPriority w:val="0"/>
    <w:pPr>
      <w:adjustRightInd w:val="0"/>
      <w:spacing w:line="312" w:lineRule="atLeast"/>
      <w:ind w:left="227" w:firstLine="482"/>
      <w:jc w:val="left"/>
      <w:textAlignment w:val="baseline"/>
    </w:pPr>
    <w:rPr>
      <w:rFonts w:ascii="宋体" w:hAnsi="Courier New" w:eastAsia="宋体" w:cs="Times New Roman"/>
      <w:kern w:val="0"/>
      <w:sz w:val="28"/>
      <w:szCs w:val="20"/>
    </w:rPr>
  </w:style>
  <w:style w:type="paragraph" w:customStyle="1" w:styleId="1223">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008000"/>
      <w:kern w:val="0"/>
      <w:sz w:val="20"/>
      <w:szCs w:val="20"/>
    </w:rPr>
  </w:style>
  <w:style w:type="paragraph" w:customStyle="1" w:styleId="122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8000"/>
      <w:kern w:val="0"/>
      <w:sz w:val="20"/>
      <w:szCs w:val="20"/>
    </w:rPr>
  </w:style>
  <w:style w:type="paragraph" w:customStyle="1" w:styleId="1225">
    <w:name w:val="需求书用目录1"/>
    <w:basedOn w:val="1"/>
    <w:qFormat/>
    <w:uiPriority w:val="0"/>
    <w:pPr>
      <w:spacing w:before="360" w:after="40" w:line="360" w:lineRule="auto"/>
      <w:ind w:left="227" w:firstLine="482"/>
      <w:jc w:val="center"/>
    </w:pPr>
    <w:rPr>
      <w:rFonts w:ascii="宋体" w:hAnsi="Times New Roman" w:eastAsia="宋体" w:cs="Times New Roman"/>
      <w:b/>
      <w:sz w:val="24"/>
      <w:szCs w:val="20"/>
    </w:rPr>
  </w:style>
  <w:style w:type="paragraph" w:customStyle="1" w:styleId="122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6600"/>
      <w:kern w:val="0"/>
      <w:sz w:val="20"/>
      <w:szCs w:val="20"/>
    </w:rPr>
  </w:style>
  <w:style w:type="paragraph" w:customStyle="1" w:styleId="122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6600"/>
      <w:kern w:val="0"/>
      <w:sz w:val="20"/>
      <w:szCs w:val="20"/>
    </w:rPr>
  </w:style>
  <w:style w:type="paragraph" w:customStyle="1" w:styleId="1228">
    <w:name w:val="font23"/>
    <w:basedOn w:val="1"/>
    <w:qFormat/>
    <w:uiPriority w:val="0"/>
    <w:pPr>
      <w:widowControl/>
      <w:spacing w:before="100" w:beforeAutospacing="1" w:after="100" w:afterAutospacing="1"/>
      <w:ind w:left="227" w:firstLine="482"/>
      <w:jc w:val="left"/>
    </w:pPr>
    <w:rPr>
      <w:rFonts w:ascii="宋体" w:hAnsi="宋体" w:eastAsia="宋体" w:cs="Times New Roman"/>
      <w:color w:val="FF0000"/>
      <w:kern w:val="0"/>
      <w:sz w:val="20"/>
      <w:szCs w:val="20"/>
    </w:rPr>
  </w:style>
  <w:style w:type="paragraph" w:customStyle="1" w:styleId="122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9900"/>
      <w:kern w:val="0"/>
      <w:sz w:val="20"/>
      <w:szCs w:val="20"/>
    </w:rPr>
  </w:style>
  <w:style w:type="paragraph" w:customStyle="1" w:styleId="123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9900"/>
      <w:kern w:val="0"/>
      <w:sz w:val="20"/>
      <w:szCs w:val="20"/>
    </w:rPr>
  </w:style>
  <w:style w:type="paragraph" w:customStyle="1" w:styleId="1231">
    <w:name w:val="retrait1"/>
    <w:basedOn w:val="1"/>
    <w:qFormat/>
    <w:uiPriority w:val="0"/>
    <w:pPr>
      <w:widowControl/>
      <w:spacing w:before="20" w:after="20"/>
      <w:ind w:left="284" w:firstLine="482"/>
      <w:jc w:val="left"/>
    </w:pPr>
    <w:rPr>
      <w:rFonts w:ascii="Arial" w:hAnsi="Arial" w:eastAsia="宋体" w:cs="Times New Roman"/>
      <w:kern w:val="0"/>
      <w:sz w:val="24"/>
      <w:szCs w:val="20"/>
      <w:lang w:val="en-GB"/>
    </w:rPr>
  </w:style>
  <w:style w:type="paragraph" w:customStyle="1" w:styleId="123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00"/>
      <w:kern w:val="0"/>
      <w:sz w:val="20"/>
      <w:szCs w:val="20"/>
    </w:rPr>
  </w:style>
  <w:style w:type="paragraph" w:customStyle="1" w:styleId="123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00"/>
      <w:kern w:val="0"/>
      <w:sz w:val="20"/>
      <w:szCs w:val="20"/>
    </w:rPr>
  </w:style>
  <w:style w:type="paragraph" w:customStyle="1" w:styleId="123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FF00"/>
      <w:kern w:val="0"/>
      <w:sz w:val="20"/>
      <w:szCs w:val="20"/>
    </w:rPr>
  </w:style>
  <w:style w:type="paragraph" w:customStyle="1" w:styleId="1235">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FF"/>
      <w:kern w:val="0"/>
      <w:sz w:val="20"/>
      <w:szCs w:val="20"/>
    </w:rPr>
  </w:style>
  <w:style w:type="paragraph" w:customStyle="1" w:styleId="1236">
    <w:name w:val="样式 正文首行缩进正文首行缩进 1 Char正文首行缩进 Char + 红色 首行缩进:  2 字符"/>
    <w:basedOn w:val="760"/>
    <w:qFormat/>
    <w:uiPriority w:val="0"/>
    <w:pPr>
      <w:tabs>
        <w:tab w:val="left" w:pos="2213"/>
      </w:tabs>
      <w:spacing w:after="0" w:line="400" w:lineRule="exact"/>
      <w:ind w:firstLine="480" w:firstLineChars="200"/>
    </w:pPr>
    <w:rPr>
      <w:rFonts w:ascii="宋体" w:hAnsi="宋体"/>
      <w:kern w:val="24"/>
    </w:rPr>
  </w:style>
  <w:style w:type="paragraph" w:customStyle="1" w:styleId="123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0000FF"/>
      <w:kern w:val="0"/>
      <w:sz w:val="20"/>
      <w:szCs w:val="20"/>
    </w:rPr>
  </w:style>
  <w:style w:type="paragraph" w:customStyle="1" w:styleId="1238">
    <w:name w:val="大标题"/>
    <w:qFormat/>
    <w:uiPriority w:val="0"/>
    <w:pPr>
      <w:tabs>
        <w:tab w:val="left" w:pos="1134"/>
      </w:tabs>
      <w:snapToGrid w:val="0"/>
      <w:spacing w:before="240" w:after="240" w:line="288" w:lineRule="auto"/>
      <w:ind w:left="709" w:hanging="482"/>
    </w:pPr>
    <w:rPr>
      <w:rFonts w:ascii="黑体" w:hAnsi="Times New Roman" w:eastAsia="黑体" w:cs="Times New Roman"/>
      <w:sz w:val="24"/>
      <w:lang w:val="en-US" w:eastAsia="zh-CN" w:bidi="ar-SA"/>
    </w:rPr>
  </w:style>
  <w:style w:type="paragraph" w:customStyle="1" w:styleId="1239">
    <w:name w:val="Char Char1 Char Char Char Char Char Char Char Char Char Char Char"/>
    <w:basedOn w:val="1"/>
    <w:qFormat/>
    <w:uiPriority w:val="0"/>
    <w:pPr>
      <w:widowControl/>
      <w:spacing w:after="160" w:line="240" w:lineRule="exact"/>
      <w:ind w:left="227" w:firstLine="482"/>
      <w:jc w:val="left"/>
    </w:pPr>
    <w:rPr>
      <w:rFonts w:ascii="Verdana" w:hAnsi="Verdana" w:eastAsia="宋体" w:cs="Times New Roman"/>
      <w:kern w:val="0"/>
      <w:sz w:val="20"/>
      <w:szCs w:val="20"/>
      <w:lang w:eastAsia="en-US"/>
    </w:rPr>
  </w:style>
  <w:style w:type="paragraph" w:customStyle="1" w:styleId="124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FF00FF"/>
      <w:kern w:val="0"/>
      <w:sz w:val="20"/>
      <w:szCs w:val="20"/>
    </w:rPr>
  </w:style>
  <w:style w:type="paragraph" w:customStyle="1" w:styleId="124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color w:val="808000"/>
      <w:kern w:val="0"/>
      <w:sz w:val="20"/>
      <w:szCs w:val="20"/>
    </w:rPr>
  </w:style>
  <w:style w:type="paragraph" w:customStyle="1" w:styleId="1242">
    <w:name w:val="liminaire"/>
    <w:basedOn w:val="1"/>
    <w:qFormat/>
    <w:uiPriority w:val="0"/>
    <w:pPr>
      <w:widowControl/>
      <w:spacing w:before="120" w:after="120"/>
      <w:ind w:left="227" w:firstLine="482"/>
      <w:jc w:val="left"/>
    </w:pPr>
    <w:rPr>
      <w:rFonts w:ascii="Times New Roman" w:hAnsi="Times New Roman" w:eastAsia="宋体" w:cs="Times New Roman"/>
      <w:kern w:val="0"/>
      <w:sz w:val="24"/>
      <w:szCs w:val="20"/>
      <w:lang w:val="en-GB"/>
    </w:rPr>
  </w:style>
  <w:style w:type="paragraph" w:customStyle="1" w:styleId="1243">
    <w:name w:val="Normal1"/>
    <w:qFormat/>
    <w:uiPriority w:val="0"/>
    <w:pPr>
      <w:widowControl w:val="0"/>
      <w:adjustRightInd w:val="0"/>
      <w:spacing w:line="315" w:lineRule="atLeast"/>
      <w:ind w:left="709" w:hanging="482"/>
      <w:jc w:val="both"/>
      <w:textAlignment w:val="baseline"/>
    </w:pPr>
    <w:rPr>
      <w:rFonts w:ascii="宋体" w:hAnsi="Times New Roman" w:eastAsia="宋体" w:cs="Times New Roman"/>
      <w:sz w:val="21"/>
      <w:lang w:val="en-US" w:eastAsia="zh-CN" w:bidi="ar-SA"/>
    </w:rPr>
  </w:style>
  <w:style w:type="paragraph" w:customStyle="1" w:styleId="1244">
    <w:name w:val="项目编号"/>
    <w:basedOn w:val="1"/>
    <w:qFormat/>
    <w:uiPriority w:val="0"/>
    <w:pPr>
      <w:tabs>
        <w:tab w:val="left" w:pos="432"/>
        <w:tab w:val="left" w:pos="918"/>
      </w:tabs>
      <w:spacing w:line="360" w:lineRule="auto"/>
      <w:ind w:left="432" w:hanging="432"/>
      <w:jc w:val="left"/>
    </w:pPr>
    <w:rPr>
      <w:rFonts w:ascii="Times New Roman" w:hAnsi="Times New Roman" w:eastAsia="宋体" w:cs="Times New Roman"/>
      <w:sz w:val="24"/>
      <w:szCs w:val="20"/>
    </w:rPr>
  </w:style>
  <w:style w:type="paragraph" w:customStyle="1" w:styleId="124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8000"/>
      <w:kern w:val="0"/>
      <w:sz w:val="20"/>
      <w:szCs w:val="20"/>
    </w:rPr>
  </w:style>
  <w:style w:type="paragraph" w:customStyle="1" w:styleId="124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color w:val="FF0000"/>
      <w:kern w:val="0"/>
      <w:sz w:val="20"/>
      <w:szCs w:val="20"/>
    </w:rPr>
  </w:style>
  <w:style w:type="paragraph" w:customStyle="1" w:styleId="1247">
    <w:name w:val="Main"/>
    <w:qFormat/>
    <w:uiPriority w:val="0"/>
    <w:pPr>
      <w:widowControl w:val="0"/>
      <w:tabs>
        <w:tab w:val="left" w:pos="-720"/>
        <w:tab w:val="left" w:pos="510"/>
        <w:tab w:val="left" w:pos="1224"/>
        <w:tab w:val="left" w:pos="2143"/>
        <w:tab w:val="left" w:pos="3265"/>
      </w:tabs>
      <w:suppressAutoHyphens/>
      <w:spacing w:line="360" w:lineRule="auto"/>
      <w:ind w:left="709" w:hanging="482"/>
    </w:pPr>
    <w:rPr>
      <w:rFonts w:ascii="Univers" w:hAnsi="Univers" w:eastAsia="PMingLiU" w:cs="Times New Roman"/>
      <w:snapToGrid w:val="0"/>
      <w:sz w:val="24"/>
      <w:lang w:val="en-US" w:eastAsia="zh-TW" w:bidi="ar-SA"/>
    </w:rPr>
  </w:style>
  <w:style w:type="paragraph" w:customStyle="1" w:styleId="12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49">
    <w:name w:val="font24"/>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000000"/>
      <w:kern w:val="0"/>
      <w:sz w:val="20"/>
      <w:szCs w:val="20"/>
    </w:rPr>
  </w:style>
  <w:style w:type="paragraph" w:customStyle="1" w:styleId="1250">
    <w:name w:val="正文点缩进"/>
    <w:basedOn w:val="1"/>
    <w:qFormat/>
    <w:uiPriority w:val="0"/>
    <w:pPr>
      <w:widowControl/>
      <w:tabs>
        <w:tab w:val="left" w:pos="1758"/>
      </w:tabs>
      <w:snapToGrid w:val="0"/>
      <w:spacing w:after="60" w:line="288" w:lineRule="auto"/>
      <w:ind w:left="227" w:firstLine="482"/>
      <w:jc w:val="left"/>
    </w:pPr>
    <w:rPr>
      <w:rFonts w:ascii="宋体" w:hAnsi="Times New Roman" w:eastAsia="宋体" w:cs="Times New Roman"/>
      <w:sz w:val="22"/>
      <w:szCs w:val="20"/>
      <w:shd w:val="clear" w:color="auto" w:fill="FFFFFF"/>
    </w:rPr>
  </w:style>
  <w:style w:type="paragraph" w:customStyle="1" w:styleId="12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b/>
      <w:color w:val="FF0000"/>
      <w:kern w:val="0"/>
      <w:sz w:val="20"/>
      <w:szCs w:val="20"/>
    </w:rPr>
  </w:style>
  <w:style w:type="paragraph" w:customStyle="1" w:styleId="1252">
    <w:name w:val="样式 标题 5 + 自动设置"/>
    <w:basedOn w:val="7"/>
    <w:qFormat/>
    <w:uiPriority w:val="0"/>
    <w:pPr>
      <w:keepNext w:val="0"/>
      <w:keepLines w:val="0"/>
      <w:tabs>
        <w:tab w:val="left" w:pos="1008"/>
      </w:tabs>
      <w:spacing w:before="0" w:after="0" w:line="360" w:lineRule="auto"/>
      <w:ind w:firstLine="100" w:firstLineChars="100"/>
      <w:jc w:val="left"/>
    </w:pPr>
    <w:rPr>
      <w:b w:val="0"/>
      <w:bCs w:val="0"/>
      <w:sz w:val="21"/>
      <w:szCs w:val="20"/>
      <w:lang w:val="zh-CN"/>
    </w:rPr>
  </w:style>
  <w:style w:type="paragraph" w:customStyle="1" w:styleId="125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color w:val="0000FF"/>
      <w:kern w:val="0"/>
      <w:sz w:val="20"/>
      <w:szCs w:val="20"/>
    </w:rPr>
  </w:style>
  <w:style w:type="paragraph" w:customStyle="1" w:styleId="125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FF00"/>
      <w:kern w:val="0"/>
      <w:sz w:val="20"/>
      <w:szCs w:val="20"/>
    </w:rPr>
  </w:style>
  <w:style w:type="paragraph" w:customStyle="1" w:styleId="1255">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FF9900"/>
      <w:kern w:val="0"/>
      <w:sz w:val="20"/>
      <w:szCs w:val="20"/>
    </w:rPr>
  </w:style>
  <w:style w:type="paragraph" w:customStyle="1" w:styleId="1256">
    <w:name w:val="font20"/>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0000FF"/>
      <w:kern w:val="0"/>
      <w:sz w:val="20"/>
      <w:szCs w:val="20"/>
    </w:rPr>
  </w:style>
  <w:style w:type="paragraph" w:customStyle="1" w:styleId="1257">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pPr>
    <w:rPr>
      <w:rFonts w:ascii="黑体" w:hAnsi="宋体" w:eastAsia="黑体" w:cs="Times New Roman"/>
      <w:b/>
      <w:color w:val="808000"/>
      <w:kern w:val="0"/>
      <w:sz w:val="20"/>
      <w:szCs w:val="20"/>
    </w:rPr>
  </w:style>
  <w:style w:type="paragraph" w:customStyle="1" w:styleId="125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kern w:val="0"/>
      <w:sz w:val="20"/>
      <w:szCs w:val="20"/>
    </w:rPr>
  </w:style>
  <w:style w:type="paragraph" w:customStyle="1" w:styleId="1259">
    <w:name w:val="样式 标题 2章标题 1.12 headlinehheadlineS&amp;R2ERMH2H2PIM2Headin..."/>
    <w:basedOn w:val="4"/>
    <w:qFormat/>
    <w:uiPriority w:val="0"/>
    <w:pPr>
      <w:keepNext w:val="0"/>
      <w:keepLines w:val="0"/>
      <w:pageBreakBefore/>
      <w:widowControl/>
      <w:tabs>
        <w:tab w:val="left" w:pos="840"/>
      </w:tabs>
      <w:adjustRightInd w:val="0"/>
      <w:snapToGrid w:val="0"/>
      <w:spacing w:before="312" w:after="156" w:line="560" w:lineRule="exact"/>
      <w:ind w:left="840" w:hanging="420"/>
      <w:jc w:val="center"/>
    </w:pPr>
    <w:rPr>
      <w:rFonts w:ascii="黑体" w:hAnsi="Times New Roman" w:eastAsia="宋体"/>
      <w:b w:val="0"/>
      <w:lang w:val="zh-CN"/>
    </w:rPr>
  </w:style>
  <w:style w:type="paragraph" w:customStyle="1" w:styleId="126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color w:val="800080"/>
      <w:kern w:val="0"/>
      <w:sz w:val="20"/>
      <w:szCs w:val="20"/>
    </w:rPr>
  </w:style>
  <w:style w:type="paragraph" w:customStyle="1" w:styleId="126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kern w:val="0"/>
      <w:sz w:val="20"/>
      <w:szCs w:val="20"/>
    </w:rPr>
  </w:style>
  <w:style w:type="paragraph" w:customStyle="1" w:styleId="126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FF00FF"/>
      <w:kern w:val="0"/>
      <w:sz w:val="20"/>
      <w:szCs w:val="20"/>
    </w:rPr>
  </w:style>
  <w:style w:type="paragraph" w:customStyle="1" w:styleId="126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265">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9900"/>
      <w:kern w:val="0"/>
      <w:sz w:val="20"/>
      <w:szCs w:val="20"/>
    </w:rPr>
  </w:style>
  <w:style w:type="paragraph" w:customStyle="1" w:styleId="1266">
    <w:name w:val="tableau"/>
    <w:basedOn w:val="1"/>
    <w:qFormat/>
    <w:uiPriority w:val="0"/>
    <w:pPr>
      <w:widowControl/>
      <w:spacing w:before="20" w:after="20"/>
      <w:ind w:left="227" w:firstLine="482"/>
      <w:jc w:val="center"/>
    </w:pPr>
    <w:rPr>
      <w:rFonts w:ascii="Arial" w:hAnsi="Arial" w:eastAsia="宋体" w:cs="Times New Roman"/>
      <w:kern w:val="0"/>
      <w:sz w:val="16"/>
      <w:szCs w:val="20"/>
      <w:lang w:val="en-GB"/>
    </w:rPr>
  </w:style>
  <w:style w:type="paragraph" w:customStyle="1" w:styleId="126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FF0000"/>
      <w:kern w:val="0"/>
      <w:sz w:val="20"/>
      <w:szCs w:val="20"/>
    </w:rPr>
  </w:style>
  <w:style w:type="paragraph" w:customStyle="1" w:styleId="126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FF0000"/>
      <w:kern w:val="0"/>
      <w:sz w:val="20"/>
      <w:szCs w:val="20"/>
    </w:rPr>
  </w:style>
  <w:style w:type="paragraph" w:customStyle="1" w:styleId="126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kern w:val="0"/>
      <w:sz w:val="20"/>
      <w:szCs w:val="20"/>
    </w:rPr>
  </w:style>
  <w:style w:type="paragraph" w:customStyle="1" w:styleId="1270">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9900"/>
      <w:kern w:val="0"/>
      <w:sz w:val="20"/>
      <w:szCs w:val="20"/>
    </w:rPr>
  </w:style>
  <w:style w:type="paragraph" w:customStyle="1" w:styleId="127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00FF00"/>
      <w:kern w:val="0"/>
      <w:sz w:val="20"/>
      <w:szCs w:val="20"/>
    </w:rPr>
  </w:style>
  <w:style w:type="paragraph" w:customStyle="1" w:styleId="127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kern w:val="0"/>
      <w:sz w:val="20"/>
      <w:szCs w:val="20"/>
    </w:rPr>
  </w:style>
  <w:style w:type="paragraph" w:customStyle="1" w:styleId="127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FF00"/>
      <w:kern w:val="0"/>
      <w:sz w:val="20"/>
      <w:szCs w:val="20"/>
    </w:rPr>
  </w:style>
  <w:style w:type="paragraph" w:customStyle="1" w:styleId="1274">
    <w:name w:val="font12"/>
    <w:basedOn w:val="1"/>
    <w:qFormat/>
    <w:uiPriority w:val="0"/>
    <w:pPr>
      <w:widowControl/>
      <w:spacing w:before="100" w:beforeAutospacing="1" w:after="100" w:afterAutospacing="1"/>
      <w:ind w:left="227" w:firstLine="482"/>
      <w:jc w:val="left"/>
    </w:pPr>
    <w:rPr>
      <w:rFonts w:ascii="宋体" w:hAnsi="宋体" w:eastAsia="宋体" w:cs="Times New Roman"/>
      <w:b/>
      <w:kern w:val="0"/>
      <w:sz w:val="20"/>
      <w:szCs w:val="20"/>
    </w:rPr>
  </w:style>
  <w:style w:type="paragraph" w:customStyle="1" w:styleId="1275">
    <w:name w:val="Retrait 1"/>
    <w:basedOn w:val="21"/>
    <w:qFormat/>
    <w:uiPriority w:val="0"/>
    <w:pPr>
      <w:widowControl/>
      <w:spacing w:after="240"/>
      <w:ind w:left="1134" w:firstLine="482"/>
      <w:jc w:val="left"/>
    </w:pPr>
    <w:rPr>
      <w:rFonts w:ascii="Palatino" w:hAnsi="Palatino"/>
      <w:kern w:val="0"/>
      <w:sz w:val="24"/>
      <w:lang w:val="en-GB"/>
    </w:rPr>
  </w:style>
  <w:style w:type="paragraph" w:customStyle="1" w:styleId="1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77">
    <w:name w:val="font16"/>
    <w:basedOn w:val="1"/>
    <w:qFormat/>
    <w:uiPriority w:val="0"/>
    <w:pPr>
      <w:widowControl/>
      <w:spacing w:before="100" w:beforeAutospacing="1" w:after="100" w:afterAutospacing="1"/>
      <w:ind w:left="227" w:firstLine="482"/>
      <w:jc w:val="left"/>
    </w:pPr>
    <w:rPr>
      <w:rFonts w:ascii="宋体" w:hAnsi="宋体" w:eastAsia="宋体" w:cs="Times New Roman"/>
      <w:color w:val="00FF00"/>
      <w:kern w:val="0"/>
      <w:sz w:val="20"/>
      <w:szCs w:val="20"/>
    </w:rPr>
  </w:style>
  <w:style w:type="paragraph" w:customStyle="1" w:styleId="127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27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00"/>
      <w:kern w:val="0"/>
      <w:sz w:val="20"/>
      <w:szCs w:val="20"/>
    </w:rPr>
  </w:style>
  <w:style w:type="paragraph" w:customStyle="1" w:styleId="128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008000"/>
      <w:kern w:val="0"/>
      <w:sz w:val="20"/>
      <w:szCs w:val="20"/>
    </w:rPr>
  </w:style>
  <w:style w:type="paragraph" w:customStyle="1" w:styleId="128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kern w:val="0"/>
      <w:sz w:val="20"/>
      <w:szCs w:val="20"/>
    </w:rPr>
  </w:style>
  <w:style w:type="paragraph" w:customStyle="1" w:styleId="1282">
    <w:name w:val="一级标题格式"/>
    <w:basedOn w:val="3"/>
    <w:qFormat/>
    <w:uiPriority w:val="0"/>
    <w:pPr>
      <w:keepNext w:val="0"/>
      <w:keepLines w:val="0"/>
      <w:numPr>
        <w:ilvl w:val="0"/>
        <w:numId w:val="8"/>
      </w:numPr>
      <w:tabs>
        <w:tab w:val="left" w:pos="432"/>
      </w:tabs>
      <w:spacing w:before="240" w:beforeLines="100" w:after="480" w:afterLines="200" w:line="240" w:lineRule="auto"/>
      <w:jc w:val="center"/>
    </w:pPr>
    <w:rPr>
      <w:rFonts w:eastAsia="黑体"/>
      <w:b w:val="0"/>
      <w:color w:val="FF0000"/>
      <w:sz w:val="32"/>
      <w:lang w:val="zh-CN"/>
    </w:rPr>
  </w:style>
  <w:style w:type="paragraph" w:customStyle="1" w:styleId="1283">
    <w:name w:val="表格文字格式"/>
    <w:basedOn w:val="177"/>
    <w:qFormat/>
    <w:uiPriority w:val="0"/>
    <w:pPr>
      <w:ind w:left="227" w:firstLine="482"/>
    </w:pPr>
    <w:rPr>
      <w:rFonts w:cs="宋体"/>
      <w:lang w:val="en-US"/>
    </w:rPr>
  </w:style>
  <w:style w:type="paragraph" w:customStyle="1" w:styleId="1284">
    <w:name w:val="表名格式"/>
    <w:basedOn w:val="177"/>
    <w:qFormat/>
    <w:uiPriority w:val="0"/>
    <w:pPr>
      <w:wordWrap w:val="0"/>
      <w:spacing w:before="120" w:beforeLines="50" w:line="480" w:lineRule="exact"/>
      <w:ind w:left="227" w:firstLine="482"/>
      <w:jc w:val="right"/>
    </w:pPr>
    <w:rPr>
      <w:rFonts w:hAnsi="宋体" w:cs="宋体"/>
      <w:lang w:val="en-US"/>
    </w:rPr>
  </w:style>
  <w:style w:type="paragraph" w:customStyle="1" w:styleId="1285">
    <w:name w:val="样式 二级标题格式 + 段后: 1 行"/>
    <w:basedOn w:val="1005"/>
    <w:qFormat/>
    <w:uiPriority w:val="0"/>
    <w:pPr>
      <w:numPr>
        <w:numId w:val="9"/>
      </w:numPr>
      <w:spacing w:before="240" w:after="100" w:afterLines="0"/>
      <w:jc w:val="both"/>
    </w:pPr>
    <w:rPr>
      <w:rFonts w:ascii="黑体" w:cs="宋体"/>
      <w:bCs/>
      <w:szCs w:val="20"/>
    </w:rPr>
  </w:style>
  <w:style w:type="paragraph" w:customStyle="1" w:styleId="1286">
    <w:name w:val="样式 四级标题格式 + 段后: 1 行"/>
    <w:basedOn w:val="1007"/>
    <w:qFormat/>
    <w:uiPriority w:val="0"/>
    <w:pPr>
      <w:spacing w:before="240" w:after="100" w:afterLines="0"/>
      <w:outlineLvl w:val="2"/>
    </w:pPr>
    <w:rPr>
      <w:rFonts w:ascii="黑体" w:cs="宋体"/>
      <w:bCs w:val="0"/>
      <w:szCs w:val="20"/>
    </w:rPr>
  </w:style>
  <w:style w:type="paragraph" w:customStyle="1" w:styleId="1287">
    <w:name w:val="篇与册格式"/>
    <w:basedOn w:val="1"/>
    <w:qFormat/>
    <w:uiPriority w:val="0"/>
    <w:pPr>
      <w:spacing w:before="100" w:beforeLines="100" w:after="100" w:afterLines="100"/>
      <w:ind w:left="227" w:firstLine="482"/>
      <w:jc w:val="center"/>
      <w:outlineLvl w:val="0"/>
    </w:pPr>
    <w:rPr>
      <w:rFonts w:ascii="黑体" w:hAnsi="Times New Roman" w:eastAsia="黑体" w:cs="Times New Roman"/>
      <w:sz w:val="32"/>
      <w:szCs w:val="32"/>
    </w:rPr>
  </w:style>
  <w:style w:type="paragraph" w:customStyle="1" w:styleId="1288">
    <w:name w:val="4正文 Char"/>
    <w:basedOn w:val="1"/>
    <w:link w:val="1289"/>
    <w:qFormat/>
    <w:uiPriority w:val="0"/>
    <w:pPr>
      <w:ind w:left="227" w:firstLine="480" w:firstLineChars="200"/>
      <w:jc w:val="left"/>
    </w:pPr>
    <w:rPr>
      <w:rFonts w:ascii="Times New Roman" w:hAnsi="宋体" w:eastAsia="宋体" w:cs="Times New Roman"/>
      <w:sz w:val="24"/>
      <w:szCs w:val="24"/>
    </w:rPr>
  </w:style>
  <w:style w:type="character" w:customStyle="1" w:styleId="1289">
    <w:name w:val="4正文 Char Char"/>
    <w:link w:val="1288"/>
    <w:qFormat/>
    <w:uiPriority w:val="0"/>
    <w:rPr>
      <w:rFonts w:ascii="Times New Roman" w:hAnsi="宋体" w:eastAsia="宋体" w:cs="Times New Roman"/>
      <w:sz w:val="24"/>
      <w:szCs w:val="24"/>
    </w:rPr>
  </w:style>
  <w:style w:type="paragraph" w:customStyle="1" w:styleId="1290">
    <w:name w:val="青岛正文"/>
    <w:basedOn w:val="1"/>
    <w:qFormat/>
    <w:uiPriority w:val="0"/>
    <w:pPr>
      <w:spacing w:line="360" w:lineRule="auto"/>
      <w:ind w:left="227" w:firstLine="482"/>
      <w:jc w:val="left"/>
    </w:pPr>
    <w:rPr>
      <w:rFonts w:ascii="Times New Roman" w:hAnsi="Times New Roman" w:eastAsia="宋体" w:cs="Times New Roman"/>
      <w:sz w:val="28"/>
      <w:szCs w:val="24"/>
    </w:rPr>
  </w:style>
  <w:style w:type="character" w:customStyle="1" w:styleId="1291">
    <w:name w:val="二级节名 Char1"/>
    <w:qFormat/>
    <w:uiPriority w:val="0"/>
    <w:rPr>
      <w:rFonts w:eastAsia="黑体"/>
      <w:bCs/>
      <w:kern w:val="2"/>
      <w:sz w:val="28"/>
      <w:szCs w:val="28"/>
    </w:rPr>
  </w:style>
  <w:style w:type="character" w:customStyle="1" w:styleId="1292">
    <w:name w:val="第六层条 Char1"/>
    <w:qFormat/>
    <w:uiPriority w:val="0"/>
    <w:rPr>
      <w:bCs/>
      <w:kern w:val="2"/>
      <w:sz w:val="24"/>
      <w:szCs w:val="24"/>
    </w:rPr>
  </w:style>
  <w:style w:type="paragraph" w:customStyle="1" w:styleId="1293">
    <w:name w:val="样式 标题 3标题 3 Char标题 3 Char Chartítulo 3标题 3 Char1标题 3 Char C..."/>
    <w:next w:val="751"/>
    <w:qFormat/>
    <w:uiPriority w:val="0"/>
    <w:pPr>
      <w:spacing w:before="50" w:beforeLines="50" w:line="360" w:lineRule="auto"/>
      <w:ind w:left="709" w:hanging="482"/>
      <w:outlineLvl w:val="2"/>
    </w:pPr>
    <w:rPr>
      <w:rFonts w:ascii="Times New Roman" w:hAnsi="Times New Roman" w:eastAsia="黑体" w:cs="宋体"/>
      <w:bCs/>
      <w:sz w:val="28"/>
      <w:szCs w:val="28"/>
      <w:lang w:val="en-US" w:eastAsia="zh-CN" w:bidi="ar-SA"/>
    </w:rPr>
  </w:style>
  <w:style w:type="paragraph" w:customStyle="1" w:styleId="1294">
    <w:name w:val="篇名"/>
    <w:basedOn w:val="1"/>
    <w:qFormat/>
    <w:uiPriority w:val="0"/>
    <w:pPr>
      <w:ind w:left="227" w:firstLine="482"/>
      <w:jc w:val="center"/>
    </w:pPr>
    <w:rPr>
      <w:rFonts w:ascii="Times New Roman" w:hAnsi="Times New Roman" w:eastAsia="宋体" w:cs="宋体"/>
      <w:b/>
      <w:bCs/>
      <w:sz w:val="36"/>
      <w:szCs w:val="20"/>
    </w:rPr>
  </w:style>
  <w:style w:type="paragraph" w:customStyle="1" w:styleId="1295">
    <w:name w:val="样式 普通文本 + 首行缩进:  2 字符"/>
    <w:basedOn w:val="1"/>
    <w:link w:val="1296"/>
    <w:qFormat/>
    <w:uiPriority w:val="0"/>
    <w:pPr>
      <w:spacing w:line="500" w:lineRule="exact"/>
      <w:ind w:left="227" w:firstLine="480" w:firstLineChars="200"/>
      <w:jc w:val="left"/>
    </w:pPr>
    <w:rPr>
      <w:rFonts w:ascii="Arial" w:hAnsi="Arial" w:eastAsia="宋体" w:cs="宋体"/>
      <w:sz w:val="24"/>
      <w:szCs w:val="20"/>
    </w:rPr>
  </w:style>
  <w:style w:type="character" w:customStyle="1" w:styleId="1296">
    <w:name w:val="样式 普通文本 + 首行缩进:  2 字符 Char"/>
    <w:link w:val="1295"/>
    <w:qFormat/>
    <w:uiPriority w:val="0"/>
    <w:rPr>
      <w:rFonts w:ascii="Arial" w:hAnsi="Arial" w:eastAsia="宋体" w:cs="宋体"/>
      <w:sz w:val="24"/>
      <w:szCs w:val="20"/>
    </w:rPr>
  </w:style>
  <w:style w:type="paragraph" w:customStyle="1" w:styleId="1297">
    <w:name w:val="CL列表，表中文字"/>
    <w:basedOn w:val="66"/>
    <w:qFormat/>
    <w:uiPriority w:val="0"/>
    <w:pPr>
      <w:spacing w:before="20" w:after="20" w:line="240" w:lineRule="exact"/>
      <w:jc w:val="center"/>
      <w:outlineLvl w:val="2"/>
    </w:pPr>
    <w:rPr>
      <w:rFonts w:ascii="Dutch801 Rm BT" w:hAnsi="Dutch801 Rm BT" w:eastAsia="幼圆" w:cs="宋体"/>
      <w:kern w:val="0"/>
      <w:sz w:val="18"/>
      <w:szCs w:val="18"/>
    </w:rPr>
  </w:style>
  <w:style w:type="paragraph" w:customStyle="1" w:styleId="1298">
    <w:name w:val="样式 首行缩进:  2 字符 段前: 0.5 行 段后: 0.5 行1"/>
    <w:basedOn w:val="1"/>
    <w:qFormat/>
    <w:uiPriority w:val="0"/>
    <w:pPr>
      <w:spacing w:before="156" w:after="156"/>
      <w:ind w:left="227" w:firstLine="480"/>
      <w:jc w:val="left"/>
    </w:pPr>
    <w:rPr>
      <w:rFonts w:ascii="Times New Roman" w:hAnsi="Times New Roman" w:eastAsia="宋体" w:cs="宋体"/>
      <w:szCs w:val="20"/>
    </w:rPr>
  </w:style>
  <w:style w:type="paragraph" w:customStyle="1" w:styleId="1299">
    <w:name w:val="正文段落 Char Char Char"/>
    <w:basedOn w:val="1"/>
    <w:qFormat/>
    <w:uiPriority w:val="0"/>
    <w:pPr>
      <w:autoSpaceDE w:val="0"/>
      <w:autoSpaceDN w:val="0"/>
      <w:adjustRightInd w:val="0"/>
      <w:snapToGrid w:val="0"/>
      <w:spacing w:before="20" w:beforeLines="20" w:after="20" w:afterLines="20" w:line="540" w:lineRule="exact"/>
      <w:ind w:left="227" w:firstLine="567"/>
      <w:jc w:val="left"/>
      <w:textAlignment w:val="baseline"/>
    </w:pPr>
    <w:rPr>
      <w:rFonts w:ascii="宋体" w:hAnsi="Tms Rmn" w:eastAsia="宋体" w:cs="Times New Roman"/>
      <w:sz w:val="26"/>
      <w:szCs w:val="24"/>
    </w:rPr>
  </w:style>
  <w:style w:type="paragraph" w:customStyle="1" w:styleId="1300">
    <w:name w:val="三级格式"/>
    <w:basedOn w:val="1"/>
    <w:qFormat/>
    <w:uiPriority w:val="0"/>
    <w:pPr>
      <w:widowControl/>
      <w:adjustRightInd w:val="0"/>
      <w:snapToGrid w:val="0"/>
      <w:spacing w:before="120" w:beforeLines="50" w:after="120" w:afterLines="50" w:line="360" w:lineRule="auto"/>
      <w:ind w:left="227" w:firstLine="482"/>
      <w:jc w:val="left"/>
      <w:outlineLvl w:val="2"/>
    </w:pPr>
    <w:rPr>
      <w:rFonts w:ascii="黑体" w:hAnsi="Times New Roman" w:eastAsia="黑体" w:cs="宋体"/>
      <w:sz w:val="28"/>
      <w:szCs w:val="28"/>
    </w:rPr>
  </w:style>
  <w:style w:type="paragraph" w:customStyle="1" w:styleId="1301">
    <w:name w:val="普通文本"/>
    <w:basedOn w:val="1"/>
    <w:link w:val="1302"/>
    <w:qFormat/>
    <w:uiPriority w:val="0"/>
    <w:pPr>
      <w:spacing w:line="500" w:lineRule="exact"/>
      <w:ind w:left="227" w:firstLine="200" w:firstLineChars="200"/>
      <w:jc w:val="left"/>
    </w:pPr>
    <w:rPr>
      <w:rFonts w:ascii="Arial" w:hAnsi="Arial" w:eastAsia="宋体" w:cs="Times New Roman"/>
      <w:sz w:val="24"/>
      <w:szCs w:val="24"/>
    </w:rPr>
  </w:style>
  <w:style w:type="character" w:customStyle="1" w:styleId="1302">
    <w:name w:val="普通文本 Char"/>
    <w:link w:val="1301"/>
    <w:qFormat/>
    <w:uiPriority w:val="0"/>
    <w:rPr>
      <w:rFonts w:ascii="Arial" w:hAnsi="Arial" w:eastAsia="宋体" w:cs="Times New Roman"/>
      <w:sz w:val="24"/>
      <w:szCs w:val="24"/>
    </w:rPr>
  </w:style>
  <w:style w:type="paragraph" w:customStyle="1" w:styleId="1303">
    <w:name w:val="CL标题5"/>
    <w:basedOn w:val="1"/>
    <w:qFormat/>
    <w:uiPriority w:val="0"/>
    <w:pPr>
      <w:tabs>
        <w:tab w:val="left" w:pos="2842"/>
      </w:tabs>
      <w:ind w:left="994" w:hanging="454"/>
      <w:jc w:val="left"/>
      <w:outlineLvl w:val="4"/>
    </w:pPr>
    <w:rPr>
      <w:rFonts w:ascii="Times New Roman" w:hAnsi="Times New Roman" w:eastAsia="宋体" w:cs="宋体"/>
      <w:kern w:val="0"/>
      <w:szCs w:val="20"/>
    </w:rPr>
  </w:style>
  <w:style w:type="paragraph" w:customStyle="1" w:styleId="1304">
    <w:name w:val="CL标题3"/>
    <w:basedOn w:val="1"/>
    <w:qFormat/>
    <w:uiPriority w:val="0"/>
    <w:pPr>
      <w:tabs>
        <w:tab w:val="left" w:pos="0"/>
        <w:tab w:val="left" w:pos="1486"/>
        <w:tab w:val="left" w:pos="2842"/>
      </w:tabs>
      <w:ind w:left="1486" w:hanging="420"/>
      <w:jc w:val="left"/>
      <w:outlineLvl w:val="2"/>
    </w:pPr>
    <w:rPr>
      <w:rFonts w:ascii="黑体" w:hAnsi="宋体" w:eastAsia="黑体" w:cs="宋体"/>
      <w:kern w:val="0"/>
      <w:sz w:val="28"/>
      <w:szCs w:val="20"/>
    </w:rPr>
  </w:style>
  <w:style w:type="paragraph" w:customStyle="1" w:styleId="1305">
    <w:name w:val="CL标题2"/>
    <w:basedOn w:val="1"/>
    <w:qFormat/>
    <w:uiPriority w:val="0"/>
    <w:pPr>
      <w:spacing w:before="100" w:beforeAutospacing="1" w:after="100" w:afterAutospacing="1" w:line="480" w:lineRule="auto"/>
      <w:ind w:left="227" w:firstLine="482"/>
      <w:jc w:val="left"/>
      <w:outlineLvl w:val="1"/>
    </w:pPr>
    <w:rPr>
      <w:rFonts w:ascii="Arial" w:hAnsi="Arial" w:eastAsia="黑体" w:cs="宋体"/>
      <w:b/>
      <w:bCs/>
      <w:sz w:val="30"/>
      <w:szCs w:val="20"/>
    </w:rPr>
  </w:style>
  <w:style w:type="paragraph" w:customStyle="1" w:styleId="1306">
    <w:name w:val="CL标题4"/>
    <w:basedOn w:val="6"/>
    <w:qFormat/>
    <w:uiPriority w:val="0"/>
    <w:pPr>
      <w:keepNext w:val="0"/>
      <w:widowControl/>
      <w:tabs>
        <w:tab w:val="left" w:pos="340"/>
        <w:tab w:val="left" w:pos="567"/>
        <w:tab w:val="left" w:pos="2842"/>
      </w:tabs>
      <w:adjustRightInd w:val="0"/>
      <w:snapToGrid w:val="0"/>
      <w:spacing w:before="100" w:beforeAutospacing="1" w:after="100" w:afterAutospacing="1" w:line="360" w:lineRule="auto"/>
      <w:jc w:val="left"/>
    </w:pPr>
    <w:rPr>
      <w:rFonts w:ascii="Arial" w:hAnsi="Times New Roman" w:eastAsia="黑体"/>
      <w:kern w:val="0"/>
      <w:sz w:val="21"/>
      <w:lang w:val="zh-CN"/>
    </w:rPr>
  </w:style>
  <w:style w:type="paragraph" w:customStyle="1" w:styleId="1307">
    <w:name w:val="CL标题1"/>
    <w:basedOn w:val="1"/>
    <w:qFormat/>
    <w:uiPriority w:val="0"/>
    <w:pPr>
      <w:keepNext/>
      <w:keepLines/>
      <w:tabs>
        <w:tab w:val="left" w:pos="2842"/>
      </w:tabs>
      <w:spacing w:after="100" w:afterLines="100" w:line="460" w:lineRule="exact"/>
      <w:ind w:left="227" w:firstLine="482"/>
      <w:jc w:val="left"/>
      <w:outlineLvl w:val="0"/>
    </w:pPr>
    <w:rPr>
      <w:rFonts w:ascii="黑体" w:hAnsi="Times New Roman" w:eastAsia="黑体" w:cs="宋体"/>
      <w:kern w:val="44"/>
      <w:sz w:val="36"/>
      <w:szCs w:val="20"/>
    </w:rPr>
  </w:style>
  <w:style w:type="paragraph" w:customStyle="1" w:styleId="1308">
    <w:name w:val="CL　表标题8"/>
    <w:basedOn w:val="22"/>
    <w:qFormat/>
    <w:uiPriority w:val="0"/>
    <w:pPr>
      <w:spacing w:before="100" w:beforeLines="100" w:after="120"/>
      <w:ind w:left="227" w:firstLine="482"/>
      <w:jc w:val="center"/>
    </w:pPr>
    <w:rPr>
      <w:rFonts w:ascii="Arial" w:hAnsi="Arial" w:cs="Arial"/>
      <w:kern w:val="2"/>
      <w:sz w:val="21"/>
      <w:szCs w:val="21"/>
    </w:rPr>
  </w:style>
  <w:style w:type="paragraph" w:customStyle="1" w:styleId="1309">
    <w:name w:val="CL　图标题9"/>
    <w:basedOn w:val="1"/>
    <w:qFormat/>
    <w:uiPriority w:val="0"/>
    <w:pPr>
      <w:spacing w:line="240" w:lineRule="atLeast"/>
      <w:ind w:left="227" w:firstLine="482"/>
      <w:jc w:val="center"/>
    </w:pPr>
    <w:rPr>
      <w:rFonts w:ascii="黑体" w:hAnsi="Times New Roman" w:eastAsia="黑体" w:cs="Times New Roman"/>
      <w:szCs w:val="21"/>
    </w:rPr>
  </w:style>
  <w:style w:type="paragraph" w:customStyle="1" w:styleId="1310">
    <w:name w:val="CL标题6"/>
    <w:basedOn w:val="1"/>
    <w:qFormat/>
    <w:uiPriority w:val="0"/>
    <w:pPr>
      <w:ind w:left="567" w:hanging="113"/>
      <w:jc w:val="left"/>
    </w:pPr>
    <w:rPr>
      <w:rFonts w:ascii="Times New Roman" w:hAnsi="Times New Roman" w:eastAsia="宋体" w:cs="Times New Roman"/>
      <w:szCs w:val="24"/>
    </w:rPr>
  </w:style>
  <w:style w:type="paragraph" w:customStyle="1" w:styleId="1311">
    <w:name w:val="CL　表标题8 + 段前: 1 行"/>
    <w:basedOn w:val="1308"/>
    <w:qFormat/>
    <w:uiPriority w:val="0"/>
    <w:rPr>
      <w:rFonts w:cs="宋体"/>
      <w:szCs w:val="20"/>
    </w:rPr>
  </w:style>
  <w:style w:type="paragraph" w:customStyle="1" w:styleId="1312">
    <w:name w:val="小标1"/>
    <w:basedOn w:val="1"/>
    <w:next w:val="1"/>
    <w:qFormat/>
    <w:uiPriority w:val="0"/>
    <w:pPr>
      <w:tabs>
        <w:tab w:val="left" w:pos="432"/>
      </w:tabs>
      <w:spacing w:line="400" w:lineRule="exact"/>
      <w:ind w:left="432" w:hanging="432"/>
      <w:jc w:val="left"/>
    </w:pPr>
    <w:rPr>
      <w:rFonts w:ascii="宋体" w:hAnsi="Times New Roman" w:eastAsia="宋体" w:cs="Times New Roman"/>
      <w:sz w:val="24"/>
      <w:szCs w:val="24"/>
    </w:rPr>
  </w:style>
  <w:style w:type="paragraph" w:customStyle="1" w:styleId="1313">
    <w:name w:val="Bullet2"/>
    <w:basedOn w:val="1"/>
    <w:qFormat/>
    <w:uiPriority w:val="0"/>
    <w:pPr>
      <w:widowControl/>
      <w:tabs>
        <w:tab w:val="left" w:pos="480"/>
      </w:tabs>
      <w:adjustRightInd w:val="0"/>
      <w:ind w:left="480" w:hanging="480"/>
      <w:jc w:val="left"/>
      <w:textAlignment w:val="baseline"/>
    </w:pPr>
    <w:rPr>
      <w:rFonts w:ascii="Times New Roman" w:hAnsi="Times New Roman" w:eastAsia="宋体" w:cs="Times New Roman"/>
      <w:kern w:val="0"/>
      <w:sz w:val="24"/>
      <w:szCs w:val="20"/>
      <w:lang w:val="en-GB"/>
    </w:rPr>
  </w:style>
  <w:style w:type="paragraph" w:customStyle="1" w:styleId="1314">
    <w:name w:val="Bullets - level 2"/>
    <w:basedOn w:val="1"/>
    <w:qFormat/>
    <w:uiPriority w:val="0"/>
    <w:pPr>
      <w:widowControl/>
      <w:tabs>
        <w:tab w:val="left" w:pos="360"/>
        <w:tab w:val="right" w:pos="9214"/>
      </w:tabs>
      <w:adjustRightInd w:val="0"/>
      <w:ind w:left="568" w:right="-108" w:hanging="284"/>
      <w:jc w:val="left"/>
      <w:textAlignment w:val="baseline"/>
    </w:pPr>
    <w:rPr>
      <w:rFonts w:ascii="Invensys Andale" w:hAnsi="Invensys Andale" w:eastAsia="宋体" w:cs="Times New Roman"/>
      <w:kern w:val="0"/>
      <w:sz w:val="20"/>
      <w:szCs w:val="20"/>
      <w:lang w:val="en-GB"/>
    </w:rPr>
  </w:style>
  <w:style w:type="paragraph" w:customStyle="1" w:styleId="1315">
    <w:name w:val="TABLE HEAD"/>
    <w:basedOn w:val="1"/>
    <w:qFormat/>
    <w:uiPriority w:val="0"/>
    <w:pPr>
      <w:widowControl/>
      <w:tabs>
        <w:tab w:val="left" w:pos="1296"/>
      </w:tabs>
      <w:adjustRightInd w:val="0"/>
      <w:spacing w:before="120" w:after="120"/>
      <w:ind w:left="227" w:firstLine="482"/>
      <w:jc w:val="center"/>
      <w:textAlignment w:val="baseline"/>
    </w:pPr>
    <w:rPr>
      <w:rFonts w:ascii="Arial" w:hAnsi="Arial" w:eastAsia="宋体" w:cs="Times New Roman"/>
      <w:b/>
      <w:caps/>
      <w:spacing w:val="5"/>
      <w:kern w:val="0"/>
      <w:sz w:val="20"/>
      <w:szCs w:val="20"/>
      <w:lang w:val="en-GB"/>
    </w:rPr>
  </w:style>
  <w:style w:type="paragraph" w:customStyle="1" w:styleId="1316">
    <w:name w:val="TABLE TEXT l"/>
    <w:basedOn w:val="1"/>
    <w:qFormat/>
    <w:uiPriority w:val="0"/>
    <w:pPr>
      <w:widowControl/>
      <w:tabs>
        <w:tab w:val="left" w:pos="1296"/>
      </w:tabs>
      <w:adjustRightInd w:val="0"/>
      <w:spacing w:before="60" w:after="60"/>
      <w:ind w:left="72" w:firstLine="482"/>
      <w:jc w:val="left"/>
      <w:textAlignment w:val="baseline"/>
    </w:pPr>
    <w:rPr>
      <w:rFonts w:ascii="Helvetica" w:hAnsi="Helvetica" w:eastAsia="宋体" w:cs="Times New Roman"/>
      <w:spacing w:val="5"/>
      <w:kern w:val="0"/>
      <w:sz w:val="16"/>
      <w:szCs w:val="20"/>
      <w:lang w:val="en-GB"/>
    </w:rPr>
  </w:style>
  <w:style w:type="paragraph" w:customStyle="1" w:styleId="1317">
    <w:name w:val="Section title"/>
    <w:basedOn w:val="1"/>
    <w:qFormat/>
    <w:uiPriority w:val="0"/>
    <w:pPr>
      <w:pageBreakBefore/>
      <w:widowControl/>
      <w:adjustRightInd w:val="0"/>
      <w:spacing w:after="240"/>
      <w:ind w:left="1701" w:firstLine="482"/>
      <w:jc w:val="center"/>
      <w:textAlignment w:val="baseline"/>
    </w:pPr>
    <w:rPr>
      <w:rFonts w:ascii="Arial" w:hAnsi="Arial" w:eastAsia="宋体" w:cs="Times New Roman"/>
      <w:b/>
      <w:caps/>
      <w:kern w:val="0"/>
      <w:sz w:val="28"/>
      <w:szCs w:val="20"/>
      <w:lang w:val="en-GB"/>
    </w:rPr>
  </w:style>
  <w:style w:type="paragraph" w:customStyle="1" w:styleId="1318">
    <w:name w:val="glos-term"/>
    <w:basedOn w:val="1"/>
    <w:qFormat/>
    <w:uiPriority w:val="0"/>
    <w:pPr>
      <w:widowControl/>
      <w:adjustRightInd w:val="0"/>
      <w:spacing w:before="60" w:after="60"/>
      <w:ind w:left="227" w:firstLine="482"/>
      <w:jc w:val="left"/>
      <w:textAlignment w:val="baseline"/>
    </w:pPr>
    <w:rPr>
      <w:rFonts w:ascii="Times New Roman" w:hAnsi="Times New Roman" w:eastAsia="宋体" w:cs="Times New Roman"/>
      <w:b/>
      <w:kern w:val="0"/>
      <w:sz w:val="22"/>
      <w:szCs w:val="20"/>
      <w:lang w:val="en-GB"/>
    </w:rPr>
  </w:style>
  <w:style w:type="paragraph" w:customStyle="1" w:styleId="1319">
    <w:name w:val="glos-def"/>
    <w:basedOn w:val="1318"/>
    <w:qFormat/>
    <w:uiPriority w:val="0"/>
    <w:rPr>
      <w:b w:val="0"/>
    </w:rPr>
  </w:style>
  <w:style w:type="paragraph" w:customStyle="1" w:styleId="1320">
    <w:name w:val="正文文本 21"/>
    <w:basedOn w:val="1"/>
    <w:qFormat/>
    <w:uiPriority w:val="0"/>
    <w:pPr>
      <w:adjustRightInd w:val="0"/>
      <w:ind w:left="227" w:firstLine="567"/>
      <w:jc w:val="left"/>
      <w:textAlignment w:val="baseline"/>
    </w:pPr>
    <w:rPr>
      <w:rFonts w:ascii="Times New Roman" w:hAnsi="Times New Roman" w:eastAsia="宋体" w:cs="Times New Roman"/>
      <w:szCs w:val="20"/>
    </w:rPr>
  </w:style>
  <w:style w:type="character" w:customStyle="1" w:styleId="1321">
    <w:name w:val="px141"/>
    <w:qFormat/>
    <w:uiPriority w:val="0"/>
    <w:rPr>
      <w:rFonts w:hint="default" w:ascii="ˎ̥" w:hAnsi="ˎ̥"/>
      <w:sz w:val="28"/>
      <w:szCs w:val="28"/>
    </w:rPr>
  </w:style>
  <w:style w:type="paragraph" w:customStyle="1" w:styleId="1322">
    <w:name w:val="B6"/>
    <w:basedOn w:val="1"/>
    <w:qFormat/>
    <w:uiPriority w:val="0"/>
    <w:pPr>
      <w:adjustRightInd w:val="0"/>
      <w:spacing w:after="120"/>
      <w:ind w:left="227" w:firstLine="482"/>
      <w:jc w:val="center"/>
    </w:pPr>
    <w:rPr>
      <w:rFonts w:ascii="方正黑体简体" w:hAnsi="Times New Roman" w:eastAsia="方正黑体简体" w:cs="Times New Roman"/>
      <w:kern w:val="10"/>
      <w:sz w:val="18"/>
      <w:szCs w:val="20"/>
    </w:rPr>
  </w:style>
  <w:style w:type="paragraph" w:customStyle="1" w:styleId="1323">
    <w:name w:val="B7"/>
    <w:basedOn w:val="1"/>
    <w:qFormat/>
    <w:uiPriority w:val="0"/>
    <w:pPr>
      <w:adjustRightInd w:val="0"/>
      <w:snapToGrid w:val="0"/>
      <w:spacing w:before="160" w:after="120"/>
      <w:ind w:left="227" w:firstLine="482"/>
      <w:jc w:val="center"/>
    </w:pPr>
    <w:rPr>
      <w:rFonts w:ascii="Times New Roman" w:hAnsi="Times New Roman" w:eastAsia="华文宋体" w:cs="Times New Roman"/>
      <w:kern w:val="10"/>
      <w:sz w:val="20"/>
      <w:szCs w:val="20"/>
    </w:rPr>
  </w:style>
  <w:style w:type="paragraph" w:customStyle="1" w:styleId="1324">
    <w:name w:val="编号-1"/>
    <w:basedOn w:val="1"/>
    <w:qFormat/>
    <w:uiPriority w:val="0"/>
    <w:pPr>
      <w:adjustRightInd w:val="0"/>
      <w:snapToGrid w:val="0"/>
      <w:spacing w:line="520" w:lineRule="exact"/>
      <w:ind w:left="227" w:firstLine="482"/>
      <w:jc w:val="left"/>
    </w:pPr>
    <w:rPr>
      <w:rFonts w:ascii="Times New Roman" w:hAnsi="Times New Roman" w:eastAsia="黑体" w:cs="Times New Roman"/>
      <w:sz w:val="24"/>
      <w:szCs w:val="20"/>
    </w:rPr>
  </w:style>
  <w:style w:type="paragraph" w:customStyle="1" w:styleId="1325">
    <w:name w:val="5级"/>
    <w:basedOn w:val="1"/>
    <w:qFormat/>
    <w:uiPriority w:val="0"/>
    <w:pPr>
      <w:adjustRightInd w:val="0"/>
      <w:spacing w:line="520" w:lineRule="exact"/>
      <w:ind w:left="227" w:firstLine="482"/>
      <w:jc w:val="left"/>
      <w:textAlignment w:val="baseline"/>
    </w:pPr>
    <w:rPr>
      <w:rFonts w:ascii="Times New Roman" w:hAnsi="Times New Roman" w:eastAsia="宋体" w:cs="Times New Roman"/>
      <w:kern w:val="0"/>
      <w:sz w:val="28"/>
      <w:szCs w:val="20"/>
    </w:rPr>
  </w:style>
  <w:style w:type="paragraph" w:customStyle="1" w:styleId="1326">
    <w:name w:val="样式 普通文本 + 首行缩进:  2 字符1"/>
    <w:basedOn w:val="1301"/>
    <w:qFormat/>
    <w:uiPriority w:val="0"/>
    <w:pPr>
      <w:ind w:firstLine="480"/>
    </w:pPr>
    <w:rPr>
      <w:rFonts w:cs="宋体"/>
      <w:szCs w:val="20"/>
    </w:rPr>
  </w:style>
  <w:style w:type="paragraph" w:customStyle="1" w:styleId="1327">
    <w:name w:val="正文段落 m14"/>
    <w:link w:val="1328"/>
    <w:qFormat/>
    <w:uiPriority w:val="0"/>
    <w:pPr>
      <w:adjustRightInd w:val="0"/>
      <w:snapToGrid w:val="0"/>
      <w:spacing w:before="120" w:beforeLines="50" w:line="360" w:lineRule="auto"/>
      <w:ind w:left="709" w:firstLine="480" w:firstLineChars="200"/>
    </w:pPr>
    <w:rPr>
      <w:rFonts w:ascii="Times New Roman" w:hAnsi="Times New Roman" w:eastAsia="宋体" w:cs="Times New Roman"/>
      <w:sz w:val="24"/>
      <w:lang w:val="en-US" w:eastAsia="zh-CN" w:bidi="ar-SA"/>
    </w:rPr>
  </w:style>
  <w:style w:type="character" w:customStyle="1" w:styleId="1328">
    <w:name w:val="正文段落 m14 Char"/>
    <w:link w:val="1327"/>
    <w:qFormat/>
    <w:uiPriority w:val="0"/>
    <w:rPr>
      <w:rFonts w:ascii="Times New Roman" w:hAnsi="Times New Roman" w:eastAsia="宋体" w:cs="Times New Roman"/>
      <w:kern w:val="0"/>
      <w:sz w:val="24"/>
      <w:szCs w:val="20"/>
    </w:rPr>
  </w:style>
  <w:style w:type="paragraph" w:customStyle="1" w:styleId="1329">
    <w:name w:val="表格字体"/>
    <w:basedOn w:val="1"/>
    <w:qFormat/>
    <w:uiPriority w:val="0"/>
    <w:pPr>
      <w:ind w:left="227" w:firstLine="482"/>
      <w:jc w:val="center"/>
    </w:pPr>
    <w:rPr>
      <w:rFonts w:ascii="宋体" w:hAnsi="Times New Roman" w:eastAsia="宋体" w:cs="Times New Roman"/>
      <w:sz w:val="24"/>
      <w:szCs w:val="24"/>
    </w:rPr>
  </w:style>
  <w:style w:type="paragraph" w:customStyle="1" w:styleId="1330">
    <w:name w:val="样式 样式 普通文本 + 首行缩进:  2 字符 + 首行缩进:  2 字符"/>
    <w:basedOn w:val="1295"/>
    <w:qFormat/>
    <w:uiPriority w:val="0"/>
    <w:pPr>
      <w:ind w:firstLine="560"/>
    </w:pPr>
  </w:style>
  <w:style w:type="paragraph" w:customStyle="1" w:styleId="1331">
    <w:name w:val="样式 四号 行距: 固定值 25 磅"/>
    <w:basedOn w:val="1"/>
    <w:qFormat/>
    <w:uiPriority w:val="0"/>
    <w:pPr>
      <w:spacing w:line="500" w:lineRule="exact"/>
      <w:ind w:left="227" w:firstLine="560" w:firstLineChars="200"/>
      <w:jc w:val="left"/>
    </w:pPr>
    <w:rPr>
      <w:rFonts w:ascii="Arial" w:hAnsi="Arial" w:eastAsia="宋体" w:cs="宋体"/>
      <w:sz w:val="24"/>
      <w:szCs w:val="20"/>
    </w:rPr>
  </w:style>
  <w:style w:type="character" w:customStyle="1" w:styleId="1332">
    <w:name w:val="样式 样式 小四 行距: 固定值 27 磅 + 首行缩进:  2 字符 Char"/>
    <w:qFormat/>
    <w:uiPriority w:val="0"/>
    <w:rPr>
      <w:rFonts w:eastAsia="宋体" w:cs="宋体"/>
      <w:kern w:val="2"/>
      <w:sz w:val="24"/>
      <w:lang w:val="en-US" w:eastAsia="zh-CN" w:bidi="ar-SA"/>
    </w:rPr>
  </w:style>
  <w:style w:type="paragraph" w:customStyle="1" w:styleId="1333">
    <w:name w:val="样式 表格正文 + 首行缩进:  2 字符"/>
    <w:basedOn w:val="167"/>
    <w:qFormat/>
    <w:uiPriority w:val="0"/>
    <w:pPr>
      <w:widowControl w:val="0"/>
      <w:adjustRightInd w:val="0"/>
      <w:snapToGrid w:val="0"/>
      <w:spacing w:line="520" w:lineRule="exact"/>
      <w:jc w:val="center"/>
    </w:pPr>
    <w:rPr>
      <w:rFonts w:cs="宋体"/>
      <w:sz w:val="26"/>
      <w:szCs w:val="20"/>
    </w:rPr>
  </w:style>
  <w:style w:type="paragraph" w:customStyle="1" w:styleId="1334">
    <w:name w:val="普通文字"/>
    <w:basedOn w:val="1"/>
    <w:qFormat/>
    <w:uiPriority w:val="0"/>
    <w:pPr>
      <w:widowControl/>
      <w:spacing w:line="351" w:lineRule="atLeast"/>
      <w:ind w:left="227" w:firstLine="419"/>
      <w:jc w:val="left"/>
      <w:textAlignment w:val="baseline"/>
    </w:pPr>
    <w:rPr>
      <w:rFonts w:ascii="宋体" w:hAnsi="Times New Roman" w:eastAsia="宋体" w:cs="Times New Roman"/>
      <w:color w:val="000000"/>
      <w:kern w:val="0"/>
      <w:szCs w:val="20"/>
      <w:u w:color="000000"/>
    </w:rPr>
  </w:style>
  <w:style w:type="paragraph" w:customStyle="1" w:styleId="1335">
    <w:name w:val="样式 正文文本缩进 2 + 仿宋_GB2312 14 磅 段后: 0 磅 行距: 固定值 28 磅"/>
    <w:basedOn w:val="1"/>
    <w:qFormat/>
    <w:uiPriority w:val="0"/>
    <w:pPr>
      <w:adjustRightInd w:val="0"/>
      <w:snapToGrid w:val="0"/>
      <w:spacing w:line="560" w:lineRule="exact"/>
      <w:ind w:left="227" w:firstLine="200" w:firstLineChars="200"/>
      <w:jc w:val="left"/>
    </w:pPr>
    <w:rPr>
      <w:rFonts w:ascii="仿宋_GB2312" w:hAnsi="Times New Roman" w:eastAsia="仿宋_GB2312" w:cs="宋体"/>
      <w:sz w:val="28"/>
      <w:szCs w:val="20"/>
    </w:rPr>
  </w:style>
  <w:style w:type="paragraph" w:customStyle="1" w:styleId="1336">
    <w:name w:val="11号线三级目录"/>
    <w:basedOn w:val="5"/>
    <w:qFormat/>
    <w:uiPriority w:val="0"/>
    <w:pPr>
      <w:keepLines/>
      <w:widowControl/>
      <w:adjustRightInd w:val="0"/>
      <w:snapToGrid w:val="0"/>
      <w:spacing w:line="360" w:lineRule="auto"/>
      <w:ind w:firstLine="605" w:firstLineChars="200"/>
    </w:pPr>
    <w:rPr>
      <w:rFonts w:hAnsi="宋体"/>
      <w:b w:val="0"/>
      <w:color w:val="000000"/>
      <w:sz w:val="21"/>
      <w:szCs w:val="28"/>
      <w:lang w:val="zh-CN"/>
    </w:rPr>
  </w:style>
  <w:style w:type="paragraph" w:customStyle="1" w:styleId="1337">
    <w:name w:val="沈阳表格"/>
    <w:qFormat/>
    <w:uiPriority w:val="0"/>
    <w:pPr>
      <w:spacing w:line="440" w:lineRule="exact"/>
      <w:ind w:left="709" w:hanging="482"/>
      <w:jc w:val="center"/>
    </w:pPr>
    <w:rPr>
      <w:rFonts w:ascii="Times New Roman" w:hAnsi="Times New Roman" w:eastAsia="宋体" w:cs="Times New Roman"/>
      <w:kern w:val="2"/>
      <w:sz w:val="21"/>
      <w:lang w:val="en-US" w:eastAsia="zh-CN" w:bidi="ar-SA"/>
    </w:rPr>
  </w:style>
  <w:style w:type="paragraph" w:customStyle="1" w:styleId="1338">
    <w:name w:val="沈阳表名"/>
    <w:qFormat/>
    <w:uiPriority w:val="0"/>
    <w:pPr>
      <w:widowControl w:val="0"/>
      <w:spacing w:line="360" w:lineRule="auto"/>
      <w:ind w:left="709" w:hanging="482"/>
      <w:jc w:val="center"/>
    </w:pPr>
    <w:rPr>
      <w:rFonts w:ascii="仿宋_GB2312" w:hAnsi="Times New Roman" w:eastAsia="仿宋_GB2312" w:cs="Times New Roman"/>
      <w:kern w:val="2"/>
      <w:sz w:val="28"/>
      <w:szCs w:val="24"/>
      <w:lang w:val="en-US" w:eastAsia="zh-CN" w:bidi="ar-SA"/>
    </w:rPr>
  </w:style>
  <w:style w:type="paragraph" w:customStyle="1" w:styleId="1339">
    <w:name w:val="样式 宋体 行距: 1.5 倍行距"/>
    <w:basedOn w:val="1"/>
    <w:qFormat/>
    <w:uiPriority w:val="0"/>
    <w:pPr>
      <w:ind w:left="227" w:firstLine="482"/>
      <w:jc w:val="left"/>
    </w:pPr>
    <w:rPr>
      <w:rFonts w:ascii="宋体" w:hAnsi="宋体" w:eastAsia="宋体" w:cs="Times New Roman"/>
      <w:szCs w:val="20"/>
    </w:rPr>
  </w:style>
  <w:style w:type="paragraph" w:customStyle="1" w:styleId="1340">
    <w:name w:val="Report Level 1"/>
    <w:basedOn w:val="1"/>
    <w:next w:val="1"/>
    <w:qFormat/>
    <w:uiPriority w:val="0"/>
    <w:pPr>
      <w:keepNext/>
      <w:widowControl/>
      <w:tabs>
        <w:tab w:val="left" w:pos="1080"/>
      </w:tabs>
      <w:spacing w:before="240" w:after="120"/>
      <w:ind w:left="1080" w:hanging="1080"/>
      <w:jc w:val="left"/>
      <w:outlineLvl w:val="0"/>
    </w:pPr>
    <w:rPr>
      <w:rFonts w:ascii="Arial" w:hAnsi="Arial" w:eastAsia="宋体" w:cs="Times New Roman"/>
      <w:b/>
      <w:caps/>
      <w:kern w:val="0"/>
      <w:sz w:val="24"/>
      <w:szCs w:val="20"/>
      <w:lang w:val="en-GB" w:eastAsia="en-US"/>
    </w:rPr>
  </w:style>
  <w:style w:type="paragraph" w:customStyle="1" w:styleId="1341">
    <w:name w:val="样式 样式 样式 样式 四号 左 行距: 1.5 倍行距 + 首行缩进:  2 字符 + 首行缩进:  2 字符 + 首行缩进:..."/>
    <w:basedOn w:val="1"/>
    <w:qFormat/>
    <w:uiPriority w:val="0"/>
    <w:pPr>
      <w:spacing w:line="360" w:lineRule="auto"/>
      <w:ind w:left="227" w:firstLine="200" w:firstLineChars="200"/>
      <w:jc w:val="left"/>
    </w:pPr>
    <w:rPr>
      <w:rFonts w:ascii="Times New Roman" w:hAnsi="Times New Roman" w:eastAsia="宋体" w:cs="Times New Roman"/>
      <w:sz w:val="24"/>
      <w:szCs w:val="20"/>
    </w:rPr>
  </w:style>
  <w:style w:type="paragraph" w:customStyle="1" w:styleId="1342">
    <w:name w:val="样式 四号 行距: 1.5 倍行距 首行缩进:  2 字符"/>
    <w:basedOn w:val="1"/>
    <w:qFormat/>
    <w:uiPriority w:val="0"/>
    <w:pPr>
      <w:spacing w:line="360" w:lineRule="auto"/>
      <w:ind w:left="227" w:firstLine="560" w:firstLineChars="200"/>
      <w:jc w:val="left"/>
    </w:pPr>
    <w:rPr>
      <w:rFonts w:ascii="Times New Roman" w:hAnsi="Times New Roman" w:eastAsia="宋体" w:cs="Times New Roman"/>
      <w:sz w:val="24"/>
      <w:szCs w:val="20"/>
    </w:rPr>
  </w:style>
  <w:style w:type="paragraph" w:customStyle="1" w:styleId="1343">
    <w:name w:val="样式 四号 行距: 1.5 倍行距"/>
    <w:basedOn w:val="1"/>
    <w:qFormat/>
    <w:uiPriority w:val="0"/>
    <w:pPr>
      <w:spacing w:line="360" w:lineRule="auto"/>
      <w:ind w:left="227" w:firstLine="482"/>
      <w:jc w:val="left"/>
    </w:pPr>
    <w:rPr>
      <w:rFonts w:ascii="Times New Roman" w:hAnsi="Times New Roman" w:eastAsia="宋体" w:cs="Times New Roman"/>
      <w:sz w:val="24"/>
      <w:szCs w:val="20"/>
    </w:rPr>
  </w:style>
  <w:style w:type="paragraph" w:customStyle="1" w:styleId="1344">
    <w:name w:val="样式 正文1.2 + 两端对齐 行距: 1.5 倍行距"/>
    <w:basedOn w:val="1"/>
    <w:qFormat/>
    <w:uiPriority w:val="0"/>
    <w:pPr>
      <w:spacing w:line="360" w:lineRule="auto"/>
      <w:ind w:left="227" w:firstLine="560" w:firstLineChars="200"/>
      <w:jc w:val="left"/>
    </w:pPr>
    <w:rPr>
      <w:rFonts w:ascii="宋体" w:hAnsi="Times New Roman" w:eastAsia="宋体" w:cs="Times New Roman"/>
      <w:kern w:val="0"/>
      <w:sz w:val="24"/>
      <w:szCs w:val="20"/>
      <w:lang w:eastAsia="en-US"/>
    </w:rPr>
  </w:style>
  <w:style w:type="character" w:customStyle="1" w:styleId="1345">
    <w:name w:val="样式 四号"/>
    <w:qFormat/>
    <w:uiPriority w:val="0"/>
    <w:rPr>
      <w:sz w:val="24"/>
    </w:rPr>
  </w:style>
  <w:style w:type="paragraph" w:customStyle="1" w:styleId="1346">
    <w:name w:val="样式 样式 普通文本 + 首行缩进:  2 字符 + 黑色 首行缩进:  2 字符"/>
    <w:basedOn w:val="1295"/>
    <w:qFormat/>
    <w:uiPriority w:val="0"/>
    <w:pPr>
      <w:ind w:firstLine="560"/>
    </w:pPr>
    <w:rPr>
      <w:color w:val="000000"/>
    </w:rPr>
  </w:style>
  <w:style w:type="paragraph" w:customStyle="1" w:styleId="1347">
    <w:name w:val="样式 样式 普通文本 + 首行缩进:  2 字符1 + 首行缩进:  2 字符"/>
    <w:basedOn w:val="1326"/>
    <w:qFormat/>
    <w:uiPriority w:val="0"/>
    <w:pPr>
      <w:ind w:firstLine="560"/>
    </w:pPr>
  </w:style>
  <w:style w:type="paragraph" w:customStyle="1" w:styleId="1348">
    <w:name w:val="样式 样式 四号 行距: 固定值 25 磅 + 首行缩进:  2 字符"/>
    <w:basedOn w:val="1295"/>
    <w:qFormat/>
    <w:uiPriority w:val="0"/>
    <w:rPr>
      <w:szCs w:val="28"/>
    </w:rPr>
  </w:style>
  <w:style w:type="paragraph" w:customStyle="1" w:styleId="1349">
    <w:name w:val="样式 四号 行距: 固定值 25 磅1"/>
    <w:basedOn w:val="1"/>
    <w:qFormat/>
    <w:uiPriority w:val="0"/>
    <w:pPr>
      <w:spacing w:line="500" w:lineRule="exact"/>
      <w:ind w:left="227" w:firstLine="482"/>
      <w:jc w:val="left"/>
    </w:pPr>
    <w:rPr>
      <w:rFonts w:ascii="Arial" w:hAnsi="Arial" w:eastAsia="宋体" w:cs="宋体"/>
      <w:sz w:val="24"/>
      <w:szCs w:val="24"/>
    </w:rPr>
  </w:style>
  <w:style w:type="paragraph" w:customStyle="1" w:styleId="1350">
    <w:name w:val="样式 样式 首行缩进:  2 字符 + 四号"/>
    <w:basedOn w:val="276"/>
    <w:link w:val="1351"/>
    <w:qFormat/>
    <w:uiPriority w:val="0"/>
    <w:pPr>
      <w:autoSpaceDE/>
      <w:autoSpaceDN/>
      <w:adjustRightInd/>
      <w:snapToGrid/>
      <w:spacing w:line="480" w:lineRule="exact"/>
      <w:ind w:left="227" w:firstLine="200" w:firstLineChars="200"/>
      <w:jc w:val="left"/>
    </w:pPr>
    <w:rPr>
      <w:rFonts w:ascii="Times New Roman" w:hAnsi="Times New Roman"/>
      <w:szCs w:val="20"/>
    </w:rPr>
  </w:style>
  <w:style w:type="character" w:customStyle="1" w:styleId="1351">
    <w:name w:val="样式 样式 首行缩进:  2 字符 + 四号 Char"/>
    <w:link w:val="1350"/>
    <w:qFormat/>
    <w:uiPriority w:val="0"/>
    <w:rPr>
      <w:rFonts w:ascii="Times New Roman" w:hAnsi="Times New Roman" w:eastAsia="宋体" w:cs="宋体"/>
      <w:sz w:val="24"/>
      <w:szCs w:val="20"/>
    </w:rPr>
  </w:style>
  <w:style w:type="paragraph" w:customStyle="1" w:styleId="1352">
    <w:name w:val="样式 四号 行距: 固定值 25 磅2"/>
    <w:basedOn w:val="1"/>
    <w:qFormat/>
    <w:uiPriority w:val="0"/>
    <w:pPr>
      <w:spacing w:line="500" w:lineRule="exact"/>
      <w:ind w:left="227" w:firstLine="200" w:firstLineChars="200"/>
      <w:jc w:val="left"/>
    </w:pPr>
    <w:rPr>
      <w:rFonts w:ascii="Arial" w:hAnsi="Arial" w:eastAsia="宋体" w:cs="宋体"/>
      <w:sz w:val="24"/>
      <w:szCs w:val="20"/>
    </w:rPr>
  </w:style>
  <w:style w:type="character" w:customStyle="1" w:styleId="1353">
    <w:name w:val="标题 3 Char Char"/>
    <w:qFormat/>
    <w:uiPriority w:val="0"/>
    <w:rPr>
      <w:rFonts w:ascii="Arial" w:hAnsi="Arial" w:eastAsia="宋体"/>
      <w:b/>
      <w:bCs/>
      <w:kern w:val="2"/>
      <w:sz w:val="24"/>
      <w:szCs w:val="28"/>
      <w:lang w:val="en-US" w:eastAsia="zh-CN" w:bidi="ar-SA"/>
    </w:rPr>
  </w:style>
  <w:style w:type="character" w:customStyle="1" w:styleId="1354">
    <w:name w:val="标题 3 Char2"/>
    <w:qFormat/>
    <w:uiPriority w:val="0"/>
    <w:rPr>
      <w:rFonts w:ascii="Arial" w:hAnsi="Arial" w:eastAsia="黑体"/>
      <w:sz w:val="28"/>
      <w:lang w:val="en-US" w:eastAsia="zh-CN" w:bidi="ar-SA"/>
    </w:rPr>
  </w:style>
  <w:style w:type="paragraph" w:customStyle="1" w:styleId="1355">
    <w:name w:val="样式 正文文本缩进 2 + 宋体 小四 首行缩进:  2 字符 段前: 2.4 磅 行距: 1.5 倍行距"/>
    <w:basedOn w:val="52"/>
    <w:qFormat/>
    <w:uiPriority w:val="0"/>
    <w:pPr>
      <w:adjustRightInd w:val="0"/>
      <w:snapToGrid w:val="0"/>
      <w:spacing w:after="0" w:line="500" w:lineRule="exact"/>
      <w:ind w:left="0" w:leftChars="0" w:firstLine="200" w:firstLineChars="200"/>
      <w:jc w:val="left"/>
    </w:pPr>
    <w:rPr>
      <w:rFonts w:ascii="宋体" w:hAnsi="宋体" w:cs="宋体"/>
      <w:sz w:val="24"/>
      <w:szCs w:val="20"/>
    </w:rPr>
  </w:style>
  <w:style w:type="character" w:customStyle="1" w:styleId="1356">
    <w:name w:val="第六层条 Char"/>
    <w:qFormat/>
    <w:uiPriority w:val="0"/>
    <w:rPr>
      <w:rFonts w:ascii="Arial" w:hAnsi="Arial" w:eastAsia="宋体"/>
      <w:b/>
      <w:bCs/>
      <w:kern w:val="2"/>
      <w:sz w:val="24"/>
      <w:szCs w:val="24"/>
      <w:lang w:val="en-US" w:eastAsia="zh-CN" w:bidi="ar-SA"/>
    </w:rPr>
  </w:style>
  <w:style w:type="paragraph" w:customStyle="1" w:styleId="1357">
    <w:name w:val="文中公式"/>
    <w:basedOn w:val="1"/>
    <w:qFormat/>
    <w:uiPriority w:val="0"/>
    <w:pPr>
      <w:ind w:left="227" w:firstLine="482"/>
      <w:jc w:val="center"/>
    </w:pPr>
    <w:rPr>
      <w:rFonts w:ascii="Times New Roman" w:hAnsi="Times New Roman" w:eastAsia="宋体" w:cs="宋体"/>
      <w:sz w:val="24"/>
      <w:szCs w:val="20"/>
    </w:rPr>
  </w:style>
  <w:style w:type="paragraph" w:customStyle="1" w:styleId="1358">
    <w:name w:val="表名"/>
    <w:basedOn w:val="1"/>
    <w:qFormat/>
    <w:uiPriority w:val="0"/>
    <w:pPr>
      <w:spacing w:before="240" w:after="120"/>
      <w:ind w:left="227" w:firstLine="482"/>
      <w:jc w:val="center"/>
    </w:pPr>
    <w:rPr>
      <w:rFonts w:ascii="宋体" w:hAnsi="Times New Roman" w:eastAsia="宋体" w:cs="Times New Roman"/>
      <w:b/>
      <w:sz w:val="24"/>
      <w:szCs w:val="24"/>
    </w:rPr>
  </w:style>
  <w:style w:type="paragraph" w:customStyle="1" w:styleId="1359">
    <w:name w:val="图名"/>
    <w:basedOn w:val="1"/>
    <w:qFormat/>
    <w:uiPriority w:val="0"/>
    <w:pPr>
      <w:spacing w:before="120" w:after="240"/>
      <w:ind w:left="227" w:firstLine="482"/>
      <w:jc w:val="center"/>
    </w:pPr>
    <w:rPr>
      <w:rFonts w:ascii="宋体" w:hAnsi="Times New Roman" w:eastAsia="宋体" w:cs="宋体"/>
      <w:b/>
      <w:sz w:val="24"/>
      <w:szCs w:val="20"/>
    </w:rPr>
  </w:style>
  <w:style w:type="character" w:customStyle="1" w:styleId="1360">
    <w:name w:val="标示2"/>
    <w:qFormat/>
    <w:uiPriority w:val="0"/>
    <w:rPr>
      <w:color w:val="FF0000"/>
    </w:rPr>
  </w:style>
  <w:style w:type="character" w:customStyle="1" w:styleId="1361">
    <w:name w:val="样式 首行缩进:  2 字符 Char Char"/>
    <w:qFormat/>
    <w:uiPriority w:val="0"/>
    <w:rPr>
      <w:rFonts w:ascii="仿宋_GB2312" w:eastAsia="宋体" w:cs="宋体"/>
      <w:b/>
      <w:kern w:val="2"/>
      <w:sz w:val="24"/>
      <w:szCs w:val="32"/>
      <w:lang w:val="en-US" w:eastAsia="zh-CN" w:bidi="ar-SA"/>
    </w:rPr>
  </w:style>
  <w:style w:type="character" w:customStyle="1" w:styleId="1362">
    <w:name w:val="样式 (符号) 宋体"/>
    <w:qFormat/>
    <w:uiPriority w:val="0"/>
  </w:style>
  <w:style w:type="character" w:customStyle="1" w:styleId="1363">
    <w:name w:val="标题 3 Char Char1"/>
    <w:qFormat/>
    <w:uiPriority w:val="0"/>
    <w:rPr>
      <w:rFonts w:eastAsia="黑体"/>
      <w:bCs/>
      <w:kern w:val="2"/>
      <w:sz w:val="28"/>
      <w:szCs w:val="28"/>
      <w:lang w:val="en-US" w:eastAsia="zh-CN" w:bidi="ar-SA"/>
    </w:rPr>
  </w:style>
  <w:style w:type="paragraph" w:customStyle="1" w:styleId="1364">
    <w:name w:val="样式 9号线正文 + 首行缩进:  2 字符"/>
    <w:basedOn w:val="1"/>
    <w:qFormat/>
    <w:uiPriority w:val="0"/>
    <w:pPr>
      <w:overflowPunct w:val="0"/>
      <w:spacing w:line="560" w:lineRule="exact"/>
      <w:ind w:left="227" w:firstLine="200" w:firstLineChars="200"/>
      <w:jc w:val="left"/>
    </w:pPr>
    <w:rPr>
      <w:rFonts w:ascii="宋体" w:hAnsi="宋体" w:eastAsia="宋体" w:cs="Times New Roman"/>
      <w:kern w:val="0"/>
      <w:sz w:val="26"/>
      <w:szCs w:val="20"/>
    </w:rPr>
  </w:style>
  <w:style w:type="paragraph" w:customStyle="1" w:styleId="1365">
    <w:name w:val="表注"/>
    <w:basedOn w:val="177"/>
    <w:qFormat/>
    <w:uiPriority w:val="0"/>
    <w:pPr>
      <w:ind w:left="227" w:firstLine="482"/>
      <w:jc w:val="both"/>
    </w:pPr>
    <w:rPr>
      <w:rFonts w:cs="宋体"/>
      <w:lang w:val="en-US"/>
    </w:rPr>
  </w:style>
  <w:style w:type="paragraph" w:customStyle="1" w:styleId="1366">
    <w:name w:val="标准文本"/>
    <w:basedOn w:val="1"/>
    <w:qFormat/>
    <w:uiPriority w:val="0"/>
    <w:pPr>
      <w:spacing w:line="400" w:lineRule="exact"/>
      <w:ind w:left="227" w:firstLine="480" w:firstLineChars="200"/>
      <w:jc w:val="left"/>
    </w:pPr>
    <w:rPr>
      <w:rFonts w:ascii="黑体" w:hAnsi="宋体" w:eastAsia="宋体" w:cs="Times New Roman"/>
      <w:color w:val="0000FF"/>
      <w:sz w:val="24"/>
      <w:szCs w:val="20"/>
    </w:rPr>
  </w:style>
  <w:style w:type="character" w:customStyle="1" w:styleId="1367">
    <w:name w:val="标题 4 Char Char1"/>
    <w:qFormat/>
    <w:uiPriority w:val="0"/>
    <w:rPr>
      <w:rFonts w:eastAsia="黑体"/>
      <w:bCs/>
      <w:kern w:val="2"/>
      <w:sz w:val="28"/>
      <w:szCs w:val="28"/>
      <w:lang w:val="en-US" w:eastAsia="zh-CN" w:bidi="ar-SA"/>
    </w:rPr>
  </w:style>
  <w:style w:type="paragraph" w:customStyle="1" w:styleId="1368">
    <w:name w:val="样式 标题 5标题 1)第四层条第五层H5dsddRoman listh5PIM 5Block Label..."/>
    <w:basedOn w:val="7"/>
    <w:qFormat/>
    <w:uiPriority w:val="0"/>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1369">
    <w:name w:val="样式 标题 5标题 1)第四层条第五层H5dsddRoman listh5PIM 5Block Label...1"/>
    <w:basedOn w:val="7"/>
    <w:next w:val="1368"/>
    <w:qFormat/>
    <w:uiPriority w:val="0"/>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1370">
    <w:name w:val="样式 居中"/>
    <w:basedOn w:val="1"/>
    <w:qFormat/>
    <w:uiPriority w:val="0"/>
    <w:pPr>
      <w:snapToGrid w:val="0"/>
      <w:ind w:left="227" w:firstLine="482"/>
      <w:jc w:val="center"/>
    </w:pPr>
    <w:rPr>
      <w:rFonts w:ascii="Times New Roman" w:hAnsi="Times New Roman" w:eastAsia="宋体" w:cs="宋体"/>
      <w:sz w:val="24"/>
      <w:szCs w:val="20"/>
    </w:rPr>
  </w:style>
  <w:style w:type="paragraph" w:customStyle="1" w:styleId="1371">
    <w:name w:val="CM1"/>
    <w:basedOn w:val="243"/>
    <w:next w:val="243"/>
    <w:qFormat/>
    <w:uiPriority w:val="0"/>
    <w:pPr>
      <w:spacing w:line="480" w:lineRule="atLeast"/>
      <w:ind w:left="709" w:hanging="482"/>
    </w:pPr>
    <w:rPr>
      <w:rFonts w:ascii="宋体" w:cs="Times New Roman"/>
      <w:color w:val="auto"/>
    </w:rPr>
  </w:style>
  <w:style w:type="paragraph" w:customStyle="1" w:styleId="1372">
    <w:name w:val="编号(1)"/>
    <w:basedOn w:val="1"/>
    <w:qFormat/>
    <w:uiPriority w:val="0"/>
    <w:pPr>
      <w:numPr>
        <w:ilvl w:val="0"/>
        <w:numId w:val="10"/>
      </w:numPr>
      <w:tabs>
        <w:tab w:val="left" w:pos="547"/>
        <w:tab w:val="left" w:pos="1080"/>
      </w:tabs>
      <w:spacing w:line="480" w:lineRule="atLeast"/>
      <w:jc w:val="left"/>
    </w:pPr>
    <w:rPr>
      <w:rFonts w:ascii="Times New Roman" w:hAnsi="Times New Roman" w:eastAsia="宋体" w:cs="Times New Roman"/>
      <w:sz w:val="28"/>
      <w:szCs w:val="24"/>
    </w:rPr>
  </w:style>
  <w:style w:type="paragraph" w:customStyle="1" w:styleId="1373">
    <w:name w:val="ClauseNum 3"/>
    <w:basedOn w:val="5"/>
    <w:qFormat/>
    <w:uiPriority w:val="0"/>
    <w:pPr>
      <w:widowControl/>
      <w:tabs>
        <w:tab w:val="left" w:pos="1260"/>
      </w:tabs>
      <w:adjustRightInd w:val="0"/>
      <w:snapToGrid w:val="0"/>
      <w:spacing w:after="120" w:line="240" w:lineRule="auto"/>
      <w:ind w:left="1260" w:hanging="420"/>
    </w:pPr>
    <w:rPr>
      <w:rFonts w:ascii="Arial"/>
      <w:color w:val="000000"/>
      <w:kern w:val="0"/>
      <w:sz w:val="20"/>
      <w:lang w:val="en-GB"/>
    </w:rPr>
  </w:style>
  <w:style w:type="paragraph" w:customStyle="1" w:styleId="1374">
    <w:name w:val="样式 标题2 1.1 + 段前: 0 磅 段后: 0 磅"/>
    <w:basedOn w:val="1"/>
    <w:qFormat/>
    <w:uiPriority w:val="0"/>
    <w:pPr>
      <w:keepNext/>
      <w:tabs>
        <w:tab w:val="left" w:pos="576"/>
      </w:tabs>
      <w:spacing w:line="480" w:lineRule="atLeast"/>
      <w:ind w:left="576" w:hanging="576"/>
      <w:jc w:val="left"/>
      <w:outlineLvl w:val="1"/>
    </w:pPr>
    <w:rPr>
      <w:rFonts w:ascii="Times New Roman" w:hAnsi="Times New Roman" w:eastAsia="宋体" w:cs="Times New Roman"/>
      <w:sz w:val="28"/>
      <w:szCs w:val="20"/>
    </w:rPr>
  </w:style>
  <w:style w:type="paragraph" w:customStyle="1" w:styleId="1375">
    <w:name w:val="Report Text"/>
    <w:basedOn w:val="1"/>
    <w:qFormat/>
    <w:uiPriority w:val="0"/>
    <w:pPr>
      <w:widowControl/>
      <w:spacing w:after="138"/>
      <w:ind w:left="1080" w:firstLine="482"/>
      <w:jc w:val="left"/>
    </w:pPr>
    <w:rPr>
      <w:rFonts w:ascii="Times New Roman" w:hAnsi="Times New Roman" w:eastAsia="宋体" w:cs="Times New Roman"/>
      <w:kern w:val="0"/>
      <w:sz w:val="22"/>
      <w:szCs w:val="20"/>
      <w:lang w:val="en-GB"/>
    </w:rPr>
  </w:style>
  <w:style w:type="character" w:customStyle="1" w:styleId="1376">
    <w:name w:val="标题 7 Char Char"/>
    <w:qFormat/>
    <w:uiPriority w:val="0"/>
    <w:rPr>
      <w:rFonts w:eastAsia="宋体"/>
      <w:bCs/>
      <w:kern w:val="2"/>
      <w:sz w:val="24"/>
      <w:szCs w:val="24"/>
      <w:lang w:val="en-US" w:eastAsia="zh-CN" w:bidi="ar-SA"/>
    </w:rPr>
  </w:style>
  <w:style w:type="character" w:customStyle="1" w:styleId="1377">
    <w:name w:val="标题 6 Char Char"/>
    <w:qFormat/>
    <w:uiPriority w:val="0"/>
    <w:rPr>
      <w:rFonts w:eastAsia="宋体"/>
      <w:bCs/>
      <w:kern w:val="2"/>
      <w:sz w:val="24"/>
      <w:szCs w:val="24"/>
      <w:lang w:val="en-US" w:eastAsia="zh-CN" w:bidi="ar-SA"/>
    </w:rPr>
  </w:style>
  <w:style w:type="paragraph" w:customStyle="1" w:styleId="1378">
    <w:name w:val="P3-bull"/>
    <w:basedOn w:val="1"/>
    <w:qFormat/>
    <w:uiPriority w:val="0"/>
    <w:pPr>
      <w:widowControl/>
      <w:tabs>
        <w:tab w:val="left" w:pos="432"/>
        <w:tab w:val="left" w:pos="2880"/>
      </w:tabs>
      <w:overflowPunct w:val="0"/>
      <w:autoSpaceDE w:val="0"/>
      <w:autoSpaceDN w:val="0"/>
      <w:adjustRightInd w:val="0"/>
      <w:spacing w:after="120" w:line="360" w:lineRule="auto"/>
      <w:ind w:left="2880" w:hanging="720"/>
      <w:jc w:val="left"/>
      <w:textAlignment w:val="baseline"/>
    </w:pPr>
    <w:rPr>
      <w:rFonts w:ascii="Times New Roman" w:hAnsi="Times New Roman" w:eastAsia="宋体" w:cs="Times New Roman"/>
      <w:spacing w:val="20"/>
      <w:kern w:val="0"/>
      <w:sz w:val="24"/>
      <w:szCs w:val="20"/>
      <w:lang w:eastAsia="zh-TW"/>
    </w:rPr>
  </w:style>
  <w:style w:type="paragraph" w:customStyle="1" w:styleId="1379">
    <w:name w:val="style0"/>
    <w:basedOn w:val="1"/>
    <w:qFormat/>
    <w:uiPriority w:val="0"/>
    <w:pPr>
      <w:widowControl/>
      <w:spacing w:before="100" w:beforeAutospacing="1" w:after="100" w:afterAutospacing="1"/>
      <w:ind w:left="227" w:firstLine="482"/>
      <w:jc w:val="left"/>
      <w:textAlignment w:val="bottom"/>
    </w:pPr>
    <w:rPr>
      <w:rFonts w:ascii="Times New Roman" w:hAnsi="Times New Roman" w:eastAsia="Arial Unicode MS" w:cs="Times New Roman"/>
      <w:kern w:val="0"/>
      <w:sz w:val="24"/>
      <w:szCs w:val="20"/>
    </w:rPr>
  </w:style>
  <w:style w:type="paragraph" w:customStyle="1" w:styleId="1380">
    <w:name w:val="P4-bull"/>
    <w:basedOn w:val="1"/>
    <w:qFormat/>
    <w:uiPriority w:val="0"/>
    <w:pPr>
      <w:widowControl/>
      <w:tabs>
        <w:tab w:val="left" w:pos="1486"/>
        <w:tab w:val="left" w:pos="3600"/>
        <w:tab w:val="left" w:pos="4680"/>
      </w:tabs>
      <w:overflowPunct w:val="0"/>
      <w:autoSpaceDE w:val="0"/>
      <w:autoSpaceDN w:val="0"/>
      <w:adjustRightInd w:val="0"/>
      <w:spacing w:after="120" w:line="360" w:lineRule="auto"/>
      <w:ind w:left="1486" w:hanging="420"/>
      <w:jc w:val="left"/>
      <w:textAlignment w:val="baseline"/>
    </w:pPr>
    <w:rPr>
      <w:rFonts w:ascii="Times New Roman" w:hAnsi="Times New Roman" w:eastAsia="宋体" w:cs="Times New Roman"/>
      <w:spacing w:val="20"/>
      <w:kern w:val="0"/>
      <w:sz w:val="24"/>
      <w:szCs w:val="20"/>
    </w:rPr>
  </w:style>
  <w:style w:type="paragraph" w:customStyle="1" w:styleId="1381">
    <w:name w:val="Sub Text"/>
    <w:basedOn w:val="1"/>
    <w:qFormat/>
    <w:uiPriority w:val="0"/>
    <w:pPr>
      <w:widowControl/>
      <w:spacing w:after="120" w:line="260" w:lineRule="atLeast"/>
      <w:ind w:left="227" w:firstLine="482"/>
      <w:jc w:val="left"/>
    </w:pPr>
    <w:rPr>
      <w:rFonts w:ascii="Arial" w:hAnsi="Arial" w:eastAsia="MS Mincho" w:cs="Times New Roman"/>
      <w:kern w:val="0"/>
      <w:sz w:val="22"/>
      <w:szCs w:val="20"/>
      <w:lang w:val="en-GB" w:eastAsia="en-US"/>
    </w:rPr>
  </w:style>
  <w:style w:type="paragraph" w:customStyle="1" w:styleId="1382">
    <w:name w:val="三级标题样式"/>
    <w:basedOn w:val="1"/>
    <w:qFormat/>
    <w:uiPriority w:val="0"/>
    <w:pPr>
      <w:widowControl/>
      <w:spacing w:after="156" w:afterLines="50"/>
      <w:ind w:left="227" w:firstLine="482"/>
      <w:jc w:val="left"/>
      <w:outlineLvl w:val="2"/>
    </w:pPr>
    <w:rPr>
      <w:rFonts w:ascii="黑体" w:hAnsi="黑体" w:eastAsia="黑体" w:cs="Times New Roman"/>
      <w:b/>
      <w:kern w:val="0"/>
      <w:sz w:val="28"/>
      <w:szCs w:val="28"/>
    </w:rPr>
  </w:style>
  <w:style w:type="paragraph" w:customStyle="1" w:styleId="1383">
    <w:name w:val="图片标题样式"/>
    <w:basedOn w:val="1"/>
    <w:qFormat/>
    <w:uiPriority w:val="0"/>
    <w:pPr>
      <w:widowControl/>
      <w:spacing w:before="156" w:beforeLines="50"/>
      <w:ind w:left="227" w:firstLine="482"/>
      <w:jc w:val="center"/>
    </w:pPr>
    <w:rPr>
      <w:rFonts w:ascii="Times New Roman" w:hAnsi="Times New Roman" w:eastAsia="宋体" w:cs="Times New Roman"/>
      <w:b/>
      <w:kern w:val="0"/>
      <w:szCs w:val="24"/>
    </w:rPr>
  </w:style>
  <w:style w:type="paragraph" w:customStyle="1" w:styleId="1384">
    <w:name w:val="四级标题样式"/>
    <w:basedOn w:val="1382"/>
    <w:qFormat/>
    <w:uiPriority w:val="0"/>
    <w:pPr>
      <w:outlineLvl w:val="3"/>
    </w:pPr>
  </w:style>
  <w:style w:type="paragraph" w:customStyle="1" w:styleId="1385">
    <w:name w:val="B5"/>
    <w:basedOn w:val="1"/>
    <w:qFormat/>
    <w:uiPriority w:val="0"/>
    <w:pPr>
      <w:adjustRightInd w:val="0"/>
      <w:snapToGrid w:val="0"/>
      <w:spacing w:before="120" w:after="60"/>
      <w:ind w:left="227" w:firstLine="482"/>
      <w:jc w:val="center"/>
    </w:pPr>
    <w:rPr>
      <w:rFonts w:ascii="方正黑体简体" w:hAnsi="Times New Roman" w:eastAsia="方正黑体简体" w:cs="Times New Roman"/>
      <w:sz w:val="18"/>
      <w:szCs w:val="20"/>
    </w:rPr>
  </w:style>
  <w:style w:type="paragraph" w:customStyle="1" w:styleId="1386">
    <w:name w:val="小标3"/>
    <w:basedOn w:val="1"/>
    <w:next w:val="1"/>
    <w:qFormat/>
    <w:uiPriority w:val="0"/>
    <w:pPr>
      <w:tabs>
        <w:tab w:val="left" w:pos="425"/>
      </w:tabs>
      <w:spacing w:line="400" w:lineRule="exact"/>
      <w:ind w:left="425" w:firstLine="200" w:firstLineChars="200"/>
      <w:jc w:val="left"/>
    </w:pPr>
    <w:rPr>
      <w:rFonts w:ascii="宋体" w:hAnsi="Times New Roman" w:eastAsia="宋体" w:cs="Times New Roman"/>
      <w:sz w:val="24"/>
      <w:szCs w:val="24"/>
    </w:rPr>
  </w:style>
  <w:style w:type="character" w:customStyle="1" w:styleId="1387">
    <w:name w:val="样式 标题 3标题 3 Char标题 3 Char Chartítulo 3标题 3 Char1标题 3 Char C...1 Char"/>
    <w:qFormat/>
    <w:uiPriority w:val="0"/>
    <w:rPr>
      <w:rFonts w:ascii="Arial" w:hAnsi="Arial" w:eastAsia="宋体" w:cs="宋体"/>
      <w:b/>
      <w:bCs/>
      <w:color w:val="000000"/>
      <w:kern w:val="2"/>
      <w:sz w:val="28"/>
      <w:szCs w:val="32"/>
      <w:lang w:val="en-US" w:eastAsia="zh-CN" w:bidi="ar-SA"/>
    </w:rPr>
  </w:style>
  <w:style w:type="paragraph" w:customStyle="1" w:styleId="1388">
    <w:name w:val="样式 标题 3标题 3 Char标题 3 Char Chartítulo 3标题 3 Char1标题 3 Char C...1"/>
    <w:basedOn w:val="5"/>
    <w:qFormat/>
    <w:uiPriority w:val="0"/>
    <w:pPr>
      <w:keepLines/>
      <w:widowControl/>
      <w:adjustRightInd w:val="0"/>
      <w:snapToGrid w:val="0"/>
      <w:spacing w:before="240" w:after="120" w:line="500" w:lineRule="exact"/>
    </w:pPr>
    <w:rPr>
      <w:rFonts w:cs="宋体"/>
      <w:bCs w:val="0"/>
      <w:color w:val="000000"/>
      <w:kern w:val="0"/>
      <w:sz w:val="28"/>
      <w:lang w:val="zh-CN"/>
    </w:rPr>
  </w:style>
  <w:style w:type="paragraph" w:customStyle="1" w:styleId="1389">
    <w:name w:val="标题3 m14"/>
    <w:qFormat/>
    <w:uiPriority w:val="0"/>
    <w:pPr>
      <w:adjustRightInd w:val="0"/>
      <w:snapToGrid w:val="0"/>
      <w:spacing w:before="120" w:beforeLines="50" w:line="360" w:lineRule="auto"/>
      <w:ind w:left="709" w:hanging="482"/>
      <w:outlineLvl w:val="2"/>
    </w:pPr>
    <w:rPr>
      <w:rFonts w:ascii="黑体" w:hAnsi="Times New Roman" w:eastAsia="黑体" w:cs="宋体"/>
      <w:kern w:val="2"/>
      <w:sz w:val="24"/>
      <w:lang w:val="en-US" w:eastAsia="zh-CN" w:bidi="ar-SA"/>
    </w:rPr>
  </w:style>
  <w:style w:type="character" w:customStyle="1" w:styleId="1390">
    <w:name w:val="11 Char"/>
    <w:qFormat/>
    <w:uiPriority w:val="0"/>
    <w:rPr>
      <w:rFonts w:eastAsia="黑体"/>
      <w:bCs/>
      <w:kern w:val="44"/>
      <w:sz w:val="32"/>
      <w:szCs w:val="44"/>
      <w:lang w:val="en-US" w:eastAsia="zh-CN" w:bidi="ar-SA"/>
    </w:rPr>
  </w:style>
  <w:style w:type="paragraph" w:customStyle="1" w:styleId="1391">
    <w:name w:val="图表名"/>
    <w:basedOn w:val="1"/>
    <w:qFormat/>
    <w:uiPriority w:val="0"/>
    <w:pPr>
      <w:adjustRightInd w:val="0"/>
      <w:spacing w:after="120" w:line="312" w:lineRule="atLeast"/>
      <w:ind w:left="227" w:firstLine="482"/>
      <w:jc w:val="center"/>
      <w:textAlignment w:val="baseline"/>
    </w:pPr>
    <w:rPr>
      <w:rFonts w:ascii="Times New Roman" w:hAnsi="Times New Roman" w:eastAsia="黑体" w:cs="Times New Roman"/>
      <w:szCs w:val="24"/>
    </w:rPr>
  </w:style>
  <w:style w:type="paragraph" w:customStyle="1" w:styleId="1392">
    <w:name w:val="表头格式"/>
    <w:basedOn w:val="1"/>
    <w:qFormat/>
    <w:uiPriority w:val="0"/>
    <w:pPr>
      <w:widowControl/>
      <w:adjustRightInd w:val="0"/>
      <w:snapToGrid w:val="0"/>
      <w:spacing w:before="156" w:beforeLines="50" w:line="360" w:lineRule="auto"/>
      <w:ind w:left="227" w:firstLine="480" w:firstLineChars="200"/>
      <w:jc w:val="center"/>
    </w:pPr>
    <w:rPr>
      <w:rFonts w:ascii="宋体" w:hAnsi="宋体" w:eastAsia="宋体" w:cs="Times New Roman"/>
      <w:kern w:val="0"/>
      <w:sz w:val="24"/>
      <w:szCs w:val="20"/>
      <w:lang w:val="sq-AL"/>
    </w:rPr>
  </w:style>
  <w:style w:type="character" w:customStyle="1" w:styleId="1393">
    <w:name w:val="目录"/>
    <w:qFormat/>
    <w:uiPriority w:val="0"/>
    <w:rPr>
      <w:sz w:val="36"/>
    </w:rPr>
  </w:style>
  <w:style w:type="paragraph" w:customStyle="1" w:styleId="1394">
    <w:name w:val="样式 五级标题格式 + 段后: 0.5 行"/>
    <w:basedOn w:val="1009"/>
    <w:qFormat/>
    <w:uiPriority w:val="0"/>
    <w:pPr>
      <w:spacing w:line="360" w:lineRule="auto"/>
      <w:ind w:left="1202"/>
      <w:outlineLvl w:val="9"/>
    </w:pPr>
    <w:rPr>
      <w:rFonts w:cs="宋体"/>
      <w:szCs w:val="20"/>
    </w:rPr>
  </w:style>
  <w:style w:type="paragraph" w:customStyle="1" w:styleId="1395">
    <w:name w:val="Char Char Char Char Char Char Char Char Char Char Char Char Char1"/>
    <w:basedOn w:val="1"/>
    <w:qFormat/>
    <w:uiPriority w:val="0"/>
    <w:pPr>
      <w:ind w:left="227" w:firstLine="482"/>
      <w:jc w:val="left"/>
    </w:pPr>
    <w:rPr>
      <w:rFonts w:ascii="仿宋_GB2312" w:hAnsi="Times New Roman" w:eastAsia="仿宋_GB2312" w:cs="Times New Roman"/>
      <w:b/>
      <w:sz w:val="32"/>
      <w:szCs w:val="32"/>
    </w:rPr>
  </w:style>
  <w:style w:type="table" w:customStyle="1" w:styleId="1396">
    <w:name w:val="00"/>
    <w:basedOn w:val="90"/>
    <w:qFormat/>
    <w:uiPriority w:val="0"/>
    <w:pPr>
      <w:spacing w:line="240" w:lineRule="exact"/>
      <w:jc w:val="center"/>
    </w:pPr>
    <w:rPr>
      <w:rFonts w:ascii="宋体" w:hAnsi="等线" w:eastAsia="等线" w:cs="等线"/>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Pr>
    <w:tblStylePr w:type="firstRow">
      <w:pPr>
        <w:wordWrap/>
        <w:spacing w:before="0" w:beforeLines="0" w:beforeAutospacing="0" w:after="0" w:afterLines="0" w:afterAutospacing="0" w:line="240" w:lineRule="exact"/>
        <w:ind w:left="0" w:leftChars="0" w:right="0" w:rightChars="0" w:firstLine="0" w:firstLineChars="0"/>
        <w:jc w:val="center"/>
      </w:pPr>
      <w:rPr>
        <w:rFonts w:ascii="MS Mincho" w:eastAsia="MS Mincho"/>
        <w:b w:val="0"/>
        <w:i w:val="0"/>
        <w:spacing w:val="0"/>
        <w:w w:val="100"/>
        <w:position w:val="0"/>
        <w:sz w:val="21"/>
        <w:szCs w:val="21"/>
      </w:rPr>
      <w:tblPr/>
      <w:trPr>
        <w:tblHeader/>
      </w:trPr>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paragraph" w:customStyle="1" w:styleId="1397">
    <w:name w:val="正文文本缩进 31"/>
    <w:basedOn w:val="1"/>
    <w:qFormat/>
    <w:uiPriority w:val="0"/>
    <w:pPr>
      <w:autoSpaceDE w:val="0"/>
      <w:autoSpaceDN w:val="0"/>
      <w:adjustRightInd w:val="0"/>
      <w:spacing w:line="520" w:lineRule="exact"/>
      <w:ind w:left="227" w:firstLine="525"/>
      <w:jc w:val="left"/>
      <w:textAlignment w:val="baseline"/>
    </w:pPr>
    <w:rPr>
      <w:rFonts w:ascii="宋体" w:hAnsi="Times New Roman" w:eastAsia="宋体" w:cs="Times New Roman"/>
      <w:kern w:val="0"/>
      <w:sz w:val="28"/>
      <w:szCs w:val="24"/>
    </w:rPr>
  </w:style>
  <w:style w:type="paragraph" w:customStyle="1" w:styleId="1398">
    <w:name w:val="Char1 Char Char Char Char Char Char1 Char Char Char"/>
    <w:basedOn w:val="1"/>
    <w:qFormat/>
    <w:uiPriority w:val="0"/>
    <w:pPr>
      <w:spacing w:line="360" w:lineRule="auto"/>
      <w:ind w:left="227" w:firstLine="200" w:firstLineChars="200"/>
      <w:jc w:val="left"/>
    </w:pPr>
    <w:rPr>
      <w:rFonts w:ascii="宋体" w:hAnsi="宋体" w:eastAsia="宋体" w:cs="宋体"/>
      <w:sz w:val="24"/>
      <w:szCs w:val="24"/>
    </w:rPr>
  </w:style>
  <w:style w:type="character" w:customStyle="1" w:styleId="1399">
    <w:name w:val="myp1111"/>
    <w:qFormat/>
    <w:uiPriority w:val="0"/>
    <w:rPr>
      <w:rFonts w:hint="default" w:ascii="ˎ̥" w:hAnsi="ˎ̥"/>
      <w:color w:val="000000"/>
      <w:sz w:val="28"/>
      <w:szCs w:val="28"/>
      <w:u w:val="none"/>
    </w:rPr>
  </w:style>
  <w:style w:type="character" w:customStyle="1" w:styleId="1400">
    <w:name w:val="3zw1"/>
    <w:qFormat/>
    <w:uiPriority w:val="0"/>
    <w:rPr>
      <w:color w:val="000000"/>
      <w:sz w:val="21"/>
      <w:szCs w:val="21"/>
    </w:rPr>
  </w:style>
  <w:style w:type="paragraph" w:customStyle="1" w:styleId="1401">
    <w:name w:val="CELL2"/>
    <w:basedOn w:val="1"/>
    <w:qFormat/>
    <w:uiPriority w:val="0"/>
    <w:pPr>
      <w:widowControl/>
      <w:overflowPunct w:val="0"/>
      <w:autoSpaceDE w:val="0"/>
      <w:autoSpaceDN w:val="0"/>
      <w:adjustRightInd w:val="0"/>
      <w:ind w:left="80" w:right="100" w:firstLine="482"/>
      <w:jc w:val="left"/>
      <w:textAlignment w:val="baseline"/>
    </w:pPr>
    <w:rPr>
      <w:rFonts w:ascii="Times" w:hAnsi="Times" w:eastAsia="宋体" w:cs="Times New Roman"/>
      <w:kern w:val="0"/>
      <w:sz w:val="20"/>
      <w:szCs w:val="20"/>
      <w:lang w:val="en-GB" w:eastAsia="en-US"/>
    </w:rPr>
  </w:style>
  <w:style w:type="paragraph" w:customStyle="1" w:styleId="1402">
    <w:name w:val="CELL1"/>
    <w:basedOn w:val="1"/>
    <w:qFormat/>
    <w:uiPriority w:val="0"/>
    <w:pPr>
      <w:widowControl/>
      <w:overflowPunct w:val="0"/>
      <w:autoSpaceDE w:val="0"/>
      <w:autoSpaceDN w:val="0"/>
      <w:adjustRightInd w:val="0"/>
      <w:ind w:left="80" w:right="100" w:firstLine="482"/>
      <w:jc w:val="left"/>
      <w:textAlignment w:val="baseline"/>
    </w:pPr>
    <w:rPr>
      <w:rFonts w:ascii="Times" w:hAnsi="Times" w:eastAsia="宋体" w:cs="Times New Roman"/>
      <w:b/>
      <w:kern w:val="0"/>
      <w:sz w:val="20"/>
      <w:szCs w:val="20"/>
      <w:lang w:val="en-GB" w:eastAsia="en-US"/>
    </w:rPr>
  </w:style>
  <w:style w:type="paragraph" w:customStyle="1" w:styleId="1403">
    <w:name w:val="正文文本缩进 21"/>
    <w:basedOn w:val="1"/>
    <w:qFormat/>
    <w:uiPriority w:val="0"/>
    <w:pPr>
      <w:adjustRightInd w:val="0"/>
      <w:spacing w:line="400" w:lineRule="exact"/>
      <w:ind w:left="227" w:firstLine="540"/>
      <w:jc w:val="left"/>
      <w:textAlignment w:val="baseline"/>
    </w:pPr>
    <w:rPr>
      <w:rFonts w:ascii="Times New Roman" w:hAnsi="Times New Roman" w:eastAsia="宋体" w:cs="Times New Roman"/>
      <w:sz w:val="24"/>
      <w:szCs w:val="24"/>
    </w:rPr>
  </w:style>
  <w:style w:type="paragraph" w:customStyle="1" w:styleId="1404">
    <w:name w:val="qptext"/>
    <w:basedOn w:val="1"/>
    <w:qFormat/>
    <w:uiPriority w:val="0"/>
    <w:pPr>
      <w:snapToGrid w:val="0"/>
      <w:ind w:left="227" w:firstLine="482"/>
      <w:jc w:val="left"/>
    </w:pPr>
    <w:rPr>
      <w:rFonts w:ascii="黑体" w:hAnsi="Times New Roman" w:eastAsia="黑体" w:cs="Times New Roman"/>
      <w:sz w:val="24"/>
      <w:szCs w:val="24"/>
    </w:rPr>
  </w:style>
  <w:style w:type="paragraph" w:customStyle="1" w:styleId="1405">
    <w:name w:val="P1"/>
    <w:basedOn w:val="1"/>
    <w:qFormat/>
    <w:uiPriority w:val="0"/>
    <w:pPr>
      <w:widowControl/>
      <w:spacing w:after="120" w:line="360" w:lineRule="auto"/>
      <w:ind w:left="630" w:leftChars="300" w:firstLine="482"/>
      <w:jc w:val="left"/>
    </w:pPr>
    <w:rPr>
      <w:rFonts w:ascii="Times New Roman" w:hAnsi="Times New Roman" w:eastAsia="宋体" w:cs="Times New Roman"/>
      <w:color w:val="000000"/>
      <w:spacing w:val="20"/>
      <w:kern w:val="0"/>
      <w:sz w:val="28"/>
      <w:szCs w:val="24"/>
      <w:lang w:val="en-GB"/>
    </w:rPr>
  </w:style>
  <w:style w:type="paragraph" w:customStyle="1" w:styleId="1406">
    <w:name w:val="P1-1"/>
    <w:basedOn w:val="1"/>
    <w:qFormat/>
    <w:uiPriority w:val="0"/>
    <w:pPr>
      <w:widowControl/>
      <w:tabs>
        <w:tab w:val="left" w:pos="-600"/>
        <w:tab w:val="left" w:pos="1440"/>
      </w:tabs>
      <w:spacing w:after="120" w:line="360" w:lineRule="auto"/>
      <w:ind w:left="1440" w:hanging="720"/>
      <w:jc w:val="left"/>
    </w:pPr>
    <w:rPr>
      <w:rFonts w:ascii="Times New Roman" w:hAnsi="Times New Roman" w:eastAsia="宋体" w:cs="Times New Roman"/>
      <w:color w:val="000000"/>
      <w:spacing w:val="20"/>
      <w:kern w:val="0"/>
      <w:sz w:val="28"/>
      <w:szCs w:val="24"/>
      <w:lang w:val="en-GB"/>
    </w:rPr>
  </w:style>
  <w:style w:type="paragraph" w:customStyle="1" w:styleId="1407">
    <w:name w:val="P2-1"/>
    <w:basedOn w:val="1"/>
    <w:qFormat/>
    <w:uiPriority w:val="0"/>
    <w:pPr>
      <w:widowControl/>
      <w:overflowPunct w:val="0"/>
      <w:autoSpaceDE w:val="0"/>
      <w:autoSpaceDN w:val="0"/>
      <w:adjustRightInd w:val="0"/>
      <w:spacing w:after="120" w:line="360" w:lineRule="auto"/>
      <w:ind w:left="2160" w:hanging="720"/>
      <w:jc w:val="left"/>
      <w:textAlignment w:val="baseline"/>
    </w:pPr>
    <w:rPr>
      <w:rFonts w:ascii="Times New Roman" w:hAnsi="Times New Roman" w:eastAsia="宋体" w:cs="Times New Roman"/>
      <w:spacing w:val="20"/>
      <w:kern w:val="0"/>
      <w:sz w:val="28"/>
      <w:szCs w:val="24"/>
      <w:lang w:eastAsia="zh-TW"/>
    </w:rPr>
  </w:style>
  <w:style w:type="paragraph" w:customStyle="1" w:styleId="1408">
    <w:name w:val="P2"/>
    <w:basedOn w:val="1405"/>
    <w:qFormat/>
    <w:uiPriority w:val="0"/>
    <w:pPr>
      <w:ind w:left="685" w:leftChars="685"/>
    </w:pPr>
    <w:rPr>
      <w:lang w:eastAsia="zh-TW"/>
    </w:rPr>
  </w:style>
  <w:style w:type="paragraph" w:customStyle="1" w:styleId="1409">
    <w:name w:val="P0"/>
    <w:basedOn w:val="1"/>
    <w:qFormat/>
    <w:uiPriority w:val="0"/>
    <w:pPr>
      <w:widowControl/>
      <w:overflowPunct w:val="0"/>
      <w:autoSpaceDE w:val="0"/>
      <w:autoSpaceDN w:val="0"/>
      <w:adjustRightInd w:val="0"/>
      <w:spacing w:after="120" w:line="360" w:lineRule="auto"/>
      <w:ind w:left="227" w:firstLine="482"/>
      <w:jc w:val="left"/>
      <w:textAlignment w:val="baseline"/>
    </w:pPr>
    <w:rPr>
      <w:rFonts w:ascii="Times New Roman" w:hAnsi="Times New Roman" w:eastAsia="宋体" w:cs="Times New Roman"/>
      <w:spacing w:val="20"/>
      <w:kern w:val="0"/>
      <w:sz w:val="28"/>
      <w:szCs w:val="24"/>
      <w:lang w:eastAsia="zh-TW"/>
    </w:rPr>
  </w:style>
  <w:style w:type="paragraph" w:customStyle="1" w:styleId="1410">
    <w:name w:val="P3"/>
    <w:basedOn w:val="1408"/>
    <w:qFormat/>
    <w:uiPriority w:val="0"/>
    <w:pPr>
      <w:ind w:left="1028" w:leftChars="1028"/>
    </w:pPr>
  </w:style>
  <w:style w:type="paragraph" w:customStyle="1" w:styleId="1411">
    <w:name w:val="P3-1"/>
    <w:basedOn w:val="1407"/>
    <w:qFormat/>
    <w:uiPriority w:val="0"/>
    <w:pPr>
      <w:tabs>
        <w:tab w:val="left" w:pos="-600"/>
        <w:tab w:val="left" w:pos="2880"/>
      </w:tabs>
      <w:overflowPunct/>
      <w:autoSpaceDE/>
      <w:autoSpaceDN/>
      <w:adjustRightInd/>
      <w:ind w:left="2880"/>
      <w:textAlignment w:val="auto"/>
    </w:pPr>
    <w:rPr>
      <w:color w:val="000000"/>
      <w:lang w:val="en-GB" w:eastAsia="zh-CN"/>
    </w:rPr>
  </w:style>
  <w:style w:type="paragraph" w:customStyle="1" w:styleId="1412">
    <w:name w:val="P1-Spec"/>
    <w:basedOn w:val="1405"/>
    <w:qFormat/>
    <w:uiPriority w:val="0"/>
    <w:pPr>
      <w:spacing w:after="0"/>
      <w:ind w:left="720"/>
    </w:pPr>
    <w:rPr>
      <w:rFonts w:ascii="宋体" w:hAnsi="宋体"/>
      <w:color w:val="auto"/>
    </w:rPr>
  </w:style>
  <w:style w:type="character" w:customStyle="1" w:styleId="1413">
    <w:name w:val="unnamed31"/>
    <w:qFormat/>
    <w:uiPriority w:val="0"/>
    <w:rPr>
      <w:sz w:val="22"/>
      <w:szCs w:val="22"/>
    </w:rPr>
  </w:style>
  <w:style w:type="paragraph" w:customStyle="1" w:styleId="1414">
    <w:name w:val="正文编号"/>
    <w:basedOn w:val="46"/>
    <w:qFormat/>
    <w:uiPriority w:val="0"/>
    <w:pPr>
      <w:tabs>
        <w:tab w:val="left" w:pos="-105"/>
      </w:tabs>
      <w:snapToGrid w:val="0"/>
      <w:spacing w:before="120" w:line="360" w:lineRule="auto"/>
      <w:ind w:left="425" w:hanging="5"/>
      <w:jc w:val="left"/>
    </w:pPr>
    <w:rPr>
      <w:rFonts w:ascii="Times New Roman" w:hAnsi="Times New Roman" w:cs="Times New Roman"/>
      <w:sz w:val="28"/>
      <w:szCs w:val="24"/>
    </w:rPr>
  </w:style>
  <w:style w:type="paragraph" w:customStyle="1" w:styleId="1415">
    <w:name w:val="正文符号"/>
    <w:basedOn w:val="35"/>
    <w:qFormat/>
    <w:uiPriority w:val="0"/>
    <w:pPr>
      <w:tabs>
        <w:tab w:val="left" w:pos="425"/>
      </w:tabs>
      <w:snapToGrid w:val="0"/>
      <w:spacing w:before="120" w:line="360" w:lineRule="auto"/>
      <w:ind w:left="425" w:hanging="425" w:firstLineChars="0"/>
      <w:jc w:val="left"/>
    </w:pPr>
    <w:rPr>
      <w:sz w:val="28"/>
    </w:rPr>
  </w:style>
  <w:style w:type="paragraph" w:customStyle="1" w:styleId="1416">
    <w:name w:val="正文编号2"/>
    <w:basedOn w:val="1414"/>
    <w:qFormat/>
    <w:uiPriority w:val="0"/>
    <w:pPr>
      <w:tabs>
        <w:tab w:val="left" w:pos="720"/>
        <w:tab w:val="clear" w:pos="-105"/>
      </w:tabs>
      <w:ind w:left="720" w:hanging="420"/>
    </w:pPr>
  </w:style>
  <w:style w:type="paragraph" w:customStyle="1" w:styleId="1417">
    <w:name w:val="ST20_2"/>
    <w:basedOn w:val="1"/>
    <w:qFormat/>
    <w:uiPriority w:val="0"/>
    <w:pPr>
      <w:autoSpaceDE w:val="0"/>
      <w:autoSpaceDN w:val="0"/>
      <w:adjustRightInd w:val="0"/>
      <w:spacing w:line="312" w:lineRule="atLeast"/>
      <w:ind w:left="227" w:firstLine="482"/>
      <w:jc w:val="left"/>
      <w:textAlignment w:val="baseline"/>
    </w:pPr>
    <w:rPr>
      <w:rFonts w:ascii="宋体" w:hAnsi="Tms Rmn" w:eastAsia="宋体" w:cs="Times New Roman"/>
      <w:kern w:val="0"/>
      <w:sz w:val="28"/>
      <w:szCs w:val="24"/>
    </w:rPr>
  </w:style>
  <w:style w:type="paragraph" w:customStyle="1" w:styleId="1418">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eastAsia="宋体" w:cs="Times New Roman"/>
      <w:sz w:val="24"/>
      <w:szCs w:val="24"/>
    </w:rPr>
  </w:style>
  <w:style w:type="paragraph" w:customStyle="1" w:styleId="1419">
    <w:name w:val="texte4"/>
    <w:basedOn w:val="21"/>
    <w:qFormat/>
    <w:uiPriority w:val="0"/>
    <w:pPr>
      <w:widowControl/>
      <w:spacing w:line="312" w:lineRule="auto"/>
      <w:ind w:left="540" w:hanging="540" w:hangingChars="225"/>
    </w:pPr>
    <w:rPr>
      <w:rFonts w:ascii="Arial" w:hAnsi="Arial" w:cs="Arial"/>
      <w:kern w:val="0"/>
      <w:sz w:val="24"/>
      <w:szCs w:val="24"/>
    </w:rPr>
  </w:style>
  <w:style w:type="paragraph" w:customStyle="1" w:styleId="1420">
    <w:name w:val="AufzählungsEbene1"/>
    <w:basedOn w:val="1"/>
    <w:qFormat/>
    <w:uiPriority w:val="0"/>
    <w:pPr>
      <w:widowControl/>
      <w:tabs>
        <w:tab w:val="left" w:pos="1701"/>
      </w:tabs>
      <w:spacing w:after="50" w:afterLines="50"/>
      <w:ind w:left="1701" w:hanging="567"/>
      <w:jc w:val="left"/>
    </w:pPr>
    <w:rPr>
      <w:rFonts w:ascii="Arial" w:hAnsi="Arial" w:eastAsia="宋体" w:cs="Times New Roman"/>
      <w:kern w:val="0"/>
      <w:sz w:val="22"/>
      <w:szCs w:val="24"/>
      <w:lang w:val="en-GB" w:eastAsia="en-US"/>
    </w:rPr>
  </w:style>
  <w:style w:type="paragraph" w:customStyle="1" w:styleId="1421">
    <w:name w:val="杭州正文"/>
    <w:basedOn w:val="21"/>
    <w:qFormat/>
    <w:uiPriority w:val="0"/>
    <w:pPr>
      <w:spacing w:line="360" w:lineRule="auto"/>
      <w:ind w:left="227" w:firstLine="200" w:firstLineChars="200"/>
    </w:pPr>
    <w:rPr>
      <w:rFonts w:ascii="宋体"/>
      <w:sz w:val="24"/>
      <w:szCs w:val="24"/>
    </w:rPr>
  </w:style>
  <w:style w:type="paragraph" w:customStyle="1" w:styleId="1422">
    <w:name w:val="LLY4"/>
    <w:basedOn w:val="111"/>
    <w:next w:val="1"/>
    <w:qFormat/>
    <w:uiPriority w:val="0"/>
    <w:pPr>
      <w:adjustRightInd w:val="0"/>
      <w:snapToGrid w:val="0"/>
      <w:spacing w:beforeLines="25" w:afterLines="25"/>
      <w:ind w:left="447" w:leftChars="200" w:right="447" w:rightChars="200" w:firstLine="223" w:firstLineChars="100"/>
      <w:jc w:val="left"/>
    </w:pPr>
    <w:rPr>
      <w:rFonts w:ascii="Times New Roman" w:hAnsi="Times New Roman" w:eastAsia="黑体"/>
      <w:b w:val="0"/>
      <w:sz w:val="24"/>
      <w:szCs w:val="24"/>
    </w:rPr>
  </w:style>
  <w:style w:type="paragraph" w:customStyle="1" w:styleId="1423">
    <w:name w:val="LLY2"/>
    <w:basedOn w:val="3"/>
    <w:next w:val="1"/>
    <w:link w:val="1424"/>
    <w:qFormat/>
    <w:uiPriority w:val="0"/>
    <w:pPr>
      <w:keepNext w:val="0"/>
      <w:keepLines w:val="0"/>
      <w:tabs>
        <w:tab w:val="left" w:pos="432"/>
      </w:tabs>
      <w:adjustRightInd w:val="0"/>
      <w:snapToGrid w:val="0"/>
      <w:spacing w:before="120" w:after="120" w:line="360" w:lineRule="auto"/>
      <w:ind w:left="447" w:leftChars="200" w:right="447" w:rightChars="200"/>
      <w:jc w:val="left"/>
    </w:pPr>
    <w:rPr>
      <w:rFonts w:ascii="黑体" w:eastAsia="黑体"/>
      <w:bCs w:val="0"/>
      <w:color w:val="000000"/>
      <w:sz w:val="24"/>
      <w:szCs w:val="24"/>
    </w:rPr>
  </w:style>
  <w:style w:type="character" w:customStyle="1" w:styleId="1424">
    <w:name w:val="LLY2 Char"/>
    <w:link w:val="1423"/>
    <w:qFormat/>
    <w:uiPriority w:val="0"/>
    <w:rPr>
      <w:rFonts w:ascii="黑体" w:hAnsi="Times New Roman" w:eastAsia="黑体" w:cs="Times New Roman"/>
      <w:b/>
      <w:color w:val="000000"/>
      <w:kern w:val="44"/>
      <w:sz w:val="24"/>
      <w:szCs w:val="24"/>
    </w:rPr>
  </w:style>
  <w:style w:type="paragraph" w:customStyle="1" w:styleId="1425">
    <w:name w:val="杭州标题4"/>
    <w:basedOn w:val="6"/>
    <w:qFormat/>
    <w:uiPriority w:val="0"/>
    <w:pPr>
      <w:keepNext w:val="0"/>
      <w:widowControl/>
      <w:tabs>
        <w:tab w:val="left" w:pos="340"/>
        <w:tab w:val="left" w:pos="567"/>
      </w:tabs>
      <w:adjustRightInd w:val="0"/>
      <w:snapToGrid w:val="0"/>
      <w:spacing w:before="0" w:after="0" w:line="360" w:lineRule="auto"/>
      <w:jc w:val="left"/>
    </w:pPr>
    <w:rPr>
      <w:rFonts w:ascii="Times New Roman" w:hAnsi="Times New Roman"/>
      <w:sz w:val="30"/>
      <w:lang w:val="zh-CN"/>
    </w:rPr>
  </w:style>
  <w:style w:type="paragraph" w:customStyle="1" w:styleId="1426">
    <w:name w:val="杭州标题3"/>
    <w:basedOn w:val="5"/>
    <w:qFormat/>
    <w:uiPriority w:val="0"/>
    <w:pPr>
      <w:keepLines/>
      <w:widowControl/>
      <w:adjustRightInd w:val="0"/>
      <w:snapToGrid w:val="0"/>
      <w:spacing w:line="360" w:lineRule="auto"/>
    </w:pPr>
    <w:rPr>
      <w:bCs w:val="0"/>
      <w:color w:val="000000"/>
      <w:sz w:val="36"/>
      <w:lang w:val="zh-CN"/>
    </w:rPr>
  </w:style>
  <w:style w:type="paragraph" w:customStyle="1" w:styleId="1427">
    <w:name w:val="表样式"/>
    <w:basedOn w:val="1"/>
    <w:qFormat/>
    <w:uiPriority w:val="0"/>
    <w:pPr>
      <w:widowControl/>
      <w:spacing w:before="40" w:after="40"/>
      <w:ind w:left="227" w:firstLine="482"/>
      <w:jc w:val="center"/>
    </w:pPr>
    <w:rPr>
      <w:rFonts w:ascii="Arial" w:hAnsi="Arial" w:eastAsia="宋体" w:cs="Times New Roman"/>
      <w:kern w:val="0"/>
      <w:sz w:val="24"/>
      <w:szCs w:val="24"/>
    </w:rPr>
  </w:style>
  <w:style w:type="paragraph" w:customStyle="1" w:styleId="1428">
    <w:name w:val="章标题"/>
    <w:next w:val="1"/>
    <w:qFormat/>
    <w:uiPriority w:val="0"/>
    <w:pPr>
      <w:tabs>
        <w:tab w:val="left" w:pos="840"/>
      </w:tabs>
      <w:spacing w:before="50" w:beforeLines="50" w:after="50" w:afterLines="50" w:line="360" w:lineRule="auto"/>
      <w:ind w:left="840" w:hanging="420"/>
      <w:jc w:val="both"/>
      <w:outlineLvl w:val="1"/>
    </w:pPr>
    <w:rPr>
      <w:rFonts w:ascii="黑体" w:hAnsi="Times New Roman" w:eastAsia="黑体" w:cs="Times New Roman"/>
      <w:sz w:val="21"/>
      <w:lang w:val="en-US" w:eastAsia="zh-CN" w:bidi="ar-SA"/>
    </w:rPr>
  </w:style>
  <w:style w:type="paragraph" w:customStyle="1" w:styleId="1429">
    <w:name w:val="Level-3"/>
    <w:basedOn w:val="1"/>
    <w:qFormat/>
    <w:uiPriority w:val="0"/>
    <w:pPr>
      <w:keepLines/>
      <w:widowControl/>
      <w:tabs>
        <w:tab w:val="left" w:pos="1080"/>
      </w:tabs>
      <w:adjustRightInd w:val="0"/>
      <w:snapToGrid w:val="0"/>
      <w:spacing w:before="120" w:after="120"/>
      <w:ind w:left="1080" w:hanging="720"/>
      <w:jc w:val="left"/>
    </w:pPr>
    <w:rPr>
      <w:rFonts w:ascii="Times New Roman" w:hAnsi="Times New Roman" w:eastAsia="PMingLiU" w:cs="Times New Roman"/>
      <w:kern w:val="0"/>
      <w:sz w:val="24"/>
      <w:szCs w:val="24"/>
      <w:lang w:val="en-AU" w:eastAsia="zh-TW"/>
    </w:rPr>
  </w:style>
  <w:style w:type="paragraph" w:customStyle="1" w:styleId="1430">
    <w:name w:val="Level-4"/>
    <w:basedOn w:val="1"/>
    <w:qFormat/>
    <w:uiPriority w:val="0"/>
    <w:pPr>
      <w:widowControl/>
      <w:tabs>
        <w:tab w:val="left" w:pos="720"/>
        <w:tab w:val="left" w:pos="993"/>
      </w:tabs>
      <w:adjustRightInd w:val="0"/>
      <w:snapToGrid w:val="0"/>
      <w:spacing w:before="120" w:after="120"/>
      <w:ind w:left="720" w:hanging="720"/>
      <w:jc w:val="left"/>
    </w:pPr>
    <w:rPr>
      <w:rFonts w:ascii="Times New Roman" w:hAnsi="Times New Roman" w:eastAsia="PMingLiU" w:cs="Times New Roman"/>
      <w:kern w:val="0"/>
      <w:sz w:val="24"/>
      <w:szCs w:val="24"/>
      <w:lang w:val="en-AU" w:eastAsia="zh-TW"/>
    </w:rPr>
  </w:style>
  <w:style w:type="paragraph" w:customStyle="1" w:styleId="1431">
    <w:name w:val="Heading 1A"/>
    <w:basedOn w:val="1"/>
    <w:qFormat/>
    <w:uiPriority w:val="0"/>
    <w:pPr>
      <w:widowControl/>
      <w:tabs>
        <w:tab w:val="left" w:pos="720"/>
      </w:tabs>
      <w:adjustRightInd w:val="0"/>
      <w:snapToGrid w:val="0"/>
      <w:ind w:left="720" w:hanging="720"/>
      <w:jc w:val="left"/>
    </w:pPr>
    <w:rPr>
      <w:rFonts w:ascii="Times New Roman" w:hAnsi="Times New Roman" w:eastAsia="PMingLiU" w:cs="Times New Roman"/>
      <w:kern w:val="0"/>
      <w:sz w:val="24"/>
      <w:szCs w:val="24"/>
      <w:lang w:eastAsia="zh-TW"/>
    </w:rPr>
  </w:style>
  <w:style w:type="paragraph" w:customStyle="1" w:styleId="1432">
    <w:name w:val="Level-2A"/>
    <w:basedOn w:val="1"/>
    <w:qFormat/>
    <w:uiPriority w:val="0"/>
    <w:pPr>
      <w:widowControl/>
      <w:tabs>
        <w:tab w:val="left" w:pos="720"/>
      </w:tabs>
      <w:adjustRightInd w:val="0"/>
      <w:snapToGrid w:val="0"/>
      <w:ind w:left="720" w:hanging="720"/>
      <w:jc w:val="left"/>
    </w:pPr>
    <w:rPr>
      <w:rFonts w:ascii="Times New Roman" w:hAnsi="Times New Roman" w:eastAsia="PMingLiU" w:cs="Times New Roman"/>
      <w:kern w:val="0"/>
      <w:sz w:val="24"/>
      <w:szCs w:val="24"/>
      <w:lang w:eastAsia="zh-TW"/>
    </w:rPr>
  </w:style>
  <w:style w:type="paragraph" w:customStyle="1" w:styleId="1433">
    <w:name w:val="Char Char3 Char Char Char Char"/>
    <w:basedOn w:val="1"/>
    <w:qFormat/>
    <w:uiPriority w:val="0"/>
    <w:pPr>
      <w:widowControl/>
      <w:spacing w:after="160" w:line="240" w:lineRule="exact"/>
      <w:ind w:left="227" w:firstLine="482"/>
      <w:jc w:val="left"/>
    </w:pPr>
    <w:rPr>
      <w:rFonts w:ascii="Verdana" w:hAnsi="Verdana" w:eastAsia="宋体" w:cs="Times New Roman"/>
      <w:kern w:val="0"/>
      <w:sz w:val="20"/>
      <w:szCs w:val="24"/>
      <w:lang w:eastAsia="en-US"/>
    </w:rPr>
  </w:style>
  <w:style w:type="paragraph" w:customStyle="1" w:styleId="1434">
    <w:name w:val="样式 非加宽量 / 紧缩量  行距: 固定值 20 磅 首行缩进:  2.5 字符"/>
    <w:basedOn w:val="1"/>
    <w:link w:val="1435"/>
    <w:qFormat/>
    <w:uiPriority w:val="0"/>
    <w:pPr>
      <w:spacing w:before="120" w:beforeLines="50" w:after="120" w:afterLines="50" w:line="360" w:lineRule="auto"/>
      <w:ind w:left="227" w:firstLine="480" w:firstLineChars="200"/>
      <w:jc w:val="left"/>
    </w:pPr>
    <w:rPr>
      <w:rFonts w:ascii="FuturaA Bk BT" w:hAnsi="FuturaA Bk BT" w:eastAsia="宋体" w:cs="宋体"/>
      <w:color w:val="000000"/>
      <w:spacing w:val="20"/>
      <w:sz w:val="24"/>
      <w:szCs w:val="24"/>
    </w:rPr>
  </w:style>
  <w:style w:type="character" w:customStyle="1" w:styleId="1435">
    <w:name w:val="样式 非加宽量 / 紧缩量  行距: 固定值 20 磅 首行缩进:  2.5 字符 Char2"/>
    <w:link w:val="1434"/>
    <w:qFormat/>
    <w:uiPriority w:val="0"/>
    <w:rPr>
      <w:rFonts w:ascii="FuturaA Bk BT" w:hAnsi="FuturaA Bk BT" w:eastAsia="宋体" w:cs="宋体"/>
      <w:color w:val="000000"/>
      <w:spacing w:val="20"/>
      <w:sz w:val="24"/>
      <w:szCs w:val="24"/>
    </w:rPr>
  </w:style>
  <w:style w:type="paragraph" w:customStyle="1" w:styleId="1436">
    <w:name w:val="Testo 1.1"/>
    <w:qFormat/>
    <w:uiPriority w:val="0"/>
    <w:pPr>
      <w:spacing w:after="60" w:line="300" w:lineRule="exact"/>
      <w:ind w:left="709" w:hanging="482"/>
      <w:jc w:val="both"/>
    </w:pPr>
    <w:rPr>
      <w:rFonts w:ascii="Arial" w:hAnsi="Arial" w:eastAsia="宋体" w:cs="Times New Roman"/>
      <w:sz w:val="22"/>
      <w:lang w:val="en-GB" w:eastAsia="zh-CN" w:bidi="ar-SA"/>
    </w:rPr>
  </w:style>
  <w:style w:type="paragraph" w:customStyle="1" w:styleId="1437">
    <w:name w:val="unnamed1"/>
    <w:basedOn w:val="1"/>
    <w:qFormat/>
    <w:uiPriority w:val="0"/>
    <w:pPr>
      <w:widowControl/>
      <w:spacing w:before="100" w:beforeAutospacing="1" w:after="100" w:afterAutospacing="1" w:line="360" w:lineRule="auto"/>
      <w:ind w:left="227" w:firstLine="482"/>
      <w:jc w:val="left"/>
    </w:pPr>
    <w:rPr>
      <w:rFonts w:ascii="Arial Unicode MS" w:hAnsi="Arial Unicode MS" w:eastAsia="Arial Unicode MS" w:cs="Times New Roman"/>
      <w:kern w:val="0"/>
      <w:sz w:val="24"/>
      <w:szCs w:val="24"/>
    </w:rPr>
  </w:style>
  <w:style w:type="paragraph" w:customStyle="1" w:styleId="1438">
    <w:name w:val="Testo 1.1.1"/>
    <w:basedOn w:val="1436"/>
    <w:qFormat/>
    <w:uiPriority w:val="0"/>
    <w:pPr>
      <w:ind w:left="284"/>
    </w:pPr>
  </w:style>
  <w:style w:type="paragraph" w:customStyle="1" w:styleId="1439">
    <w:name w:val="63"/>
    <w:basedOn w:val="1"/>
    <w:next w:val="81"/>
    <w:qFormat/>
    <w:uiPriority w:val="0"/>
    <w:pPr>
      <w:widowControl/>
      <w:spacing w:before="100" w:beforeAutospacing="1" w:after="100" w:afterAutospacing="1" w:line="280" w:lineRule="atLeast"/>
      <w:ind w:left="227" w:firstLine="482"/>
      <w:jc w:val="left"/>
    </w:pPr>
    <w:rPr>
      <w:rFonts w:hint="eastAsia" w:ascii="Arial Unicode MS" w:hAnsi="Arial Unicode MS" w:eastAsia="Arial Unicode MS" w:cs="Arial Unicode MS"/>
      <w:kern w:val="0"/>
      <w:sz w:val="18"/>
      <w:szCs w:val="18"/>
    </w:rPr>
  </w:style>
  <w:style w:type="paragraph" w:customStyle="1" w:styleId="1440">
    <w:name w:val="6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41">
    <w:name w:val="59"/>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42">
    <w:name w:val="58"/>
    <w:basedOn w:val="1"/>
    <w:next w:val="70"/>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43">
    <w:name w:val="57"/>
    <w:basedOn w:val="1"/>
    <w:next w:val="70"/>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44">
    <w:name w:val="56"/>
    <w:basedOn w:val="1"/>
    <w:next w:val="70"/>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45">
    <w:name w:val="54"/>
    <w:basedOn w:val="1"/>
    <w:next w:val="81"/>
    <w:qFormat/>
    <w:uiPriority w:val="0"/>
    <w:pPr>
      <w:ind w:left="227" w:firstLine="482"/>
      <w:jc w:val="left"/>
    </w:pPr>
    <w:rPr>
      <w:rFonts w:ascii="Times New Roman" w:hAnsi="Times New Roman" w:eastAsia="宋体" w:cs="Times New Roman"/>
      <w:sz w:val="24"/>
      <w:szCs w:val="24"/>
    </w:rPr>
  </w:style>
  <w:style w:type="character" w:customStyle="1" w:styleId="1446">
    <w:name w:val="font9-151"/>
    <w:qFormat/>
    <w:uiPriority w:val="0"/>
    <w:rPr>
      <w:color w:val="000000"/>
      <w:sz w:val="18"/>
      <w:szCs w:val="18"/>
      <w:u w:val="none"/>
    </w:rPr>
  </w:style>
  <w:style w:type="paragraph" w:customStyle="1" w:styleId="1447">
    <w:name w:val="52"/>
    <w:basedOn w:val="1"/>
    <w:next w:val="81"/>
    <w:qFormat/>
    <w:uiPriority w:val="0"/>
    <w:pPr>
      <w:widowControl/>
      <w:spacing w:before="100" w:beforeAutospacing="1" w:after="100" w:afterAutospacing="1" w:line="280" w:lineRule="atLeast"/>
      <w:ind w:left="227" w:firstLine="482"/>
      <w:jc w:val="left"/>
    </w:pPr>
    <w:rPr>
      <w:rFonts w:hint="eastAsia" w:ascii="Arial Unicode MS" w:hAnsi="Arial Unicode MS" w:eastAsia="Arial Unicode MS" w:cs="Arial Unicode MS"/>
      <w:kern w:val="0"/>
      <w:sz w:val="18"/>
      <w:szCs w:val="18"/>
    </w:rPr>
  </w:style>
  <w:style w:type="paragraph" w:customStyle="1" w:styleId="1448">
    <w:name w:val="51"/>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49">
    <w:name w:val="5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0">
    <w:name w:val="4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1">
    <w:name w:val="3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2">
    <w:name w:val="29"/>
    <w:basedOn w:val="1"/>
    <w:next w:val="70"/>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53">
    <w:name w:val="20"/>
    <w:basedOn w:val="1"/>
    <w:next w:val="70"/>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54">
    <w:name w:val="9"/>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5">
    <w:name w:val="53"/>
    <w:basedOn w:val="1"/>
    <w:next w:val="46"/>
    <w:qFormat/>
    <w:uiPriority w:val="0"/>
    <w:pPr>
      <w:ind w:left="227" w:firstLine="482"/>
      <w:jc w:val="left"/>
    </w:pPr>
    <w:rPr>
      <w:rFonts w:ascii="宋体" w:hAnsi="Courier New" w:eastAsia="宋体" w:cs="Times New Roman"/>
      <w:sz w:val="24"/>
      <w:szCs w:val="21"/>
    </w:rPr>
  </w:style>
  <w:style w:type="paragraph" w:customStyle="1" w:styleId="1456">
    <w:name w:val="样式 招标—符号 + 段前: 0.5 行 段后: 0.5 行"/>
    <w:basedOn w:val="1457"/>
    <w:qFormat/>
    <w:uiPriority w:val="0"/>
    <w:pPr>
      <w:tabs>
        <w:tab w:val="left" w:pos="1160"/>
      </w:tabs>
      <w:spacing w:before="30" w:beforeLines="30" w:after="30" w:afterLines="30"/>
    </w:pPr>
    <w:rPr>
      <w:bCs w:val="0"/>
      <w:szCs w:val="20"/>
    </w:rPr>
  </w:style>
  <w:style w:type="paragraph" w:customStyle="1" w:styleId="1457">
    <w:name w:val="招标—符号"/>
    <w:basedOn w:val="1458"/>
    <w:qFormat/>
    <w:uiPriority w:val="0"/>
    <w:pPr>
      <w:tabs>
        <w:tab w:val="left" w:pos="1160"/>
      </w:tabs>
      <w:spacing w:before="156" w:after="156"/>
      <w:ind w:left="1160" w:leftChars="0" w:hanging="420"/>
      <w:jc w:val="left"/>
    </w:pPr>
  </w:style>
  <w:style w:type="paragraph" w:customStyle="1" w:styleId="1458">
    <w:name w:val="招标—正文"/>
    <w:qFormat/>
    <w:uiPriority w:val="0"/>
    <w:pPr>
      <w:spacing w:before="50" w:beforeLines="50" w:after="50" w:afterLines="50" w:line="360" w:lineRule="auto"/>
      <w:ind w:left="200" w:leftChars="200" w:hanging="482"/>
      <w:jc w:val="both"/>
    </w:pPr>
    <w:rPr>
      <w:rFonts w:ascii="Arial" w:hAnsi="Arial" w:eastAsia="宋体" w:cs="Times New Roman"/>
      <w:bCs/>
      <w:kern w:val="2"/>
      <w:sz w:val="21"/>
      <w:szCs w:val="21"/>
      <w:lang w:val="en-US" w:eastAsia="zh-CN" w:bidi="ar-SA"/>
    </w:rPr>
  </w:style>
  <w:style w:type="paragraph" w:customStyle="1" w:styleId="1459">
    <w:name w:val="norm1"/>
    <w:basedOn w:val="1"/>
    <w:qFormat/>
    <w:uiPriority w:val="0"/>
    <w:pPr>
      <w:widowControl/>
      <w:overflowPunct w:val="0"/>
      <w:autoSpaceDE w:val="0"/>
      <w:autoSpaceDN w:val="0"/>
      <w:adjustRightInd w:val="0"/>
      <w:spacing w:line="360" w:lineRule="auto"/>
      <w:ind w:left="2794" w:hanging="360"/>
      <w:jc w:val="left"/>
      <w:textAlignment w:val="baseline"/>
    </w:pPr>
    <w:rPr>
      <w:rFonts w:ascii="Arial" w:hAnsi="Arial" w:eastAsia="MingLiU" w:cs="Arial"/>
      <w:snapToGrid w:val="0"/>
      <w:color w:val="000000"/>
      <w:kern w:val="0"/>
      <w:sz w:val="24"/>
      <w:szCs w:val="24"/>
      <w:lang w:eastAsia="zh-TW"/>
    </w:rPr>
  </w:style>
  <w:style w:type="paragraph" w:customStyle="1" w:styleId="1460">
    <w:name w:val="列表框2"/>
    <w:basedOn w:val="1098"/>
    <w:qFormat/>
    <w:uiPriority w:val="0"/>
    <w:pPr>
      <w:numPr>
        <w:ilvl w:val="0"/>
        <w:numId w:val="11"/>
      </w:numPr>
      <w:tabs>
        <w:tab w:val="left" w:pos="540"/>
        <w:tab w:val="left" w:pos="1628"/>
        <w:tab w:val="left" w:pos="2086"/>
        <w:tab w:val="clear" w:pos="2896"/>
      </w:tabs>
      <w:spacing w:line="240" w:lineRule="auto"/>
      <w:ind w:left="400" w:leftChars="400" w:right="-11" w:rightChars="100" w:hanging="540"/>
    </w:pPr>
    <w:rPr>
      <w:rFonts w:hAnsi="Arial" w:eastAsia="楷体_GB2312" w:cs="Arial"/>
      <w:snapToGrid w:val="0"/>
      <w:spacing w:val="10"/>
      <w:sz w:val="24"/>
      <w:szCs w:val="21"/>
    </w:rPr>
  </w:style>
  <w:style w:type="table" w:customStyle="1" w:styleId="1461">
    <w:name w:val="044"/>
    <w:basedOn w:val="91"/>
    <w:qFormat/>
    <w:uiPriority w:val="0"/>
    <w:rPr>
      <w:rFonts w:ascii="宋体" w:hAnsi="等线" w:eastAsia="等线" w:cs="等线"/>
      <w:sz w:val="21"/>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Pr>
    <w:tblStylePr w:type="firstRow">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paragraph" w:customStyle="1" w:styleId="1462">
    <w:name w:val="投标项目符号1"/>
    <w:basedOn w:val="1"/>
    <w:link w:val="1463"/>
    <w:qFormat/>
    <w:uiPriority w:val="0"/>
    <w:pPr>
      <w:widowControl/>
      <w:numPr>
        <w:ilvl w:val="0"/>
        <w:numId w:val="12"/>
      </w:numPr>
      <w:spacing w:line="360" w:lineRule="auto"/>
      <w:ind w:left="840" w:hanging="420"/>
      <w:jc w:val="left"/>
    </w:pPr>
    <w:rPr>
      <w:rFonts w:ascii="Times New Roman" w:hAnsi="Times New Roman" w:eastAsia="宋体" w:cs="Times New Roman"/>
      <w:spacing w:val="20"/>
      <w:kern w:val="0"/>
      <w:sz w:val="24"/>
      <w:szCs w:val="21"/>
      <w:lang w:val="zh-CN"/>
    </w:rPr>
  </w:style>
  <w:style w:type="character" w:customStyle="1" w:styleId="1463">
    <w:name w:val="投标项目符号1 Char Char"/>
    <w:link w:val="1462"/>
    <w:qFormat/>
    <w:uiPriority w:val="0"/>
    <w:rPr>
      <w:rFonts w:ascii="Times New Roman" w:hAnsi="Times New Roman" w:eastAsia="宋体" w:cs="Times New Roman"/>
      <w:spacing w:val="20"/>
      <w:kern w:val="0"/>
      <w:sz w:val="24"/>
      <w:szCs w:val="21"/>
      <w:lang w:val="zh-CN"/>
    </w:rPr>
  </w:style>
  <w:style w:type="paragraph" w:customStyle="1" w:styleId="1464">
    <w:name w:val="投标项目符号2"/>
    <w:basedOn w:val="1462"/>
    <w:next w:val="1"/>
    <w:link w:val="1465"/>
    <w:qFormat/>
    <w:uiPriority w:val="0"/>
    <w:pPr>
      <w:widowControl w:val="0"/>
      <w:numPr>
        <w:numId w:val="13"/>
      </w:numPr>
      <w:tabs>
        <w:tab w:val="left" w:pos="1440"/>
        <w:tab w:val="left" w:pos="1680"/>
      </w:tabs>
      <w:spacing w:before="100" w:beforeAutospacing="1" w:after="100" w:afterAutospacing="1"/>
      <w:ind w:left="1440" w:leftChars="321" w:hanging="360"/>
    </w:pPr>
    <w:rPr>
      <w:w w:val="110"/>
    </w:rPr>
  </w:style>
  <w:style w:type="character" w:customStyle="1" w:styleId="1465">
    <w:name w:val="投标项目符号2 Char"/>
    <w:link w:val="1464"/>
    <w:qFormat/>
    <w:uiPriority w:val="0"/>
    <w:rPr>
      <w:rFonts w:ascii="Times New Roman" w:hAnsi="Times New Roman" w:eastAsia="宋体" w:cs="Times New Roman"/>
      <w:spacing w:val="20"/>
      <w:w w:val="110"/>
      <w:kern w:val="0"/>
      <w:sz w:val="24"/>
      <w:szCs w:val="21"/>
      <w:lang w:val="zh-CN"/>
    </w:rPr>
  </w:style>
  <w:style w:type="paragraph" w:customStyle="1" w:styleId="1466">
    <w:name w:val="11 BodyText"/>
    <w:basedOn w:val="1"/>
    <w:qFormat/>
    <w:uiPriority w:val="0"/>
    <w:pPr>
      <w:widowControl/>
      <w:spacing w:after="220"/>
      <w:ind w:left="1298" w:firstLine="482"/>
      <w:jc w:val="left"/>
    </w:pPr>
    <w:rPr>
      <w:rFonts w:ascii="Arial" w:hAnsi="Arial" w:eastAsia="宋体" w:cs="Times New Roman"/>
      <w:kern w:val="0"/>
      <w:sz w:val="22"/>
      <w:szCs w:val="24"/>
      <w:lang w:eastAsia="en-US"/>
    </w:rPr>
  </w:style>
  <w:style w:type="paragraph" w:customStyle="1" w:styleId="1467">
    <w:name w:val="正"/>
    <w:basedOn w:val="1"/>
    <w:next w:val="1"/>
    <w:qFormat/>
    <w:uiPriority w:val="0"/>
    <w:pPr>
      <w:adjustRightInd w:val="0"/>
      <w:spacing w:line="480" w:lineRule="exact"/>
      <w:ind w:left="227" w:firstLine="668" w:firstLineChars="200"/>
      <w:jc w:val="left"/>
    </w:pPr>
    <w:rPr>
      <w:rFonts w:ascii="宋体" w:hAnsi="宋体" w:eastAsia="宋体" w:cs="Times New Roman"/>
      <w:sz w:val="28"/>
      <w:szCs w:val="28"/>
    </w:rPr>
  </w:style>
  <w:style w:type="paragraph" w:customStyle="1" w:styleId="1468">
    <w:name w:val="Style First line:  0.5&quot;"/>
    <w:basedOn w:val="1"/>
    <w:qFormat/>
    <w:uiPriority w:val="0"/>
    <w:pPr>
      <w:widowControl/>
      <w:spacing w:line="360" w:lineRule="auto"/>
      <w:ind w:left="227" w:firstLine="720"/>
      <w:jc w:val="left"/>
    </w:pPr>
    <w:rPr>
      <w:rFonts w:ascii="Times New Roman" w:hAnsi="Times New Roman" w:eastAsia="宋体" w:cs="Times New Roman"/>
      <w:kern w:val="0"/>
      <w:sz w:val="24"/>
      <w:szCs w:val="24"/>
    </w:rPr>
  </w:style>
  <w:style w:type="paragraph" w:customStyle="1" w:styleId="1469">
    <w:name w:val="合同文件正文"/>
    <w:qFormat/>
    <w:uiPriority w:val="0"/>
    <w:pPr>
      <w:spacing w:before="120" w:after="120" w:line="300" w:lineRule="auto"/>
      <w:ind w:left="709" w:firstLine="420"/>
    </w:pPr>
    <w:rPr>
      <w:rFonts w:ascii="Arial" w:hAnsi="Arial" w:eastAsia="宋体" w:cs="Arial"/>
      <w:sz w:val="24"/>
      <w:szCs w:val="24"/>
      <w:lang w:val="en-US" w:eastAsia="zh-CN" w:bidi="ar-SA"/>
    </w:rPr>
  </w:style>
  <w:style w:type="paragraph" w:customStyle="1" w:styleId="1470">
    <w:name w:val="合同文件 √"/>
    <w:basedOn w:val="1"/>
    <w:qFormat/>
    <w:uiPriority w:val="0"/>
    <w:pPr>
      <w:keepLines/>
      <w:numPr>
        <w:ilvl w:val="1"/>
        <w:numId w:val="14"/>
      </w:numPr>
      <w:tabs>
        <w:tab w:val="left" w:pos="900"/>
        <w:tab w:val="left" w:pos="1260"/>
      </w:tabs>
      <w:spacing w:before="120" w:after="120" w:line="300" w:lineRule="auto"/>
      <w:jc w:val="left"/>
    </w:pPr>
    <w:rPr>
      <w:rFonts w:ascii="宋体" w:hAnsi="宋体" w:eastAsia="宋体" w:cs="Times New Roman"/>
      <w:spacing w:val="10"/>
      <w:w w:val="95"/>
      <w:kern w:val="0"/>
      <w:sz w:val="24"/>
      <w:szCs w:val="24"/>
    </w:rPr>
  </w:style>
  <w:style w:type="paragraph" w:customStyle="1" w:styleId="1471">
    <w:name w:val="Style Bildunterschrift + Left Right:  0 cm"/>
    <w:basedOn w:val="1"/>
    <w:qFormat/>
    <w:uiPriority w:val="0"/>
    <w:pPr>
      <w:widowControl/>
      <w:numPr>
        <w:ilvl w:val="0"/>
        <w:numId w:val="15"/>
      </w:numPr>
      <w:spacing w:after="240" w:line="312" w:lineRule="auto"/>
      <w:jc w:val="left"/>
    </w:pPr>
    <w:rPr>
      <w:rFonts w:ascii="Arial" w:hAnsi="Arial" w:eastAsia="宋体" w:cs="宋体"/>
      <w:b/>
      <w:bCs/>
      <w:kern w:val="0"/>
      <w:sz w:val="20"/>
      <w:szCs w:val="24"/>
      <w:lang w:eastAsia="en-US"/>
    </w:rPr>
  </w:style>
  <w:style w:type="paragraph" w:customStyle="1" w:styleId="1472">
    <w:name w:val="Bullet List 1"/>
    <w:basedOn w:val="1"/>
    <w:qFormat/>
    <w:uiPriority w:val="0"/>
    <w:pPr>
      <w:widowControl/>
      <w:numPr>
        <w:ilvl w:val="0"/>
        <w:numId w:val="16"/>
      </w:numPr>
      <w:spacing w:before="80"/>
      <w:jc w:val="left"/>
    </w:pPr>
    <w:rPr>
      <w:rFonts w:ascii="Times New Roman" w:hAnsi="Times New Roman" w:eastAsia="宋体" w:cs="Times New Roman"/>
      <w:kern w:val="0"/>
      <w:sz w:val="24"/>
      <w:szCs w:val="24"/>
      <w:lang w:eastAsia="en-US"/>
    </w:rPr>
  </w:style>
  <w:style w:type="paragraph" w:customStyle="1" w:styleId="1473">
    <w:name w:val="Char1 Char Char Char Char Char Char Char"/>
    <w:basedOn w:val="1"/>
    <w:qFormat/>
    <w:uiPriority w:val="0"/>
    <w:pPr>
      <w:ind w:left="227" w:firstLine="482"/>
      <w:jc w:val="left"/>
    </w:pPr>
    <w:rPr>
      <w:rFonts w:ascii="Tahoma" w:hAnsi="Tahoma" w:eastAsia="宋体" w:cs="Times New Roman"/>
      <w:sz w:val="24"/>
      <w:szCs w:val="20"/>
    </w:rPr>
  </w:style>
  <w:style w:type="character" w:customStyle="1" w:styleId="1474">
    <w:name w:val="chinese1"/>
    <w:qFormat/>
    <w:uiPriority w:val="0"/>
    <w:rPr>
      <w:rFonts w:hint="default" w:ascii="Arial" w:hAnsi="Arial" w:cs="Arial"/>
      <w:sz w:val="20"/>
      <w:szCs w:val="20"/>
    </w:rPr>
  </w:style>
  <w:style w:type="character" w:customStyle="1" w:styleId="1475">
    <w:name w:val="english1"/>
    <w:qFormat/>
    <w:uiPriority w:val="0"/>
    <w:rPr>
      <w:rFonts w:hint="default" w:ascii="Times New Roman" w:hAnsi="Times New Roman" w:cs="Times New Roman"/>
      <w:color w:val="990000"/>
      <w:sz w:val="20"/>
      <w:szCs w:val="20"/>
    </w:rPr>
  </w:style>
  <w:style w:type="paragraph" w:customStyle="1" w:styleId="1476">
    <w:name w:val="其他"/>
    <w:basedOn w:val="21"/>
    <w:qFormat/>
    <w:uiPriority w:val="0"/>
    <w:pPr>
      <w:adjustRightInd w:val="0"/>
      <w:snapToGrid w:val="0"/>
      <w:spacing w:line="300" w:lineRule="auto"/>
      <w:ind w:left="227" w:firstLine="567"/>
      <w:jc w:val="right"/>
    </w:pPr>
    <w:rPr>
      <w:rFonts w:ascii="宋体"/>
      <w:sz w:val="28"/>
    </w:rPr>
  </w:style>
  <w:style w:type="paragraph" w:customStyle="1" w:styleId="1477">
    <w:name w:val="555"/>
    <w:link w:val="1478"/>
    <w:qFormat/>
    <w:uiPriority w:val="0"/>
    <w:pPr>
      <w:tabs>
        <w:tab w:val="left" w:pos="297"/>
      </w:tabs>
      <w:spacing w:line="360" w:lineRule="auto"/>
      <w:ind w:left="709" w:firstLine="200" w:firstLineChars="200"/>
    </w:pPr>
    <w:rPr>
      <w:rFonts w:ascii="Times New Roman" w:hAnsi="Times New Roman" w:eastAsia="宋体" w:cs="Times New Roman"/>
      <w:kern w:val="2"/>
      <w:sz w:val="28"/>
      <w:szCs w:val="28"/>
      <w:lang w:val="en-US" w:eastAsia="zh-CN" w:bidi="ar-SA"/>
    </w:rPr>
  </w:style>
  <w:style w:type="character" w:customStyle="1" w:styleId="1478">
    <w:name w:val="555 Char"/>
    <w:link w:val="1477"/>
    <w:qFormat/>
    <w:uiPriority w:val="0"/>
    <w:rPr>
      <w:rFonts w:ascii="Times New Roman" w:hAnsi="Times New Roman" w:eastAsia="宋体" w:cs="Times New Roman"/>
      <w:sz w:val="28"/>
      <w:szCs w:val="28"/>
    </w:rPr>
  </w:style>
  <w:style w:type="table" w:customStyle="1" w:styleId="1479">
    <w:name w:val="0000"/>
    <w:basedOn w:val="90"/>
    <w:qFormat/>
    <w:uiPriority w:val="0"/>
    <w:pPr>
      <w:spacing w:line="240" w:lineRule="exact"/>
      <w:jc w:val="center"/>
    </w:pPr>
    <w:rPr>
      <w:rFonts w:ascii="宋体" w:hAnsi="等线" w:eastAsia="等线" w:cs="等线"/>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Pr>
    <w:tcPr>
      <w:vAlign w:val="center"/>
    </w:tcPr>
    <w:tblStylePr w:type="firstRow">
      <w:rPr>
        <w:rFonts w:eastAsia="MS Mincho"/>
        <w:sz w:val="21"/>
      </w:rPr>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character" w:customStyle="1" w:styleId="1480">
    <w:name w:val="t31"/>
    <w:qFormat/>
    <w:uiPriority w:val="0"/>
    <w:rPr>
      <w:color w:val="000000"/>
      <w:sz w:val="18"/>
      <w:szCs w:val="18"/>
      <w:u w:val="none"/>
    </w:rPr>
  </w:style>
  <w:style w:type="character" w:customStyle="1" w:styleId="1481">
    <w:name w:val="Char Char19"/>
    <w:qFormat/>
    <w:uiPriority w:val="0"/>
    <w:rPr>
      <w:rFonts w:ascii="宋体" w:hAnsi="宋体" w:eastAsia="黑体"/>
      <w:b/>
      <w:spacing w:val="6"/>
      <w:kern w:val="2"/>
      <w:sz w:val="44"/>
      <w:lang w:val="en-US" w:eastAsia="zh-CN"/>
    </w:rPr>
  </w:style>
  <w:style w:type="character" w:customStyle="1" w:styleId="1482">
    <w:name w:val="Char Char31"/>
    <w:qFormat/>
    <w:uiPriority w:val="0"/>
    <w:rPr>
      <w:rFonts w:ascii="宋体" w:hAnsi="宋体" w:eastAsia="黑体"/>
      <w:b/>
      <w:kern w:val="44"/>
      <w:sz w:val="44"/>
      <w:lang w:val="en-US" w:eastAsia="zh-CN"/>
    </w:rPr>
  </w:style>
  <w:style w:type="paragraph" w:customStyle="1" w:styleId="1483">
    <w:name w:val="Char Char1 Char Char1"/>
    <w:basedOn w:val="1"/>
    <w:qFormat/>
    <w:uiPriority w:val="0"/>
    <w:pPr>
      <w:keepNext/>
      <w:keepLines/>
      <w:widowControl/>
      <w:spacing w:line="360" w:lineRule="auto"/>
      <w:ind w:left="227" w:firstLine="200" w:firstLineChars="200"/>
      <w:jc w:val="left"/>
    </w:pPr>
    <w:rPr>
      <w:rFonts w:ascii="Tahoma" w:hAnsi="Tahoma" w:eastAsia="宋体" w:cs="Times New Roman"/>
      <w:sz w:val="24"/>
      <w:szCs w:val="20"/>
    </w:rPr>
  </w:style>
  <w:style w:type="paragraph" w:customStyle="1" w:styleId="1484">
    <w:name w:val="Char Char Char Char Char Char1 Char Char Char Char1"/>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1485">
    <w:name w:val="Char Char Char Char Char Char Char Char Char Char2"/>
    <w:basedOn w:val="1"/>
    <w:qFormat/>
    <w:uiPriority w:val="0"/>
    <w:pPr>
      <w:ind w:left="227" w:firstLine="482"/>
      <w:jc w:val="left"/>
    </w:pPr>
    <w:rPr>
      <w:rFonts w:ascii="Tahoma" w:hAnsi="Tahoma" w:eastAsia="宋体" w:cs="Times New Roman"/>
      <w:sz w:val="24"/>
      <w:szCs w:val="20"/>
    </w:rPr>
  </w:style>
  <w:style w:type="paragraph" w:customStyle="1" w:styleId="1486">
    <w:name w:val="Char Char Char Char Char2"/>
    <w:basedOn w:val="1"/>
    <w:qFormat/>
    <w:uiPriority w:val="0"/>
    <w:pPr>
      <w:ind w:left="227" w:firstLine="482"/>
      <w:jc w:val="left"/>
    </w:pPr>
    <w:rPr>
      <w:rFonts w:ascii="Tahoma" w:hAnsi="Tahoma" w:eastAsia="宋体" w:cs="Times New Roman"/>
      <w:sz w:val="24"/>
      <w:szCs w:val="20"/>
    </w:rPr>
  </w:style>
  <w:style w:type="paragraph" w:customStyle="1" w:styleId="1487">
    <w:name w:val="正文31"/>
    <w:qFormat/>
    <w:uiPriority w:val="0"/>
    <w:pPr>
      <w:widowControl w:val="0"/>
      <w:adjustRightInd w:val="0"/>
      <w:spacing w:line="312" w:lineRule="atLeast"/>
      <w:ind w:left="709" w:hanging="482"/>
      <w:jc w:val="both"/>
      <w:textAlignment w:val="baseline"/>
    </w:pPr>
    <w:rPr>
      <w:rFonts w:ascii="宋体" w:hAnsi="Times New Roman" w:eastAsia="宋体" w:cs="Times New Roman"/>
      <w:sz w:val="34"/>
      <w:lang w:val="en-US" w:eastAsia="zh-CN" w:bidi="ar-SA"/>
    </w:rPr>
  </w:style>
  <w:style w:type="paragraph" w:customStyle="1" w:styleId="1488">
    <w:name w:val="Char Char Char11"/>
    <w:basedOn w:val="1"/>
    <w:qFormat/>
    <w:uiPriority w:val="0"/>
    <w:pPr>
      <w:ind w:left="227" w:firstLine="482"/>
      <w:jc w:val="left"/>
    </w:pPr>
    <w:rPr>
      <w:rFonts w:ascii="Tahoma" w:hAnsi="Tahoma" w:eastAsia="宋体" w:cs="Times New Roman"/>
      <w:sz w:val="24"/>
      <w:szCs w:val="20"/>
    </w:rPr>
  </w:style>
  <w:style w:type="paragraph" w:customStyle="1" w:styleId="1489">
    <w:name w:val="Char Char Char2"/>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1490">
    <w:name w:val="字元 字元 Char Char Char 字元 字元1"/>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1491">
    <w:name w:val="Char Char Char Char1 Char Char Char Char Char Char Char Char1"/>
    <w:basedOn w:val="1"/>
    <w:qFormat/>
    <w:uiPriority w:val="0"/>
    <w:pPr>
      <w:ind w:left="227" w:firstLine="482"/>
      <w:jc w:val="left"/>
    </w:pPr>
    <w:rPr>
      <w:rFonts w:ascii="Tahoma" w:hAnsi="Tahoma" w:eastAsia="仿宋_GB2312" w:cs="Times New Roman"/>
      <w:b/>
      <w:sz w:val="24"/>
      <w:szCs w:val="20"/>
    </w:rPr>
  </w:style>
  <w:style w:type="character" w:customStyle="1" w:styleId="1492">
    <w:name w:val="Table left cn Char"/>
    <w:link w:val="1493"/>
    <w:qFormat/>
    <w:locked/>
    <w:uiPriority w:val="0"/>
    <w:rPr>
      <w:rFonts w:ascii="宋体" w:hAnsi="Arial"/>
      <w:sz w:val="18"/>
      <w:szCs w:val="21"/>
    </w:rPr>
  </w:style>
  <w:style w:type="paragraph" w:customStyle="1" w:styleId="1493">
    <w:name w:val="Table left cn"/>
    <w:basedOn w:val="1"/>
    <w:link w:val="1492"/>
    <w:qFormat/>
    <w:uiPriority w:val="0"/>
    <w:pPr>
      <w:adjustRightInd w:val="0"/>
      <w:snapToGrid w:val="0"/>
      <w:spacing w:before="20" w:after="20"/>
      <w:ind w:left="23" w:right="23" w:firstLine="482"/>
      <w:jc w:val="left"/>
    </w:pPr>
    <w:rPr>
      <w:rFonts w:ascii="宋体" w:hAnsi="Arial"/>
      <w:sz w:val="18"/>
      <w:szCs w:val="21"/>
    </w:rPr>
  </w:style>
  <w:style w:type="character" w:customStyle="1" w:styleId="1494">
    <w:name w:val="Table left en Char"/>
    <w:link w:val="1495"/>
    <w:qFormat/>
    <w:locked/>
    <w:uiPriority w:val="0"/>
    <w:rPr>
      <w:rFonts w:ascii="Arial" w:hAnsi="Arial"/>
      <w:sz w:val="16"/>
      <w:szCs w:val="21"/>
    </w:rPr>
  </w:style>
  <w:style w:type="paragraph" w:customStyle="1" w:styleId="1495">
    <w:name w:val="Table left en"/>
    <w:basedOn w:val="1"/>
    <w:link w:val="1494"/>
    <w:qFormat/>
    <w:uiPriority w:val="0"/>
    <w:pPr>
      <w:adjustRightInd w:val="0"/>
      <w:snapToGrid w:val="0"/>
      <w:ind w:left="227" w:firstLine="482"/>
      <w:jc w:val="left"/>
    </w:pPr>
    <w:rPr>
      <w:rFonts w:ascii="Arial" w:hAnsi="Arial"/>
      <w:sz w:val="16"/>
      <w:szCs w:val="21"/>
    </w:rPr>
  </w:style>
  <w:style w:type="character" w:customStyle="1" w:styleId="1496">
    <w:name w:val="Char Char91"/>
    <w:qFormat/>
    <w:uiPriority w:val="0"/>
    <w:rPr>
      <w:rFonts w:eastAsia="宋体"/>
      <w:kern w:val="2"/>
      <w:sz w:val="24"/>
      <w:lang w:val="en-US" w:eastAsia="zh-CN" w:bidi="ar-SA"/>
    </w:rPr>
  </w:style>
  <w:style w:type="paragraph" w:customStyle="1" w:styleId="1497">
    <w:name w:val="Char Char Char1 Char Char Char Char Char Char Char Char Char Char Char Char Char Char Char Char Char Char Char Char Char Char Char Char Char Char Char Char Char Char Char1"/>
    <w:basedOn w:val="1"/>
    <w:qFormat/>
    <w:uiPriority w:val="0"/>
    <w:pPr>
      <w:ind w:left="227" w:firstLine="482"/>
      <w:jc w:val="left"/>
    </w:pPr>
    <w:rPr>
      <w:rFonts w:ascii="Tahoma" w:hAnsi="Tahoma" w:eastAsia="宋体" w:cs="Times New Roman"/>
      <w:sz w:val="24"/>
      <w:szCs w:val="20"/>
    </w:rPr>
  </w:style>
  <w:style w:type="paragraph" w:customStyle="1" w:styleId="1498">
    <w:name w:val="Char Char Char1 Char Char Char Char Char Char Char Char Char Char Char Char Char Char Char Char Char Char Char Char Char1"/>
    <w:basedOn w:val="1"/>
    <w:qFormat/>
    <w:uiPriority w:val="0"/>
    <w:pPr>
      <w:ind w:left="227" w:firstLine="482"/>
      <w:jc w:val="left"/>
    </w:pPr>
    <w:rPr>
      <w:rFonts w:ascii="Tahoma" w:hAnsi="Tahoma" w:eastAsia="宋体" w:cs="Times New Roman"/>
      <w:sz w:val="24"/>
      <w:szCs w:val="20"/>
    </w:rPr>
  </w:style>
  <w:style w:type="paragraph" w:customStyle="1" w:styleId="1499">
    <w:name w:val="Char Char Char1 Char Char Char Char Char Char Char Char Char Char Char Char Char Char Char Char Char Char Char Char Char Char Char Char1 Char Char Char1"/>
    <w:basedOn w:val="1"/>
    <w:qFormat/>
    <w:uiPriority w:val="0"/>
    <w:pPr>
      <w:ind w:left="227" w:firstLine="482"/>
      <w:jc w:val="left"/>
    </w:pPr>
    <w:rPr>
      <w:rFonts w:ascii="Tahoma" w:hAnsi="Tahoma" w:eastAsia="宋体" w:cs="Times New Roman"/>
      <w:sz w:val="24"/>
      <w:szCs w:val="20"/>
    </w:rPr>
  </w:style>
  <w:style w:type="paragraph" w:customStyle="1" w:styleId="1500">
    <w:name w:val="纯文本11"/>
    <w:basedOn w:val="1"/>
    <w:qFormat/>
    <w:uiPriority w:val="0"/>
    <w:pPr>
      <w:adjustRightInd w:val="0"/>
      <w:spacing w:line="312" w:lineRule="atLeast"/>
      <w:ind w:left="227" w:firstLine="482"/>
      <w:jc w:val="left"/>
    </w:pPr>
    <w:rPr>
      <w:rFonts w:ascii="宋体" w:hAnsi="Courier New" w:eastAsia="宋体" w:cs="Times New Roman"/>
      <w:kern w:val="0"/>
      <w:sz w:val="28"/>
      <w:szCs w:val="20"/>
    </w:rPr>
  </w:style>
  <w:style w:type="paragraph" w:customStyle="1" w:styleId="1501">
    <w:name w:val="Char Char Char1 Char Char Char Char Char Char Char Char Char Char Char Char Char Char Char Char1"/>
    <w:basedOn w:val="1"/>
    <w:qFormat/>
    <w:uiPriority w:val="0"/>
    <w:pPr>
      <w:ind w:left="227" w:firstLine="482"/>
      <w:jc w:val="left"/>
    </w:pPr>
    <w:rPr>
      <w:rFonts w:ascii="Tahoma" w:hAnsi="Tahoma" w:eastAsia="宋体" w:cs="Times New Roman"/>
      <w:sz w:val="24"/>
      <w:szCs w:val="20"/>
    </w:rPr>
  </w:style>
  <w:style w:type="paragraph" w:customStyle="1" w:styleId="1502">
    <w:name w:val="Char Char Char1 Char Char Char Char1"/>
    <w:basedOn w:val="1"/>
    <w:qFormat/>
    <w:uiPriority w:val="0"/>
    <w:pPr>
      <w:ind w:left="227" w:firstLine="482"/>
      <w:jc w:val="left"/>
    </w:pPr>
    <w:rPr>
      <w:rFonts w:ascii="Tahoma" w:hAnsi="Tahoma" w:eastAsia="宋体" w:cs="仿宋_GB2312"/>
      <w:sz w:val="24"/>
      <w:szCs w:val="20"/>
    </w:rPr>
  </w:style>
  <w:style w:type="paragraph" w:customStyle="1" w:styleId="1503">
    <w:name w:val="Char Char2 Char Char Char Char11"/>
    <w:basedOn w:val="1"/>
    <w:qFormat/>
    <w:uiPriority w:val="0"/>
    <w:pPr>
      <w:ind w:left="227" w:firstLine="482"/>
      <w:jc w:val="left"/>
    </w:pPr>
    <w:rPr>
      <w:rFonts w:ascii="Tahoma" w:hAnsi="Tahoma" w:eastAsia="宋体" w:cs="仿宋_GB2312"/>
      <w:sz w:val="24"/>
      <w:szCs w:val="20"/>
    </w:rPr>
  </w:style>
  <w:style w:type="character" w:customStyle="1" w:styleId="1504">
    <w:name w:val="style161"/>
    <w:qFormat/>
    <w:uiPriority w:val="0"/>
    <w:rPr>
      <w:color w:val="000000"/>
    </w:rPr>
  </w:style>
  <w:style w:type="character" w:customStyle="1" w:styleId="1505">
    <w:name w:val="font12-blue-bold1"/>
    <w:qFormat/>
    <w:uiPriority w:val="0"/>
    <w:rPr>
      <w:b/>
      <w:color w:val="0249A5"/>
      <w:sz w:val="14"/>
      <w:u w:val="none"/>
    </w:rPr>
  </w:style>
  <w:style w:type="character" w:customStyle="1" w:styleId="1506">
    <w:name w:val="L7 Char1"/>
    <w:qFormat/>
    <w:uiPriority w:val="0"/>
    <w:rPr>
      <w:rFonts w:ascii="Arial" w:hAnsi="Arial" w:eastAsia="黑体"/>
      <w:kern w:val="2"/>
      <w:sz w:val="24"/>
      <w:lang w:val="en-US" w:eastAsia="zh-CN" w:bidi="ar-SA"/>
    </w:rPr>
  </w:style>
  <w:style w:type="character" w:customStyle="1" w:styleId="1507">
    <w:name w:val="第七层条 Char"/>
    <w:qFormat/>
    <w:uiPriority w:val="0"/>
    <w:rPr>
      <w:rFonts w:ascii="Arial" w:hAnsi="Arial" w:eastAsia="黑体"/>
      <w:kern w:val="2"/>
      <w:sz w:val="24"/>
      <w:lang w:val="en-US" w:eastAsia="zh-CN" w:bidi="ar-SA"/>
    </w:rPr>
  </w:style>
  <w:style w:type="character" w:customStyle="1" w:styleId="1508">
    <w:name w:val="正文文字缩进 3 Char Char"/>
    <w:qFormat/>
    <w:uiPriority w:val="0"/>
    <w:rPr>
      <w:rFonts w:eastAsia="宋体"/>
      <w:kern w:val="2"/>
      <w:sz w:val="24"/>
      <w:lang w:val="en-US" w:eastAsia="zh-CN" w:bidi="ar-SA"/>
    </w:rPr>
  </w:style>
  <w:style w:type="character" w:customStyle="1" w:styleId="1509">
    <w:name w:val="Char Char20"/>
    <w:qFormat/>
    <w:uiPriority w:val="0"/>
    <w:rPr>
      <w:rFonts w:eastAsia="宋体"/>
      <w:b/>
      <w:kern w:val="2"/>
      <w:sz w:val="24"/>
      <w:lang w:val="en-US" w:eastAsia="zh-CN" w:bidi="ar-SA"/>
    </w:rPr>
  </w:style>
  <w:style w:type="character" w:customStyle="1" w:styleId="1510">
    <w:name w:val="Plain Text Char Char Char Char Char Char Char Char Char Char Char Char Char Char Char Char"/>
    <w:qFormat/>
    <w:uiPriority w:val="0"/>
    <w:rPr>
      <w:rFonts w:ascii="宋体" w:hAnsi="Courier New" w:eastAsia="宋体"/>
      <w:kern w:val="2"/>
      <w:sz w:val="21"/>
      <w:lang w:val="en-US" w:eastAsia="zh-CN" w:bidi="ar-SA"/>
    </w:rPr>
  </w:style>
  <w:style w:type="paragraph" w:customStyle="1" w:styleId="1511">
    <w:name w:val="图片表格"/>
    <w:basedOn w:val="73"/>
    <w:link w:val="1512"/>
    <w:qFormat/>
    <w:uiPriority w:val="0"/>
    <w:pPr>
      <w:ind w:left="0" w:leftChars="0" w:firstLine="0" w:firstLineChars="0"/>
      <w:jc w:val="center"/>
    </w:pPr>
    <w:rPr>
      <w:szCs w:val="22"/>
    </w:rPr>
  </w:style>
  <w:style w:type="character" w:customStyle="1" w:styleId="1512">
    <w:name w:val="图片表格 Char"/>
    <w:link w:val="1511"/>
    <w:qFormat/>
    <w:uiPriority w:val="0"/>
    <w:rPr>
      <w:rFonts w:ascii="Times New Roman" w:hAnsi="Times New Roman" w:eastAsia="宋体" w:cs="Times New Roman"/>
    </w:rPr>
  </w:style>
  <w:style w:type="paragraph" w:customStyle="1" w:styleId="1513">
    <w:name w:val="Char1 Char Char Char Char Char Char1"/>
    <w:basedOn w:val="1"/>
    <w:qFormat/>
    <w:uiPriority w:val="0"/>
    <w:pPr>
      <w:spacing w:line="360" w:lineRule="auto"/>
      <w:ind w:left="227" w:firstLine="200" w:firstLineChars="200"/>
      <w:jc w:val="left"/>
    </w:pPr>
    <w:rPr>
      <w:rFonts w:ascii="宋体" w:hAnsi="宋体" w:eastAsia="宋体" w:cs="宋体"/>
      <w:sz w:val="24"/>
      <w:szCs w:val="24"/>
    </w:rPr>
  </w:style>
  <w:style w:type="paragraph" w:customStyle="1" w:styleId="1514">
    <w:name w:val="Report Level 2"/>
    <w:basedOn w:val="1340"/>
    <w:next w:val="1"/>
    <w:qFormat/>
    <w:uiPriority w:val="0"/>
    <w:pPr>
      <w:outlineLvl w:val="1"/>
    </w:pPr>
    <w:rPr>
      <w:caps w:val="0"/>
    </w:rPr>
  </w:style>
  <w:style w:type="paragraph" w:customStyle="1" w:styleId="1515">
    <w:name w:val="Report Level 3"/>
    <w:basedOn w:val="1340"/>
    <w:next w:val="1"/>
    <w:qFormat/>
    <w:uiPriority w:val="0"/>
    <w:pPr>
      <w:spacing w:before="120"/>
      <w:outlineLvl w:val="2"/>
    </w:pPr>
    <w:rPr>
      <w:caps w:val="0"/>
      <w:sz w:val="20"/>
    </w:rPr>
  </w:style>
  <w:style w:type="paragraph" w:customStyle="1" w:styleId="1516">
    <w:name w:val="Report Level 4"/>
    <w:basedOn w:val="1515"/>
    <w:next w:val="1"/>
    <w:qFormat/>
    <w:uiPriority w:val="0"/>
    <w:pPr>
      <w:tabs>
        <w:tab w:val="left" w:pos="2160"/>
        <w:tab w:val="clear" w:pos="1080"/>
      </w:tabs>
      <w:ind w:left="2160"/>
      <w:outlineLvl w:val="3"/>
    </w:pPr>
    <w:rPr>
      <w:rFonts w:ascii="Times New Roman" w:hAnsi="Times New Roman"/>
    </w:rPr>
  </w:style>
  <w:style w:type="character" w:customStyle="1" w:styleId="1517">
    <w:name w:val="main14"/>
    <w:qFormat/>
    <w:uiPriority w:val="0"/>
  </w:style>
  <w:style w:type="paragraph" w:customStyle="1" w:styleId="1518">
    <w:name w:val="Char Char22"/>
    <w:basedOn w:val="1"/>
    <w:qFormat/>
    <w:uiPriority w:val="0"/>
    <w:pPr>
      <w:spacing w:line="360" w:lineRule="auto"/>
      <w:ind w:left="227" w:firstLine="200" w:firstLineChars="200"/>
      <w:jc w:val="left"/>
    </w:pPr>
    <w:rPr>
      <w:rFonts w:ascii="宋体" w:hAnsi="宋体" w:eastAsia="宋体" w:cs="宋体"/>
      <w:sz w:val="24"/>
      <w:szCs w:val="24"/>
    </w:rPr>
  </w:style>
  <w:style w:type="paragraph" w:customStyle="1" w:styleId="1519">
    <w:name w:val="Char Char22 Char Char"/>
    <w:basedOn w:val="1"/>
    <w:qFormat/>
    <w:uiPriority w:val="0"/>
    <w:pPr>
      <w:spacing w:line="360" w:lineRule="auto"/>
      <w:ind w:left="227" w:firstLine="200" w:firstLineChars="200"/>
      <w:jc w:val="left"/>
    </w:pPr>
    <w:rPr>
      <w:rFonts w:ascii="宋体" w:hAnsi="宋体" w:eastAsia="宋体" w:cs="宋体"/>
      <w:sz w:val="24"/>
      <w:szCs w:val="24"/>
    </w:rPr>
  </w:style>
  <w:style w:type="paragraph" w:customStyle="1" w:styleId="1520">
    <w:name w:val="Char Char22 Char Char Char Char"/>
    <w:basedOn w:val="1"/>
    <w:qFormat/>
    <w:uiPriority w:val="0"/>
    <w:pPr>
      <w:spacing w:line="360" w:lineRule="auto"/>
      <w:ind w:left="227" w:firstLine="200" w:firstLineChars="200"/>
      <w:jc w:val="left"/>
    </w:pPr>
    <w:rPr>
      <w:rFonts w:ascii="宋体" w:hAnsi="宋体" w:eastAsia="宋体" w:cs="宋体"/>
      <w:sz w:val="24"/>
      <w:szCs w:val="24"/>
    </w:rPr>
  </w:style>
  <w:style w:type="paragraph" w:customStyle="1" w:styleId="1521">
    <w:name w:val="style3"/>
    <w:basedOn w:val="1"/>
    <w:qFormat/>
    <w:uiPriority w:val="0"/>
    <w:pPr>
      <w:widowControl/>
      <w:spacing w:before="100" w:beforeAutospacing="1" w:after="100" w:afterAutospacing="1" w:line="360" w:lineRule="auto"/>
      <w:ind w:left="227" w:firstLine="482"/>
      <w:jc w:val="left"/>
    </w:pPr>
    <w:rPr>
      <w:rFonts w:ascii="宋体" w:hAnsi="宋体" w:eastAsia="宋体" w:cs="Times New Roman"/>
      <w:kern w:val="0"/>
      <w:szCs w:val="21"/>
    </w:rPr>
  </w:style>
  <w:style w:type="paragraph" w:customStyle="1" w:styleId="1522">
    <w:name w:val="引文目录标题1"/>
    <w:basedOn w:val="1"/>
    <w:next w:val="1"/>
    <w:qFormat/>
    <w:uiPriority w:val="0"/>
    <w:pPr>
      <w:spacing w:before="120"/>
      <w:ind w:left="227" w:firstLine="482"/>
      <w:jc w:val="left"/>
    </w:pPr>
    <w:rPr>
      <w:rFonts w:ascii="Arial" w:hAnsi="Times New Roman" w:eastAsia="宋体" w:cs="Times New Roman"/>
      <w:kern w:val="0"/>
      <w:sz w:val="24"/>
      <w:szCs w:val="20"/>
      <w:u w:color="000000"/>
    </w:rPr>
  </w:style>
  <w:style w:type="paragraph" w:customStyle="1" w:styleId="1523">
    <w:name w:val="样式26"/>
    <w:basedOn w:val="5"/>
    <w:link w:val="1524"/>
    <w:qFormat/>
    <w:uiPriority w:val="0"/>
    <w:pPr>
      <w:keepLines/>
      <w:widowControl/>
      <w:tabs>
        <w:tab w:val="left" w:pos="840"/>
      </w:tabs>
      <w:adjustRightInd w:val="0"/>
      <w:snapToGrid w:val="0"/>
      <w:spacing w:line="360" w:lineRule="auto"/>
    </w:pPr>
    <w:rPr>
      <w:b w:val="0"/>
      <w:bCs w:val="0"/>
      <w:color w:val="000000"/>
      <w:sz w:val="21"/>
      <w:lang w:val="zh-CN"/>
    </w:rPr>
  </w:style>
  <w:style w:type="character" w:customStyle="1" w:styleId="1524">
    <w:name w:val="样式26 Char"/>
    <w:link w:val="1523"/>
    <w:qFormat/>
    <w:uiPriority w:val="0"/>
    <w:rPr>
      <w:rFonts w:ascii="Times New Roman" w:hAnsi="Times New Roman" w:eastAsia="宋体" w:cs="Times New Roman"/>
      <w:color w:val="000000"/>
      <w:szCs w:val="32"/>
      <w:lang w:val="zh-CN"/>
    </w:rPr>
  </w:style>
  <w:style w:type="paragraph" w:customStyle="1" w:styleId="1525">
    <w:name w:val="样式27"/>
    <w:basedOn w:val="6"/>
    <w:link w:val="1526"/>
    <w:qFormat/>
    <w:uiPriority w:val="0"/>
    <w:pPr>
      <w:keepNext w:val="0"/>
      <w:widowControl/>
      <w:tabs>
        <w:tab w:val="left" w:pos="340"/>
      </w:tabs>
      <w:adjustRightInd w:val="0"/>
      <w:snapToGrid w:val="0"/>
      <w:spacing w:before="0" w:after="0" w:line="360" w:lineRule="auto"/>
      <w:ind w:left="679" w:hanging="340"/>
      <w:jc w:val="left"/>
    </w:pPr>
    <w:rPr>
      <w:rFonts w:ascii="Times New Roman" w:hAnsi="Times New Roman"/>
      <w:b w:val="0"/>
      <w:sz w:val="21"/>
      <w:szCs w:val="32"/>
      <w:lang w:val="zh-CN"/>
    </w:rPr>
  </w:style>
  <w:style w:type="character" w:customStyle="1" w:styleId="1526">
    <w:name w:val="样式27 Char"/>
    <w:link w:val="1525"/>
    <w:qFormat/>
    <w:uiPriority w:val="0"/>
    <w:rPr>
      <w:rFonts w:ascii="Times New Roman" w:hAnsi="Times New Roman" w:eastAsia="宋体" w:cs="Times New Roman"/>
      <w:bCs/>
      <w:szCs w:val="32"/>
      <w:lang w:val="zh-CN"/>
    </w:rPr>
  </w:style>
  <w:style w:type="paragraph" w:customStyle="1" w:styleId="1527">
    <w:name w:val="Char2 Char Char Char Char Char Char1"/>
    <w:basedOn w:val="1"/>
    <w:qFormat/>
    <w:uiPriority w:val="0"/>
    <w:pPr>
      <w:widowControl/>
      <w:snapToGrid w:val="0"/>
      <w:spacing w:after="160" w:line="240" w:lineRule="exact"/>
      <w:jc w:val="left"/>
    </w:pPr>
    <w:rPr>
      <w:rFonts w:ascii="Verdana" w:hAnsi="Verdana" w:eastAsia="宋体" w:cs="Times New Roman"/>
      <w:snapToGrid w:val="0"/>
      <w:kern w:val="0"/>
      <w:sz w:val="20"/>
      <w:szCs w:val="24"/>
      <w:lang w:eastAsia="en-US"/>
    </w:rPr>
  </w:style>
  <w:style w:type="paragraph" w:customStyle="1" w:styleId="1528">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1529">
    <w:name w:val="默认段落字体 Para Char Char Char Char Char Char Char Char Char2"/>
    <w:basedOn w:val="1"/>
    <w:qFormat/>
    <w:uiPriority w:val="0"/>
    <w:rPr>
      <w:rFonts w:ascii="Tahoma" w:hAnsi="Tahoma" w:eastAsia="宋体" w:cs="Times New Roman"/>
      <w:sz w:val="24"/>
      <w:szCs w:val="20"/>
    </w:rPr>
  </w:style>
  <w:style w:type="table" w:customStyle="1" w:styleId="1530">
    <w:name w:val="Table"/>
    <w:basedOn w:val="91"/>
    <w:qFormat/>
    <w:uiPriority w:val="0"/>
    <w:pPr>
      <w:snapToGrid w:val="0"/>
      <w:jc w:val="left"/>
    </w:pPr>
    <w:rPr>
      <w:rFonts w:ascii="等线" w:hAnsi="等线" w:eastAsia="等线" w:cs="等线"/>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531">
    <w:name w:val="Item List in Table"/>
    <w:qFormat/>
    <w:uiPriority w:val="0"/>
    <w:pPr>
      <w:numPr>
        <w:ilvl w:val="0"/>
        <w:numId w:val="17"/>
      </w:numPr>
      <w:spacing w:before="40" w:after="40"/>
      <w:jc w:val="both"/>
    </w:pPr>
    <w:rPr>
      <w:rFonts w:ascii="Arial" w:hAnsi="Arial" w:eastAsia="宋体" w:cs="Arial"/>
      <w:sz w:val="18"/>
      <w:szCs w:val="18"/>
      <w:lang w:val="en-US" w:eastAsia="zh-CN" w:bidi="ar-SA"/>
    </w:rPr>
  </w:style>
  <w:style w:type="paragraph" w:customStyle="1" w:styleId="1532">
    <w:name w:val="技术报告正文"/>
    <w:basedOn w:val="1"/>
    <w:qFormat/>
    <w:uiPriority w:val="0"/>
    <w:pPr>
      <w:spacing w:before="120" w:beforeLines="50" w:line="440" w:lineRule="exact"/>
      <w:ind w:firstLine="538" w:firstLineChars="192"/>
    </w:pPr>
    <w:rPr>
      <w:rFonts w:ascii="Times New Roman" w:hAnsi="Times New Roman" w:eastAsia="宋体" w:cs="Arial"/>
      <w:bCs/>
      <w:sz w:val="28"/>
      <w:szCs w:val="24"/>
    </w:rPr>
  </w:style>
  <w:style w:type="paragraph" w:customStyle="1" w:styleId="1533">
    <w:name w:val="列表1"/>
    <w:basedOn w:val="1"/>
    <w:qFormat/>
    <w:uiPriority w:val="0"/>
    <w:pPr>
      <w:widowControl/>
      <w:tabs>
        <w:tab w:val="left" w:pos="432"/>
      </w:tabs>
      <w:spacing w:before="120" w:after="120"/>
      <w:ind w:left="432" w:hanging="432"/>
    </w:pPr>
    <w:rPr>
      <w:rFonts w:ascii="宋体" w:hAnsi="宋体" w:eastAsia="宋体" w:cs="Times New Roman"/>
      <w:kern w:val="0"/>
      <w:sz w:val="24"/>
      <w:szCs w:val="24"/>
      <w:lang w:eastAsia="en-US"/>
    </w:rPr>
  </w:style>
  <w:style w:type="paragraph" w:customStyle="1" w:styleId="1534">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35">
    <w:name w:val="表标题(小)"/>
    <w:basedOn w:val="1"/>
    <w:next w:val="35"/>
    <w:qFormat/>
    <w:uiPriority w:val="0"/>
    <w:pPr>
      <w:keepNext/>
      <w:spacing w:line="360" w:lineRule="auto"/>
      <w:jc w:val="center"/>
      <w:outlineLvl w:val="8"/>
    </w:pPr>
    <w:rPr>
      <w:rFonts w:ascii="宋体" w:hAnsi="Times New Roman" w:eastAsia="宋体" w:cs="Times New Roman"/>
      <w:sz w:val="18"/>
      <w:szCs w:val="18"/>
    </w:rPr>
  </w:style>
  <w:style w:type="paragraph" w:customStyle="1" w:styleId="1536">
    <w:name w:val="总1"/>
    <w:basedOn w:val="1"/>
    <w:qFormat/>
    <w:uiPriority w:val="0"/>
    <w:pPr>
      <w:widowControl/>
      <w:spacing w:line="360" w:lineRule="auto"/>
      <w:jc w:val="left"/>
    </w:pPr>
    <w:rPr>
      <w:rFonts w:ascii="宋体" w:hAnsi="Times New Roman" w:eastAsia="宋体" w:cs="Times New Roman"/>
      <w:b/>
      <w:bCs/>
      <w:kern w:val="0"/>
      <w:sz w:val="24"/>
      <w:szCs w:val="20"/>
    </w:rPr>
  </w:style>
  <w:style w:type="paragraph" w:customStyle="1" w:styleId="1537">
    <w:name w:val="小"/>
    <w:basedOn w:val="1"/>
    <w:next w:val="46"/>
    <w:qFormat/>
    <w:uiPriority w:val="0"/>
    <w:rPr>
      <w:rFonts w:ascii="宋体" w:hAnsi="Courier New" w:eastAsia="宋体" w:cs="Times New Roman"/>
      <w:szCs w:val="20"/>
    </w:rPr>
  </w:style>
  <w:style w:type="paragraph" w:customStyle="1" w:styleId="1538">
    <w:name w:val="二级条标题"/>
    <w:basedOn w:val="1"/>
    <w:next w:val="1"/>
    <w:qFormat/>
    <w:uiPriority w:val="0"/>
    <w:pPr>
      <w:widowControl/>
      <w:numPr>
        <w:ilvl w:val="3"/>
        <w:numId w:val="18"/>
      </w:numPr>
      <w:outlineLvl w:val="3"/>
    </w:pPr>
    <w:rPr>
      <w:rFonts w:ascii="黑体" w:hAnsi="Times New Roman" w:eastAsia="黑体" w:cs="Times New Roman"/>
      <w:kern w:val="0"/>
      <w:szCs w:val="20"/>
    </w:rPr>
  </w:style>
  <w:style w:type="paragraph" w:customStyle="1" w:styleId="1539">
    <w:name w:val="TAC"/>
    <w:basedOn w:val="1"/>
    <w:qFormat/>
    <w:uiPriority w:val="0"/>
    <w:pPr>
      <w:keepNext/>
      <w:keepLines/>
      <w:widowControl/>
      <w:jc w:val="center"/>
    </w:pPr>
    <w:rPr>
      <w:rFonts w:ascii="Arial" w:hAnsi="Arial" w:eastAsia="宋体" w:cs="Times New Roman"/>
      <w:kern w:val="0"/>
      <w:sz w:val="18"/>
      <w:szCs w:val="20"/>
      <w:lang w:val="en-GB"/>
    </w:rPr>
  </w:style>
  <w:style w:type="paragraph" w:customStyle="1" w:styleId="154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41">
    <w:name w:val="总2"/>
    <w:basedOn w:val="1"/>
    <w:qFormat/>
    <w:uiPriority w:val="0"/>
    <w:pPr>
      <w:widowControl/>
      <w:spacing w:line="360" w:lineRule="auto"/>
      <w:jc w:val="left"/>
    </w:pPr>
    <w:rPr>
      <w:rFonts w:ascii="宋体" w:hAnsi="Times New Roman" w:eastAsia="宋体" w:cs="Times New Roman"/>
      <w:b/>
      <w:bCs/>
      <w:kern w:val="0"/>
      <w:szCs w:val="20"/>
    </w:rPr>
  </w:style>
  <w:style w:type="character" w:customStyle="1" w:styleId="1542">
    <w:name w:val="spantable1"/>
    <w:qFormat/>
    <w:uiPriority w:val="0"/>
    <w:rPr>
      <w:rFonts w:hint="default"/>
      <w:sz w:val="18"/>
      <w:szCs w:val="18"/>
    </w:rPr>
  </w:style>
  <w:style w:type="character" w:customStyle="1" w:styleId="1543">
    <w:name w:val="point_normal"/>
    <w:qFormat/>
    <w:uiPriority w:val="0"/>
  </w:style>
  <w:style w:type="paragraph" w:customStyle="1" w:styleId="1544">
    <w:name w:val="样式 宋体 小四 加粗 行距: 1.5 倍行距2"/>
    <w:basedOn w:val="7"/>
    <w:next w:val="1"/>
    <w:qFormat/>
    <w:uiPriority w:val="0"/>
    <w:pPr>
      <w:widowControl/>
      <w:numPr>
        <w:ilvl w:val="1"/>
        <w:numId w:val="19"/>
      </w:numPr>
      <w:tabs>
        <w:tab w:val="left" w:pos="772"/>
        <w:tab w:val="left" w:pos="1008"/>
      </w:tabs>
      <w:spacing w:before="120" w:beforeLines="50" w:after="120" w:afterLines="50" w:line="240" w:lineRule="auto"/>
      <w:ind w:left="839" w:hanging="839"/>
      <w:jc w:val="left"/>
      <w:outlineLvl w:val="2"/>
    </w:pPr>
    <w:rPr>
      <w:rFonts w:ascii="宋体" w:hAnsi="宋体" w:cs="宋体"/>
      <w:bCs w:val="0"/>
      <w:kern w:val="0"/>
      <w:sz w:val="24"/>
      <w:szCs w:val="20"/>
    </w:rPr>
  </w:style>
  <w:style w:type="paragraph" w:customStyle="1" w:styleId="1545">
    <w:name w:val="标题 2 FS"/>
    <w:basedOn w:val="4"/>
    <w:qFormat/>
    <w:uiPriority w:val="0"/>
    <w:pPr>
      <w:keepNext w:val="0"/>
      <w:keepLines w:val="0"/>
      <w:numPr>
        <w:numId w:val="20"/>
      </w:numPr>
      <w:tabs>
        <w:tab w:val="left" w:pos="0"/>
        <w:tab w:val="left" w:pos="210"/>
      </w:tabs>
      <w:autoSpaceDE w:val="0"/>
      <w:autoSpaceDN w:val="0"/>
      <w:adjustRightInd w:val="0"/>
      <w:snapToGrid w:val="0"/>
      <w:spacing w:before="50" w:beforeLines="50" w:after="50" w:afterLines="50" w:line="360" w:lineRule="auto"/>
      <w:jc w:val="left"/>
    </w:pPr>
    <w:rPr>
      <w:rFonts w:ascii="Times New Roman" w:hAnsi="Times New Roman" w:eastAsia="宋体"/>
      <w:bCs w:val="0"/>
      <w:sz w:val="28"/>
      <w:szCs w:val="28"/>
      <w:lang w:val="zh-CN"/>
    </w:rPr>
  </w:style>
  <w:style w:type="paragraph" w:customStyle="1" w:styleId="1546">
    <w:name w:val="标题 1 FS"/>
    <w:basedOn w:val="3"/>
    <w:qFormat/>
    <w:uiPriority w:val="0"/>
    <w:pPr>
      <w:keepNext w:val="0"/>
      <w:keepLines w:val="0"/>
      <w:numPr>
        <w:ilvl w:val="0"/>
        <w:numId w:val="20"/>
      </w:numPr>
      <w:tabs>
        <w:tab w:val="left" w:pos="432"/>
      </w:tabs>
      <w:autoSpaceDE w:val="0"/>
      <w:autoSpaceDN w:val="0"/>
      <w:adjustRightInd w:val="0"/>
      <w:snapToGrid w:val="0"/>
      <w:spacing w:before="50" w:beforeLines="50" w:after="50" w:afterLines="50" w:line="360" w:lineRule="auto"/>
      <w:jc w:val="left"/>
    </w:pPr>
    <w:rPr>
      <w:bCs w:val="0"/>
      <w:kern w:val="0"/>
      <w:sz w:val="28"/>
      <w:szCs w:val="28"/>
    </w:rPr>
  </w:style>
  <w:style w:type="paragraph" w:customStyle="1" w:styleId="1547">
    <w:name w:val="样式 标题 3 FS + 段前: 0.5 行 段后: 0.5 行"/>
    <w:basedOn w:val="1"/>
    <w:qFormat/>
    <w:uiPriority w:val="0"/>
    <w:pPr>
      <w:keepNext/>
      <w:keepLines/>
      <w:numPr>
        <w:ilvl w:val="2"/>
        <w:numId w:val="20"/>
      </w:numPr>
      <w:adjustRightInd w:val="0"/>
      <w:snapToGrid w:val="0"/>
      <w:spacing w:before="156" w:beforeLines="50" w:after="156" w:afterLines="50" w:line="360" w:lineRule="auto"/>
      <w:outlineLvl w:val="2"/>
    </w:pPr>
    <w:rPr>
      <w:rFonts w:ascii="Times New Roman" w:hAnsi="Times New Roman" w:eastAsia="宋体" w:cs="宋体"/>
      <w:sz w:val="28"/>
      <w:szCs w:val="20"/>
    </w:rPr>
  </w:style>
  <w:style w:type="paragraph" w:customStyle="1" w:styleId="1548">
    <w:name w:val="标题 4 FS"/>
    <w:basedOn w:val="6"/>
    <w:qFormat/>
    <w:uiPriority w:val="0"/>
    <w:pPr>
      <w:numPr>
        <w:ilvl w:val="3"/>
        <w:numId w:val="20"/>
      </w:numPr>
      <w:tabs>
        <w:tab w:val="left" w:pos="340"/>
      </w:tabs>
      <w:spacing w:before="0" w:after="0" w:line="360" w:lineRule="auto"/>
    </w:pPr>
    <w:rPr>
      <w:rFonts w:ascii="Arial" w:hAnsi="Arial" w:cs="宋体"/>
      <w:b w:val="0"/>
      <w:bCs w:val="0"/>
      <w:sz w:val="24"/>
      <w:szCs w:val="20"/>
    </w:rPr>
  </w:style>
  <w:style w:type="character" w:customStyle="1" w:styleId="1549">
    <w:name w:val="sh141"/>
    <w:qFormat/>
    <w:uiPriority w:val="0"/>
    <w:rPr>
      <w:color w:val="2B2B2B"/>
      <w:sz w:val="19"/>
    </w:rPr>
  </w:style>
  <w:style w:type="character" w:customStyle="1" w:styleId="1550">
    <w:name w:val="Body Char Char"/>
    <w:qFormat/>
    <w:uiPriority w:val="0"/>
    <w:rPr>
      <w:rFonts w:eastAsia="宋体"/>
      <w:kern w:val="2"/>
      <w:sz w:val="21"/>
      <w:lang w:val="en-US" w:eastAsia="zh-CN"/>
    </w:rPr>
  </w:style>
  <w:style w:type="character" w:customStyle="1" w:styleId="1551">
    <w:name w:val="图形布置 Char"/>
    <w:link w:val="1552"/>
    <w:qFormat/>
    <w:uiPriority w:val="0"/>
  </w:style>
  <w:style w:type="paragraph" w:customStyle="1" w:styleId="1552">
    <w:name w:val="图形布置"/>
    <w:basedOn w:val="1"/>
    <w:link w:val="1551"/>
    <w:qFormat/>
    <w:uiPriority w:val="0"/>
    <w:pPr>
      <w:widowControl/>
      <w:jc w:val="center"/>
    </w:pPr>
  </w:style>
  <w:style w:type="character" w:customStyle="1" w:styleId="1553">
    <w:name w:val="1 Char"/>
    <w:qFormat/>
    <w:uiPriority w:val="0"/>
    <w:rPr>
      <w:rFonts w:ascii="宋体" w:hAnsi="宋体" w:eastAsia="宋体"/>
      <w:b/>
      <w:sz w:val="28"/>
      <w:lang w:val="en-US" w:eastAsia="zh-CN" w:bidi="ar-SA"/>
    </w:rPr>
  </w:style>
  <w:style w:type="character" w:customStyle="1" w:styleId="1554">
    <w:name w:val="hui3"/>
    <w:qFormat/>
    <w:uiPriority w:val="0"/>
    <w:rPr>
      <w:color w:val="333333"/>
    </w:rPr>
  </w:style>
  <w:style w:type="character" w:customStyle="1" w:styleId="1555">
    <w:name w:val="style311"/>
    <w:qFormat/>
    <w:uiPriority w:val="0"/>
    <w:rPr>
      <w:sz w:val="21"/>
    </w:rPr>
  </w:style>
  <w:style w:type="character" w:customStyle="1" w:styleId="1556">
    <w:name w:val="param_td12"/>
    <w:qFormat/>
    <w:uiPriority w:val="0"/>
  </w:style>
  <w:style w:type="character" w:customStyle="1" w:styleId="1557">
    <w:name w:val="content1"/>
    <w:qFormat/>
    <w:uiPriority w:val="0"/>
    <w:rPr>
      <w:rFonts w:hint="default" w:ascii="ˎ̥" w:hAnsi="ˎ̥"/>
      <w:color w:val="000000"/>
      <w:sz w:val="18"/>
      <w:u w:val="none"/>
    </w:rPr>
  </w:style>
  <w:style w:type="character" w:customStyle="1" w:styleId="1558">
    <w:name w:val="Bullet Char"/>
    <w:link w:val="1559"/>
    <w:qFormat/>
    <w:uiPriority w:val="0"/>
    <w:rPr>
      <w:rFonts w:ascii="宋体" w:hAnsi="宋体"/>
    </w:rPr>
  </w:style>
  <w:style w:type="paragraph" w:customStyle="1" w:styleId="1559">
    <w:name w:val="Bullet"/>
    <w:basedOn w:val="1"/>
    <w:link w:val="1558"/>
    <w:qFormat/>
    <w:uiPriority w:val="0"/>
    <w:pPr>
      <w:widowControl/>
      <w:tabs>
        <w:tab w:val="left" w:pos="420"/>
        <w:tab w:val="left" w:pos="2520"/>
      </w:tabs>
      <w:adjustRightInd w:val="0"/>
      <w:spacing w:before="60" w:after="60" w:line="288" w:lineRule="auto"/>
      <w:ind w:left="2520" w:hanging="420"/>
    </w:pPr>
    <w:rPr>
      <w:rFonts w:ascii="宋体" w:hAnsi="宋体"/>
    </w:rPr>
  </w:style>
  <w:style w:type="character" w:customStyle="1" w:styleId="1560">
    <w:name w:val="font-121"/>
    <w:qFormat/>
    <w:uiPriority w:val="0"/>
    <w:rPr>
      <w:color w:val="666666"/>
      <w:sz w:val="18"/>
      <w:u w:val="none"/>
    </w:rPr>
  </w:style>
  <w:style w:type="character" w:customStyle="1" w:styleId="1561">
    <w:name w:val="内容文本 Char Char"/>
    <w:link w:val="1562"/>
    <w:qFormat/>
    <w:uiPriority w:val="0"/>
    <w:rPr>
      <w:rFonts w:ascii="楷体_GB2312" w:hAnsi="宋体" w:eastAsia="楷体_GB2312"/>
      <w:color w:val="000000"/>
      <w:spacing w:val="10"/>
    </w:rPr>
  </w:style>
  <w:style w:type="paragraph" w:customStyle="1" w:styleId="1562">
    <w:name w:val="内容文本"/>
    <w:basedOn w:val="1"/>
    <w:link w:val="1561"/>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rPr>
  </w:style>
  <w:style w:type="paragraph" w:customStyle="1" w:styleId="1563">
    <w:name w:val="五级条标题"/>
    <w:basedOn w:val="1564"/>
    <w:next w:val="1"/>
    <w:qFormat/>
    <w:uiPriority w:val="0"/>
    <w:pPr>
      <w:tabs>
        <w:tab w:val="left" w:pos="1008"/>
        <w:tab w:val="left" w:pos="1152"/>
        <w:tab w:val="left" w:pos="1296"/>
        <w:tab w:val="left" w:pos="2100"/>
      </w:tabs>
      <w:ind w:left="1296" w:hanging="1296"/>
      <w:outlineLvl w:val="6"/>
    </w:pPr>
  </w:style>
  <w:style w:type="paragraph" w:customStyle="1" w:styleId="1564">
    <w:name w:val="四级条标题"/>
    <w:basedOn w:val="1565"/>
    <w:next w:val="1"/>
    <w:qFormat/>
    <w:uiPriority w:val="0"/>
    <w:pPr>
      <w:tabs>
        <w:tab w:val="left" w:pos="1008"/>
        <w:tab w:val="left" w:pos="1152"/>
        <w:tab w:val="left" w:pos="2100"/>
      </w:tabs>
      <w:ind w:left="1152" w:hanging="1152"/>
      <w:outlineLvl w:val="5"/>
    </w:pPr>
  </w:style>
  <w:style w:type="paragraph" w:customStyle="1" w:styleId="1565">
    <w:name w:val="三级条标题"/>
    <w:basedOn w:val="1538"/>
    <w:next w:val="1"/>
    <w:qFormat/>
    <w:uiPriority w:val="0"/>
    <w:pPr>
      <w:numPr>
        <w:ilvl w:val="0"/>
        <w:numId w:val="0"/>
      </w:numPr>
      <w:tabs>
        <w:tab w:val="left" w:pos="1008"/>
      </w:tabs>
      <w:ind w:left="1008" w:hanging="1008"/>
      <w:outlineLvl w:val="4"/>
    </w:pPr>
  </w:style>
  <w:style w:type="paragraph" w:customStyle="1" w:styleId="1566">
    <w:name w:val="一级条标题"/>
    <w:basedOn w:val="1428"/>
    <w:next w:val="1"/>
    <w:qFormat/>
    <w:uiPriority w:val="0"/>
    <w:pPr>
      <w:tabs>
        <w:tab w:val="left" w:pos="420"/>
        <w:tab w:val="clear" w:pos="840"/>
      </w:tabs>
      <w:spacing w:before="0" w:beforeLines="0" w:after="0" w:afterLines="0" w:line="240" w:lineRule="auto"/>
      <w:ind w:left="0" w:firstLine="0"/>
      <w:outlineLvl w:val="2"/>
    </w:pPr>
  </w:style>
  <w:style w:type="paragraph" w:customStyle="1" w:styleId="1567">
    <w:name w:val="前言、引言标题"/>
    <w:next w:val="1"/>
    <w:qFormat/>
    <w:uiPriority w:val="0"/>
    <w:pPr>
      <w:shd w:val="clear" w:color="FFFFFF" w:fill="FFFFFF"/>
      <w:tabs>
        <w:tab w:val="left" w:pos="432"/>
      </w:tabs>
      <w:spacing w:before="640" w:after="560"/>
      <w:ind w:left="432" w:hanging="432"/>
      <w:jc w:val="center"/>
      <w:outlineLvl w:val="0"/>
    </w:pPr>
    <w:rPr>
      <w:rFonts w:ascii="黑体" w:hAnsi="Times New Roman" w:eastAsia="黑体" w:cs="Times New Roman"/>
      <w:sz w:val="32"/>
      <w:lang w:val="en-US" w:eastAsia="zh-CN" w:bidi="ar-SA"/>
    </w:rPr>
  </w:style>
  <w:style w:type="paragraph" w:customStyle="1" w:styleId="1568">
    <w:name w:val="样式标题4"/>
    <w:basedOn w:val="6"/>
    <w:next w:val="6"/>
    <w:qFormat/>
    <w:uiPriority w:val="0"/>
    <w:pPr>
      <w:keepNext w:val="0"/>
      <w:keepLines w:val="0"/>
      <w:tabs>
        <w:tab w:val="left" w:pos="180"/>
        <w:tab w:val="left" w:pos="340"/>
        <w:tab w:val="left" w:pos="567"/>
        <w:tab w:val="left" w:pos="1276"/>
      </w:tabs>
      <w:adjustRightInd w:val="0"/>
      <w:snapToGrid w:val="0"/>
      <w:spacing w:before="312" w:beforeLines="100" w:after="0" w:line="240" w:lineRule="auto"/>
      <w:ind w:left="1276" w:hanging="425"/>
      <w:jc w:val="left"/>
      <w:textAlignment w:val="center"/>
    </w:pPr>
    <w:rPr>
      <w:rFonts w:ascii="宋体" w:hAnsi="宋体"/>
      <w:bCs w:val="0"/>
      <w:snapToGrid w:val="0"/>
      <w:kern w:val="0"/>
      <w:sz w:val="32"/>
      <w:szCs w:val="20"/>
    </w:rPr>
  </w:style>
  <w:style w:type="paragraph" w:customStyle="1" w:styleId="1569">
    <w:name w:val="tabletext"/>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570">
    <w:name w:val="表格文字小 (居中)"/>
    <w:basedOn w:val="1"/>
    <w:qFormat/>
    <w:uiPriority w:val="0"/>
    <w:pPr>
      <w:adjustRightInd w:val="0"/>
      <w:spacing w:line="240" w:lineRule="atLeast"/>
      <w:jc w:val="center"/>
      <w:textAlignment w:val="baseline"/>
    </w:pPr>
    <w:rPr>
      <w:rFonts w:ascii="宋体" w:hAnsi="Times New Roman" w:eastAsia="宋体" w:cs="Times New Roman"/>
      <w:sz w:val="18"/>
      <w:szCs w:val="20"/>
    </w:rPr>
  </w:style>
  <w:style w:type="paragraph" w:customStyle="1" w:styleId="1571">
    <w:name w:val="默认段落字体 Para Char Char Char Char Char Char Char Char Char Char Char Char Char Char Char Char"/>
    <w:basedOn w:val="1"/>
    <w:qFormat/>
    <w:uiPriority w:val="0"/>
    <w:rPr>
      <w:rFonts w:ascii="Tahoma" w:hAnsi="Tahoma" w:eastAsia="宋体" w:cs="Times New Roman"/>
      <w:szCs w:val="20"/>
    </w:rPr>
  </w:style>
  <w:style w:type="paragraph" w:customStyle="1" w:styleId="1572">
    <w:name w:val="Char Char21 Char Char Char Char Char Char"/>
    <w:basedOn w:val="1"/>
    <w:qFormat/>
    <w:uiPriority w:val="0"/>
    <w:pPr>
      <w:spacing w:line="360" w:lineRule="auto"/>
      <w:ind w:firstLine="200" w:firstLineChars="200"/>
    </w:pPr>
    <w:rPr>
      <w:rFonts w:ascii="宋体" w:hAnsi="宋体" w:eastAsia="宋体" w:cs="宋体"/>
      <w:szCs w:val="24"/>
    </w:rPr>
  </w:style>
  <w:style w:type="paragraph" w:customStyle="1" w:styleId="1573">
    <w:name w:val="说明书 正文"/>
    <w:basedOn w:val="1"/>
    <w:link w:val="1574"/>
    <w:unhideWhenUsed/>
    <w:qFormat/>
    <w:uiPriority w:val="0"/>
    <w:pPr>
      <w:adjustRightInd w:val="0"/>
      <w:snapToGrid w:val="0"/>
      <w:spacing w:line="460" w:lineRule="exact"/>
      <w:ind w:firstLine="200" w:firstLineChars="200"/>
      <w:jc w:val="left"/>
    </w:pPr>
    <w:rPr>
      <w:rFonts w:ascii="宋体" w:hAnsi="宋体" w:eastAsia="宋体" w:cs="Times New Roman"/>
      <w:sz w:val="24"/>
      <w:szCs w:val="20"/>
      <w:lang w:val="zh-CN"/>
    </w:rPr>
  </w:style>
  <w:style w:type="character" w:customStyle="1" w:styleId="1574">
    <w:name w:val="说明书 正文 Char"/>
    <w:link w:val="1573"/>
    <w:qFormat/>
    <w:uiPriority w:val="0"/>
    <w:rPr>
      <w:rFonts w:ascii="宋体" w:hAnsi="宋体" w:eastAsia="宋体" w:cs="Times New Roman"/>
      <w:sz w:val="24"/>
      <w:szCs w:val="20"/>
      <w:lang w:val="zh-CN"/>
    </w:rPr>
  </w:style>
  <w:style w:type="paragraph" w:customStyle="1" w:styleId="1575">
    <w:name w:val="lei样式2"/>
    <w:basedOn w:val="1"/>
    <w:unhideWhenUsed/>
    <w:qFormat/>
    <w:uiPriority w:val="0"/>
    <w:pPr>
      <w:numPr>
        <w:ilvl w:val="1"/>
        <w:numId w:val="21"/>
      </w:numPr>
      <w:spacing w:line="400" w:lineRule="exact"/>
      <w:ind w:firstLine="200" w:firstLineChars="200"/>
      <w:jc w:val="left"/>
    </w:pPr>
    <w:rPr>
      <w:rFonts w:ascii="Times New Roman" w:hAnsi="Times New Roman" w:eastAsia="宋体" w:cs="Times New Roman"/>
      <w:szCs w:val="24"/>
    </w:rPr>
  </w:style>
  <w:style w:type="paragraph" w:customStyle="1" w:styleId="1576">
    <w:name w:val="样式 文件1.1 + 段前: 1 行 段后: 0.5 行"/>
    <w:basedOn w:val="1"/>
    <w:semiHidden/>
    <w:qFormat/>
    <w:uiPriority w:val="0"/>
    <w:pPr>
      <w:numPr>
        <w:ilvl w:val="3"/>
        <w:numId w:val="22"/>
      </w:numPr>
      <w:spacing w:afterLines="50"/>
    </w:pPr>
    <w:rPr>
      <w:rFonts w:ascii="Times New Roman" w:hAnsi="Times New Roman" w:eastAsia="宋体" w:cs="Times New Roman"/>
      <w:szCs w:val="24"/>
    </w:rPr>
  </w:style>
  <w:style w:type="paragraph" w:customStyle="1" w:styleId="1577">
    <w:name w:val="Item Step in Table"/>
    <w:semiHidden/>
    <w:qFormat/>
    <w:uiPriority w:val="0"/>
    <w:pPr>
      <w:numPr>
        <w:ilvl w:val="0"/>
        <w:numId w:val="23"/>
      </w:numPr>
      <w:spacing w:before="40" w:after="40"/>
      <w:jc w:val="both"/>
    </w:pPr>
    <w:rPr>
      <w:rFonts w:ascii="Arial" w:hAnsi="Arial" w:eastAsia="宋体" w:cs="Arial"/>
      <w:sz w:val="18"/>
      <w:szCs w:val="18"/>
      <w:lang w:val="en-US" w:eastAsia="zh-CN" w:bidi="ar-SA"/>
    </w:rPr>
  </w:style>
  <w:style w:type="paragraph" w:customStyle="1" w:styleId="1578">
    <w:name w:val="样式 宋体 小四 加粗 左 行距: 1.5 倍行距"/>
    <w:basedOn w:val="1"/>
    <w:next w:val="1"/>
    <w:qFormat/>
    <w:uiPriority w:val="0"/>
    <w:pPr>
      <w:spacing w:before="120" w:beforeLines="50" w:after="120" w:afterLines="50" w:line="360" w:lineRule="auto"/>
      <w:ind w:firstLine="482"/>
      <w:jc w:val="left"/>
    </w:pPr>
    <w:rPr>
      <w:rFonts w:ascii="宋体" w:hAnsi="宋体" w:eastAsia="宋体" w:cs="宋体"/>
      <w:bCs/>
      <w:sz w:val="24"/>
      <w:szCs w:val="20"/>
    </w:rPr>
  </w:style>
  <w:style w:type="paragraph" w:customStyle="1" w:styleId="1579">
    <w:name w:val="Item List"/>
    <w:basedOn w:val="1"/>
    <w:qFormat/>
    <w:uiPriority w:val="0"/>
    <w:pPr>
      <w:widowControl/>
      <w:numPr>
        <w:ilvl w:val="0"/>
        <w:numId w:val="24"/>
      </w:numPr>
      <w:tabs>
        <w:tab w:val="left" w:pos="1620"/>
        <w:tab w:val="clear" w:pos="2041"/>
      </w:tabs>
      <w:ind w:left="1616" w:hanging="312"/>
      <w:jc w:val="left"/>
    </w:pPr>
    <w:rPr>
      <w:rFonts w:ascii="Arial" w:hAnsi="Arial" w:eastAsia="宋体" w:cs="宋体"/>
      <w:color w:val="000000"/>
      <w:sz w:val="24"/>
      <w:szCs w:val="21"/>
    </w:rPr>
  </w:style>
  <w:style w:type="character" w:customStyle="1" w:styleId="1580">
    <w:name w:val="投标项目符号2 Char Char"/>
    <w:qFormat/>
    <w:uiPriority w:val="0"/>
    <w:rPr>
      <w:rFonts w:ascii="宋体" w:hAnsi="宋体" w:eastAsia="宋体"/>
      <w:spacing w:val="20"/>
      <w:sz w:val="21"/>
      <w:szCs w:val="24"/>
      <w:lang w:val="en-GB" w:eastAsia="zh-CN" w:bidi="ar-SA"/>
    </w:rPr>
  </w:style>
  <w:style w:type="paragraph" w:customStyle="1" w:styleId="1581">
    <w:name w:val="表格标题"/>
    <w:basedOn w:val="1"/>
    <w:unhideWhenUsed/>
    <w:qFormat/>
    <w:locked/>
    <w:uiPriority w:val="10"/>
    <w:pPr>
      <w:widowControl/>
      <w:adjustRightInd w:val="0"/>
      <w:snapToGrid w:val="0"/>
      <w:spacing w:line="240" w:lineRule="exact"/>
      <w:jc w:val="center"/>
    </w:pPr>
    <w:rPr>
      <w:rFonts w:ascii="宋体" w:hAnsi="宋体" w:eastAsia="宋体" w:cs="宋体"/>
      <w:b/>
      <w:kern w:val="0"/>
      <w:szCs w:val="24"/>
    </w:rPr>
  </w:style>
  <w:style w:type="paragraph" w:customStyle="1" w:styleId="1582">
    <w:name w:val="Char Char22 Char 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583">
    <w:name w:val="正文111"/>
    <w:basedOn w:val="1"/>
    <w:unhideWhenUsed/>
    <w:qFormat/>
    <w:uiPriority w:val="0"/>
    <w:pPr>
      <w:numPr>
        <w:ilvl w:val="0"/>
        <w:numId w:val="25"/>
      </w:numPr>
      <w:snapToGrid w:val="0"/>
      <w:spacing w:line="500" w:lineRule="exact"/>
    </w:pPr>
    <w:rPr>
      <w:rFonts w:ascii="宋体" w:hAnsi="宋体" w:eastAsia="宋体" w:cs="Times New Roman"/>
      <w:sz w:val="24"/>
      <w:szCs w:val="20"/>
    </w:rPr>
  </w:style>
  <w:style w:type="paragraph" w:customStyle="1" w:styleId="1584">
    <w:name w:val="Char Char5 Char Char Char Char"/>
    <w:basedOn w:val="1"/>
    <w:qFormat/>
    <w:uiPriority w:val="0"/>
    <w:rPr>
      <w:rFonts w:ascii="Tahoma" w:hAnsi="Tahoma" w:eastAsia="宋体" w:cs="仿宋_GB2312"/>
      <w:sz w:val="24"/>
      <w:szCs w:val="20"/>
    </w:rPr>
  </w:style>
  <w:style w:type="paragraph" w:customStyle="1" w:styleId="1585">
    <w:name w:val="图解"/>
    <w:basedOn w:val="1"/>
    <w:next w:val="1"/>
    <w:qFormat/>
    <w:uiPriority w:val="0"/>
    <w:pPr>
      <w:spacing w:before="120" w:after="120"/>
      <w:jc w:val="center"/>
      <w:textAlignment w:val="center"/>
      <w:outlineLvl w:val="8"/>
    </w:pPr>
    <w:rPr>
      <w:rFonts w:ascii="宋体" w:hAnsi="Times New Roman" w:eastAsia="宋体" w:cs="Times New Roman"/>
      <w:sz w:val="18"/>
      <w:szCs w:val="18"/>
    </w:rPr>
  </w:style>
  <w:style w:type="paragraph" w:customStyle="1" w:styleId="1586">
    <w:name w:val="正文缩进(加粗)"/>
    <w:basedOn w:val="1"/>
    <w:qFormat/>
    <w:uiPriority w:val="0"/>
    <w:pPr>
      <w:adjustRightInd w:val="0"/>
      <w:spacing w:line="360" w:lineRule="auto"/>
      <w:ind w:firstLine="422" w:firstLineChars="200"/>
      <w:textAlignment w:val="baseline"/>
    </w:pPr>
    <w:rPr>
      <w:rFonts w:ascii="宋体" w:hAnsi="宋体" w:eastAsia="宋体" w:cs="Times New Roman"/>
      <w:b/>
      <w:bCs/>
      <w:szCs w:val="21"/>
    </w:rPr>
  </w:style>
  <w:style w:type="paragraph" w:customStyle="1" w:styleId="1587">
    <w:name w:val="Char Char22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588">
    <w:name w:val="Char Char21 Char Char Char Char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1589">
    <w:name w:val="bold size20 gray1 fontsans"/>
    <w:qFormat/>
    <w:uiPriority w:val="0"/>
  </w:style>
  <w:style w:type="character" w:customStyle="1" w:styleId="1590">
    <w:name w:val="article1"/>
    <w:qFormat/>
    <w:uiPriority w:val="0"/>
    <w:rPr>
      <w:sz w:val="22"/>
      <w:szCs w:val="22"/>
    </w:rPr>
  </w:style>
  <w:style w:type="paragraph" w:customStyle="1" w:styleId="1591">
    <w:name w:val="Char1 Char Char1 Char Char Char Char Char Char1 Char"/>
    <w:basedOn w:val="1"/>
    <w:qFormat/>
    <w:uiPriority w:val="0"/>
    <w:pPr>
      <w:tabs>
        <w:tab w:val="left" w:pos="780"/>
      </w:tabs>
      <w:ind w:left="780" w:hanging="360"/>
    </w:pPr>
    <w:rPr>
      <w:rFonts w:ascii="Times New Roman" w:hAnsi="Times New Roman" w:eastAsia="宋体" w:cs="Times New Roman"/>
      <w:sz w:val="24"/>
      <w:szCs w:val="24"/>
    </w:rPr>
  </w:style>
  <w:style w:type="character" w:customStyle="1" w:styleId="1592">
    <w:name w:val="title2 style1"/>
    <w:qFormat/>
    <w:uiPriority w:val="0"/>
  </w:style>
  <w:style w:type="paragraph" w:customStyle="1" w:styleId="1593">
    <w:name w:val="四号线第四级"/>
    <w:basedOn w:val="1"/>
    <w:qFormat/>
    <w:uiPriority w:val="0"/>
    <w:pPr>
      <w:tabs>
        <w:tab w:val="left" w:pos="600"/>
      </w:tabs>
      <w:ind w:left="600" w:hanging="420"/>
    </w:pPr>
    <w:rPr>
      <w:rFonts w:ascii="Times New Roman" w:hAnsi="Times New Roman" w:eastAsia="宋体" w:cs="Times New Roman"/>
      <w:szCs w:val="24"/>
    </w:rPr>
  </w:style>
  <w:style w:type="paragraph" w:customStyle="1" w:styleId="1594">
    <w:name w:val="样式 标题 2Title2H2h22nd levelheading 2Underrubrik1prop2PIM2..."/>
    <w:basedOn w:val="4"/>
    <w:link w:val="1595"/>
    <w:qFormat/>
    <w:uiPriority w:val="0"/>
    <w:pPr>
      <w:spacing w:beforeAutospacing="1" w:afterAutospacing="1" w:line="416" w:lineRule="auto"/>
    </w:pPr>
    <w:rPr>
      <w:rFonts w:ascii="宋体" w:hAnsi="宋体" w:eastAsia="宋体"/>
      <w:b w:val="0"/>
      <w:bCs w:val="0"/>
      <w:color w:val="000000"/>
      <w:sz w:val="24"/>
      <w:szCs w:val="20"/>
      <w:lang w:val="zh-CN"/>
    </w:rPr>
  </w:style>
  <w:style w:type="character" w:customStyle="1" w:styleId="1595">
    <w:name w:val="样式 标题 2Title2H2h22nd levelheading 2Underrubrik1prop2PIM2... Char"/>
    <w:link w:val="1594"/>
    <w:qFormat/>
    <w:uiPriority w:val="0"/>
    <w:rPr>
      <w:rFonts w:ascii="宋体" w:hAnsi="宋体" w:eastAsia="宋体" w:cs="Times New Roman"/>
      <w:color w:val="000000"/>
      <w:sz w:val="24"/>
      <w:szCs w:val="20"/>
      <w:lang w:val="zh-CN"/>
    </w:rPr>
  </w:style>
  <w:style w:type="paragraph" w:customStyle="1" w:styleId="1596">
    <w:name w:val="列表3"/>
    <w:basedOn w:val="1"/>
    <w:next w:val="1"/>
    <w:semiHidden/>
    <w:qFormat/>
    <w:uiPriority w:val="0"/>
    <w:pPr>
      <w:numPr>
        <w:ilvl w:val="0"/>
        <w:numId w:val="26"/>
      </w:numPr>
    </w:pPr>
    <w:rPr>
      <w:rFonts w:ascii="Times New Roman" w:hAnsi="Times New Roman" w:eastAsia="宋体" w:cs="Times New Roman"/>
      <w:szCs w:val="20"/>
    </w:rPr>
  </w:style>
  <w:style w:type="paragraph" w:customStyle="1" w:styleId="1597">
    <w:name w:val="列出段落11"/>
    <w:basedOn w:val="1"/>
    <w:qFormat/>
    <w:uiPriority w:val="0"/>
    <w:pPr>
      <w:ind w:firstLine="420" w:firstLineChars="200"/>
    </w:pPr>
    <w:rPr>
      <w:rFonts w:ascii="Times New Roman" w:hAnsi="Times New Roman" w:eastAsia="宋体" w:cs="Times New Roman"/>
      <w:szCs w:val="24"/>
      <w:lang w:val="zh-CN"/>
    </w:rPr>
  </w:style>
  <w:style w:type="character" w:customStyle="1" w:styleId="1598">
    <w:name w:val="未处理的提及11"/>
    <w:unhideWhenUsed/>
    <w:qFormat/>
    <w:uiPriority w:val="99"/>
    <w:rPr>
      <w:color w:val="605E5C"/>
      <w:shd w:val="clear" w:color="auto" w:fill="E1DFDD"/>
    </w:rPr>
  </w:style>
  <w:style w:type="character" w:customStyle="1" w:styleId="1599">
    <w:name w:val="标题 7 字符1"/>
    <w:semiHidden/>
    <w:qFormat/>
    <w:uiPriority w:val="9"/>
    <w:rPr>
      <w:b/>
      <w:sz w:val="24"/>
      <w:szCs w:val="24"/>
    </w:rPr>
  </w:style>
  <w:style w:type="paragraph" w:customStyle="1" w:styleId="1600">
    <w:name w:val="表格文字图表文字  ctrl+q"/>
    <w:basedOn w:val="1"/>
    <w:qFormat/>
    <w:uiPriority w:val="0"/>
    <w:pPr>
      <w:snapToGrid w:val="0"/>
      <w:spacing w:before="20" w:after="20"/>
      <w:ind w:left="227" w:firstLine="482"/>
      <w:jc w:val="center"/>
    </w:pPr>
    <w:rPr>
      <w:rFonts w:ascii="Times New Roman" w:hAnsi="Times New Roman" w:eastAsia="宋体" w:cs="宋体"/>
      <w:sz w:val="24"/>
      <w:szCs w:val="20"/>
    </w:rPr>
  </w:style>
  <w:style w:type="table" w:customStyle="1" w:styleId="1601">
    <w:name w:val="网格型5"/>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2">
    <w:name w:val="NormalCharacter"/>
    <w:qFormat/>
    <w:uiPriority w:val="0"/>
    <w:rPr>
      <w:rFonts w:ascii="Times New Roman" w:hAnsi="Times New Roman" w:eastAsia="宋体" w:cs="宋体"/>
      <w:kern w:val="2"/>
      <w:sz w:val="21"/>
      <w:szCs w:val="24"/>
      <w:lang w:val="en-US" w:eastAsia="zh-CN" w:bidi="ar-SA"/>
    </w:rPr>
  </w:style>
  <w:style w:type="paragraph" w:customStyle="1" w:styleId="1603">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1604">
    <w:name w:val="网格型21"/>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05">
    <w:name w:val="@@@规格书-正文"/>
    <w:qFormat/>
    <w:uiPriority w:val="0"/>
    <w:pPr>
      <w:autoSpaceDE w:val="0"/>
      <w:autoSpaceDN w:val="0"/>
      <w:adjustRightInd w:val="0"/>
      <w:snapToGrid w:val="0"/>
      <w:spacing w:line="360" w:lineRule="auto"/>
      <w:ind w:firstLine="200" w:firstLineChars="200"/>
      <w:jc w:val="both"/>
    </w:pPr>
    <w:rPr>
      <w:rFonts w:ascii="Times New Roman" w:hAnsi="Times New Roman" w:eastAsia="宋体" w:cs="宋体"/>
      <w:snapToGrid w:val="0"/>
      <w:kern w:val="2"/>
      <w:sz w:val="21"/>
      <w:szCs w:val="21"/>
      <w:lang w:val="en-US" w:eastAsia="zh-CN" w:bidi="ar-SA"/>
    </w:rPr>
  </w:style>
  <w:style w:type="paragraph" w:customStyle="1" w:styleId="1606">
    <w:name w:val="居中 黑体 小三"/>
    <w:qFormat/>
    <w:uiPriority w:val="0"/>
    <w:pPr>
      <w:widowControl w:val="0"/>
      <w:adjustRightInd w:val="0"/>
      <w:snapToGrid w:val="0"/>
      <w:spacing w:before="156" w:beforeLines="50" w:line="300" w:lineRule="auto"/>
      <w:jc w:val="center"/>
    </w:pPr>
    <w:rPr>
      <w:rFonts w:ascii="黑体" w:hAnsi="黑体" w:eastAsia="黑体" w:cs="宋体"/>
      <w:kern w:val="2"/>
      <w:sz w:val="30"/>
      <w:szCs w:val="30"/>
      <w:lang w:val="en-US" w:eastAsia="zh-CN" w:bidi="ar-SA"/>
    </w:rPr>
  </w:style>
  <w:style w:type="paragraph" w:customStyle="1" w:styleId="1607">
    <w:name w:val="【正文】"/>
    <w:basedOn w:val="1"/>
    <w:qFormat/>
    <w:uiPriority w:val="0"/>
    <w:pPr>
      <w:widowControl/>
    </w:pPr>
    <w:rPr>
      <w:rFonts w:ascii="Times New Roman" w:hAnsi="Times New Roman" w:cs="Times New Roman"/>
      <w:szCs w:val="20"/>
    </w:rPr>
  </w:style>
  <w:style w:type="paragraph" w:customStyle="1" w:styleId="1608">
    <w:name w:val="*正文"/>
    <w:basedOn w:val="1"/>
    <w:qFormat/>
    <w:uiPriority w:val="0"/>
    <w:pPr>
      <w:widowControl/>
      <w:spacing w:after="120"/>
    </w:pPr>
    <w:rPr>
      <w:rFonts w:ascii="宋体" w:hAnsi="宋体"/>
      <w:szCs w:val="24"/>
    </w:rPr>
  </w:style>
  <w:style w:type="paragraph" w:customStyle="1" w:styleId="1609">
    <w:name w:val="Table Paragraph"/>
    <w:basedOn w:val="1"/>
    <w:qFormat/>
    <w:uiPriority w:val="1"/>
    <w:pPr>
      <w:jc w:val="left"/>
    </w:pPr>
    <w:rPr>
      <w:rFonts w:ascii="Calibri" w:hAnsi="Calibri" w:eastAsia="宋体" w:cs="Times New Roman"/>
      <w:kern w:val="0"/>
      <w:sz w:val="22"/>
      <w:lang w:eastAsia="en-US"/>
    </w:rPr>
  </w:style>
  <w:style w:type="paragraph" w:customStyle="1" w:styleId="16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emf"/><Relationship Id="rId23" Type="http://schemas.openxmlformats.org/officeDocument/2006/relationships/oleObject" Target="embeddings/oleObject3.bin"/><Relationship Id="rId22" Type="http://schemas.openxmlformats.org/officeDocument/2006/relationships/image" Target="media/image6.emf"/><Relationship Id="rId21" Type="http://schemas.openxmlformats.org/officeDocument/2006/relationships/oleObject" Target="embeddings/oleObject2.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74589</Words>
  <Characters>78246</Characters>
  <Lines>3087</Lines>
  <Paragraphs>3013</Paragraphs>
  <TotalTime>0</TotalTime>
  <ScaleCrop>false</ScaleCrop>
  <LinksUpToDate>false</LinksUpToDate>
  <CharactersWithSpaces>79997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2025-03-19T03:36:00Z</dcterms:created>
  <dc:creator>gcmc-luyue</dc:creator>
  <cp:lastModifiedBy>郑郑</cp:lastModifiedBy>
  <cp:lastPrinted>2025-07-10T07:25:00Z</cp:lastPrinted>
  <dcterms:modified xsi:type="dcterms:W3CDTF">2025-07-10T09:03:35Z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eyJoZGlkIjoiYTc2ODZmMGJiMWI0NDA4YzI2M2Q2MTM4Nzc1ZWM4ZWEiLCJ1c2VySWQiOiIzMzk3MjI0ODcifQ==</vt:lpwstr>
  </property>
  <property fmtid="{D5CDD505-2E9C-101B-9397-08002B2CF9AE}" pid="3" name="KSOProductBuildVer">
    <vt:lpwstr>2052-12.1.0.18276</vt:lpwstr>
  </property>
  <property fmtid="{D5CDD505-2E9C-101B-9397-08002B2CF9AE}" pid="4" name="ICV">
    <vt:lpwstr>7F01B68553B74CC3B3150920261C33A0_13</vt:lpwstr>
  </property>
</Properties>
</file>