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702EF">
      <w:pPr>
        <w:spacing w:after="120"/>
        <w:ind w:firstLine="220"/>
        <w:jc w:val="center"/>
        <w:rPr>
          <w:rFonts w:ascii="黑体" w:eastAsia="黑体"/>
          <w:color w:val="000000"/>
          <w:sz w:val="11"/>
          <w:szCs w:val="11"/>
          <w:highlight w:val="none"/>
        </w:rPr>
      </w:pPr>
      <w:bookmarkStart w:id="0" w:name="_Toc114052336"/>
      <w:bookmarkStart w:id="1" w:name="_Toc286386830"/>
      <w:bookmarkStart w:id="2" w:name="_Toc114052410"/>
    </w:p>
    <w:p w14:paraId="49085155">
      <w:pPr>
        <w:spacing w:after="120"/>
        <w:ind w:firstLine="220"/>
        <w:jc w:val="center"/>
        <w:rPr>
          <w:rFonts w:ascii="黑体" w:eastAsia="黑体"/>
          <w:color w:val="000000"/>
          <w:sz w:val="11"/>
          <w:szCs w:val="11"/>
          <w:highlight w:val="none"/>
        </w:rPr>
      </w:pPr>
    </w:p>
    <w:p w14:paraId="5F2500CB">
      <w:pPr>
        <w:spacing w:after="120"/>
        <w:jc w:val="center"/>
        <w:rPr>
          <w:rFonts w:ascii="黑体" w:eastAsia="黑体"/>
          <w:color w:val="000000"/>
          <w:sz w:val="44"/>
          <w:szCs w:val="48"/>
          <w:highlight w:val="none"/>
        </w:rPr>
      </w:pPr>
      <w:r>
        <w:rPr>
          <w:rFonts w:hint="eastAsia" w:ascii="黑体" w:eastAsia="黑体"/>
          <w:color w:val="000000"/>
          <w:sz w:val="44"/>
          <w:szCs w:val="48"/>
          <w:highlight w:val="none"/>
        </w:rPr>
        <w:t>南宁轨道交通对客服务平台大会员系统建设咨询服务项目</w:t>
      </w:r>
    </w:p>
    <w:p w14:paraId="299C6090">
      <w:pPr>
        <w:spacing w:after="120"/>
        <w:ind w:firstLine="720"/>
        <w:jc w:val="center"/>
        <w:rPr>
          <w:rFonts w:ascii="黑体" w:eastAsia="黑体"/>
          <w:color w:val="000000"/>
          <w:sz w:val="36"/>
          <w:szCs w:val="36"/>
          <w:highlight w:val="none"/>
        </w:rPr>
      </w:pPr>
      <w:r>
        <w:rPr>
          <w:rFonts w:hint="eastAsia" w:ascii="黑体" w:eastAsia="黑体"/>
          <w:color w:val="000000"/>
          <w:sz w:val="36"/>
          <w:szCs w:val="36"/>
          <w:highlight w:val="none"/>
        </w:rPr>
        <w:t xml:space="preserve"> </w:t>
      </w:r>
    </w:p>
    <w:p w14:paraId="6F312E9B">
      <w:pPr>
        <w:spacing w:after="120"/>
        <w:ind w:firstLine="720"/>
        <w:jc w:val="center"/>
        <w:rPr>
          <w:rFonts w:ascii="黑体" w:eastAsia="黑体"/>
          <w:color w:val="000000"/>
          <w:sz w:val="36"/>
          <w:szCs w:val="44"/>
          <w:highlight w:val="none"/>
        </w:rPr>
      </w:pPr>
    </w:p>
    <w:p w14:paraId="4CD5D649">
      <w:pPr>
        <w:spacing w:after="120"/>
        <w:ind w:firstLine="1044"/>
        <w:jc w:val="center"/>
        <w:rPr>
          <w:rFonts w:eastAsia="黑体"/>
          <w:b/>
          <w:color w:val="000000"/>
          <w:sz w:val="52"/>
          <w:szCs w:val="52"/>
          <w:highlight w:val="none"/>
        </w:rPr>
      </w:pPr>
      <w:r>
        <w:rPr>
          <w:rFonts w:hint="eastAsia" w:eastAsia="黑体"/>
          <w:b/>
          <w:color w:val="000000"/>
          <w:sz w:val="52"/>
          <w:szCs w:val="52"/>
          <w:highlight w:val="none"/>
        </w:rPr>
        <w:t xml:space="preserve">   </w:t>
      </w:r>
    </w:p>
    <w:p w14:paraId="428A909A">
      <w:pPr>
        <w:spacing w:after="120"/>
        <w:jc w:val="center"/>
        <w:rPr>
          <w:rFonts w:eastAsia="黑体"/>
          <w:b/>
          <w:color w:val="000000"/>
          <w:sz w:val="52"/>
          <w:szCs w:val="52"/>
          <w:highlight w:val="none"/>
        </w:rPr>
      </w:pPr>
      <w:r>
        <w:rPr>
          <w:rFonts w:hint="eastAsia" w:eastAsia="黑体"/>
          <w:b/>
          <w:color w:val="000000"/>
          <w:sz w:val="52"/>
          <w:szCs w:val="52"/>
          <w:highlight w:val="none"/>
        </w:rPr>
        <w:t>比</w:t>
      </w:r>
    </w:p>
    <w:p w14:paraId="58DA34DE">
      <w:pPr>
        <w:spacing w:after="120"/>
        <w:jc w:val="center"/>
        <w:rPr>
          <w:rFonts w:eastAsia="黑体"/>
          <w:b/>
          <w:color w:val="000000"/>
          <w:sz w:val="52"/>
          <w:szCs w:val="52"/>
          <w:highlight w:val="none"/>
        </w:rPr>
      </w:pPr>
      <w:r>
        <w:rPr>
          <w:rFonts w:hint="eastAsia" w:eastAsia="黑体"/>
          <w:b/>
          <w:color w:val="000000"/>
          <w:sz w:val="52"/>
          <w:szCs w:val="52"/>
          <w:highlight w:val="none"/>
        </w:rPr>
        <w:t>选</w:t>
      </w:r>
    </w:p>
    <w:p w14:paraId="462B0915">
      <w:pPr>
        <w:spacing w:after="120"/>
        <w:jc w:val="center"/>
        <w:rPr>
          <w:rFonts w:eastAsia="黑体"/>
          <w:b/>
          <w:color w:val="000000"/>
          <w:sz w:val="52"/>
          <w:szCs w:val="52"/>
          <w:highlight w:val="none"/>
        </w:rPr>
      </w:pPr>
      <w:r>
        <w:rPr>
          <w:rFonts w:eastAsia="黑体"/>
          <w:b/>
          <w:color w:val="000000"/>
          <w:sz w:val="52"/>
          <w:szCs w:val="52"/>
          <w:highlight w:val="none"/>
        </w:rPr>
        <w:t>文</w:t>
      </w:r>
    </w:p>
    <w:p w14:paraId="7C083BB3">
      <w:pPr>
        <w:spacing w:after="120"/>
        <w:jc w:val="center"/>
        <w:rPr>
          <w:rFonts w:eastAsia="黑体"/>
          <w:b/>
          <w:color w:val="000000"/>
          <w:sz w:val="52"/>
          <w:szCs w:val="52"/>
          <w:highlight w:val="none"/>
        </w:rPr>
      </w:pPr>
      <w:r>
        <w:rPr>
          <w:rFonts w:eastAsia="黑体"/>
          <w:b/>
          <w:color w:val="000000"/>
          <w:sz w:val="52"/>
          <w:szCs w:val="52"/>
          <w:highlight w:val="none"/>
        </w:rPr>
        <w:t>件</w:t>
      </w:r>
    </w:p>
    <w:p w14:paraId="62E73065">
      <w:pPr>
        <w:spacing w:line="360" w:lineRule="exact"/>
        <w:ind w:firstLine="1044"/>
        <w:jc w:val="center"/>
        <w:rPr>
          <w:rFonts w:ascii="宋体"/>
          <w:b/>
          <w:color w:val="000000"/>
          <w:sz w:val="52"/>
          <w:szCs w:val="20"/>
          <w:highlight w:val="none"/>
        </w:rPr>
      </w:pPr>
    </w:p>
    <w:p w14:paraId="5A3881F5">
      <w:pPr>
        <w:spacing w:line="360" w:lineRule="exact"/>
        <w:ind w:firstLine="1044"/>
        <w:jc w:val="center"/>
        <w:rPr>
          <w:rFonts w:ascii="宋体"/>
          <w:b/>
          <w:color w:val="000000"/>
          <w:sz w:val="52"/>
          <w:szCs w:val="20"/>
          <w:highlight w:val="none"/>
        </w:rPr>
      </w:pPr>
    </w:p>
    <w:p w14:paraId="44DE8A17">
      <w:pPr>
        <w:spacing w:line="360" w:lineRule="exact"/>
        <w:jc w:val="both"/>
        <w:rPr>
          <w:rFonts w:ascii="宋体"/>
          <w:b/>
          <w:color w:val="000000"/>
          <w:sz w:val="52"/>
          <w:szCs w:val="20"/>
          <w:highlight w:val="none"/>
        </w:rPr>
      </w:pPr>
    </w:p>
    <w:p w14:paraId="28647863">
      <w:pPr>
        <w:spacing w:line="360" w:lineRule="exact"/>
        <w:ind w:left="630" w:leftChars="300" w:firstLine="560"/>
        <w:rPr>
          <w:color w:val="000000"/>
          <w:sz w:val="28"/>
          <w:szCs w:val="28"/>
          <w:highlight w:val="none"/>
        </w:rPr>
      </w:pPr>
    </w:p>
    <w:p w14:paraId="316B3440">
      <w:pPr>
        <w:spacing w:line="360" w:lineRule="exact"/>
        <w:ind w:firstLine="560"/>
        <w:rPr>
          <w:rFonts w:ascii="黑体" w:eastAsia="黑体"/>
          <w:color w:val="000000"/>
          <w:sz w:val="28"/>
          <w:szCs w:val="28"/>
          <w:highlight w:val="none"/>
        </w:rPr>
      </w:pPr>
    </w:p>
    <w:p w14:paraId="78C03D42">
      <w:pPr>
        <w:spacing w:line="360" w:lineRule="exact"/>
        <w:ind w:firstLine="560"/>
        <w:jc w:val="center"/>
        <w:rPr>
          <w:rFonts w:ascii="黑体" w:eastAsia="黑体"/>
          <w:color w:val="000000"/>
          <w:sz w:val="28"/>
          <w:szCs w:val="28"/>
          <w:highlight w:val="none"/>
        </w:rPr>
      </w:pPr>
      <w:r>
        <w:rPr>
          <w:rFonts w:hint="eastAsia" w:ascii="黑体" w:eastAsia="黑体"/>
          <w:color w:val="000000"/>
          <w:sz w:val="28"/>
          <w:szCs w:val="28"/>
          <w:highlight w:val="none"/>
        </w:rPr>
        <w:t>比选发起人：南宁轨道数智科技有限公司</w:t>
      </w:r>
    </w:p>
    <w:p w14:paraId="01FB0E28">
      <w:pPr>
        <w:ind w:firstLine="560"/>
        <w:jc w:val="center"/>
        <w:rPr>
          <w:rFonts w:ascii="黑体" w:eastAsia="黑体"/>
          <w:color w:val="000000"/>
          <w:sz w:val="28"/>
          <w:szCs w:val="28"/>
          <w:highlight w:val="none"/>
        </w:rPr>
      </w:pPr>
      <w:r>
        <w:rPr>
          <w:rFonts w:ascii="黑体" w:eastAsia="黑体"/>
          <w:color w:val="000000"/>
          <w:sz w:val="28"/>
          <w:szCs w:val="28"/>
          <w:highlight w:val="none"/>
        </w:rPr>
        <w:t>20</w:t>
      </w:r>
      <w:r>
        <w:rPr>
          <w:rFonts w:hint="eastAsia" w:ascii="黑体" w:eastAsia="黑体"/>
          <w:color w:val="000000"/>
          <w:sz w:val="28"/>
          <w:szCs w:val="28"/>
          <w:highlight w:val="none"/>
        </w:rPr>
        <w:t>25年</w:t>
      </w:r>
      <w:r>
        <w:rPr>
          <w:rFonts w:hint="eastAsia" w:ascii="黑体" w:eastAsia="黑体"/>
          <w:color w:val="000000"/>
          <w:sz w:val="28"/>
          <w:szCs w:val="28"/>
          <w:highlight w:val="none"/>
          <w:lang w:val="en-US" w:eastAsia="zh-CN"/>
        </w:rPr>
        <w:t>5</w:t>
      </w:r>
      <w:r>
        <w:rPr>
          <w:rFonts w:hint="eastAsia" w:ascii="黑体" w:eastAsia="黑体"/>
          <w:color w:val="000000"/>
          <w:sz w:val="28"/>
          <w:szCs w:val="28"/>
          <w:highlight w:val="none"/>
        </w:rPr>
        <w:t>月</w:t>
      </w:r>
    </w:p>
    <w:p w14:paraId="38E525D3">
      <w:pPr>
        <w:ind w:firstLine="560"/>
        <w:jc w:val="center"/>
        <w:rPr>
          <w:rFonts w:ascii="宋体" w:hAnsi="宋体"/>
          <w:b/>
          <w:color w:val="000000"/>
          <w:sz w:val="52"/>
          <w:szCs w:val="52"/>
          <w:highlight w:val="none"/>
          <w:lang w:val="zh-CN"/>
        </w:rPr>
        <w:sectPr>
          <w:headerReference r:id="rId6" w:type="first"/>
          <w:footerReference r:id="rId9" w:type="first"/>
          <w:footerReference r:id="rId7" w:type="default"/>
          <w:headerReference r:id="rId5" w:type="even"/>
          <w:footerReference r:id="rId8" w:type="even"/>
          <w:pgSz w:w="11906" w:h="16838"/>
          <w:pgMar w:top="1134" w:right="1418" w:bottom="1134" w:left="1418" w:header="851" w:footer="567" w:gutter="0"/>
          <w:cols w:space="720" w:num="1"/>
          <w:docGrid w:type="lines" w:linePitch="312" w:charSpace="0"/>
        </w:sectPr>
      </w:pPr>
    </w:p>
    <w:p w14:paraId="175ACDB4">
      <w:pPr>
        <w:ind w:firstLine="560"/>
        <w:jc w:val="center"/>
        <w:rPr>
          <w:rFonts w:ascii="宋体" w:hAnsi="宋体"/>
          <w:b/>
          <w:color w:val="000000"/>
          <w:sz w:val="18"/>
          <w:szCs w:val="18"/>
          <w:highlight w:val="none"/>
          <w:lang w:val="zh-CN"/>
        </w:rPr>
      </w:pPr>
      <w:r>
        <w:rPr>
          <w:rFonts w:ascii="宋体" w:hAnsi="宋体"/>
          <w:b/>
          <w:color w:val="000000"/>
          <w:sz w:val="52"/>
          <w:szCs w:val="52"/>
          <w:highlight w:val="none"/>
          <w:lang w:val="zh-CN"/>
        </w:rPr>
        <w:t>目</w:t>
      </w:r>
      <w:r>
        <w:rPr>
          <w:rFonts w:hint="eastAsia" w:ascii="宋体" w:hAnsi="宋体"/>
          <w:b/>
          <w:color w:val="000000"/>
          <w:sz w:val="52"/>
          <w:szCs w:val="52"/>
          <w:highlight w:val="none"/>
          <w:lang w:val="zh-CN"/>
        </w:rPr>
        <w:t xml:space="preserve">  </w:t>
      </w:r>
      <w:r>
        <w:rPr>
          <w:rFonts w:ascii="宋体" w:hAnsi="宋体"/>
          <w:b/>
          <w:color w:val="000000"/>
          <w:sz w:val="52"/>
          <w:szCs w:val="52"/>
          <w:highlight w:val="none"/>
          <w:lang w:val="zh-CN"/>
        </w:rPr>
        <w:t>录</w:t>
      </w:r>
    </w:p>
    <w:p w14:paraId="11923C93">
      <w:pPr>
        <w:ind w:firstLine="480"/>
        <w:rPr>
          <w:color w:val="000000"/>
          <w:highlight w:val="none"/>
          <w:lang w:val="zh-CN"/>
        </w:rPr>
      </w:pPr>
    </w:p>
    <w:p w14:paraId="322A9724">
      <w:pPr>
        <w:pStyle w:val="23"/>
        <w:tabs>
          <w:tab w:val="right" w:leader="dot" w:pos="9070"/>
        </w:tabs>
        <w:rPr>
          <w:highlight w:val="none"/>
        </w:rPr>
      </w:pPr>
      <w:r>
        <w:rPr>
          <w:color w:val="000000"/>
          <w:sz w:val="21"/>
          <w:szCs w:val="21"/>
          <w:highlight w:val="none"/>
        </w:rPr>
        <w:fldChar w:fldCharType="begin"/>
      </w:r>
      <w:r>
        <w:rPr>
          <w:color w:val="000000"/>
          <w:sz w:val="21"/>
          <w:szCs w:val="21"/>
          <w:highlight w:val="none"/>
        </w:rPr>
        <w:instrText xml:space="preserve"> TOC \o "1-3" \h \z \u </w:instrText>
      </w:r>
      <w:r>
        <w:rPr>
          <w:color w:val="000000"/>
          <w:sz w:val="21"/>
          <w:szCs w:val="21"/>
          <w:highlight w:val="none"/>
        </w:rPr>
        <w:fldChar w:fldCharType="separate"/>
      </w:r>
      <w:r>
        <w:rPr>
          <w:highlight w:val="none"/>
        </w:rPr>
        <w:fldChar w:fldCharType="begin"/>
      </w:r>
      <w:r>
        <w:rPr>
          <w:highlight w:val="none"/>
        </w:rPr>
        <w:instrText xml:space="preserve"> HYPERLINK \l "_Toc23947" </w:instrText>
      </w:r>
      <w:r>
        <w:rPr>
          <w:highlight w:val="none"/>
        </w:rPr>
        <w:fldChar w:fldCharType="separate"/>
      </w:r>
      <w:r>
        <w:rPr>
          <w:rFonts w:hint="eastAsia" w:cs="宋体"/>
          <w:kern w:val="44"/>
          <w:szCs w:val="28"/>
          <w:highlight w:val="none"/>
        </w:rPr>
        <w:t>第一章 比选须知</w:t>
      </w:r>
      <w:r>
        <w:rPr>
          <w:highlight w:val="none"/>
        </w:rPr>
        <w:tab/>
      </w:r>
      <w:r>
        <w:rPr>
          <w:highlight w:val="none"/>
        </w:rPr>
        <w:fldChar w:fldCharType="begin"/>
      </w:r>
      <w:r>
        <w:rPr>
          <w:highlight w:val="none"/>
        </w:rPr>
        <w:instrText xml:space="preserve"> PAGEREF _Toc23947 \h </w:instrText>
      </w:r>
      <w:r>
        <w:rPr>
          <w:highlight w:val="none"/>
        </w:rPr>
        <w:fldChar w:fldCharType="separate"/>
      </w:r>
      <w:r>
        <w:rPr>
          <w:highlight w:val="none"/>
        </w:rPr>
        <w:t>5</w:t>
      </w:r>
      <w:r>
        <w:rPr>
          <w:highlight w:val="none"/>
        </w:rPr>
        <w:fldChar w:fldCharType="end"/>
      </w:r>
      <w:r>
        <w:rPr>
          <w:highlight w:val="none"/>
        </w:rPr>
        <w:fldChar w:fldCharType="end"/>
      </w:r>
    </w:p>
    <w:p w14:paraId="26F4FB59">
      <w:pPr>
        <w:pStyle w:val="27"/>
        <w:tabs>
          <w:tab w:val="right" w:leader="dot" w:pos="9070"/>
          <w:tab w:val="clear" w:pos="9061"/>
        </w:tabs>
        <w:rPr>
          <w:highlight w:val="none"/>
        </w:rPr>
      </w:pPr>
      <w:r>
        <w:rPr>
          <w:highlight w:val="none"/>
        </w:rPr>
        <w:fldChar w:fldCharType="begin"/>
      </w:r>
      <w:r>
        <w:rPr>
          <w:highlight w:val="none"/>
        </w:rPr>
        <w:instrText xml:space="preserve"> HYPERLINK \l "_Toc19580" </w:instrText>
      </w:r>
      <w:r>
        <w:rPr>
          <w:highlight w:val="none"/>
        </w:rPr>
        <w:fldChar w:fldCharType="separate"/>
      </w:r>
      <w:r>
        <w:rPr>
          <w:rFonts w:hint="eastAsia" w:ascii="宋体" w:hAnsi="宋体" w:eastAsia="宋体"/>
          <w:szCs w:val="28"/>
          <w:highlight w:val="none"/>
        </w:rPr>
        <w:t>一、总   则</w:t>
      </w:r>
      <w:r>
        <w:rPr>
          <w:highlight w:val="none"/>
        </w:rPr>
        <w:tab/>
      </w:r>
      <w:r>
        <w:rPr>
          <w:highlight w:val="none"/>
        </w:rPr>
        <w:fldChar w:fldCharType="begin"/>
      </w:r>
      <w:r>
        <w:rPr>
          <w:highlight w:val="none"/>
        </w:rPr>
        <w:instrText xml:space="preserve"> PAGEREF _Toc19580 \h </w:instrText>
      </w:r>
      <w:r>
        <w:rPr>
          <w:highlight w:val="none"/>
        </w:rPr>
        <w:fldChar w:fldCharType="separate"/>
      </w:r>
      <w:r>
        <w:rPr>
          <w:highlight w:val="none"/>
        </w:rPr>
        <w:t>6</w:t>
      </w:r>
      <w:r>
        <w:rPr>
          <w:highlight w:val="none"/>
        </w:rPr>
        <w:fldChar w:fldCharType="end"/>
      </w:r>
      <w:r>
        <w:rPr>
          <w:highlight w:val="none"/>
        </w:rPr>
        <w:fldChar w:fldCharType="end"/>
      </w:r>
    </w:p>
    <w:p w14:paraId="1F5B52CF">
      <w:pPr>
        <w:pStyle w:val="27"/>
        <w:tabs>
          <w:tab w:val="right" w:leader="dot" w:pos="9070"/>
          <w:tab w:val="clear" w:pos="9061"/>
        </w:tabs>
        <w:rPr>
          <w:highlight w:val="none"/>
        </w:rPr>
      </w:pPr>
      <w:r>
        <w:rPr>
          <w:highlight w:val="none"/>
        </w:rPr>
        <w:fldChar w:fldCharType="begin"/>
      </w:r>
      <w:r>
        <w:rPr>
          <w:highlight w:val="none"/>
        </w:rPr>
        <w:instrText xml:space="preserve"> HYPERLINK \l "_Toc3917" </w:instrText>
      </w:r>
      <w:r>
        <w:rPr>
          <w:highlight w:val="none"/>
        </w:rPr>
        <w:fldChar w:fldCharType="separate"/>
      </w:r>
      <w:r>
        <w:rPr>
          <w:rFonts w:hint="eastAsia" w:ascii="宋体" w:hAnsi="宋体" w:eastAsia="宋体"/>
          <w:szCs w:val="28"/>
          <w:highlight w:val="none"/>
        </w:rPr>
        <w:t>二、比选文件</w:t>
      </w:r>
      <w:r>
        <w:rPr>
          <w:highlight w:val="none"/>
        </w:rPr>
        <w:tab/>
      </w:r>
      <w:r>
        <w:rPr>
          <w:highlight w:val="none"/>
        </w:rPr>
        <w:fldChar w:fldCharType="begin"/>
      </w:r>
      <w:r>
        <w:rPr>
          <w:highlight w:val="none"/>
        </w:rPr>
        <w:instrText xml:space="preserve"> PAGEREF _Toc3917 \h </w:instrText>
      </w:r>
      <w:r>
        <w:rPr>
          <w:highlight w:val="none"/>
        </w:rPr>
        <w:fldChar w:fldCharType="separate"/>
      </w:r>
      <w:r>
        <w:rPr>
          <w:highlight w:val="none"/>
        </w:rPr>
        <w:t>7</w:t>
      </w:r>
      <w:r>
        <w:rPr>
          <w:highlight w:val="none"/>
        </w:rPr>
        <w:fldChar w:fldCharType="end"/>
      </w:r>
      <w:r>
        <w:rPr>
          <w:highlight w:val="none"/>
        </w:rPr>
        <w:fldChar w:fldCharType="end"/>
      </w:r>
    </w:p>
    <w:p w14:paraId="0D84A200">
      <w:pPr>
        <w:pStyle w:val="27"/>
        <w:tabs>
          <w:tab w:val="right" w:leader="dot" w:pos="9070"/>
          <w:tab w:val="clear" w:pos="9061"/>
        </w:tabs>
        <w:rPr>
          <w:highlight w:val="none"/>
        </w:rPr>
      </w:pPr>
      <w:r>
        <w:rPr>
          <w:highlight w:val="none"/>
        </w:rPr>
        <w:fldChar w:fldCharType="begin"/>
      </w:r>
      <w:r>
        <w:rPr>
          <w:highlight w:val="none"/>
        </w:rPr>
        <w:instrText xml:space="preserve"> HYPERLINK \l "_Toc20534" </w:instrText>
      </w:r>
      <w:r>
        <w:rPr>
          <w:highlight w:val="none"/>
        </w:rPr>
        <w:fldChar w:fldCharType="separate"/>
      </w:r>
      <w:r>
        <w:rPr>
          <w:rFonts w:hint="eastAsia" w:ascii="宋体" w:hAnsi="宋体" w:eastAsia="宋体"/>
          <w:szCs w:val="28"/>
          <w:highlight w:val="none"/>
        </w:rPr>
        <w:t>三、申请比选报价说明</w:t>
      </w:r>
      <w:r>
        <w:rPr>
          <w:highlight w:val="none"/>
        </w:rPr>
        <w:tab/>
      </w:r>
      <w:r>
        <w:rPr>
          <w:highlight w:val="none"/>
        </w:rPr>
        <w:fldChar w:fldCharType="begin"/>
      </w:r>
      <w:r>
        <w:rPr>
          <w:highlight w:val="none"/>
        </w:rPr>
        <w:instrText xml:space="preserve"> PAGEREF _Toc20534 \h </w:instrText>
      </w:r>
      <w:r>
        <w:rPr>
          <w:highlight w:val="none"/>
        </w:rPr>
        <w:fldChar w:fldCharType="separate"/>
      </w:r>
      <w:r>
        <w:rPr>
          <w:highlight w:val="none"/>
        </w:rPr>
        <w:t>8</w:t>
      </w:r>
      <w:r>
        <w:rPr>
          <w:highlight w:val="none"/>
        </w:rPr>
        <w:fldChar w:fldCharType="end"/>
      </w:r>
      <w:r>
        <w:rPr>
          <w:highlight w:val="none"/>
        </w:rPr>
        <w:fldChar w:fldCharType="end"/>
      </w:r>
    </w:p>
    <w:p w14:paraId="34478276">
      <w:pPr>
        <w:pStyle w:val="27"/>
        <w:tabs>
          <w:tab w:val="right" w:leader="dot" w:pos="9070"/>
          <w:tab w:val="clear" w:pos="9061"/>
        </w:tabs>
        <w:rPr>
          <w:highlight w:val="none"/>
        </w:rPr>
      </w:pPr>
      <w:r>
        <w:rPr>
          <w:highlight w:val="none"/>
        </w:rPr>
        <w:fldChar w:fldCharType="begin"/>
      </w:r>
      <w:r>
        <w:rPr>
          <w:highlight w:val="none"/>
        </w:rPr>
        <w:instrText xml:space="preserve"> HYPERLINK \l "_Toc7022" </w:instrText>
      </w:r>
      <w:r>
        <w:rPr>
          <w:highlight w:val="none"/>
        </w:rPr>
        <w:fldChar w:fldCharType="separate"/>
      </w:r>
      <w:r>
        <w:rPr>
          <w:rFonts w:hint="eastAsia" w:ascii="宋体" w:hAnsi="宋体" w:eastAsia="宋体"/>
          <w:szCs w:val="28"/>
          <w:highlight w:val="none"/>
        </w:rPr>
        <w:t>四、比选申请文件的编制</w:t>
      </w:r>
      <w:r>
        <w:rPr>
          <w:highlight w:val="none"/>
        </w:rPr>
        <w:tab/>
      </w:r>
      <w:r>
        <w:rPr>
          <w:highlight w:val="none"/>
        </w:rPr>
        <w:fldChar w:fldCharType="begin"/>
      </w:r>
      <w:r>
        <w:rPr>
          <w:highlight w:val="none"/>
        </w:rPr>
        <w:instrText xml:space="preserve"> PAGEREF _Toc7022 \h </w:instrText>
      </w:r>
      <w:r>
        <w:rPr>
          <w:highlight w:val="none"/>
        </w:rPr>
        <w:fldChar w:fldCharType="separate"/>
      </w:r>
      <w:r>
        <w:rPr>
          <w:highlight w:val="none"/>
        </w:rPr>
        <w:t>8</w:t>
      </w:r>
      <w:r>
        <w:rPr>
          <w:highlight w:val="none"/>
        </w:rPr>
        <w:fldChar w:fldCharType="end"/>
      </w:r>
      <w:r>
        <w:rPr>
          <w:highlight w:val="none"/>
        </w:rPr>
        <w:fldChar w:fldCharType="end"/>
      </w:r>
    </w:p>
    <w:p w14:paraId="3664C601">
      <w:pPr>
        <w:pStyle w:val="27"/>
        <w:tabs>
          <w:tab w:val="right" w:leader="dot" w:pos="9070"/>
          <w:tab w:val="clear" w:pos="9061"/>
        </w:tabs>
        <w:rPr>
          <w:highlight w:val="none"/>
        </w:rPr>
      </w:pPr>
      <w:r>
        <w:rPr>
          <w:highlight w:val="none"/>
        </w:rPr>
        <w:fldChar w:fldCharType="begin"/>
      </w:r>
      <w:r>
        <w:rPr>
          <w:highlight w:val="none"/>
        </w:rPr>
        <w:instrText xml:space="preserve"> HYPERLINK \l "_Toc18748" </w:instrText>
      </w:r>
      <w:r>
        <w:rPr>
          <w:highlight w:val="none"/>
        </w:rPr>
        <w:fldChar w:fldCharType="separate"/>
      </w:r>
      <w:r>
        <w:rPr>
          <w:rFonts w:hint="eastAsia" w:ascii="宋体" w:hAnsi="宋体" w:eastAsia="宋体"/>
          <w:szCs w:val="28"/>
          <w:highlight w:val="none"/>
        </w:rPr>
        <w:t>五、比选申请文件的递交</w:t>
      </w:r>
      <w:r>
        <w:rPr>
          <w:highlight w:val="none"/>
        </w:rPr>
        <w:tab/>
      </w:r>
      <w:r>
        <w:rPr>
          <w:highlight w:val="none"/>
        </w:rPr>
        <w:fldChar w:fldCharType="begin"/>
      </w:r>
      <w:r>
        <w:rPr>
          <w:highlight w:val="none"/>
        </w:rPr>
        <w:instrText xml:space="preserve"> PAGEREF _Toc18748 \h </w:instrText>
      </w:r>
      <w:r>
        <w:rPr>
          <w:highlight w:val="none"/>
        </w:rPr>
        <w:fldChar w:fldCharType="separate"/>
      </w:r>
      <w:r>
        <w:rPr>
          <w:highlight w:val="none"/>
        </w:rPr>
        <w:t>10</w:t>
      </w:r>
      <w:r>
        <w:rPr>
          <w:highlight w:val="none"/>
        </w:rPr>
        <w:fldChar w:fldCharType="end"/>
      </w:r>
      <w:r>
        <w:rPr>
          <w:highlight w:val="none"/>
        </w:rPr>
        <w:fldChar w:fldCharType="end"/>
      </w:r>
    </w:p>
    <w:p w14:paraId="530CE5BC">
      <w:pPr>
        <w:pStyle w:val="27"/>
        <w:tabs>
          <w:tab w:val="right" w:leader="dot" w:pos="9070"/>
          <w:tab w:val="clear" w:pos="9061"/>
        </w:tabs>
        <w:rPr>
          <w:highlight w:val="none"/>
        </w:rPr>
      </w:pPr>
      <w:r>
        <w:rPr>
          <w:highlight w:val="none"/>
        </w:rPr>
        <w:fldChar w:fldCharType="begin"/>
      </w:r>
      <w:r>
        <w:rPr>
          <w:highlight w:val="none"/>
        </w:rPr>
        <w:instrText xml:space="preserve"> HYPERLINK \l "_Toc18962" </w:instrText>
      </w:r>
      <w:r>
        <w:rPr>
          <w:highlight w:val="none"/>
        </w:rPr>
        <w:fldChar w:fldCharType="separate"/>
      </w:r>
      <w:r>
        <w:rPr>
          <w:rFonts w:hint="eastAsia" w:ascii="宋体" w:hAnsi="宋体" w:eastAsia="宋体"/>
          <w:szCs w:val="28"/>
          <w:highlight w:val="none"/>
        </w:rPr>
        <w:t>六、评   审</w:t>
      </w:r>
      <w:r>
        <w:rPr>
          <w:highlight w:val="none"/>
        </w:rPr>
        <w:tab/>
      </w:r>
      <w:r>
        <w:rPr>
          <w:highlight w:val="none"/>
        </w:rPr>
        <w:fldChar w:fldCharType="begin"/>
      </w:r>
      <w:r>
        <w:rPr>
          <w:highlight w:val="none"/>
        </w:rPr>
        <w:instrText xml:space="preserve"> PAGEREF _Toc18962 \h </w:instrText>
      </w:r>
      <w:r>
        <w:rPr>
          <w:highlight w:val="none"/>
        </w:rPr>
        <w:fldChar w:fldCharType="separate"/>
      </w:r>
      <w:r>
        <w:rPr>
          <w:highlight w:val="none"/>
        </w:rPr>
        <w:t>10</w:t>
      </w:r>
      <w:r>
        <w:rPr>
          <w:highlight w:val="none"/>
        </w:rPr>
        <w:fldChar w:fldCharType="end"/>
      </w:r>
      <w:r>
        <w:rPr>
          <w:highlight w:val="none"/>
        </w:rPr>
        <w:fldChar w:fldCharType="end"/>
      </w:r>
    </w:p>
    <w:p w14:paraId="30D6412D">
      <w:pPr>
        <w:pStyle w:val="27"/>
        <w:tabs>
          <w:tab w:val="right" w:leader="dot" w:pos="9070"/>
          <w:tab w:val="clear" w:pos="9061"/>
        </w:tabs>
        <w:rPr>
          <w:highlight w:val="none"/>
        </w:rPr>
      </w:pPr>
      <w:r>
        <w:rPr>
          <w:highlight w:val="none"/>
        </w:rPr>
        <w:fldChar w:fldCharType="begin"/>
      </w:r>
      <w:r>
        <w:rPr>
          <w:highlight w:val="none"/>
        </w:rPr>
        <w:instrText xml:space="preserve"> HYPERLINK \l "_Toc10636" </w:instrText>
      </w:r>
      <w:r>
        <w:rPr>
          <w:highlight w:val="none"/>
        </w:rPr>
        <w:fldChar w:fldCharType="separate"/>
      </w:r>
      <w:r>
        <w:rPr>
          <w:rFonts w:hint="eastAsia" w:ascii="宋体" w:hAnsi="宋体" w:eastAsia="宋体"/>
          <w:szCs w:val="28"/>
          <w:highlight w:val="none"/>
        </w:rPr>
        <w:t>七、授予合同</w:t>
      </w:r>
      <w:r>
        <w:rPr>
          <w:highlight w:val="none"/>
        </w:rPr>
        <w:tab/>
      </w:r>
      <w:r>
        <w:rPr>
          <w:highlight w:val="none"/>
        </w:rPr>
        <w:fldChar w:fldCharType="begin"/>
      </w:r>
      <w:r>
        <w:rPr>
          <w:highlight w:val="none"/>
        </w:rPr>
        <w:instrText xml:space="preserve"> PAGEREF _Toc10636 \h </w:instrText>
      </w:r>
      <w:r>
        <w:rPr>
          <w:highlight w:val="none"/>
        </w:rPr>
        <w:fldChar w:fldCharType="separate"/>
      </w:r>
      <w:r>
        <w:rPr>
          <w:highlight w:val="none"/>
        </w:rPr>
        <w:t>13</w:t>
      </w:r>
      <w:r>
        <w:rPr>
          <w:highlight w:val="none"/>
        </w:rPr>
        <w:fldChar w:fldCharType="end"/>
      </w:r>
      <w:r>
        <w:rPr>
          <w:highlight w:val="none"/>
        </w:rPr>
        <w:fldChar w:fldCharType="end"/>
      </w:r>
    </w:p>
    <w:p w14:paraId="268F3A0F">
      <w:pPr>
        <w:pStyle w:val="23"/>
        <w:tabs>
          <w:tab w:val="right" w:leader="dot" w:pos="9070"/>
        </w:tabs>
        <w:rPr>
          <w:highlight w:val="none"/>
        </w:rPr>
      </w:pPr>
      <w:r>
        <w:rPr>
          <w:highlight w:val="none"/>
        </w:rPr>
        <w:fldChar w:fldCharType="begin"/>
      </w:r>
      <w:r>
        <w:rPr>
          <w:highlight w:val="none"/>
        </w:rPr>
        <w:instrText xml:space="preserve"> HYPERLINK \l "_Toc22212" </w:instrText>
      </w:r>
      <w:r>
        <w:rPr>
          <w:highlight w:val="none"/>
        </w:rPr>
        <w:fldChar w:fldCharType="separate"/>
      </w:r>
      <w:r>
        <w:rPr>
          <w:rFonts w:hint="eastAsia"/>
          <w:szCs w:val="28"/>
          <w:highlight w:val="none"/>
        </w:rPr>
        <w:t>第二章 用户需求书</w:t>
      </w:r>
      <w:r>
        <w:rPr>
          <w:highlight w:val="none"/>
        </w:rPr>
        <w:tab/>
      </w:r>
      <w:r>
        <w:rPr>
          <w:highlight w:val="none"/>
        </w:rPr>
        <w:fldChar w:fldCharType="begin"/>
      </w:r>
      <w:r>
        <w:rPr>
          <w:highlight w:val="none"/>
        </w:rPr>
        <w:instrText xml:space="preserve"> PAGEREF _Toc22212 \h </w:instrText>
      </w:r>
      <w:r>
        <w:rPr>
          <w:highlight w:val="none"/>
        </w:rPr>
        <w:fldChar w:fldCharType="separate"/>
      </w:r>
      <w:r>
        <w:rPr>
          <w:highlight w:val="none"/>
        </w:rPr>
        <w:t>14</w:t>
      </w:r>
      <w:r>
        <w:rPr>
          <w:highlight w:val="none"/>
        </w:rPr>
        <w:fldChar w:fldCharType="end"/>
      </w:r>
      <w:r>
        <w:rPr>
          <w:highlight w:val="none"/>
        </w:rPr>
        <w:fldChar w:fldCharType="end"/>
      </w:r>
    </w:p>
    <w:p w14:paraId="5FB31BB4">
      <w:pPr>
        <w:pStyle w:val="27"/>
        <w:tabs>
          <w:tab w:val="right" w:leader="dot" w:pos="9070"/>
          <w:tab w:val="clear" w:pos="9061"/>
        </w:tabs>
        <w:rPr>
          <w:highlight w:val="none"/>
        </w:rPr>
      </w:pPr>
      <w:r>
        <w:rPr>
          <w:highlight w:val="none"/>
        </w:rPr>
        <w:fldChar w:fldCharType="begin"/>
      </w:r>
      <w:r>
        <w:rPr>
          <w:highlight w:val="none"/>
        </w:rPr>
        <w:instrText xml:space="preserve"> HYPERLINK \l "_Toc9238" </w:instrText>
      </w:r>
      <w:r>
        <w:rPr>
          <w:highlight w:val="none"/>
        </w:rPr>
        <w:fldChar w:fldCharType="separate"/>
      </w:r>
      <w:r>
        <w:rPr>
          <w:rFonts w:hint="eastAsia" w:ascii="宋体" w:hAnsi="宋体" w:eastAsia="宋体" w:cs="宋体"/>
          <w:szCs w:val="28"/>
          <w:highlight w:val="none"/>
        </w:rPr>
        <w:t>一、总体说明</w:t>
      </w:r>
      <w:r>
        <w:rPr>
          <w:highlight w:val="none"/>
        </w:rPr>
        <w:tab/>
      </w:r>
      <w:r>
        <w:rPr>
          <w:highlight w:val="none"/>
        </w:rPr>
        <w:fldChar w:fldCharType="begin"/>
      </w:r>
      <w:r>
        <w:rPr>
          <w:highlight w:val="none"/>
        </w:rPr>
        <w:instrText xml:space="preserve"> PAGEREF _Toc9238 \h </w:instrText>
      </w:r>
      <w:r>
        <w:rPr>
          <w:highlight w:val="none"/>
        </w:rPr>
        <w:fldChar w:fldCharType="separate"/>
      </w:r>
      <w:r>
        <w:rPr>
          <w:highlight w:val="none"/>
        </w:rPr>
        <w:t>14</w:t>
      </w:r>
      <w:r>
        <w:rPr>
          <w:highlight w:val="none"/>
        </w:rPr>
        <w:fldChar w:fldCharType="end"/>
      </w:r>
      <w:r>
        <w:rPr>
          <w:highlight w:val="none"/>
        </w:rPr>
        <w:fldChar w:fldCharType="end"/>
      </w:r>
    </w:p>
    <w:p w14:paraId="753AA274">
      <w:pPr>
        <w:pStyle w:val="27"/>
        <w:tabs>
          <w:tab w:val="right" w:leader="dot" w:pos="9070"/>
          <w:tab w:val="clear" w:pos="9061"/>
        </w:tabs>
        <w:rPr>
          <w:highlight w:val="none"/>
        </w:rPr>
      </w:pPr>
      <w:r>
        <w:rPr>
          <w:highlight w:val="none"/>
        </w:rPr>
        <w:fldChar w:fldCharType="begin"/>
      </w:r>
      <w:r>
        <w:rPr>
          <w:highlight w:val="none"/>
        </w:rPr>
        <w:instrText xml:space="preserve"> HYPERLINK \l "_Toc23294" </w:instrText>
      </w:r>
      <w:r>
        <w:rPr>
          <w:highlight w:val="none"/>
        </w:rPr>
        <w:fldChar w:fldCharType="separate"/>
      </w:r>
      <w:r>
        <w:rPr>
          <w:rFonts w:hint="eastAsia" w:ascii="宋体" w:hAnsi="宋体" w:eastAsia="宋体" w:cs="宋体"/>
          <w:szCs w:val="28"/>
          <w:highlight w:val="none"/>
        </w:rPr>
        <w:t>二、具体要求</w:t>
      </w:r>
      <w:r>
        <w:rPr>
          <w:highlight w:val="none"/>
        </w:rPr>
        <w:tab/>
      </w:r>
      <w:r>
        <w:rPr>
          <w:highlight w:val="none"/>
        </w:rPr>
        <w:fldChar w:fldCharType="begin"/>
      </w:r>
      <w:r>
        <w:rPr>
          <w:highlight w:val="none"/>
        </w:rPr>
        <w:instrText xml:space="preserve"> PAGEREF _Toc23294 \h </w:instrText>
      </w:r>
      <w:r>
        <w:rPr>
          <w:highlight w:val="none"/>
        </w:rPr>
        <w:fldChar w:fldCharType="separate"/>
      </w:r>
      <w:r>
        <w:rPr>
          <w:highlight w:val="none"/>
        </w:rPr>
        <w:t>15</w:t>
      </w:r>
      <w:r>
        <w:rPr>
          <w:highlight w:val="none"/>
        </w:rPr>
        <w:fldChar w:fldCharType="end"/>
      </w:r>
      <w:r>
        <w:rPr>
          <w:highlight w:val="none"/>
        </w:rPr>
        <w:fldChar w:fldCharType="end"/>
      </w:r>
    </w:p>
    <w:p w14:paraId="657722B7">
      <w:pPr>
        <w:pStyle w:val="27"/>
        <w:tabs>
          <w:tab w:val="right" w:leader="dot" w:pos="9070"/>
          <w:tab w:val="clear" w:pos="9061"/>
        </w:tabs>
        <w:rPr>
          <w:highlight w:val="none"/>
        </w:rPr>
      </w:pPr>
      <w:r>
        <w:rPr>
          <w:highlight w:val="none"/>
        </w:rPr>
        <w:fldChar w:fldCharType="begin"/>
      </w:r>
      <w:r>
        <w:rPr>
          <w:highlight w:val="none"/>
        </w:rPr>
        <w:instrText xml:space="preserve"> HYPERLINK \l "_Toc3485" </w:instrText>
      </w:r>
      <w:r>
        <w:rPr>
          <w:highlight w:val="none"/>
        </w:rPr>
        <w:fldChar w:fldCharType="separate"/>
      </w:r>
      <w:r>
        <w:rPr>
          <w:rFonts w:hint="eastAsia" w:ascii="宋体" w:hAnsi="宋体" w:eastAsia="宋体" w:cs="宋体"/>
          <w:szCs w:val="28"/>
          <w:highlight w:val="none"/>
        </w:rPr>
        <w:t>三、项目交付成果</w:t>
      </w:r>
      <w:r>
        <w:rPr>
          <w:highlight w:val="none"/>
        </w:rPr>
        <w:tab/>
      </w:r>
      <w:r>
        <w:rPr>
          <w:highlight w:val="none"/>
        </w:rPr>
        <w:fldChar w:fldCharType="begin"/>
      </w:r>
      <w:r>
        <w:rPr>
          <w:highlight w:val="none"/>
        </w:rPr>
        <w:instrText xml:space="preserve"> PAGEREF _Toc3485 \h </w:instrText>
      </w:r>
      <w:r>
        <w:rPr>
          <w:highlight w:val="none"/>
        </w:rPr>
        <w:fldChar w:fldCharType="separate"/>
      </w:r>
      <w:r>
        <w:rPr>
          <w:highlight w:val="none"/>
        </w:rPr>
        <w:t>17</w:t>
      </w:r>
      <w:r>
        <w:rPr>
          <w:highlight w:val="none"/>
        </w:rPr>
        <w:fldChar w:fldCharType="end"/>
      </w:r>
      <w:r>
        <w:rPr>
          <w:highlight w:val="none"/>
        </w:rPr>
        <w:fldChar w:fldCharType="end"/>
      </w:r>
    </w:p>
    <w:p w14:paraId="267BB9F2">
      <w:pPr>
        <w:pStyle w:val="27"/>
        <w:tabs>
          <w:tab w:val="right" w:leader="dot" w:pos="9070"/>
          <w:tab w:val="clear" w:pos="9061"/>
        </w:tabs>
        <w:rPr>
          <w:highlight w:val="none"/>
        </w:rPr>
      </w:pPr>
      <w:r>
        <w:rPr>
          <w:highlight w:val="none"/>
        </w:rPr>
        <w:fldChar w:fldCharType="begin"/>
      </w:r>
      <w:r>
        <w:rPr>
          <w:highlight w:val="none"/>
        </w:rPr>
        <w:instrText xml:space="preserve"> HYPERLINK \l "_Toc14601" </w:instrText>
      </w:r>
      <w:r>
        <w:rPr>
          <w:highlight w:val="none"/>
        </w:rPr>
        <w:fldChar w:fldCharType="separate"/>
      </w:r>
      <w:r>
        <w:rPr>
          <w:rFonts w:hint="eastAsia" w:ascii="宋体" w:hAnsi="宋体" w:eastAsia="宋体" w:cs="宋体"/>
          <w:szCs w:val="28"/>
          <w:highlight w:val="none"/>
        </w:rPr>
        <w:t>四、验收标准</w:t>
      </w:r>
      <w:r>
        <w:rPr>
          <w:highlight w:val="none"/>
        </w:rPr>
        <w:tab/>
      </w:r>
      <w:r>
        <w:rPr>
          <w:highlight w:val="none"/>
        </w:rPr>
        <w:fldChar w:fldCharType="begin"/>
      </w:r>
      <w:r>
        <w:rPr>
          <w:highlight w:val="none"/>
        </w:rPr>
        <w:instrText xml:space="preserve"> PAGEREF _Toc14601 \h </w:instrText>
      </w:r>
      <w:r>
        <w:rPr>
          <w:highlight w:val="none"/>
        </w:rPr>
        <w:fldChar w:fldCharType="separate"/>
      </w:r>
      <w:r>
        <w:rPr>
          <w:highlight w:val="none"/>
        </w:rPr>
        <w:t>17</w:t>
      </w:r>
      <w:r>
        <w:rPr>
          <w:highlight w:val="none"/>
        </w:rPr>
        <w:fldChar w:fldCharType="end"/>
      </w:r>
      <w:r>
        <w:rPr>
          <w:highlight w:val="none"/>
        </w:rPr>
        <w:fldChar w:fldCharType="end"/>
      </w:r>
    </w:p>
    <w:p w14:paraId="73994F3B">
      <w:pPr>
        <w:pStyle w:val="27"/>
        <w:tabs>
          <w:tab w:val="right" w:leader="dot" w:pos="9070"/>
          <w:tab w:val="clear" w:pos="9061"/>
        </w:tabs>
        <w:rPr>
          <w:highlight w:val="none"/>
        </w:rPr>
      </w:pPr>
      <w:r>
        <w:rPr>
          <w:highlight w:val="none"/>
        </w:rPr>
        <w:fldChar w:fldCharType="begin"/>
      </w:r>
      <w:r>
        <w:rPr>
          <w:highlight w:val="none"/>
        </w:rPr>
        <w:instrText xml:space="preserve"> HYPERLINK \l "_Toc7916" </w:instrText>
      </w:r>
      <w:r>
        <w:rPr>
          <w:highlight w:val="none"/>
        </w:rPr>
        <w:fldChar w:fldCharType="separate"/>
      </w:r>
      <w:r>
        <w:rPr>
          <w:rFonts w:hint="eastAsia" w:ascii="宋体" w:hAnsi="宋体" w:eastAsia="宋体" w:cs="宋体"/>
          <w:szCs w:val="28"/>
          <w:highlight w:val="none"/>
        </w:rPr>
        <w:t>五、其他说明</w:t>
      </w:r>
      <w:r>
        <w:rPr>
          <w:highlight w:val="none"/>
        </w:rPr>
        <w:tab/>
      </w:r>
      <w:r>
        <w:rPr>
          <w:highlight w:val="none"/>
        </w:rPr>
        <w:fldChar w:fldCharType="begin"/>
      </w:r>
      <w:r>
        <w:rPr>
          <w:highlight w:val="none"/>
        </w:rPr>
        <w:instrText xml:space="preserve"> PAGEREF _Toc7916 \h </w:instrText>
      </w:r>
      <w:r>
        <w:rPr>
          <w:highlight w:val="none"/>
        </w:rPr>
        <w:fldChar w:fldCharType="separate"/>
      </w:r>
      <w:r>
        <w:rPr>
          <w:highlight w:val="none"/>
        </w:rPr>
        <w:t>17</w:t>
      </w:r>
      <w:r>
        <w:rPr>
          <w:highlight w:val="none"/>
        </w:rPr>
        <w:fldChar w:fldCharType="end"/>
      </w:r>
      <w:r>
        <w:rPr>
          <w:highlight w:val="none"/>
        </w:rPr>
        <w:fldChar w:fldCharType="end"/>
      </w:r>
    </w:p>
    <w:p w14:paraId="5B816DDD">
      <w:pPr>
        <w:pStyle w:val="23"/>
        <w:tabs>
          <w:tab w:val="right" w:leader="dot" w:pos="9070"/>
        </w:tabs>
        <w:rPr>
          <w:highlight w:val="none"/>
        </w:rPr>
      </w:pPr>
      <w:r>
        <w:rPr>
          <w:highlight w:val="none"/>
        </w:rPr>
        <w:fldChar w:fldCharType="begin"/>
      </w:r>
      <w:r>
        <w:rPr>
          <w:highlight w:val="none"/>
        </w:rPr>
        <w:instrText xml:space="preserve"> HYPERLINK \l "_Toc31917" </w:instrText>
      </w:r>
      <w:r>
        <w:rPr>
          <w:highlight w:val="none"/>
        </w:rPr>
        <w:fldChar w:fldCharType="separate"/>
      </w:r>
      <w:r>
        <w:rPr>
          <w:rFonts w:hint="eastAsia"/>
          <w:szCs w:val="32"/>
          <w:highlight w:val="none"/>
        </w:rPr>
        <w:t>第三章 比选申请文件</w:t>
      </w:r>
      <w:r>
        <w:rPr>
          <w:highlight w:val="none"/>
        </w:rPr>
        <w:tab/>
      </w:r>
      <w:r>
        <w:rPr>
          <w:highlight w:val="none"/>
        </w:rPr>
        <w:fldChar w:fldCharType="begin"/>
      </w:r>
      <w:r>
        <w:rPr>
          <w:highlight w:val="none"/>
        </w:rPr>
        <w:instrText xml:space="preserve"> PAGEREF _Toc31917 \h </w:instrText>
      </w:r>
      <w:r>
        <w:rPr>
          <w:highlight w:val="none"/>
        </w:rPr>
        <w:fldChar w:fldCharType="separate"/>
      </w:r>
      <w:r>
        <w:rPr>
          <w:highlight w:val="none"/>
        </w:rPr>
        <w:t>19</w:t>
      </w:r>
      <w:r>
        <w:rPr>
          <w:highlight w:val="none"/>
        </w:rPr>
        <w:fldChar w:fldCharType="end"/>
      </w:r>
      <w:r>
        <w:rPr>
          <w:highlight w:val="none"/>
        </w:rPr>
        <w:fldChar w:fldCharType="end"/>
      </w:r>
    </w:p>
    <w:p w14:paraId="0F6092A0">
      <w:pPr>
        <w:pStyle w:val="27"/>
        <w:tabs>
          <w:tab w:val="right" w:leader="dot" w:pos="9070"/>
          <w:tab w:val="clear" w:pos="9061"/>
        </w:tabs>
        <w:rPr>
          <w:highlight w:val="none"/>
        </w:rPr>
      </w:pPr>
      <w:r>
        <w:rPr>
          <w:highlight w:val="none"/>
        </w:rPr>
        <w:fldChar w:fldCharType="begin"/>
      </w:r>
      <w:r>
        <w:rPr>
          <w:highlight w:val="none"/>
        </w:rPr>
        <w:instrText xml:space="preserve"> HYPERLINK \l "_Toc21765" </w:instrText>
      </w:r>
      <w:r>
        <w:rPr>
          <w:highlight w:val="none"/>
        </w:rPr>
        <w:fldChar w:fldCharType="separate"/>
      </w:r>
      <w:r>
        <w:rPr>
          <w:rFonts w:hint="eastAsia" w:ascii="宋体" w:hAnsi="宋体" w:eastAsia="宋体" w:cs="宋体"/>
          <w:szCs w:val="36"/>
          <w:highlight w:val="none"/>
        </w:rPr>
        <w:t>资格审查部分</w:t>
      </w:r>
      <w:r>
        <w:rPr>
          <w:highlight w:val="none"/>
        </w:rPr>
        <w:tab/>
      </w:r>
      <w:r>
        <w:rPr>
          <w:highlight w:val="none"/>
        </w:rPr>
        <w:fldChar w:fldCharType="begin"/>
      </w:r>
      <w:r>
        <w:rPr>
          <w:highlight w:val="none"/>
        </w:rPr>
        <w:instrText xml:space="preserve"> PAGEREF _Toc21765 \h </w:instrText>
      </w:r>
      <w:r>
        <w:rPr>
          <w:highlight w:val="none"/>
        </w:rPr>
        <w:fldChar w:fldCharType="separate"/>
      </w:r>
      <w:r>
        <w:rPr>
          <w:highlight w:val="none"/>
        </w:rPr>
        <w:t>19</w:t>
      </w:r>
      <w:r>
        <w:rPr>
          <w:highlight w:val="none"/>
        </w:rPr>
        <w:fldChar w:fldCharType="end"/>
      </w:r>
      <w:r>
        <w:rPr>
          <w:highlight w:val="none"/>
        </w:rPr>
        <w:fldChar w:fldCharType="end"/>
      </w:r>
    </w:p>
    <w:p w14:paraId="06E5C7B7">
      <w:pPr>
        <w:pStyle w:val="27"/>
        <w:tabs>
          <w:tab w:val="right" w:leader="dot" w:pos="9070"/>
          <w:tab w:val="clear" w:pos="9061"/>
        </w:tabs>
        <w:rPr>
          <w:highlight w:val="none"/>
        </w:rPr>
      </w:pPr>
      <w:r>
        <w:rPr>
          <w:highlight w:val="none"/>
        </w:rPr>
        <w:fldChar w:fldCharType="begin"/>
      </w:r>
      <w:r>
        <w:rPr>
          <w:highlight w:val="none"/>
        </w:rPr>
        <w:instrText xml:space="preserve"> HYPERLINK \l "_Toc28066" </w:instrText>
      </w:r>
      <w:r>
        <w:rPr>
          <w:highlight w:val="none"/>
        </w:rPr>
        <w:fldChar w:fldCharType="separate"/>
      </w:r>
      <w:r>
        <w:rPr>
          <w:rFonts w:hint="eastAsia" w:ascii="宋体" w:hAnsi="宋体" w:eastAsia="宋体" w:cs="宋体"/>
          <w:szCs w:val="36"/>
          <w:highlight w:val="none"/>
        </w:rPr>
        <w:t>技术部分</w:t>
      </w:r>
      <w:r>
        <w:rPr>
          <w:highlight w:val="none"/>
        </w:rPr>
        <w:tab/>
      </w:r>
      <w:r>
        <w:rPr>
          <w:highlight w:val="none"/>
        </w:rPr>
        <w:fldChar w:fldCharType="begin"/>
      </w:r>
      <w:r>
        <w:rPr>
          <w:highlight w:val="none"/>
        </w:rPr>
        <w:instrText xml:space="preserve"> PAGEREF _Toc28066 \h </w:instrText>
      </w:r>
      <w:r>
        <w:rPr>
          <w:highlight w:val="none"/>
        </w:rPr>
        <w:fldChar w:fldCharType="separate"/>
      </w:r>
      <w:r>
        <w:rPr>
          <w:highlight w:val="none"/>
        </w:rPr>
        <w:t>29</w:t>
      </w:r>
      <w:r>
        <w:rPr>
          <w:highlight w:val="none"/>
        </w:rPr>
        <w:fldChar w:fldCharType="end"/>
      </w:r>
      <w:r>
        <w:rPr>
          <w:highlight w:val="none"/>
        </w:rPr>
        <w:fldChar w:fldCharType="end"/>
      </w:r>
    </w:p>
    <w:p w14:paraId="382B64D0">
      <w:pPr>
        <w:pStyle w:val="27"/>
        <w:tabs>
          <w:tab w:val="right" w:leader="dot" w:pos="9070"/>
          <w:tab w:val="clear" w:pos="9061"/>
        </w:tabs>
        <w:rPr>
          <w:highlight w:val="none"/>
        </w:rPr>
      </w:pPr>
      <w:r>
        <w:rPr>
          <w:highlight w:val="none"/>
        </w:rPr>
        <w:fldChar w:fldCharType="begin"/>
      </w:r>
      <w:r>
        <w:rPr>
          <w:highlight w:val="none"/>
        </w:rPr>
        <w:instrText xml:space="preserve"> HYPERLINK \l "_Toc26156" </w:instrText>
      </w:r>
      <w:r>
        <w:rPr>
          <w:highlight w:val="none"/>
        </w:rPr>
        <w:fldChar w:fldCharType="separate"/>
      </w:r>
      <w:r>
        <w:rPr>
          <w:rFonts w:hint="eastAsia" w:ascii="宋体" w:hAnsi="宋体" w:eastAsia="宋体" w:cs="宋体"/>
          <w:szCs w:val="36"/>
          <w:highlight w:val="none"/>
        </w:rPr>
        <w:t>价格部分</w:t>
      </w:r>
      <w:r>
        <w:rPr>
          <w:highlight w:val="none"/>
        </w:rPr>
        <w:tab/>
      </w:r>
      <w:r>
        <w:rPr>
          <w:highlight w:val="none"/>
        </w:rPr>
        <w:fldChar w:fldCharType="begin"/>
      </w:r>
      <w:r>
        <w:rPr>
          <w:highlight w:val="none"/>
        </w:rPr>
        <w:instrText xml:space="preserve"> PAGEREF _Toc26156 \h </w:instrText>
      </w:r>
      <w:r>
        <w:rPr>
          <w:highlight w:val="none"/>
        </w:rPr>
        <w:fldChar w:fldCharType="separate"/>
      </w:r>
      <w:r>
        <w:rPr>
          <w:highlight w:val="none"/>
        </w:rPr>
        <w:t>36</w:t>
      </w:r>
      <w:r>
        <w:rPr>
          <w:highlight w:val="none"/>
        </w:rPr>
        <w:fldChar w:fldCharType="end"/>
      </w:r>
      <w:r>
        <w:rPr>
          <w:highlight w:val="none"/>
        </w:rPr>
        <w:fldChar w:fldCharType="end"/>
      </w:r>
    </w:p>
    <w:p w14:paraId="73C75547">
      <w:pPr>
        <w:pStyle w:val="15"/>
        <w:tabs>
          <w:tab w:val="right" w:leader="dot" w:pos="9070"/>
          <w:tab w:val="clear" w:pos="9061"/>
        </w:tabs>
        <w:rPr>
          <w:highlight w:val="none"/>
        </w:rPr>
      </w:pPr>
      <w:r>
        <w:rPr>
          <w:highlight w:val="none"/>
        </w:rPr>
        <w:fldChar w:fldCharType="begin"/>
      </w:r>
      <w:r>
        <w:rPr>
          <w:highlight w:val="none"/>
        </w:rPr>
        <w:instrText xml:space="preserve"> HYPERLINK \l "_Toc7906" </w:instrText>
      </w:r>
      <w:r>
        <w:rPr>
          <w:highlight w:val="none"/>
        </w:rPr>
        <w:fldChar w:fldCharType="separate"/>
      </w:r>
      <w:r>
        <w:rPr>
          <w:rFonts w:hint="eastAsia" w:ascii="宋体" w:hAnsi="宋体" w:cs="宋体"/>
          <w:szCs w:val="28"/>
          <w:highlight w:val="none"/>
        </w:rPr>
        <w:t>（1）比选函（格式）</w:t>
      </w:r>
      <w:r>
        <w:rPr>
          <w:highlight w:val="none"/>
        </w:rPr>
        <w:tab/>
      </w:r>
      <w:r>
        <w:rPr>
          <w:highlight w:val="none"/>
        </w:rPr>
        <w:fldChar w:fldCharType="begin"/>
      </w:r>
      <w:r>
        <w:rPr>
          <w:highlight w:val="none"/>
        </w:rPr>
        <w:instrText xml:space="preserve"> PAGEREF _Toc7906 \h </w:instrText>
      </w:r>
      <w:r>
        <w:rPr>
          <w:highlight w:val="none"/>
        </w:rPr>
        <w:fldChar w:fldCharType="separate"/>
      </w:r>
      <w:r>
        <w:rPr>
          <w:highlight w:val="none"/>
        </w:rPr>
        <w:t>38</w:t>
      </w:r>
      <w:r>
        <w:rPr>
          <w:highlight w:val="none"/>
        </w:rPr>
        <w:fldChar w:fldCharType="end"/>
      </w:r>
      <w:r>
        <w:rPr>
          <w:highlight w:val="none"/>
        </w:rPr>
        <w:fldChar w:fldCharType="end"/>
      </w:r>
    </w:p>
    <w:p w14:paraId="411F7D34">
      <w:pPr>
        <w:pStyle w:val="15"/>
        <w:tabs>
          <w:tab w:val="right" w:leader="dot" w:pos="9070"/>
          <w:tab w:val="clear" w:pos="9061"/>
        </w:tabs>
        <w:rPr>
          <w:highlight w:val="none"/>
        </w:rPr>
      </w:pPr>
      <w:r>
        <w:rPr>
          <w:highlight w:val="none"/>
        </w:rPr>
        <w:fldChar w:fldCharType="begin"/>
      </w:r>
      <w:r>
        <w:rPr>
          <w:highlight w:val="none"/>
        </w:rPr>
        <w:instrText xml:space="preserve"> HYPERLINK \l "_Toc8914" </w:instrText>
      </w:r>
      <w:r>
        <w:rPr>
          <w:highlight w:val="none"/>
        </w:rPr>
        <w:fldChar w:fldCharType="separate"/>
      </w:r>
      <w:r>
        <w:rPr>
          <w:rFonts w:hint="eastAsia" w:ascii="宋体" w:hAnsi="宋体" w:cs="宋体"/>
          <w:kern w:val="44"/>
          <w:szCs w:val="28"/>
          <w:highlight w:val="none"/>
        </w:rPr>
        <w:t>（2）</w:t>
      </w:r>
      <w:r>
        <w:rPr>
          <w:rFonts w:hint="eastAsia" w:ascii="宋体" w:hAnsi="宋体" w:cs="宋体"/>
          <w:szCs w:val="28"/>
          <w:highlight w:val="none"/>
        </w:rPr>
        <w:t>报价表</w:t>
      </w:r>
      <w:r>
        <w:rPr>
          <w:highlight w:val="none"/>
        </w:rPr>
        <w:tab/>
      </w:r>
      <w:r>
        <w:rPr>
          <w:highlight w:val="none"/>
        </w:rPr>
        <w:fldChar w:fldCharType="begin"/>
      </w:r>
      <w:r>
        <w:rPr>
          <w:highlight w:val="none"/>
        </w:rPr>
        <w:instrText xml:space="preserve"> PAGEREF _Toc8914 \h </w:instrText>
      </w:r>
      <w:r>
        <w:rPr>
          <w:highlight w:val="none"/>
        </w:rPr>
        <w:fldChar w:fldCharType="separate"/>
      </w:r>
      <w:r>
        <w:rPr>
          <w:highlight w:val="none"/>
        </w:rPr>
        <w:t>40</w:t>
      </w:r>
      <w:r>
        <w:rPr>
          <w:highlight w:val="none"/>
        </w:rPr>
        <w:fldChar w:fldCharType="end"/>
      </w:r>
      <w:r>
        <w:rPr>
          <w:highlight w:val="none"/>
        </w:rPr>
        <w:fldChar w:fldCharType="end"/>
      </w:r>
    </w:p>
    <w:p w14:paraId="701309D5">
      <w:pPr>
        <w:pStyle w:val="23"/>
        <w:tabs>
          <w:tab w:val="right" w:leader="dot" w:pos="9070"/>
        </w:tabs>
        <w:rPr>
          <w:highlight w:val="none"/>
        </w:rPr>
      </w:pPr>
      <w:r>
        <w:rPr>
          <w:highlight w:val="none"/>
        </w:rPr>
        <w:fldChar w:fldCharType="begin"/>
      </w:r>
      <w:r>
        <w:rPr>
          <w:highlight w:val="none"/>
        </w:rPr>
        <w:instrText xml:space="preserve"> HYPERLINK \l "_Toc17464" </w:instrText>
      </w:r>
      <w:r>
        <w:rPr>
          <w:highlight w:val="none"/>
        </w:rPr>
        <w:fldChar w:fldCharType="separate"/>
      </w:r>
      <w:r>
        <w:rPr>
          <w:rFonts w:hint="eastAsia"/>
          <w:szCs w:val="28"/>
          <w:highlight w:val="none"/>
        </w:rPr>
        <w:t>第四章、</w:t>
      </w:r>
      <w:r>
        <w:rPr>
          <w:szCs w:val="28"/>
          <w:highlight w:val="none"/>
        </w:rPr>
        <w:t>评分办法</w:t>
      </w:r>
      <w:r>
        <w:rPr>
          <w:highlight w:val="none"/>
        </w:rPr>
        <w:tab/>
      </w:r>
      <w:r>
        <w:rPr>
          <w:highlight w:val="none"/>
        </w:rPr>
        <w:fldChar w:fldCharType="begin"/>
      </w:r>
      <w:r>
        <w:rPr>
          <w:highlight w:val="none"/>
        </w:rPr>
        <w:instrText xml:space="preserve"> PAGEREF _Toc17464 \h </w:instrText>
      </w:r>
      <w:r>
        <w:rPr>
          <w:highlight w:val="none"/>
        </w:rPr>
        <w:fldChar w:fldCharType="separate"/>
      </w:r>
      <w:r>
        <w:rPr>
          <w:highlight w:val="none"/>
        </w:rPr>
        <w:t>41</w:t>
      </w:r>
      <w:r>
        <w:rPr>
          <w:highlight w:val="none"/>
        </w:rPr>
        <w:fldChar w:fldCharType="end"/>
      </w:r>
      <w:r>
        <w:rPr>
          <w:highlight w:val="none"/>
        </w:rPr>
        <w:fldChar w:fldCharType="end"/>
      </w:r>
    </w:p>
    <w:p w14:paraId="256D1755">
      <w:pPr>
        <w:pStyle w:val="27"/>
        <w:tabs>
          <w:tab w:val="right" w:leader="dot" w:pos="9070"/>
          <w:tab w:val="clear" w:pos="9061"/>
        </w:tabs>
        <w:rPr>
          <w:highlight w:val="none"/>
        </w:rPr>
      </w:pPr>
      <w:r>
        <w:rPr>
          <w:highlight w:val="none"/>
        </w:rPr>
        <w:fldChar w:fldCharType="begin"/>
      </w:r>
      <w:r>
        <w:rPr>
          <w:highlight w:val="none"/>
        </w:rPr>
        <w:instrText xml:space="preserve"> HYPERLINK \l "_Toc21077" </w:instrText>
      </w:r>
      <w:r>
        <w:rPr>
          <w:highlight w:val="none"/>
        </w:rPr>
        <w:fldChar w:fldCharType="separate"/>
      </w:r>
      <w:r>
        <w:rPr>
          <w:rFonts w:hint="eastAsia" w:ascii="宋体" w:hAnsi="宋体" w:cs="宋体"/>
          <w:szCs w:val="28"/>
          <w:highlight w:val="none"/>
        </w:rPr>
        <w:t>一、评审方式</w:t>
      </w:r>
      <w:r>
        <w:rPr>
          <w:highlight w:val="none"/>
        </w:rPr>
        <w:tab/>
      </w:r>
      <w:r>
        <w:rPr>
          <w:highlight w:val="none"/>
        </w:rPr>
        <w:fldChar w:fldCharType="begin"/>
      </w:r>
      <w:r>
        <w:rPr>
          <w:highlight w:val="none"/>
        </w:rPr>
        <w:instrText xml:space="preserve"> PAGEREF _Toc21077 \h </w:instrText>
      </w:r>
      <w:r>
        <w:rPr>
          <w:highlight w:val="none"/>
        </w:rPr>
        <w:fldChar w:fldCharType="separate"/>
      </w:r>
      <w:r>
        <w:rPr>
          <w:highlight w:val="none"/>
        </w:rPr>
        <w:t>41</w:t>
      </w:r>
      <w:r>
        <w:rPr>
          <w:highlight w:val="none"/>
        </w:rPr>
        <w:fldChar w:fldCharType="end"/>
      </w:r>
      <w:r>
        <w:rPr>
          <w:highlight w:val="none"/>
        </w:rPr>
        <w:fldChar w:fldCharType="end"/>
      </w:r>
    </w:p>
    <w:p w14:paraId="6524E188">
      <w:pPr>
        <w:pStyle w:val="27"/>
        <w:tabs>
          <w:tab w:val="right" w:leader="dot" w:pos="9070"/>
          <w:tab w:val="clear" w:pos="9061"/>
        </w:tabs>
        <w:rPr>
          <w:highlight w:val="none"/>
        </w:rPr>
      </w:pPr>
      <w:r>
        <w:rPr>
          <w:highlight w:val="none"/>
        </w:rPr>
        <w:fldChar w:fldCharType="begin"/>
      </w:r>
      <w:r>
        <w:rPr>
          <w:highlight w:val="none"/>
        </w:rPr>
        <w:instrText xml:space="preserve"> HYPERLINK \l "_Toc9025" </w:instrText>
      </w:r>
      <w:r>
        <w:rPr>
          <w:highlight w:val="none"/>
        </w:rPr>
        <w:fldChar w:fldCharType="separate"/>
      </w:r>
      <w:r>
        <w:rPr>
          <w:rFonts w:hint="eastAsia" w:ascii="宋体" w:hAnsi="宋体" w:cs="宋体"/>
          <w:szCs w:val="28"/>
          <w:highlight w:val="none"/>
        </w:rPr>
        <w:t>二、评比办法</w:t>
      </w:r>
      <w:r>
        <w:rPr>
          <w:highlight w:val="none"/>
        </w:rPr>
        <w:tab/>
      </w:r>
      <w:r>
        <w:rPr>
          <w:highlight w:val="none"/>
        </w:rPr>
        <w:fldChar w:fldCharType="begin"/>
      </w:r>
      <w:r>
        <w:rPr>
          <w:highlight w:val="none"/>
        </w:rPr>
        <w:instrText xml:space="preserve"> PAGEREF _Toc9025 \h </w:instrText>
      </w:r>
      <w:r>
        <w:rPr>
          <w:highlight w:val="none"/>
        </w:rPr>
        <w:fldChar w:fldCharType="separate"/>
      </w:r>
      <w:r>
        <w:rPr>
          <w:highlight w:val="none"/>
        </w:rPr>
        <w:t>41</w:t>
      </w:r>
      <w:r>
        <w:rPr>
          <w:highlight w:val="none"/>
        </w:rPr>
        <w:fldChar w:fldCharType="end"/>
      </w:r>
      <w:r>
        <w:rPr>
          <w:highlight w:val="none"/>
        </w:rPr>
        <w:fldChar w:fldCharType="end"/>
      </w:r>
    </w:p>
    <w:p w14:paraId="52ED0D73">
      <w:pPr>
        <w:pStyle w:val="27"/>
        <w:tabs>
          <w:tab w:val="right" w:leader="dot" w:pos="9070"/>
          <w:tab w:val="clear" w:pos="9061"/>
        </w:tabs>
        <w:rPr>
          <w:highlight w:val="none"/>
        </w:rPr>
      </w:pPr>
      <w:r>
        <w:rPr>
          <w:highlight w:val="none"/>
        </w:rPr>
        <w:fldChar w:fldCharType="begin"/>
      </w:r>
      <w:r>
        <w:rPr>
          <w:highlight w:val="none"/>
        </w:rPr>
        <w:instrText xml:space="preserve"> HYPERLINK \l "_Toc2084" </w:instrText>
      </w:r>
      <w:r>
        <w:rPr>
          <w:highlight w:val="none"/>
        </w:rPr>
        <w:fldChar w:fldCharType="separate"/>
      </w:r>
      <w:r>
        <w:rPr>
          <w:rFonts w:hint="eastAsia"/>
          <w:highlight w:val="none"/>
        </w:rPr>
        <w:t>三、技术部分评分细则（满分80分）</w:t>
      </w:r>
      <w:r>
        <w:rPr>
          <w:highlight w:val="none"/>
        </w:rPr>
        <w:tab/>
      </w:r>
      <w:r>
        <w:rPr>
          <w:highlight w:val="none"/>
        </w:rPr>
        <w:fldChar w:fldCharType="begin"/>
      </w:r>
      <w:r>
        <w:rPr>
          <w:highlight w:val="none"/>
        </w:rPr>
        <w:instrText xml:space="preserve"> PAGEREF _Toc2084 \h </w:instrText>
      </w:r>
      <w:r>
        <w:rPr>
          <w:highlight w:val="none"/>
        </w:rPr>
        <w:fldChar w:fldCharType="separate"/>
      </w:r>
      <w:r>
        <w:rPr>
          <w:highlight w:val="none"/>
        </w:rPr>
        <w:t>42</w:t>
      </w:r>
      <w:r>
        <w:rPr>
          <w:highlight w:val="none"/>
        </w:rPr>
        <w:fldChar w:fldCharType="end"/>
      </w:r>
      <w:r>
        <w:rPr>
          <w:highlight w:val="none"/>
        </w:rPr>
        <w:fldChar w:fldCharType="end"/>
      </w:r>
    </w:p>
    <w:p w14:paraId="6B29D5F5">
      <w:pPr>
        <w:pStyle w:val="27"/>
        <w:tabs>
          <w:tab w:val="right" w:leader="dot" w:pos="9070"/>
          <w:tab w:val="clear" w:pos="9061"/>
        </w:tabs>
        <w:rPr>
          <w:highlight w:val="none"/>
        </w:rPr>
      </w:pPr>
      <w:r>
        <w:rPr>
          <w:highlight w:val="none"/>
        </w:rPr>
        <w:fldChar w:fldCharType="begin"/>
      </w:r>
      <w:r>
        <w:rPr>
          <w:highlight w:val="none"/>
        </w:rPr>
        <w:instrText xml:space="preserve"> HYPERLINK \l "_Toc13883" </w:instrText>
      </w:r>
      <w:r>
        <w:rPr>
          <w:highlight w:val="none"/>
        </w:rPr>
        <w:fldChar w:fldCharType="separate"/>
      </w:r>
      <w:r>
        <w:rPr>
          <w:rFonts w:hint="eastAsia"/>
          <w:highlight w:val="none"/>
        </w:rPr>
        <w:t>四、 报价部分评分表（满分20分）</w:t>
      </w:r>
      <w:r>
        <w:rPr>
          <w:highlight w:val="none"/>
        </w:rPr>
        <w:tab/>
      </w:r>
      <w:r>
        <w:rPr>
          <w:highlight w:val="none"/>
        </w:rPr>
        <w:fldChar w:fldCharType="begin"/>
      </w:r>
      <w:r>
        <w:rPr>
          <w:highlight w:val="none"/>
        </w:rPr>
        <w:instrText xml:space="preserve"> PAGEREF _Toc13883 \h </w:instrText>
      </w:r>
      <w:r>
        <w:rPr>
          <w:highlight w:val="none"/>
        </w:rPr>
        <w:fldChar w:fldCharType="separate"/>
      </w:r>
      <w:r>
        <w:rPr>
          <w:highlight w:val="none"/>
        </w:rPr>
        <w:t>45</w:t>
      </w:r>
      <w:r>
        <w:rPr>
          <w:highlight w:val="none"/>
        </w:rPr>
        <w:fldChar w:fldCharType="end"/>
      </w:r>
      <w:r>
        <w:rPr>
          <w:highlight w:val="none"/>
        </w:rPr>
        <w:fldChar w:fldCharType="end"/>
      </w:r>
    </w:p>
    <w:p w14:paraId="3F020866">
      <w:pPr>
        <w:pStyle w:val="27"/>
        <w:tabs>
          <w:tab w:val="right" w:leader="dot" w:pos="9070"/>
          <w:tab w:val="clear" w:pos="9061"/>
        </w:tabs>
        <w:rPr>
          <w:highlight w:val="none"/>
        </w:rPr>
      </w:pPr>
      <w:r>
        <w:rPr>
          <w:highlight w:val="none"/>
        </w:rPr>
        <w:fldChar w:fldCharType="begin"/>
      </w:r>
      <w:r>
        <w:rPr>
          <w:highlight w:val="none"/>
        </w:rPr>
        <w:instrText xml:space="preserve"> HYPERLINK \l "_Toc10914" </w:instrText>
      </w:r>
      <w:r>
        <w:rPr>
          <w:highlight w:val="none"/>
        </w:rPr>
        <w:fldChar w:fldCharType="separate"/>
      </w:r>
      <w:r>
        <w:rPr>
          <w:rFonts w:hint="eastAsia"/>
          <w:highlight w:val="none"/>
        </w:rPr>
        <w:t>五、 总分</w:t>
      </w:r>
      <w:r>
        <w:rPr>
          <w:highlight w:val="none"/>
        </w:rPr>
        <w:tab/>
      </w:r>
      <w:r>
        <w:rPr>
          <w:highlight w:val="none"/>
        </w:rPr>
        <w:fldChar w:fldCharType="begin"/>
      </w:r>
      <w:r>
        <w:rPr>
          <w:highlight w:val="none"/>
        </w:rPr>
        <w:instrText xml:space="preserve"> PAGEREF _Toc10914 \h </w:instrText>
      </w:r>
      <w:r>
        <w:rPr>
          <w:highlight w:val="none"/>
        </w:rPr>
        <w:fldChar w:fldCharType="separate"/>
      </w:r>
      <w:r>
        <w:rPr>
          <w:highlight w:val="none"/>
        </w:rPr>
        <w:t>45</w:t>
      </w:r>
      <w:r>
        <w:rPr>
          <w:highlight w:val="none"/>
        </w:rPr>
        <w:fldChar w:fldCharType="end"/>
      </w:r>
      <w:r>
        <w:rPr>
          <w:highlight w:val="none"/>
        </w:rPr>
        <w:fldChar w:fldCharType="end"/>
      </w:r>
    </w:p>
    <w:p w14:paraId="4C08F637">
      <w:pPr>
        <w:pStyle w:val="23"/>
        <w:tabs>
          <w:tab w:val="right" w:leader="dot" w:pos="9070"/>
        </w:tabs>
        <w:rPr>
          <w:highlight w:val="none"/>
        </w:rPr>
      </w:pPr>
      <w:r>
        <w:rPr>
          <w:highlight w:val="none"/>
        </w:rPr>
        <w:fldChar w:fldCharType="begin"/>
      </w:r>
      <w:r>
        <w:rPr>
          <w:highlight w:val="none"/>
        </w:rPr>
        <w:instrText xml:space="preserve"> HYPERLINK \l "_Toc21138" </w:instrText>
      </w:r>
      <w:r>
        <w:rPr>
          <w:highlight w:val="none"/>
        </w:rPr>
        <w:fldChar w:fldCharType="separate"/>
      </w:r>
      <w:r>
        <w:rPr>
          <w:rFonts w:hint="eastAsia"/>
          <w:highlight w:val="none"/>
        </w:rPr>
        <w:t>第五章 合同条款及格式</w:t>
      </w:r>
      <w:r>
        <w:rPr>
          <w:highlight w:val="none"/>
        </w:rPr>
        <w:tab/>
      </w:r>
      <w:r>
        <w:rPr>
          <w:highlight w:val="none"/>
        </w:rPr>
        <w:fldChar w:fldCharType="begin"/>
      </w:r>
      <w:r>
        <w:rPr>
          <w:highlight w:val="none"/>
        </w:rPr>
        <w:instrText xml:space="preserve"> PAGEREF _Toc21138 \h </w:instrText>
      </w:r>
      <w:r>
        <w:rPr>
          <w:highlight w:val="none"/>
        </w:rPr>
        <w:fldChar w:fldCharType="separate"/>
      </w:r>
      <w:r>
        <w:rPr>
          <w:highlight w:val="none"/>
        </w:rPr>
        <w:t>48</w:t>
      </w:r>
      <w:r>
        <w:rPr>
          <w:highlight w:val="none"/>
        </w:rPr>
        <w:fldChar w:fldCharType="end"/>
      </w:r>
      <w:r>
        <w:rPr>
          <w:highlight w:val="none"/>
        </w:rPr>
        <w:fldChar w:fldCharType="end"/>
      </w:r>
    </w:p>
    <w:p w14:paraId="0EDA688F">
      <w:pPr>
        <w:ind w:firstLine="560"/>
        <w:rPr>
          <w:rFonts w:ascii="仿宋_GB2312" w:hAnsi="宋体" w:eastAsia="仿宋_GB2312"/>
          <w:b/>
          <w:color w:val="000000"/>
          <w:kern w:val="0"/>
          <w:sz w:val="44"/>
          <w:highlight w:val="none"/>
        </w:rPr>
      </w:pPr>
      <w:r>
        <w:rPr>
          <w:rFonts w:ascii="宋体" w:hAnsi="宋体"/>
          <w:bCs/>
          <w:color w:val="000000"/>
          <w:szCs w:val="21"/>
          <w:highlight w:val="none"/>
          <w:lang w:val="zh-CN"/>
        </w:rPr>
        <w:fldChar w:fldCharType="end"/>
      </w:r>
      <w:r>
        <w:rPr>
          <w:rFonts w:ascii="仿宋_GB2312" w:hAnsi="宋体" w:eastAsia="仿宋_GB2312"/>
          <w:b/>
          <w:color w:val="000000"/>
          <w:kern w:val="0"/>
          <w:sz w:val="44"/>
          <w:highlight w:val="none"/>
        </w:rPr>
        <w:t xml:space="preserve"> </w:t>
      </w:r>
    </w:p>
    <w:bookmarkEnd w:id="0"/>
    <w:bookmarkEnd w:id="1"/>
    <w:bookmarkEnd w:id="2"/>
    <w:p w14:paraId="6BEA01D9">
      <w:pPr>
        <w:keepNext/>
        <w:keepLines/>
        <w:spacing w:before="340" w:after="330" w:line="576" w:lineRule="auto"/>
        <w:jc w:val="center"/>
        <w:outlineLvl w:val="0"/>
        <w:rPr>
          <w:rFonts w:ascii="宋体" w:hAnsi="宋体" w:cs="宋体"/>
          <w:b/>
          <w:kern w:val="44"/>
          <w:sz w:val="28"/>
          <w:szCs w:val="28"/>
          <w:highlight w:val="none"/>
        </w:rPr>
      </w:pPr>
      <w:bookmarkStart w:id="3" w:name="_Toc24235"/>
      <w:bookmarkStart w:id="4" w:name="_Toc14177"/>
      <w:bookmarkStart w:id="5" w:name="_Toc11052"/>
      <w:bookmarkStart w:id="6" w:name="_Toc86155509"/>
      <w:bookmarkStart w:id="7" w:name="_Toc23947"/>
      <w:bookmarkStart w:id="8" w:name="_Toc114052337"/>
      <w:bookmarkStart w:id="9" w:name="_Toc392862472"/>
      <w:bookmarkStart w:id="10" w:name="_Toc286386831"/>
      <w:bookmarkStart w:id="11" w:name="_Toc114052411"/>
      <w:bookmarkStart w:id="12" w:name="_Toc392862473"/>
      <w:r>
        <w:rPr>
          <w:rFonts w:hint="eastAsia" w:ascii="宋体" w:hAnsi="宋体" w:cs="宋体"/>
          <w:b/>
          <w:kern w:val="44"/>
          <w:sz w:val="28"/>
          <w:szCs w:val="28"/>
          <w:highlight w:val="none"/>
        </w:rPr>
        <w:t>第一章 比选须知</w:t>
      </w:r>
      <w:bookmarkEnd w:id="3"/>
      <w:bookmarkEnd w:id="4"/>
      <w:bookmarkEnd w:id="5"/>
      <w:bookmarkEnd w:id="6"/>
      <w:bookmarkEnd w:id="7"/>
    </w:p>
    <w:bookmarkEnd w:id="8"/>
    <w:bookmarkEnd w:id="9"/>
    <w:bookmarkEnd w:id="10"/>
    <w:bookmarkEnd w:id="11"/>
    <w:bookmarkEnd w:id="12"/>
    <w:p w14:paraId="0B55E21D">
      <w:pPr>
        <w:ind w:left="-424" w:leftChars="-202" w:firstLine="482"/>
        <w:rPr>
          <w:b/>
          <w:color w:val="000000"/>
          <w:highlight w:val="none"/>
        </w:rPr>
      </w:pPr>
      <w:r>
        <w:rPr>
          <w:rFonts w:hint="eastAsia"/>
          <w:b/>
          <w:color w:val="000000"/>
          <w:highlight w:val="none"/>
        </w:rPr>
        <w:t>1. 前附表</w:t>
      </w:r>
    </w:p>
    <w:tbl>
      <w:tblPr>
        <w:tblStyle w:val="33"/>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6787"/>
      </w:tblGrid>
      <w:tr w14:paraId="13AA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17" w:type="dxa"/>
            <w:vAlign w:val="center"/>
          </w:tcPr>
          <w:p w14:paraId="78D024CF">
            <w:pPr>
              <w:spacing w:line="240" w:lineRule="exact"/>
              <w:jc w:val="center"/>
              <w:rPr>
                <w:rFonts w:ascii="宋体" w:hAnsi="宋体"/>
                <w:color w:val="000000"/>
                <w:szCs w:val="21"/>
                <w:highlight w:val="none"/>
              </w:rPr>
            </w:pPr>
            <w:bookmarkStart w:id="13" w:name="_Toc114052413"/>
            <w:bookmarkStart w:id="14" w:name="_Toc114052339"/>
            <w:bookmarkStart w:id="15" w:name="_Toc286386833"/>
            <w:r>
              <w:rPr>
                <w:rFonts w:hint="eastAsia" w:ascii="宋体" w:hAnsi="宋体"/>
                <w:color w:val="000000"/>
                <w:szCs w:val="21"/>
                <w:highlight w:val="none"/>
              </w:rPr>
              <w:t>项号</w:t>
            </w:r>
          </w:p>
        </w:tc>
        <w:tc>
          <w:tcPr>
            <w:tcW w:w="1701" w:type="dxa"/>
            <w:vAlign w:val="center"/>
          </w:tcPr>
          <w:p w14:paraId="642114D4">
            <w:pPr>
              <w:spacing w:line="240" w:lineRule="exact"/>
              <w:ind w:firstLine="420"/>
              <w:jc w:val="center"/>
              <w:rPr>
                <w:rFonts w:ascii="宋体" w:hAnsi="宋体"/>
                <w:color w:val="000000"/>
                <w:szCs w:val="21"/>
                <w:highlight w:val="none"/>
              </w:rPr>
            </w:pPr>
            <w:r>
              <w:rPr>
                <w:rFonts w:hint="eastAsia" w:ascii="宋体" w:hAnsi="宋体"/>
                <w:color w:val="000000"/>
                <w:szCs w:val="21"/>
                <w:highlight w:val="none"/>
              </w:rPr>
              <w:t>名称</w:t>
            </w:r>
          </w:p>
        </w:tc>
        <w:tc>
          <w:tcPr>
            <w:tcW w:w="6787" w:type="dxa"/>
            <w:vAlign w:val="center"/>
          </w:tcPr>
          <w:p w14:paraId="6428FE20">
            <w:pPr>
              <w:spacing w:line="240" w:lineRule="exact"/>
              <w:ind w:firstLine="420"/>
              <w:jc w:val="center"/>
              <w:rPr>
                <w:rFonts w:ascii="宋体" w:hAnsi="宋体"/>
                <w:color w:val="000000"/>
                <w:szCs w:val="21"/>
                <w:highlight w:val="none"/>
              </w:rPr>
            </w:pPr>
            <w:r>
              <w:rPr>
                <w:rFonts w:hint="eastAsia" w:ascii="宋体" w:hAnsi="宋体"/>
                <w:color w:val="000000"/>
                <w:szCs w:val="21"/>
                <w:highlight w:val="none"/>
              </w:rPr>
              <w:t>内</w:t>
            </w:r>
            <w:r>
              <w:rPr>
                <w:rFonts w:ascii="宋体" w:hAnsi="宋体"/>
                <w:color w:val="000000"/>
                <w:szCs w:val="21"/>
                <w:highlight w:val="none"/>
              </w:rPr>
              <w:t xml:space="preserve">     </w:t>
            </w:r>
            <w:r>
              <w:rPr>
                <w:rFonts w:hint="eastAsia" w:ascii="宋体" w:hAnsi="宋体"/>
                <w:color w:val="000000"/>
                <w:szCs w:val="21"/>
                <w:highlight w:val="none"/>
              </w:rPr>
              <w:t>容</w:t>
            </w:r>
            <w:r>
              <w:rPr>
                <w:rFonts w:ascii="宋体" w:hAnsi="宋体"/>
                <w:color w:val="000000"/>
                <w:szCs w:val="21"/>
                <w:highlight w:val="none"/>
              </w:rPr>
              <w:t xml:space="preserve">    </w:t>
            </w:r>
            <w:r>
              <w:rPr>
                <w:rFonts w:hint="eastAsia" w:ascii="宋体" w:hAnsi="宋体"/>
                <w:color w:val="000000"/>
                <w:szCs w:val="21"/>
                <w:highlight w:val="none"/>
              </w:rPr>
              <w:t>规    定</w:t>
            </w:r>
          </w:p>
        </w:tc>
      </w:tr>
      <w:tr w14:paraId="5B0F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17" w:type="dxa"/>
            <w:vAlign w:val="center"/>
          </w:tcPr>
          <w:p w14:paraId="7DEDEA05">
            <w:pPr>
              <w:spacing w:line="240" w:lineRule="exact"/>
              <w:jc w:val="center"/>
              <w:rPr>
                <w:rFonts w:ascii="宋体" w:hAnsi="宋体"/>
                <w:color w:val="000000"/>
                <w:szCs w:val="21"/>
                <w:highlight w:val="none"/>
              </w:rPr>
            </w:pPr>
            <w:r>
              <w:rPr>
                <w:rFonts w:hint="eastAsia" w:ascii="宋体" w:hAnsi="宋体"/>
                <w:color w:val="000000"/>
                <w:szCs w:val="21"/>
                <w:highlight w:val="none"/>
              </w:rPr>
              <w:t>1</w:t>
            </w:r>
          </w:p>
        </w:tc>
        <w:tc>
          <w:tcPr>
            <w:tcW w:w="1701" w:type="dxa"/>
            <w:vAlign w:val="center"/>
          </w:tcPr>
          <w:p w14:paraId="2B37CBB0">
            <w:pPr>
              <w:spacing w:line="240" w:lineRule="exact"/>
              <w:jc w:val="center"/>
              <w:rPr>
                <w:rFonts w:ascii="宋体" w:hAnsi="宋体"/>
                <w:color w:val="000000"/>
                <w:szCs w:val="21"/>
                <w:highlight w:val="none"/>
              </w:rPr>
            </w:pPr>
            <w:r>
              <w:rPr>
                <w:rFonts w:hint="eastAsia" w:ascii="宋体" w:hAnsi="宋体"/>
                <w:color w:val="000000"/>
                <w:szCs w:val="21"/>
                <w:highlight w:val="none"/>
              </w:rPr>
              <w:t>项目名称</w:t>
            </w:r>
          </w:p>
        </w:tc>
        <w:tc>
          <w:tcPr>
            <w:tcW w:w="6787" w:type="dxa"/>
            <w:vAlign w:val="center"/>
          </w:tcPr>
          <w:p w14:paraId="168DDACF">
            <w:pPr>
              <w:spacing w:line="240" w:lineRule="exact"/>
              <w:jc w:val="both"/>
              <w:rPr>
                <w:rFonts w:ascii="宋体" w:hAnsi="宋体"/>
                <w:szCs w:val="21"/>
                <w:highlight w:val="none"/>
              </w:rPr>
            </w:pPr>
            <w:r>
              <w:rPr>
                <w:rFonts w:hint="eastAsia" w:ascii="宋体" w:hAnsi="宋体"/>
                <w:color w:val="000000"/>
                <w:szCs w:val="21"/>
                <w:highlight w:val="none"/>
              </w:rPr>
              <w:t>南宁轨道交通对客服务平台大会员系统建设咨询服务项目</w:t>
            </w:r>
          </w:p>
        </w:tc>
      </w:tr>
      <w:tr w14:paraId="7FF6D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17" w:type="dxa"/>
            <w:vAlign w:val="center"/>
          </w:tcPr>
          <w:p w14:paraId="0D6B57DC">
            <w:pPr>
              <w:spacing w:line="240" w:lineRule="exact"/>
              <w:jc w:val="center"/>
              <w:rPr>
                <w:rFonts w:ascii="宋体" w:hAnsi="宋体"/>
                <w:color w:val="000000"/>
                <w:szCs w:val="21"/>
                <w:highlight w:val="none"/>
              </w:rPr>
            </w:pPr>
            <w:r>
              <w:rPr>
                <w:rFonts w:hint="eastAsia" w:ascii="宋体" w:hAnsi="宋体"/>
                <w:color w:val="000000"/>
                <w:szCs w:val="21"/>
                <w:highlight w:val="none"/>
              </w:rPr>
              <w:t>2</w:t>
            </w:r>
          </w:p>
        </w:tc>
        <w:tc>
          <w:tcPr>
            <w:tcW w:w="1701" w:type="dxa"/>
            <w:vAlign w:val="center"/>
          </w:tcPr>
          <w:p w14:paraId="6A163E61">
            <w:pPr>
              <w:spacing w:line="240" w:lineRule="exact"/>
              <w:jc w:val="center"/>
              <w:rPr>
                <w:rFonts w:ascii="宋体" w:hAnsi="宋体"/>
                <w:color w:val="000000"/>
                <w:szCs w:val="21"/>
                <w:highlight w:val="none"/>
              </w:rPr>
            </w:pPr>
            <w:r>
              <w:rPr>
                <w:rFonts w:hint="eastAsia" w:ascii="宋体" w:hAnsi="宋体"/>
                <w:color w:val="000000"/>
                <w:szCs w:val="21"/>
                <w:highlight w:val="none"/>
              </w:rPr>
              <w:t>项目地点</w:t>
            </w:r>
          </w:p>
        </w:tc>
        <w:tc>
          <w:tcPr>
            <w:tcW w:w="6787" w:type="dxa"/>
            <w:vAlign w:val="center"/>
          </w:tcPr>
          <w:p w14:paraId="7263F690">
            <w:pPr>
              <w:pStyle w:val="13"/>
              <w:spacing w:line="240" w:lineRule="exact"/>
              <w:ind w:firstLine="0" w:firstLineChars="0"/>
              <w:rPr>
                <w:rFonts w:ascii="宋体" w:hAnsi="宋体" w:eastAsia="宋体" w:cs="Times New Roman"/>
                <w:sz w:val="21"/>
                <w:szCs w:val="21"/>
                <w:highlight w:val="none"/>
              </w:rPr>
            </w:pPr>
            <w:r>
              <w:rPr>
                <w:rFonts w:hint="eastAsia" w:ascii="宋体" w:hAnsi="宋体" w:eastAsia="宋体" w:cs="Times New Roman"/>
                <w:sz w:val="21"/>
                <w:szCs w:val="21"/>
                <w:highlight w:val="none"/>
              </w:rPr>
              <w:t>广西南宁市</w:t>
            </w:r>
          </w:p>
        </w:tc>
      </w:tr>
      <w:tr w14:paraId="7F63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17" w:type="dxa"/>
            <w:vAlign w:val="center"/>
          </w:tcPr>
          <w:p w14:paraId="3CC8C60C">
            <w:pPr>
              <w:spacing w:line="240" w:lineRule="exact"/>
              <w:jc w:val="center"/>
              <w:rPr>
                <w:rFonts w:ascii="宋体" w:hAnsi="宋体"/>
                <w:color w:val="000000"/>
                <w:szCs w:val="21"/>
                <w:highlight w:val="none"/>
              </w:rPr>
            </w:pPr>
            <w:r>
              <w:rPr>
                <w:rFonts w:hint="eastAsia" w:ascii="宋体" w:hAnsi="宋体"/>
                <w:color w:val="000000"/>
                <w:szCs w:val="21"/>
                <w:highlight w:val="none"/>
              </w:rPr>
              <w:t>3</w:t>
            </w:r>
          </w:p>
        </w:tc>
        <w:tc>
          <w:tcPr>
            <w:tcW w:w="1701" w:type="dxa"/>
            <w:vAlign w:val="center"/>
          </w:tcPr>
          <w:p w14:paraId="7D628D4D">
            <w:pPr>
              <w:spacing w:line="240" w:lineRule="exact"/>
              <w:jc w:val="center"/>
              <w:rPr>
                <w:rFonts w:ascii="宋体" w:hAnsi="宋体"/>
                <w:color w:val="000000"/>
                <w:szCs w:val="21"/>
                <w:highlight w:val="none"/>
              </w:rPr>
            </w:pPr>
            <w:r>
              <w:rPr>
                <w:rFonts w:hint="eastAsia" w:ascii="宋体" w:hAnsi="宋体"/>
                <w:color w:val="000000"/>
                <w:szCs w:val="21"/>
                <w:highlight w:val="none"/>
              </w:rPr>
              <w:t>项目内容</w:t>
            </w:r>
          </w:p>
        </w:tc>
        <w:tc>
          <w:tcPr>
            <w:tcW w:w="6787" w:type="dxa"/>
            <w:vAlign w:val="center"/>
          </w:tcPr>
          <w:p w14:paraId="48D3C619">
            <w:pPr>
              <w:spacing w:after="120"/>
              <w:rPr>
                <w:rFonts w:ascii="宋体" w:hAnsi="宋体"/>
                <w:szCs w:val="21"/>
                <w:highlight w:val="none"/>
              </w:rPr>
            </w:pPr>
            <w:r>
              <w:rPr>
                <w:rFonts w:hint="eastAsia" w:ascii="宋体" w:hAnsi="宋体"/>
                <w:szCs w:val="21"/>
                <w:highlight w:val="none"/>
              </w:rPr>
              <w:t>编制南宁轨道交通对客服务平台大会员系统建设咨询服务项目，详细内容见本比选文件中的“用户需求书”。</w:t>
            </w:r>
          </w:p>
        </w:tc>
      </w:tr>
      <w:tr w14:paraId="53B5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17" w:type="dxa"/>
            <w:vAlign w:val="center"/>
          </w:tcPr>
          <w:p w14:paraId="2783E5AF">
            <w:pPr>
              <w:spacing w:line="240" w:lineRule="exact"/>
              <w:jc w:val="center"/>
              <w:rPr>
                <w:rFonts w:ascii="宋体" w:hAnsi="宋体"/>
                <w:color w:val="000000"/>
                <w:szCs w:val="21"/>
                <w:highlight w:val="none"/>
              </w:rPr>
            </w:pPr>
            <w:r>
              <w:rPr>
                <w:rFonts w:hint="eastAsia" w:ascii="宋体" w:hAnsi="宋体"/>
                <w:color w:val="000000"/>
                <w:szCs w:val="21"/>
                <w:highlight w:val="none"/>
              </w:rPr>
              <w:t>4</w:t>
            </w:r>
          </w:p>
        </w:tc>
        <w:tc>
          <w:tcPr>
            <w:tcW w:w="1701" w:type="dxa"/>
            <w:vAlign w:val="center"/>
          </w:tcPr>
          <w:p w14:paraId="0A0F3F52">
            <w:pPr>
              <w:spacing w:line="240" w:lineRule="exact"/>
              <w:jc w:val="center"/>
              <w:rPr>
                <w:rFonts w:ascii="宋体" w:hAnsi="宋体"/>
                <w:color w:val="000000"/>
                <w:szCs w:val="21"/>
                <w:highlight w:val="none"/>
              </w:rPr>
            </w:pPr>
            <w:r>
              <w:rPr>
                <w:rFonts w:hint="eastAsia" w:ascii="宋体" w:hAnsi="宋体"/>
                <w:color w:val="000000"/>
                <w:szCs w:val="21"/>
                <w:highlight w:val="none"/>
              </w:rPr>
              <w:t>计划服务周期</w:t>
            </w:r>
          </w:p>
        </w:tc>
        <w:tc>
          <w:tcPr>
            <w:tcW w:w="6787" w:type="dxa"/>
            <w:vAlign w:val="center"/>
          </w:tcPr>
          <w:p w14:paraId="05FCF0FA">
            <w:pPr>
              <w:pStyle w:val="13"/>
              <w:spacing w:line="240" w:lineRule="exact"/>
              <w:ind w:firstLine="0" w:firstLineChars="0"/>
              <w:rPr>
                <w:rFonts w:ascii="宋体" w:hAnsi="宋体" w:eastAsia="宋体"/>
                <w:color w:val="auto"/>
                <w:sz w:val="21"/>
                <w:szCs w:val="21"/>
                <w:highlight w:val="none"/>
              </w:rPr>
            </w:pPr>
            <w:r>
              <w:rPr>
                <w:rFonts w:hint="eastAsia" w:ascii="宋体" w:hAnsi="宋体" w:eastAsia="宋体" w:cs="Times New Roman"/>
                <w:color w:val="auto"/>
                <w:sz w:val="21"/>
                <w:szCs w:val="21"/>
                <w:highlight w:val="none"/>
              </w:rPr>
              <w:t>中选通知书发出之日起至 2025年10月31日。</w:t>
            </w:r>
          </w:p>
        </w:tc>
      </w:tr>
      <w:tr w14:paraId="6078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17" w:type="dxa"/>
            <w:vAlign w:val="center"/>
          </w:tcPr>
          <w:p w14:paraId="710513E1">
            <w:pPr>
              <w:spacing w:line="240" w:lineRule="exact"/>
              <w:jc w:val="center"/>
              <w:rPr>
                <w:rFonts w:ascii="宋体" w:hAnsi="宋体"/>
                <w:color w:val="000000"/>
                <w:szCs w:val="21"/>
                <w:highlight w:val="none"/>
              </w:rPr>
            </w:pPr>
            <w:r>
              <w:rPr>
                <w:rFonts w:hint="eastAsia" w:ascii="宋体" w:hAnsi="宋体"/>
                <w:color w:val="000000"/>
                <w:szCs w:val="21"/>
                <w:highlight w:val="none"/>
              </w:rPr>
              <w:t>5</w:t>
            </w:r>
          </w:p>
        </w:tc>
        <w:tc>
          <w:tcPr>
            <w:tcW w:w="1701" w:type="dxa"/>
            <w:vAlign w:val="center"/>
          </w:tcPr>
          <w:p w14:paraId="6AD89A25">
            <w:pPr>
              <w:spacing w:line="240" w:lineRule="exact"/>
              <w:jc w:val="center"/>
              <w:rPr>
                <w:rFonts w:ascii="宋体" w:hAnsi="宋体"/>
                <w:color w:val="000000"/>
                <w:szCs w:val="21"/>
                <w:highlight w:val="none"/>
              </w:rPr>
            </w:pPr>
            <w:r>
              <w:rPr>
                <w:rFonts w:hint="eastAsia" w:ascii="宋体" w:hAnsi="宋体"/>
                <w:color w:val="000000"/>
                <w:szCs w:val="21"/>
                <w:highlight w:val="none"/>
              </w:rPr>
              <w:t>比选控制价</w:t>
            </w:r>
          </w:p>
        </w:tc>
        <w:tc>
          <w:tcPr>
            <w:tcW w:w="6787" w:type="dxa"/>
            <w:vAlign w:val="center"/>
          </w:tcPr>
          <w:p w14:paraId="129E5D94">
            <w:pPr>
              <w:rPr>
                <w:rFonts w:ascii="宋体" w:hAnsi="宋体"/>
                <w:szCs w:val="21"/>
                <w:highlight w:val="none"/>
              </w:rPr>
            </w:pPr>
            <w:r>
              <w:rPr>
                <w:rFonts w:hint="eastAsia" w:ascii="宋体" w:hAnsi="宋体"/>
                <w:highlight w:val="none"/>
              </w:rPr>
              <w:t>本项目上限控制价为人民币95</w:t>
            </w:r>
            <w:r>
              <w:rPr>
                <w:rFonts w:hint="eastAsia" w:ascii="宋体" w:hAnsi="宋体"/>
                <w:szCs w:val="21"/>
                <w:highlight w:val="none"/>
              </w:rPr>
              <w:t>万元（不含税价）</w:t>
            </w:r>
          </w:p>
        </w:tc>
      </w:tr>
      <w:tr w14:paraId="17E3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817" w:type="dxa"/>
            <w:vAlign w:val="center"/>
          </w:tcPr>
          <w:p w14:paraId="106CDB18">
            <w:pPr>
              <w:spacing w:line="240" w:lineRule="exact"/>
              <w:jc w:val="center"/>
              <w:rPr>
                <w:rFonts w:ascii="宋体" w:hAnsi="宋体"/>
                <w:color w:val="000000"/>
                <w:szCs w:val="21"/>
                <w:highlight w:val="none"/>
              </w:rPr>
            </w:pPr>
            <w:r>
              <w:rPr>
                <w:rFonts w:hint="eastAsia" w:ascii="宋体" w:hAnsi="宋体"/>
                <w:color w:val="000000"/>
                <w:szCs w:val="21"/>
                <w:highlight w:val="none"/>
              </w:rPr>
              <w:t>6</w:t>
            </w:r>
          </w:p>
        </w:tc>
        <w:tc>
          <w:tcPr>
            <w:tcW w:w="1701" w:type="dxa"/>
            <w:vAlign w:val="center"/>
          </w:tcPr>
          <w:p w14:paraId="3B1DEAEE">
            <w:pPr>
              <w:spacing w:line="240" w:lineRule="exact"/>
              <w:jc w:val="center"/>
              <w:rPr>
                <w:rFonts w:ascii="宋体" w:hAnsi="宋体"/>
                <w:szCs w:val="21"/>
                <w:highlight w:val="none"/>
              </w:rPr>
            </w:pPr>
            <w:r>
              <w:rPr>
                <w:rFonts w:hint="eastAsia" w:ascii="宋体" w:hAnsi="宋体"/>
                <w:szCs w:val="21"/>
                <w:highlight w:val="none"/>
              </w:rPr>
              <w:t>比选申请人资质和合格条件要求</w:t>
            </w:r>
          </w:p>
        </w:tc>
        <w:tc>
          <w:tcPr>
            <w:tcW w:w="6787" w:type="dxa"/>
            <w:vAlign w:val="center"/>
          </w:tcPr>
          <w:p w14:paraId="05CA83AE">
            <w:pPr>
              <w:rPr>
                <w:rFonts w:ascii="宋体" w:hAnsi="宋体"/>
                <w:szCs w:val="21"/>
                <w:highlight w:val="none"/>
              </w:rPr>
            </w:pPr>
            <w:r>
              <w:rPr>
                <w:rFonts w:hint="eastAsia" w:ascii="宋体" w:hAnsi="宋体"/>
                <w:szCs w:val="21"/>
                <w:highlight w:val="none"/>
              </w:rPr>
              <w:t>1.中华人民共和国境内依法设立的法人或其他组织，经营范围中须包含类似以下至少一项内容：“技术服务、技术开发、技术咨询、数据处理服务、信息技术咨询服务”。</w:t>
            </w:r>
          </w:p>
          <w:p w14:paraId="452A6E2C">
            <w:pPr>
              <w:rPr>
                <w:rFonts w:ascii="宋体" w:hAnsi="宋体"/>
                <w:szCs w:val="21"/>
                <w:highlight w:val="none"/>
              </w:rPr>
            </w:pPr>
            <w:r>
              <w:rPr>
                <w:rFonts w:hint="eastAsia" w:ascii="宋体" w:hAnsi="宋体"/>
                <w:szCs w:val="21"/>
                <w:highlight w:val="none"/>
              </w:rPr>
              <w:t>2.比选申请人需提供组织机构代码、税务登记证（须提供</w:t>
            </w:r>
            <w:r>
              <w:rPr>
                <w:rFonts w:hint="eastAsia" w:ascii="宋体" w:hAnsi="宋体"/>
                <w:szCs w:val="24"/>
                <w:highlight w:val="none"/>
              </w:rPr>
              <w:t>原件扫描件加盖公章</w:t>
            </w:r>
            <w:r>
              <w:rPr>
                <w:rFonts w:hint="eastAsia" w:ascii="宋体" w:hAnsi="宋体"/>
                <w:szCs w:val="21"/>
                <w:highlight w:val="none"/>
              </w:rPr>
              <w:t>，如已办理三证合一则不需提供）；</w:t>
            </w:r>
          </w:p>
          <w:p w14:paraId="07D15E29">
            <w:pPr>
              <w:rPr>
                <w:rFonts w:ascii="宋体" w:hAnsi="宋体"/>
                <w:szCs w:val="21"/>
                <w:highlight w:val="none"/>
              </w:rPr>
            </w:pPr>
            <w:r>
              <w:rPr>
                <w:rFonts w:hint="eastAsia" w:ascii="宋体" w:hAnsi="宋体"/>
                <w:szCs w:val="21"/>
                <w:highlight w:val="none"/>
              </w:rPr>
              <w:t>3.比选申请人公司在中华人民共和国境内注册，具有独立的法人资格，能独立承担民事责任，具有从事本项目的经营范围和能力，注册资金不低于人民币500万元的企业；</w:t>
            </w:r>
          </w:p>
          <w:p w14:paraId="06160C03">
            <w:pPr>
              <w:rPr>
                <w:rFonts w:ascii="宋体" w:hAnsi="宋体"/>
                <w:szCs w:val="21"/>
                <w:highlight w:val="none"/>
              </w:rPr>
            </w:pPr>
            <w:r>
              <w:rPr>
                <w:rFonts w:hint="eastAsia" w:ascii="宋体" w:hAnsi="宋体"/>
                <w:szCs w:val="21"/>
                <w:highlight w:val="none"/>
              </w:rPr>
              <w:t>4.比选申请人不存在下列情形之一：被责令停业的；被暂停或取消参选资格的；财产被接管或冻结的；在最近三年内有骗取中标、严重违约或违法或质量问题的；</w:t>
            </w:r>
          </w:p>
          <w:p w14:paraId="16D77CA6">
            <w:pPr>
              <w:rPr>
                <w:rFonts w:ascii="宋体" w:hAnsi="宋体"/>
                <w:szCs w:val="21"/>
                <w:highlight w:val="none"/>
              </w:rPr>
            </w:pPr>
            <w:r>
              <w:rPr>
                <w:rFonts w:hint="eastAsia" w:ascii="宋体" w:hAnsi="宋体"/>
                <w:szCs w:val="21"/>
                <w:highlight w:val="none"/>
              </w:rPr>
              <w:t>5.法定代表人为同一个人的两个及两个以上法人，母公司与全资子公司/由其控股的子公司，不得同时参与本项目；</w:t>
            </w:r>
          </w:p>
          <w:p w14:paraId="63D5B090">
            <w:pPr>
              <w:rPr>
                <w:highlight w:val="none"/>
              </w:rPr>
            </w:pPr>
            <w:r>
              <w:rPr>
                <w:rFonts w:hint="eastAsia" w:ascii="宋体" w:hAnsi="宋体"/>
                <w:szCs w:val="21"/>
                <w:highlight w:val="none"/>
              </w:rPr>
              <w:t>6.本次比选不接受联合体参与。</w:t>
            </w:r>
          </w:p>
        </w:tc>
      </w:tr>
      <w:tr w14:paraId="66E2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14:paraId="0B5A506B">
            <w:pPr>
              <w:spacing w:line="240" w:lineRule="exact"/>
              <w:jc w:val="center"/>
              <w:rPr>
                <w:rFonts w:ascii="宋体" w:hAnsi="宋体"/>
                <w:color w:val="000000"/>
                <w:szCs w:val="21"/>
                <w:highlight w:val="none"/>
              </w:rPr>
            </w:pPr>
            <w:r>
              <w:rPr>
                <w:rFonts w:hint="eastAsia" w:ascii="宋体" w:hAnsi="宋体"/>
                <w:color w:val="000000"/>
                <w:szCs w:val="21"/>
                <w:highlight w:val="none"/>
              </w:rPr>
              <w:t>7</w:t>
            </w:r>
          </w:p>
        </w:tc>
        <w:tc>
          <w:tcPr>
            <w:tcW w:w="1701" w:type="dxa"/>
            <w:vAlign w:val="center"/>
          </w:tcPr>
          <w:p w14:paraId="22CBC7EE">
            <w:pPr>
              <w:spacing w:line="240" w:lineRule="exact"/>
              <w:jc w:val="center"/>
              <w:rPr>
                <w:rFonts w:ascii="宋体" w:hAnsi="宋体"/>
                <w:color w:val="000000"/>
                <w:szCs w:val="21"/>
                <w:highlight w:val="none"/>
              </w:rPr>
            </w:pPr>
            <w:r>
              <w:rPr>
                <w:rFonts w:hint="eastAsia" w:ascii="宋体" w:hAnsi="宋体"/>
                <w:color w:val="000000"/>
                <w:szCs w:val="21"/>
                <w:highlight w:val="none"/>
              </w:rPr>
              <w:t>申请比选报价</w:t>
            </w:r>
          </w:p>
        </w:tc>
        <w:tc>
          <w:tcPr>
            <w:tcW w:w="6787" w:type="dxa"/>
            <w:vAlign w:val="center"/>
          </w:tcPr>
          <w:p w14:paraId="7EC1ABA1">
            <w:pPr>
              <w:rPr>
                <w:rFonts w:ascii="宋体" w:hAnsi="宋体"/>
                <w:color w:val="000000"/>
                <w:szCs w:val="21"/>
                <w:highlight w:val="none"/>
              </w:rPr>
            </w:pPr>
            <w:r>
              <w:rPr>
                <w:rFonts w:hint="eastAsia" w:ascii="宋体" w:hAnsi="宋体"/>
                <w:color w:val="000000"/>
                <w:szCs w:val="21"/>
                <w:highlight w:val="none"/>
              </w:rPr>
              <w:t>比选申请人必须对比选项目中的所有内容作完整唯一的报价。</w:t>
            </w:r>
          </w:p>
        </w:tc>
      </w:tr>
      <w:tr w14:paraId="66CF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17" w:type="dxa"/>
            <w:vAlign w:val="center"/>
          </w:tcPr>
          <w:p w14:paraId="12924587">
            <w:pPr>
              <w:spacing w:line="240" w:lineRule="exact"/>
              <w:jc w:val="center"/>
              <w:rPr>
                <w:rFonts w:ascii="宋体" w:hAnsi="宋体"/>
                <w:color w:val="000000"/>
                <w:szCs w:val="21"/>
                <w:highlight w:val="none"/>
              </w:rPr>
            </w:pPr>
            <w:r>
              <w:rPr>
                <w:rFonts w:hint="eastAsia" w:ascii="宋体" w:hAnsi="宋体"/>
                <w:color w:val="000000"/>
                <w:szCs w:val="21"/>
                <w:highlight w:val="none"/>
              </w:rPr>
              <w:t>8</w:t>
            </w:r>
          </w:p>
        </w:tc>
        <w:tc>
          <w:tcPr>
            <w:tcW w:w="1701" w:type="dxa"/>
            <w:vAlign w:val="center"/>
          </w:tcPr>
          <w:p w14:paraId="10820F55">
            <w:pPr>
              <w:spacing w:line="240" w:lineRule="exact"/>
              <w:jc w:val="center"/>
              <w:rPr>
                <w:rFonts w:ascii="宋体" w:hAnsi="宋体"/>
                <w:color w:val="000000"/>
                <w:szCs w:val="21"/>
                <w:highlight w:val="none"/>
              </w:rPr>
            </w:pPr>
            <w:r>
              <w:rPr>
                <w:rFonts w:hint="eastAsia" w:ascii="宋体" w:hAnsi="宋体"/>
                <w:color w:val="000000"/>
                <w:szCs w:val="21"/>
                <w:highlight w:val="none"/>
              </w:rPr>
              <w:t>比选有效期</w:t>
            </w:r>
          </w:p>
        </w:tc>
        <w:tc>
          <w:tcPr>
            <w:tcW w:w="6787" w:type="dxa"/>
            <w:vAlign w:val="center"/>
          </w:tcPr>
          <w:p w14:paraId="6892E7B3">
            <w:pPr>
              <w:rPr>
                <w:rFonts w:ascii="宋体" w:hAnsi="宋体"/>
                <w:color w:val="000000"/>
                <w:szCs w:val="21"/>
                <w:highlight w:val="none"/>
              </w:rPr>
            </w:pPr>
            <w:r>
              <w:rPr>
                <w:rFonts w:hint="eastAsia" w:ascii="宋体" w:hAnsi="宋体"/>
                <w:color w:val="000000"/>
                <w:szCs w:val="21"/>
                <w:highlight w:val="none"/>
              </w:rPr>
              <w:t>30天（比选有效期是指为保证比选发起人有足够的时间完成评审和与中选人签订合同而在一定时间内保持有效的期限。比选有效期从比选申请文件递交截止之日算起。）</w:t>
            </w:r>
          </w:p>
        </w:tc>
      </w:tr>
      <w:tr w14:paraId="1654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7" w:type="dxa"/>
            <w:vAlign w:val="center"/>
          </w:tcPr>
          <w:p w14:paraId="46DC3BFB">
            <w:pPr>
              <w:spacing w:line="240" w:lineRule="exact"/>
              <w:jc w:val="center"/>
              <w:rPr>
                <w:rFonts w:ascii="宋体" w:hAnsi="宋体"/>
                <w:szCs w:val="21"/>
                <w:highlight w:val="none"/>
              </w:rPr>
            </w:pPr>
            <w:r>
              <w:rPr>
                <w:rFonts w:hint="eastAsia" w:ascii="宋体" w:hAnsi="宋体"/>
                <w:szCs w:val="21"/>
                <w:highlight w:val="none"/>
              </w:rPr>
              <w:t>9</w:t>
            </w:r>
          </w:p>
        </w:tc>
        <w:tc>
          <w:tcPr>
            <w:tcW w:w="1701" w:type="dxa"/>
            <w:vAlign w:val="center"/>
          </w:tcPr>
          <w:p w14:paraId="09F5F024">
            <w:pPr>
              <w:spacing w:line="240" w:lineRule="exact"/>
              <w:jc w:val="center"/>
              <w:rPr>
                <w:rFonts w:ascii="宋体" w:hAnsi="宋体"/>
                <w:szCs w:val="21"/>
                <w:highlight w:val="none"/>
              </w:rPr>
            </w:pPr>
            <w:r>
              <w:rPr>
                <w:rFonts w:hint="eastAsia" w:ascii="宋体" w:hAnsi="宋体"/>
                <w:szCs w:val="21"/>
                <w:highlight w:val="none"/>
              </w:rPr>
              <w:t>比选申请文件份数</w:t>
            </w:r>
          </w:p>
        </w:tc>
        <w:tc>
          <w:tcPr>
            <w:tcW w:w="6787" w:type="dxa"/>
            <w:vAlign w:val="center"/>
          </w:tcPr>
          <w:p w14:paraId="3B0A5465">
            <w:pPr>
              <w:rPr>
                <w:rFonts w:ascii="宋体" w:hAnsi="宋体"/>
                <w:szCs w:val="21"/>
                <w:highlight w:val="none"/>
              </w:rPr>
            </w:pPr>
            <w:r>
              <w:rPr>
                <w:rFonts w:hint="eastAsia" w:ascii="宋体" w:hAnsi="宋体"/>
                <w:szCs w:val="21"/>
                <w:highlight w:val="none"/>
              </w:rPr>
              <w:t>比选申请文件一正</w:t>
            </w:r>
            <w:r>
              <w:rPr>
                <w:rFonts w:hint="eastAsia" w:ascii="宋体" w:hAnsi="宋体"/>
                <w:szCs w:val="21"/>
                <w:highlight w:val="none"/>
                <w:lang w:val="en-US" w:eastAsia="zh-CN"/>
              </w:rPr>
              <w:t>两</w:t>
            </w:r>
            <w:r>
              <w:rPr>
                <w:rFonts w:hint="eastAsia" w:ascii="宋体" w:hAnsi="宋体"/>
                <w:szCs w:val="21"/>
                <w:highlight w:val="none"/>
              </w:rPr>
              <w:t>副</w:t>
            </w:r>
            <w:r>
              <w:rPr>
                <w:rFonts w:hint="eastAsia" w:ascii="宋体" w:hAnsi="宋体"/>
                <w:szCs w:val="21"/>
                <w:highlight w:val="none"/>
                <w:lang w:eastAsia="zh-CN"/>
              </w:rPr>
              <w:t>，</w:t>
            </w:r>
            <w:r>
              <w:rPr>
                <w:rFonts w:hint="eastAsia"/>
                <w:highlight w:val="none"/>
              </w:rPr>
              <w:t>一份电子版（与比选文件正本内容一致，PDF格式，U盘载体）</w:t>
            </w:r>
          </w:p>
        </w:tc>
      </w:tr>
      <w:tr w14:paraId="1B5C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7" w:type="dxa"/>
            <w:vAlign w:val="center"/>
          </w:tcPr>
          <w:p w14:paraId="3FDFB517">
            <w:pPr>
              <w:spacing w:line="240" w:lineRule="exact"/>
              <w:jc w:val="center"/>
              <w:rPr>
                <w:rFonts w:ascii="宋体" w:hAnsi="宋体"/>
                <w:color w:val="000000"/>
                <w:szCs w:val="21"/>
                <w:highlight w:val="none"/>
              </w:rPr>
            </w:pPr>
            <w:r>
              <w:rPr>
                <w:rFonts w:hint="eastAsia" w:ascii="宋体" w:hAnsi="宋体"/>
                <w:color w:val="000000"/>
                <w:szCs w:val="21"/>
                <w:highlight w:val="none"/>
              </w:rPr>
              <w:t>10</w:t>
            </w:r>
          </w:p>
        </w:tc>
        <w:tc>
          <w:tcPr>
            <w:tcW w:w="1701" w:type="dxa"/>
            <w:vAlign w:val="center"/>
          </w:tcPr>
          <w:p w14:paraId="0433166A">
            <w:pPr>
              <w:spacing w:line="240" w:lineRule="exact"/>
              <w:jc w:val="center"/>
              <w:rPr>
                <w:rFonts w:ascii="宋体" w:hAnsi="宋体"/>
                <w:color w:val="000000"/>
                <w:szCs w:val="21"/>
                <w:highlight w:val="none"/>
              </w:rPr>
            </w:pPr>
            <w:r>
              <w:rPr>
                <w:rFonts w:hint="eastAsia" w:ascii="宋体" w:hAnsi="宋体"/>
                <w:color w:val="000000"/>
                <w:szCs w:val="21"/>
                <w:highlight w:val="none"/>
              </w:rPr>
              <w:t>比选申请文件递交时间及地点</w:t>
            </w:r>
          </w:p>
        </w:tc>
        <w:tc>
          <w:tcPr>
            <w:tcW w:w="6787" w:type="dxa"/>
            <w:vAlign w:val="center"/>
          </w:tcPr>
          <w:p w14:paraId="36EF98EE">
            <w:pPr>
              <w:rPr>
                <w:rFonts w:ascii="宋体" w:hAnsi="宋体"/>
                <w:szCs w:val="21"/>
                <w:highlight w:val="none"/>
              </w:rPr>
            </w:pPr>
            <w:r>
              <w:rPr>
                <w:rFonts w:hint="eastAsia" w:ascii="宋体" w:hAnsi="宋体"/>
                <w:szCs w:val="21"/>
                <w:highlight w:val="yellow"/>
              </w:rPr>
              <w:t>时间：2025年</w:t>
            </w:r>
            <w:r>
              <w:rPr>
                <w:rFonts w:hint="eastAsia" w:ascii="宋体" w:hAnsi="宋体"/>
                <w:szCs w:val="21"/>
                <w:highlight w:val="yellow"/>
                <w:lang w:val="en-US" w:eastAsia="zh-CN"/>
              </w:rPr>
              <w:t>5</w:t>
            </w:r>
            <w:r>
              <w:rPr>
                <w:rFonts w:hint="eastAsia" w:ascii="宋体" w:hAnsi="宋体"/>
                <w:szCs w:val="21"/>
                <w:highlight w:val="yellow"/>
              </w:rPr>
              <w:t>月</w:t>
            </w:r>
            <w:ins w:id="0" w:author="ㄗs:琴︶ㄣ" w:date="2025-05-19T14:59:46Z">
              <w:r>
                <w:rPr>
                  <w:rFonts w:hint="eastAsia" w:ascii="宋体" w:hAnsi="宋体"/>
                  <w:szCs w:val="21"/>
                  <w:highlight w:val="yellow"/>
                  <w:lang w:val="en-US" w:eastAsia="zh-CN"/>
                </w:rPr>
                <w:t>28</w:t>
              </w:r>
            </w:ins>
            <w:r>
              <w:rPr>
                <w:rFonts w:hint="eastAsia" w:ascii="宋体" w:hAnsi="宋体"/>
                <w:szCs w:val="21"/>
                <w:highlight w:val="yellow"/>
              </w:rPr>
              <w:t>日上午9:30前</w:t>
            </w:r>
            <w:r>
              <w:rPr>
                <w:rFonts w:hint="eastAsia" w:ascii="宋体" w:hAnsi="宋体"/>
                <w:szCs w:val="21"/>
                <w:highlight w:val="none"/>
              </w:rPr>
              <w:t xml:space="preserve">    </w:t>
            </w:r>
          </w:p>
          <w:p w14:paraId="20CAB3AF">
            <w:pPr>
              <w:widowControl/>
              <w:rPr>
                <w:rFonts w:ascii="宋体" w:hAnsi="宋体"/>
                <w:szCs w:val="21"/>
                <w:highlight w:val="none"/>
              </w:rPr>
            </w:pPr>
            <w:r>
              <w:rPr>
                <w:rFonts w:hint="eastAsia" w:ascii="宋体" w:hAnsi="宋体"/>
                <w:szCs w:val="21"/>
                <w:highlight w:val="none"/>
              </w:rPr>
              <w:t>地点：</w:t>
            </w:r>
            <w:r>
              <w:rPr>
                <w:rFonts w:ascii="宋体" w:hAnsi="宋体"/>
                <w:szCs w:val="21"/>
                <w:highlight w:val="none"/>
              </w:rPr>
              <w:t>南宁市青秀区凤岭北路111号国际旅游中心C座19楼南宁轨道数智科技有限公司综合部</w:t>
            </w:r>
          </w:p>
        </w:tc>
      </w:tr>
      <w:tr w14:paraId="7E4C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17" w:type="dxa"/>
            <w:vAlign w:val="center"/>
          </w:tcPr>
          <w:p w14:paraId="36D8ACE8">
            <w:pPr>
              <w:spacing w:line="240" w:lineRule="exact"/>
              <w:jc w:val="center"/>
              <w:rPr>
                <w:rFonts w:ascii="宋体" w:hAnsi="宋体"/>
                <w:color w:val="000000"/>
                <w:szCs w:val="21"/>
                <w:highlight w:val="none"/>
              </w:rPr>
            </w:pPr>
            <w:r>
              <w:rPr>
                <w:rFonts w:hint="eastAsia" w:ascii="宋体" w:hAnsi="宋体"/>
                <w:color w:val="000000"/>
                <w:szCs w:val="21"/>
                <w:highlight w:val="none"/>
              </w:rPr>
              <w:t>11</w:t>
            </w:r>
          </w:p>
        </w:tc>
        <w:tc>
          <w:tcPr>
            <w:tcW w:w="1701" w:type="dxa"/>
            <w:vAlign w:val="center"/>
          </w:tcPr>
          <w:p w14:paraId="316E09CA">
            <w:pPr>
              <w:spacing w:line="240" w:lineRule="exact"/>
              <w:jc w:val="center"/>
              <w:rPr>
                <w:rFonts w:ascii="宋体" w:hAnsi="宋体"/>
                <w:color w:val="000000"/>
                <w:szCs w:val="21"/>
                <w:highlight w:val="none"/>
              </w:rPr>
            </w:pPr>
            <w:r>
              <w:rPr>
                <w:rFonts w:hint="eastAsia" w:ascii="宋体" w:hAnsi="宋体"/>
                <w:color w:val="000000"/>
                <w:szCs w:val="21"/>
                <w:highlight w:val="none"/>
              </w:rPr>
              <w:t>比选时间及地点</w:t>
            </w:r>
          </w:p>
        </w:tc>
        <w:tc>
          <w:tcPr>
            <w:tcW w:w="6787" w:type="dxa"/>
            <w:vAlign w:val="center"/>
          </w:tcPr>
          <w:p w14:paraId="657A4520">
            <w:pPr>
              <w:rPr>
                <w:rFonts w:ascii="宋体" w:hAnsi="宋体"/>
                <w:szCs w:val="21"/>
                <w:highlight w:val="yellow"/>
              </w:rPr>
            </w:pPr>
            <w:r>
              <w:rPr>
                <w:rFonts w:hint="eastAsia" w:ascii="宋体" w:hAnsi="宋体"/>
                <w:szCs w:val="21"/>
                <w:highlight w:val="yellow"/>
              </w:rPr>
              <w:t>时间：2024年</w:t>
            </w:r>
            <w:r>
              <w:rPr>
                <w:rFonts w:hint="eastAsia" w:ascii="宋体" w:hAnsi="宋体"/>
                <w:szCs w:val="21"/>
                <w:highlight w:val="yellow"/>
                <w:lang w:val="en-US" w:eastAsia="zh-CN"/>
              </w:rPr>
              <w:t>5</w:t>
            </w:r>
            <w:r>
              <w:rPr>
                <w:rFonts w:hint="eastAsia" w:ascii="宋体" w:hAnsi="宋体"/>
                <w:szCs w:val="21"/>
                <w:highlight w:val="yellow"/>
              </w:rPr>
              <w:t>月</w:t>
            </w:r>
            <w:ins w:id="1" w:author="ㄗs:琴︶ㄣ" w:date="2025-05-19T14:59:49Z">
              <w:r>
                <w:rPr>
                  <w:rFonts w:hint="eastAsia" w:ascii="宋体" w:hAnsi="宋体"/>
                  <w:szCs w:val="21"/>
                  <w:highlight w:val="yellow"/>
                  <w:lang w:val="en-US" w:eastAsia="zh-CN"/>
                </w:rPr>
                <w:t>28</w:t>
              </w:r>
            </w:ins>
            <w:r>
              <w:rPr>
                <w:rFonts w:hint="eastAsia" w:ascii="宋体" w:hAnsi="宋体"/>
                <w:szCs w:val="21"/>
                <w:highlight w:val="yellow"/>
              </w:rPr>
              <w:t>日上午9:30</w:t>
            </w:r>
          </w:p>
          <w:p w14:paraId="1EBAC60D">
            <w:pPr>
              <w:widowControl/>
              <w:rPr>
                <w:rFonts w:ascii="宋体" w:hAnsi="宋体"/>
                <w:szCs w:val="21"/>
                <w:highlight w:val="none"/>
              </w:rPr>
            </w:pPr>
            <w:r>
              <w:rPr>
                <w:rFonts w:hint="eastAsia" w:ascii="宋体" w:hAnsi="宋体"/>
                <w:szCs w:val="21"/>
                <w:highlight w:val="none"/>
              </w:rPr>
              <w:t>地点：</w:t>
            </w:r>
            <w:r>
              <w:rPr>
                <w:rFonts w:ascii="宋体" w:hAnsi="宋体"/>
                <w:szCs w:val="21"/>
                <w:highlight w:val="none"/>
              </w:rPr>
              <w:t>南宁市青秀区凤岭北路111号国际旅游中心C座19楼南宁轨道数智科技有限公司综合部</w:t>
            </w:r>
          </w:p>
        </w:tc>
      </w:tr>
      <w:tr w14:paraId="6B75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vAlign w:val="center"/>
          </w:tcPr>
          <w:p w14:paraId="5E22B490">
            <w:pPr>
              <w:spacing w:line="240" w:lineRule="exact"/>
              <w:jc w:val="center"/>
              <w:rPr>
                <w:rFonts w:ascii="宋体" w:hAnsi="宋体"/>
                <w:color w:val="000000"/>
                <w:szCs w:val="21"/>
                <w:highlight w:val="none"/>
              </w:rPr>
            </w:pPr>
            <w:r>
              <w:rPr>
                <w:rFonts w:hint="eastAsia" w:ascii="宋体" w:hAnsi="宋体"/>
                <w:color w:val="000000"/>
                <w:szCs w:val="21"/>
                <w:highlight w:val="none"/>
              </w:rPr>
              <w:t>12</w:t>
            </w:r>
          </w:p>
        </w:tc>
        <w:tc>
          <w:tcPr>
            <w:tcW w:w="1701" w:type="dxa"/>
            <w:vAlign w:val="center"/>
          </w:tcPr>
          <w:p w14:paraId="7475EE2C">
            <w:pPr>
              <w:jc w:val="center"/>
              <w:rPr>
                <w:rFonts w:ascii="宋体" w:hAnsi="宋体"/>
                <w:color w:val="000000"/>
                <w:szCs w:val="21"/>
                <w:highlight w:val="none"/>
              </w:rPr>
            </w:pPr>
            <w:r>
              <w:rPr>
                <w:rFonts w:hint="eastAsia"/>
                <w:highlight w:val="none"/>
              </w:rPr>
              <w:t>评比办法</w:t>
            </w:r>
          </w:p>
        </w:tc>
        <w:tc>
          <w:tcPr>
            <w:tcW w:w="6787" w:type="dxa"/>
            <w:vAlign w:val="center"/>
          </w:tcPr>
          <w:p w14:paraId="6B3F0378">
            <w:pPr>
              <w:rPr>
                <w:rFonts w:ascii="宋体" w:hAnsi="宋体"/>
                <w:color w:val="000000"/>
                <w:szCs w:val="21"/>
                <w:highlight w:val="none"/>
              </w:rPr>
            </w:pPr>
            <w:r>
              <w:rPr>
                <w:rFonts w:hint="eastAsia" w:ascii="宋体" w:hAnsi="宋体"/>
                <w:color w:val="000000"/>
                <w:szCs w:val="21"/>
                <w:highlight w:val="none"/>
              </w:rPr>
              <w:t>综合评分法</w:t>
            </w:r>
          </w:p>
        </w:tc>
      </w:tr>
      <w:tr w14:paraId="48C8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17" w:type="dxa"/>
            <w:vAlign w:val="center"/>
          </w:tcPr>
          <w:p w14:paraId="044AFA47">
            <w:pPr>
              <w:spacing w:line="240" w:lineRule="exact"/>
              <w:jc w:val="center"/>
              <w:rPr>
                <w:rFonts w:ascii="宋体" w:hAnsi="宋体"/>
                <w:color w:val="000000"/>
                <w:szCs w:val="21"/>
                <w:highlight w:val="none"/>
              </w:rPr>
            </w:pPr>
            <w:r>
              <w:rPr>
                <w:rFonts w:hint="eastAsia" w:ascii="宋体" w:hAnsi="宋体"/>
                <w:color w:val="000000"/>
                <w:szCs w:val="21"/>
                <w:highlight w:val="none"/>
              </w:rPr>
              <w:t>13</w:t>
            </w:r>
          </w:p>
        </w:tc>
        <w:tc>
          <w:tcPr>
            <w:tcW w:w="1701" w:type="dxa"/>
            <w:vAlign w:val="center"/>
          </w:tcPr>
          <w:p w14:paraId="4B70157D">
            <w:pPr>
              <w:spacing w:line="240" w:lineRule="exact"/>
              <w:jc w:val="center"/>
              <w:rPr>
                <w:rFonts w:ascii="宋体" w:hAnsi="宋体"/>
                <w:color w:val="000000"/>
                <w:szCs w:val="21"/>
                <w:highlight w:val="none"/>
              </w:rPr>
            </w:pPr>
            <w:r>
              <w:rPr>
                <w:rFonts w:hint="eastAsia" w:ascii="宋体" w:hAnsi="宋体"/>
                <w:color w:val="000000"/>
                <w:szCs w:val="21"/>
                <w:highlight w:val="none"/>
              </w:rPr>
              <w:t>中选通知</w:t>
            </w:r>
          </w:p>
        </w:tc>
        <w:tc>
          <w:tcPr>
            <w:tcW w:w="6787" w:type="dxa"/>
            <w:vAlign w:val="center"/>
          </w:tcPr>
          <w:p w14:paraId="25F52FE2">
            <w:pPr>
              <w:rPr>
                <w:rFonts w:ascii="宋体" w:hAnsi="宋体"/>
                <w:color w:val="000000"/>
                <w:szCs w:val="21"/>
                <w:highlight w:val="none"/>
              </w:rPr>
            </w:pPr>
            <w:r>
              <w:rPr>
                <w:rFonts w:hint="eastAsia" w:ascii="宋体" w:hAnsi="宋体"/>
                <w:color w:val="000000"/>
                <w:szCs w:val="21"/>
                <w:highlight w:val="none"/>
              </w:rPr>
              <w:t>比选人根据评比委员会的评比结果在比选有效期内向中选的比选申请人发出中选通知书。</w:t>
            </w:r>
          </w:p>
          <w:p w14:paraId="4A3AB1EA">
            <w:pPr>
              <w:rPr>
                <w:rFonts w:ascii="宋体" w:hAnsi="宋体"/>
                <w:color w:val="000000"/>
                <w:szCs w:val="21"/>
                <w:highlight w:val="none"/>
              </w:rPr>
            </w:pPr>
            <w:r>
              <w:rPr>
                <w:rFonts w:hint="eastAsia" w:ascii="宋体" w:hAnsi="宋体"/>
                <w:color w:val="000000"/>
                <w:szCs w:val="21"/>
                <w:highlight w:val="none"/>
              </w:rPr>
              <w:t>比选人无义务向未中选的比选申请人解释未中选原因和退还其比选文件。</w:t>
            </w:r>
          </w:p>
        </w:tc>
      </w:tr>
      <w:tr w14:paraId="6E35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17" w:type="dxa"/>
            <w:vAlign w:val="center"/>
          </w:tcPr>
          <w:p w14:paraId="44C2A99D">
            <w:pPr>
              <w:spacing w:line="240" w:lineRule="exact"/>
              <w:jc w:val="center"/>
              <w:rPr>
                <w:rFonts w:ascii="宋体" w:hAnsi="宋体"/>
                <w:color w:val="000000"/>
                <w:szCs w:val="21"/>
                <w:highlight w:val="none"/>
              </w:rPr>
            </w:pPr>
            <w:r>
              <w:rPr>
                <w:rFonts w:hint="eastAsia" w:ascii="宋体" w:hAnsi="宋体"/>
                <w:color w:val="000000"/>
                <w:szCs w:val="21"/>
                <w:highlight w:val="none"/>
              </w:rPr>
              <w:t>14</w:t>
            </w:r>
          </w:p>
        </w:tc>
        <w:tc>
          <w:tcPr>
            <w:tcW w:w="1701" w:type="dxa"/>
            <w:vAlign w:val="center"/>
          </w:tcPr>
          <w:p w14:paraId="7AF1D694">
            <w:pPr>
              <w:spacing w:line="240" w:lineRule="exact"/>
              <w:jc w:val="center"/>
              <w:rPr>
                <w:rFonts w:ascii="宋体" w:hAnsi="宋体"/>
                <w:color w:val="000000"/>
                <w:szCs w:val="21"/>
                <w:highlight w:val="none"/>
              </w:rPr>
            </w:pPr>
            <w:r>
              <w:rPr>
                <w:rFonts w:hint="eastAsia" w:ascii="宋体" w:hAnsi="宋体"/>
                <w:szCs w:val="21"/>
                <w:highlight w:val="none"/>
              </w:rPr>
              <w:t>履约担保</w:t>
            </w:r>
          </w:p>
        </w:tc>
        <w:tc>
          <w:tcPr>
            <w:tcW w:w="6787" w:type="dxa"/>
            <w:vAlign w:val="center"/>
          </w:tcPr>
          <w:p w14:paraId="2AC1F735">
            <w:pPr>
              <w:rPr>
                <w:rFonts w:ascii="宋体" w:hAnsi="宋体"/>
                <w:color w:val="000000"/>
                <w:szCs w:val="21"/>
                <w:highlight w:val="none"/>
              </w:rPr>
            </w:pPr>
            <w:r>
              <w:rPr>
                <w:rFonts w:hint="eastAsia" w:ascii="宋体" w:hAnsi="宋体"/>
                <w:color w:val="000000"/>
                <w:szCs w:val="21"/>
                <w:highlight w:val="none"/>
              </w:rPr>
              <w:t>履约担保金额为中标金额的 2.5% （精确到元，小数点后四舍五入），采用履约保函或银行电汇或转账等形式提交。</w:t>
            </w:r>
          </w:p>
        </w:tc>
      </w:tr>
      <w:tr w14:paraId="2949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17" w:type="dxa"/>
            <w:vAlign w:val="center"/>
          </w:tcPr>
          <w:p w14:paraId="1699D611">
            <w:pPr>
              <w:spacing w:line="240" w:lineRule="exact"/>
              <w:jc w:val="center"/>
              <w:rPr>
                <w:rFonts w:ascii="宋体" w:hAnsi="宋体"/>
                <w:color w:val="000000"/>
                <w:szCs w:val="21"/>
                <w:highlight w:val="none"/>
              </w:rPr>
            </w:pPr>
            <w:r>
              <w:rPr>
                <w:rFonts w:hint="eastAsia" w:ascii="宋体" w:hAnsi="宋体"/>
                <w:color w:val="000000"/>
                <w:szCs w:val="21"/>
                <w:highlight w:val="none"/>
              </w:rPr>
              <w:t>15</w:t>
            </w:r>
          </w:p>
        </w:tc>
        <w:tc>
          <w:tcPr>
            <w:tcW w:w="1701" w:type="dxa"/>
            <w:vAlign w:val="center"/>
          </w:tcPr>
          <w:p w14:paraId="26B5FFC0">
            <w:pPr>
              <w:spacing w:line="240" w:lineRule="exact"/>
              <w:jc w:val="center"/>
              <w:rPr>
                <w:rFonts w:ascii="宋体" w:hAnsi="宋体"/>
                <w:color w:val="000000"/>
                <w:szCs w:val="21"/>
                <w:highlight w:val="none"/>
              </w:rPr>
            </w:pPr>
            <w:r>
              <w:rPr>
                <w:rFonts w:hint="eastAsia" w:ascii="宋体" w:hAnsi="宋体"/>
                <w:color w:val="000000"/>
                <w:szCs w:val="21"/>
                <w:highlight w:val="none"/>
              </w:rPr>
              <w:t>联系方式</w:t>
            </w:r>
          </w:p>
        </w:tc>
        <w:tc>
          <w:tcPr>
            <w:tcW w:w="6787" w:type="dxa"/>
            <w:vAlign w:val="center"/>
          </w:tcPr>
          <w:p w14:paraId="2F213DB8">
            <w:pPr>
              <w:rPr>
                <w:rFonts w:hint="default" w:ascii="宋体" w:hAnsi="宋体" w:eastAsia="宋体"/>
                <w:color w:val="000000"/>
                <w:szCs w:val="21"/>
                <w:highlight w:val="none"/>
                <w:lang w:val="en-US" w:eastAsia="zh-CN"/>
              </w:rPr>
            </w:pPr>
            <w:r>
              <w:rPr>
                <w:rFonts w:hint="eastAsia" w:ascii="宋体" w:hAnsi="宋体"/>
                <w:color w:val="000000"/>
                <w:szCs w:val="21"/>
                <w:highlight w:val="none"/>
              </w:rPr>
              <w:t>联系人：黄女士 0771-</w:t>
            </w:r>
            <w:r>
              <w:rPr>
                <w:rFonts w:ascii="宋体" w:hAnsi="宋体"/>
                <w:color w:val="000000"/>
                <w:szCs w:val="21"/>
                <w:highlight w:val="none"/>
              </w:rPr>
              <w:t>2277888</w:t>
            </w:r>
            <w:r>
              <w:rPr>
                <w:rFonts w:hint="eastAsia" w:ascii="宋体" w:hAnsi="宋体"/>
                <w:color w:val="000000"/>
                <w:szCs w:val="21"/>
                <w:highlight w:val="none"/>
                <w:lang w:val="en-US" w:eastAsia="zh-CN"/>
              </w:rPr>
              <w:t>-</w:t>
            </w:r>
            <w:ins w:id="2" w:author="ㄗs:琴︶ㄣ" w:date="2025-05-19T17:11:08Z">
              <w:r>
                <w:rPr>
                  <w:rFonts w:hint="eastAsia" w:ascii="宋体" w:hAnsi="宋体"/>
                  <w:color w:val="000000"/>
                  <w:szCs w:val="21"/>
                  <w:highlight w:val="none"/>
                  <w:lang w:val="en-US" w:eastAsia="zh-CN"/>
                </w:rPr>
                <w:t>1</w:t>
              </w:r>
            </w:ins>
            <w:ins w:id="3" w:author="ㄗs:琴︶ㄣ" w:date="2025-05-19T17:11:36Z">
              <w:r>
                <w:rPr>
                  <w:rFonts w:hint="eastAsia" w:ascii="宋体" w:hAnsi="宋体"/>
                  <w:color w:val="000000"/>
                  <w:szCs w:val="21"/>
                  <w:highlight w:val="none"/>
                  <w:lang w:val="en-US" w:eastAsia="zh-CN"/>
                </w:rPr>
                <w:t>50</w:t>
              </w:r>
            </w:ins>
            <w:ins w:id="4" w:author="ㄗs:琴︶ㄣ" w:date="2025-05-19T17:11:37Z">
              <w:r>
                <w:rPr>
                  <w:rFonts w:hint="eastAsia" w:ascii="宋体" w:hAnsi="宋体"/>
                  <w:color w:val="000000"/>
                  <w:szCs w:val="21"/>
                  <w:highlight w:val="none"/>
                  <w:lang w:val="en-US" w:eastAsia="zh-CN"/>
                </w:rPr>
                <w:t>1</w:t>
              </w:r>
            </w:ins>
            <w:bookmarkStart w:id="449" w:name="_GoBack"/>
            <w:bookmarkEnd w:id="449"/>
          </w:p>
        </w:tc>
      </w:tr>
    </w:tbl>
    <w:p w14:paraId="06E36D8B">
      <w:pPr>
        <w:pStyle w:val="3"/>
        <w:jc w:val="center"/>
        <w:rPr>
          <w:rFonts w:ascii="宋体" w:hAnsi="宋体" w:eastAsia="宋体"/>
          <w:color w:val="000000"/>
          <w:sz w:val="28"/>
          <w:szCs w:val="28"/>
          <w:highlight w:val="none"/>
        </w:rPr>
      </w:pPr>
      <w:bookmarkStart w:id="16" w:name="_Toc392862474"/>
      <w:bookmarkStart w:id="17" w:name="_Toc19580"/>
      <w:r>
        <w:rPr>
          <w:rFonts w:hint="eastAsia" w:ascii="宋体" w:hAnsi="宋体" w:eastAsia="宋体"/>
          <w:color w:val="000000"/>
          <w:sz w:val="28"/>
          <w:szCs w:val="28"/>
          <w:highlight w:val="none"/>
        </w:rPr>
        <w:t>一、总   则</w:t>
      </w:r>
      <w:bookmarkEnd w:id="13"/>
      <w:bookmarkEnd w:id="14"/>
      <w:bookmarkEnd w:id="15"/>
      <w:bookmarkEnd w:id="16"/>
      <w:bookmarkEnd w:id="17"/>
    </w:p>
    <w:p w14:paraId="5DEE235E">
      <w:pPr>
        <w:pStyle w:val="4"/>
        <w:keepNext w:val="0"/>
        <w:keepLines w:val="0"/>
        <w:spacing w:before="0" w:after="0" w:line="360" w:lineRule="auto"/>
        <w:ind w:firstLine="482" w:firstLineChars="200"/>
        <w:rPr>
          <w:rFonts w:ascii="宋体" w:hAnsi="宋体"/>
          <w:color w:val="000000"/>
          <w:sz w:val="24"/>
          <w:szCs w:val="24"/>
          <w:highlight w:val="none"/>
        </w:rPr>
      </w:pPr>
      <w:bookmarkStart w:id="18" w:name="_Toc114052414"/>
      <w:bookmarkStart w:id="19" w:name="_Toc114052340"/>
      <w:bookmarkStart w:id="20" w:name="_Toc392862475"/>
      <w:bookmarkStart w:id="21" w:name="_Toc286386834"/>
      <w:bookmarkStart w:id="22" w:name="_Toc18521"/>
      <w:r>
        <w:rPr>
          <w:rFonts w:hint="eastAsia" w:ascii="宋体" w:hAnsi="宋体"/>
          <w:color w:val="000000"/>
          <w:sz w:val="24"/>
          <w:szCs w:val="24"/>
          <w:highlight w:val="none"/>
        </w:rPr>
        <w:t>1</w:t>
      </w:r>
      <w:bookmarkEnd w:id="18"/>
      <w:bookmarkEnd w:id="19"/>
      <w:bookmarkEnd w:id="20"/>
      <w:bookmarkEnd w:id="21"/>
      <w:bookmarkStart w:id="23" w:name="_Toc286386836"/>
      <w:bookmarkStart w:id="24" w:name="_Toc114052416"/>
      <w:bookmarkStart w:id="25" w:name="_Toc114052342"/>
      <w:bookmarkStart w:id="26" w:name="_Toc392862477"/>
      <w:r>
        <w:rPr>
          <w:rFonts w:hint="eastAsia" w:ascii="宋体" w:hAnsi="宋体"/>
          <w:color w:val="000000"/>
          <w:sz w:val="24"/>
          <w:szCs w:val="24"/>
          <w:highlight w:val="none"/>
        </w:rPr>
        <w:t>. 项目说明</w:t>
      </w:r>
      <w:bookmarkEnd w:id="22"/>
    </w:p>
    <w:p w14:paraId="13CFBDFE">
      <w:pPr>
        <w:ind w:firstLine="420" w:firstLineChars="200"/>
        <w:rPr>
          <w:rFonts w:ascii="宋体" w:hAnsi="宋体"/>
          <w:color w:val="000000"/>
          <w:kern w:val="0"/>
          <w:szCs w:val="24"/>
          <w:highlight w:val="none"/>
        </w:rPr>
      </w:pPr>
      <w:r>
        <w:rPr>
          <w:rFonts w:ascii="宋体" w:hAnsi="宋体"/>
          <w:color w:val="000000"/>
          <w:kern w:val="0"/>
          <w:szCs w:val="24"/>
          <w:highlight w:val="none"/>
        </w:rPr>
        <w:t xml:space="preserve">1.1 </w:t>
      </w:r>
      <w:r>
        <w:rPr>
          <w:rFonts w:hint="eastAsia" w:ascii="宋体" w:hAnsi="宋体"/>
          <w:color w:val="000000"/>
          <w:kern w:val="0"/>
          <w:szCs w:val="24"/>
          <w:highlight w:val="none"/>
        </w:rPr>
        <w:t>项目的说明见比选须知前附表（以下称“前附表”）所述。</w:t>
      </w:r>
    </w:p>
    <w:p w14:paraId="23B881E2">
      <w:pPr>
        <w:ind w:firstLine="420" w:firstLineChars="200"/>
        <w:rPr>
          <w:rFonts w:ascii="宋体" w:hAnsi="宋体"/>
          <w:color w:val="000000"/>
          <w:kern w:val="0"/>
          <w:szCs w:val="24"/>
          <w:highlight w:val="none"/>
        </w:rPr>
      </w:pPr>
      <w:r>
        <w:rPr>
          <w:rFonts w:ascii="宋体" w:hAnsi="宋体"/>
          <w:color w:val="000000"/>
          <w:kern w:val="0"/>
          <w:szCs w:val="24"/>
          <w:highlight w:val="none"/>
        </w:rPr>
        <w:t>1.2</w:t>
      </w:r>
      <w:r>
        <w:rPr>
          <w:rFonts w:hint="eastAsia" w:ascii="宋体" w:hAnsi="宋体"/>
          <w:color w:val="000000"/>
          <w:kern w:val="0"/>
          <w:szCs w:val="24"/>
          <w:highlight w:val="none"/>
        </w:rPr>
        <w:t xml:space="preserve"> 定义</w:t>
      </w:r>
    </w:p>
    <w:p w14:paraId="785B6EF3">
      <w:pPr>
        <w:ind w:firstLine="420" w:firstLineChars="200"/>
        <w:rPr>
          <w:rFonts w:ascii="宋体" w:hAnsi="宋体"/>
          <w:color w:val="000000"/>
          <w:kern w:val="0"/>
          <w:szCs w:val="24"/>
          <w:highlight w:val="none"/>
        </w:rPr>
      </w:pPr>
      <w:r>
        <w:rPr>
          <w:rFonts w:hint="eastAsia" w:ascii="宋体" w:hAnsi="宋体"/>
          <w:color w:val="000000"/>
          <w:kern w:val="0"/>
          <w:szCs w:val="24"/>
          <w:highlight w:val="none"/>
        </w:rPr>
        <w:t>1.2.1“比选发起人” 是指通过比选采购货物或服务的法人或其他组织，是相应采购项目的产权所有者，负责本项目的合同签订。</w:t>
      </w:r>
    </w:p>
    <w:p w14:paraId="66BC54CA">
      <w:pPr>
        <w:ind w:firstLine="420" w:firstLineChars="200"/>
        <w:rPr>
          <w:rFonts w:ascii="宋体" w:hAnsi="宋体"/>
          <w:color w:val="000000"/>
          <w:kern w:val="0"/>
          <w:szCs w:val="24"/>
          <w:highlight w:val="none"/>
        </w:rPr>
      </w:pPr>
      <w:r>
        <w:rPr>
          <w:rFonts w:hint="eastAsia" w:ascii="宋体" w:hAnsi="宋体"/>
          <w:color w:val="000000"/>
          <w:kern w:val="0"/>
          <w:szCs w:val="24"/>
          <w:highlight w:val="none"/>
        </w:rPr>
        <w:t>1.2.2 “比选申请人” 指响应该比选符合资格条件并参加投标竞争的法人或其他组织。</w:t>
      </w:r>
    </w:p>
    <w:p w14:paraId="620DB49A">
      <w:pPr>
        <w:ind w:firstLine="420" w:firstLineChars="200"/>
        <w:rPr>
          <w:rFonts w:ascii="宋体" w:hAnsi="宋体"/>
          <w:color w:val="000000"/>
          <w:kern w:val="0"/>
          <w:szCs w:val="24"/>
          <w:highlight w:val="none"/>
        </w:rPr>
      </w:pPr>
      <w:r>
        <w:rPr>
          <w:rFonts w:hint="eastAsia" w:ascii="宋体" w:hAnsi="宋体"/>
          <w:color w:val="000000"/>
          <w:kern w:val="0"/>
          <w:szCs w:val="24"/>
          <w:highlight w:val="none"/>
        </w:rPr>
        <w:t>1.2.3 “日”、“天”指公历自然日。</w:t>
      </w:r>
    </w:p>
    <w:p w14:paraId="42D67560">
      <w:pPr>
        <w:ind w:firstLine="420" w:firstLineChars="200"/>
        <w:rPr>
          <w:rFonts w:ascii="宋体" w:hAnsi="宋体"/>
          <w:color w:val="000000"/>
          <w:kern w:val="0"/>
          <w:szCs w:val="24"/>
          <w:highlight w:val="none"/>
        </w:rPr>
      </w:pPr>
      <w:r>
        <w:rPr>
          <w:rFonts w:hint="eastAsia" w:ascii="宋体" w:hAnsi="宋体"/>
          <w:color w:val="000000"/>
          <w:kern w:val="0"/>
          <w:szCs w:val="24"/>
          <w:highlight w:val="none"/>
        </w:rPr>
        <w:t>1.2.4 “合同”：指由本次比选所产生的合同或合约文件。</w:t>
      </w:r>
    </w:p>
    <w:p w14:paraId="3861C043">
      <w:pPr>
        <w:ind w:firstLine="420" w:firstLineChars="200"/>
        <w:rPr>
          <w:rFonts w:ascii="宋体" w:hAnsi="宋体"/>
          <w:color w:val="000000"/>
          <w:kern w:val="0"/>
          <w:szCs w:val="24"/>
          <w:highlight w:val="none"/>
        </w:rPr>
      </w:pPr>
      <w:r>
        <w:rPr>
          <w:rFonts w:hint="eastAsia" w:ascii="宋体" w:hAnsi="宋体"/>
          <w:color w:val="000000"/>
          <w:kern w:val="0"/>
          <w:szCs w:val="24"/>
          <w:highlight w:val="none"/>
        </w:rPr>
        <w:t>1.2.5 “比选文件”：指由比选发起人发出的本文件，包括全部章节、附件及修改补充文件，比选文件中的标题或题名仅起引导作用，而不应视为对比选文件内容的理解和解释。</w:t>
      </w:r>
    </w:p>
    <w:p w14:paraId="1919A2C2">
      <w:pPr>
        <w:ind w:firstLine="420" w:firstLineChars="200"/>
        <w:rPr>
          <w:rFonts w:ascii="宋体" w:hAnsi="宋体"/>
          <w:color w:val="000000"/>
          <w:kern w:val="0"/>
          <w:szCs w:val="24"/>
          <w:highlight w:val="none"/>
        </w:rPr>
      </w:pPr>
      <w:r>
        <w:rPr>
          <w:rFonts w:hint="eastAsia" w:ascii="宋体" w:hAnsi="宋体"/>
          <w:color w:val="000000"/>
          <w:kern w:val="0"/>
          <w:szCs w:val="24"/>
          <w:highlight w:val="none"/>
        </w:rPr>
        <w:t>1.2.6 “比选申请文件”：指比选申请人根据本比选文件向比选发起人提交的全部文件。</w:t>
      </w:r>
    </w:p>
    <w:p w14:paraId="0785ACD8">
      <w:pPr>
        <w:ind w:firstLine="420" w:firstLineChars="200"/>
        <w:rPr>
          <w:rFonts w:ascii="宋体" w:hAnsi="宋体"/>
          <w:color w:val="000000"/>
          <w:kern w:val="0"/>
          <w:szCs w:val="24"/>
          <w:highlight w:val="none"/>
        </w:rPr>
      </w:pPr>
      <w:r>
        <w:rPr>
          <w:rFonts w:hint="eastAsia" w:ascii="宋体" w:hAnsi="宋体"/>
          <w:color w:val="000000"/>
          <w:kern w:val="0"/>
          <w:szCs w:val="24"/>
          <w:highlight w:val="none"/>
        </w:rPr>
        <w:t>1.3 上述项目按照国家有关的法律、法规作为依据，现通过公开比选来择优选定本项目的实施单位。</w:t>
      </w:r>
    </w:p>
    <w:p w14:paraId="2E448F12">
      <w:pPr>
        <w:ind w:firstLine="420" w:firstLineChars="200"/>
        <w:rPr>
          <w:rFonts w:ascii="宋体" w:hAnsi="宋体"/>
          <w:color w:val="000000"/>
          <w:kern w:val="0"/>
          <w:szCs w:val="24"/>
          <w:highlight w:val="none"/>
        </w:rPr>
      </w:pPr>
      <w:r>
        <w:rPr>
          <w:rFonts w:hint="eastAsia" w:ascii="宋体" w:hAnsi="宋体"/>
          <w:color w:val="000000"/>
          <w:kern w:val="0"/>
          <w:szCs w:val="24"/>
          <w:highlight w:val="none"/>
        </w:rPr>
        <w:t>1.4 不论响应结果如何，比选申请人的响应文件均不退回。</w:t>
      </w:r>
    </w:p>
    <w:p w14:paraId="17316CA6">
      <w:pPr>
        <w:ind w:firstLine="420" w:firstLineChars="200"/>
        <w:rPr>
          <w:rFonts w:ascii="宋体" w:hAnsi="宋体"/>
          <w:color w:val="000000"/>
          <w:kern w:val="0"/>
          <w:szCs w:val="24"/>
          <w:highlight w:val="none"/>
        </w:rPr>
      </w:pPr>
      <w:r>
        <w:rPr>
          <w:rFonts w:hint="eastAsia" w:ascii="宋体" w:hAnsi="宋体"/>
          <w:color w:val="000000"/>
          <w:kern w:val="0"/>
          <w:szCs w:val="24"/>
          <w:highlight w:val="none"/>
        </w:rPr>
        <w:t>1.5 比选申请人不允许有挂靠或转包的行为，比选发起人或评审委员会在任何时候发现比选申请人是挂靠或转包的，其响应将被拒绝，签订合同的，</w:t>
      </w:r>
      <w:r>
        <w:rPr>
          <w:rFonts w:hint="eastAsia" w:ascii="宋体" w:hAnsi="宋体"/>
          <w:color w:val="000000"/>
          <w:kern w:val="0"/>
          <w:szCs w:val="24"/>
          <w:highlight w:val="none"/>
          <w:lang w:val="en-US" w:eastAsia="zh-CN"/>
        </w:rPr>
        <w:t>终</w:t>
      </w:r>
      <w:r>
        <w:rPr>
          <w:rFonts w:hint="eastAsia" w:ascii="宋体" w:hAnsi="宋体"/>
          <w:color w:val="000000"/>
          <w:kern w:val="0"/>
          <w:szCs w:val="24"/>
          <w:highlight w:val="none"/>
        </w:rPr>
        <w:t>止合同。比选申请人对由此造成的后果承担所有责任。</w:t>
      </w:r>
    </w:p>
    <w:p w14:paraId="5E21DE3D">
      <w:pPr>
        <w:ind w:firstLine="420" w:firstLineChars="200"/>
        <w:rPr>
          <w:rFonts w:ascii="宋体" w:hAnsi="宋体"/>
          <w:color w:val="000000"/>
          <w:kern w:val="0"/>
          <w:szCs w:val="24"/>
          <w:highlight w:val="none"/>
        </w:rPr>
      </w:pPr>
      <w:r>
        <w:rPr>
          <w:rFonts w:hint="eastAsia" w:ascii="宋体" w:hAnsi="宋体"/>
          <w:color w:val="000000"/>
          <w:kern w:val="0"/>
          <w:szCs w:val="24"/>
          <w:highlight w:val="none"/>
        </w:rPr>
        <w:t>1.6 项目概况</w:t>
      </w:r>
    </w:p>
    <w:p w14:paraId="5457C45E">
      <w:pPr>
        <w:ind w:firstLine="420" w:firstLineChars="200"/>
        <w:rPr>
          <w:rFonts w:ascii="宋体" w:hAnsi="宋体"/>
          <w:color w:val="000000"/>
          <w:kern w:val="0"/>
          <w:szCs w:val="24"/>
          <w:highlight w:val="none"/>
        </w:rPr>
      </w:pPr>
      <w:bookmarkStart w:id="27" w:name="OLE_LINK2"/>
      <w:r>
        <w:rPr>
          <w:rFonts w:hint="eastAsia" w:ascii="宋体" w:hAnsi="宋体"/>
          <w:color w:val="000000"/>
          <w:kern w:val="0"/>
          <w:szCs w:val="24"/>
          <w:highlight w:val="none"/>
        </w:rPr>
        <w:t xml:space="preserve"> </w:t>
      </w:r>
      <w:bookmarkStart w:id="28" w:name="_Hlk159751974"/>
      <w:r>
        <w:rPr>
          <w:rFonts w:hint="eastAsia" w:ascii="宋体" w:hAnsi="宋体"/>
          <w:color w:val="000000"/>
          <w:kern w:val="0"/>
          <w:szCs w:val="24"/>
          <w:highlight w:val="none"/>
        </w:rPr>
        <w:t>本项目为</w:t>
      </w:r>
      <w:bookmarkStart w:id="29" w:name="OLE_LINK1"/>
      <w:r>
        <w:rPr>
          <w:rFonts w:hint="eastAsia" w:ascii="宋体" w:hAnsi="宋体"/>
          <w:color w:val="000000"/>
          <w:kern w:val="0"/>
          <w:szCs w:val="24"/>
          <w:highlight w:val="none"/>
        </w:rPr>
        <w:t>南宁轨道交通对客服务平台大会员系统建设咨询服务项目</w:t>
      </w:r>
      <w:bookmarkEnd w:id="29"/>
      <w:r>
        <w:rPr>
          <w:rFonts w:hint="eastAsia" w:ascii="宋体" w:hAnsi="宋体"/>
          <w:color w:val="000000"/>
          <w:kern w:val="0"/>
          <w:szCs w:val="24"/>
          <w:highlight w:val="none"/>
        </w:rPr>
        <w:t>，依据南宁轨道集团战略发展规划，企业将着力推进“出行+”产业生态圈建设，通过会员服务智能化升级，实现南宁轨道交通对客服务平台流量变现目标。在当前运营体系中，南宁轨道交通存在用户数据离散化问题，尚未建立统一的会员身份识别体系，致使用户画像呈现碎片化特征。各平台系统的积分管理与权益体系处于独立运营状态，未能有效整合资源优势，难以形成可持续的用户价值管理体系。为解决轨道大会员系统建设难题，我部门拟建议开展轨道交通客户服务平台会员体系化建设专项研究，通过采购大会员系统建设咨询服务的形式为后续全线网客户服务平台建设确立实施路径。</w:t>
      </w:r>
    </w:p>
    <w:bookmarkEnd w:id="27"/>
    <w:p w14:paraId="46152DCE">
      <w:pPr>
        <w:pStyle w:val="4"/>
        <w:keepNext w:val="0"/>
        <w:keepLines w:val="0"/>
        <w:spacing w:before="0" w:after="0" w:line="360" w:lineRule="auto"/>
        <w:ind w:firstLine="482" w:firstLineChars="200"/>
        <w:rPr>
          <w:rFonts w:ascii="宋体" w:hAnsi="宋体"/>
          <w:color w:val="000000"/>
          <w:sz w:val="24"/>
          <w:szCs w:val="24"/>
          <w:highlight w:val="none"/>
        </w:rPr>
      </w:pPr>
      <w:bookmarkStart w:id="30" w:name="_Toc27744"/>
      <w:r>
        <w:rPr>
          <w:rFonts w:hint="eastAsia" w:ascii="宋体" w:hAnsi="宋体"/>
          <w:color w:val="000000"/>
          <w:sz w:val="24"/>
          <w:szCs w:val="24"/>
          <w:highlight w:val="none"/>
        </w:rPr>
        <w:t>2. 资格与合格条件的要求</w:t>
      </w:r>
      <w:bookmarkEnd w:id="30"/>
    </w:p>
    <w:bookmarkEnd w:id="23"/>
    <w:bookmarkEnd w:id="24"/>
    <w:bookmarkEnd w:id="25"/>
    <w:bookmarkEnd w:id="26"/>
    <w:bookmarkEnd w:id="28"/>
    <w:p w14:paraId="358B01A4">
      <w:pPr>
        <w:ind w:firstLine="420" w:firstLineChars="200"/>
        <w:rPr>
          <w:highlight w:val="none"/>
        </w:rPr>
      </w:pPr>
      <w:r>
        <w:rPr>
          <w:rFonts w:hint="eastAsia" w:ascii="宋体" w:hAnsi="宋体"/>
          <w:color w:val="000000"/>
          <w:kern w:val="0"/>
          <w:szCs w:val="24"/>
          <w:highlight w:val="none"/>
        </w:rPr>
        <w:t>2.1 比选申请人必须满足前附表第6项相应的资质等级及要求。</w:t>
      </w:r>
      <w:bookmarkStart w:id="31" w:name="_Toc114052343"/>
      <w:bookmarkStart w:id="32" w:name="_Toc286386837"/>
      <w:bookmarkStart w:id="33" w:name="_Toc114052417"/>
      <w:bookmarkStart w:id="34" w:name="_Toc392862478"/>
    </w:p>
    <w:p w14:paraId="30CAC732">
      <w:pPr>
        <w:pStyle w:val="4"/>
        <w:keepNext w:val="0"/>
        <w:keepLines w:val="0"/>
        <w:spacing w:before="0" w:after="0" w:line="360" w:lineRule="auto"/>
        <w:ind w:firstLine="482" w:firstLineChars="200"/>
        <w:rPr>
          <w:rFonts w:ascii="宋体" w:hAnsi="宋体"/>
          <w:color w:val="000000"/>
          <w:sz w:val="24"/>
          <w:szCs w:val="24"/>
          <w:highlight w:val="none"/>
        </w:rPr>
      </w:pPr>
      <w:bookmarkStart w:id="35" w:name="_Toc9313"/>
      <w:r>
        <w:rPr>
          <w:rFonts w:hint="eastAsia" w:ascii="宋体" w:hAnsi="宋体"/>
          <w:color w:val="000000"/>
          <w:sz w:val="24"/>
          <w:szCs w:val="24"/>
          <w:highlight w:val="none"/>
        </w:rPr>
        <w:t>3. 申请比选费用</w:t>
      </w:r>
      <w:bookmarkEnd w:id="31"/>
      <w:bookmarkEnd w:id="32"/>
      <w:bookmarkEnd w:id="33"/>
      <w:bookmarkEnd w:id="34"/>
      <w:bookmarkEnd w:id="35"/>
    </w:p>
    <w:p w14:paraId="6E48A21A">
      <w:pPr>
        <w:ind w:firstLine="420" w:firstLineChars="200"/>
        <w:rPr>
          <w:rFonts w:ascii="宋体" w:hAnsi="宋体"/>
          <w:color w:val="000000"/>
          <w:kern w:val="0"/>
          <w:szCs w:val="24"/>
          <w:highlight w:val="none"/>
        </w:rPr>
      </w:pPr>
      <w:r>
        <w:rPr>
          <w:rFonts w:hint="eastAsia" w:ascii="宋体" w:hAnsi="宋体"/>
          <w:color w:val="000000"/>
          <w:kern w:val="0"/>
          <w:szCs w:val="24"/>
          <w:highlight w:val="none"/>
        </w:rPr>
        <w:t>3.1 比选申请人应承担其编制文件与递交文件所涉及的一切费用。无论评审结果如何，比选发起人对上述费用不承担任何责任。</w:t>
      </w:r>
      <w:bookmarkStart w:id="36" w:name="_Toc114052344"/>
      <w:bookmarkStart w:id="37" w:name="_Toc286386838"/>
      <w:bookmarkStart w:id="38" w:name="_Toc114052418"/>
    </w:p>
    <w:p w14:paraId="737FB096">
      <w:pPr>
        <w:pStyle w:val="3"/>
        <w:spacing w:line="360" w:lineRule="auto"/>
        <w:jc w:val="center"/>
        <w:rPr>
          <w:rFonts w:ascii="宋体" w:hAnsi="宋体" w:eastAsia="宋体"/>
          <w:color w:val="000000"/>
          <w:sz w:val="28"/>
          <w:szCs w:val="28"/>
          <w:highlight w:val="none"/>
        </w:rPr>
      </w:pPr>
      <w:bookmarkStart w:id="39" w:name="_Toc3917"/>
      <w:bookmarkStart w:id="40" w:name="_Toc392862479"/>
      <w:r>
        <w:rPr>
          <w:rFonts w:hint="eastAsia" w:ascii="宋体" w:hAnsi="宋体" w:eastAsia="宋体"/>
          <w:color w:val="000000"/>
          <w:sz w:val="28"/>
          <w:szCs w:val="28"/>
          <w:highlight w:val="none"/>
        </w:rPr>
        <w:t>二、比选文件</w:t>
      </w:r>
      <w:bookmarkEnd w:id="36"/>
      <w:bookmarkEnd w:id="37"/>
      <w:bookmarkEnd w:id="38"/>
      <w:bookmarkEnd w:id="39"/>
      <w:bookmarkEnd w:id="40"/>
      <w:bookmarkStart w:id="41" w:name="_Toc286386839"/>
      <w:bookmarkStart w:id="42" w:name="_Toc392862480"/>
      <w:bookmarkStart w:id="43" w:name="_Toc114052345"/>
      <w:bookmarkStart w:id="44" w:name="_Toc114052419"/>
    </w:p>
    <w:p w14:paraId="04A64F20">
      <w:pPr>
        <w:pStyle w:val="4"/>
        <w:keepNext w:val="0"/>
        <w:keepLines w:val="0"/>
        <w:spacing w:before="0" w:after="0" w:line="360" w:lineRule="auto"/>
        <w:ind w:firstLine="482" w:firstLineChars="200"/>
        <w:rPr>
          <w:rFonts w:ascii="宋体" w:hAnsi="宋体"/>
          <w:color w:val="000000"/>
          <w:kern w:val="0"/>
          <w:sz w:val="24"/>
          <w:szCs w:val="24"/>
          <w:highlight w:val="none"/>
        </w:rPr>
      </w:pPr>
      <w:bookmarkStart w:id="45" w:name="_Toc22577"/>
      <w:bookmarkStart w:id="46" w:name="_Toc436771468"/>
      <w:r>
        <w:rPr>
          <w:rFonts w:hint="eastAsia" w:ascii="宋体" w:hAnsi="宋体"/>
          <w:color w:val="000000"/>
          <w:kern w:val="0"/>
          <w:sz w:val="24"/>
          <w:szCs w:val="24"/>
          <w:highlight w:val="none"/>
        </w:rPr>
        <w:t>4. 比选文件的组成</w:t>
      </w:r>
      <w:bookmarkEnd w:id="41"/>
      <w:bookmarkEnd w:id="42"/>
      <w:bookmarkEnd w:id="43"/>
      <w:bookmarkEnd w:id="44"/>
      <w:bookmarkEnd w:id="45"/>
      <w:bookmarkEnd w:id="46"/>
    </w:p>
    <w:p w14:paraId="7B363000">
      <w:pPr>
        <w:autoSpaceDE w:val="0"/>
        <w:autoSpaceDN w:val="0"/>
        <w:adjustRightInd w:val="0"/>
        <w:ind w:firstLine="420" w:firstLineChars="200"/>
        <w:rPr>
          <w:rFonts w:ascii="宋体" w:hAnsi="宋体"/>
          <w:color w:val="000000"/>
          <w:kern w:val="58"/>
          <w:szCs w:val="24"/>
          <w:highlight w:val="none"/>
        </w:rPr>
      </w:pPr>
      <w:r>
        <w:rPr>
          <w:rFonts w:hint="eastAsia" w:ascii="宋体" w:hAnsi="宋体"/>
          <w:color w:val="000000"/>
          <w:kern w:val="58"/>
          <w:szCs w:val="24"/>
          <w:highlight w:val="none"/>
        </w:rPr>
        <w:t>4.1 比选文件包括比选须知、用户需求书</w:t>
      </w:r>
      <w:r>
        <w:rPr>
          <w:rFonts w:hint="eastAsia" w:ascii="宋体" w:hAnsi="宋体"/>
          <w:color w:val="0000FF"/>
          <w:kern w:val="58"/>
          <w:szCs w:val="24"/>
          <w:highlight w:val="none"/>
        </w:rPr>
        <w:t>、</w:t>
      </w:r>
      <w:r>
        <w:rPr>
          <w:rFonts w:hint="eastAsia" w:ascii="宋体" w:hAnsi="宋体"/>
          <w:kern w:val="58"/>
          <w:szCs w:val="24"/>
          <w:highlight w:val="none"/>
        </w:rPr>
        <w:t>比选申请文件、</w:t>
      </w:r>
      <w:r>
        <w:rPr>
          <w:rFonts w:hint="eastAsia" w:ascii="宋体" w:hAnsi="宋体"/>
          <w:color w:val="000000"/>
          <w:kern w:val="58"/>
          <w:szCs w:val="24"/>
          <w:highlight w:val="none"/>
        </w:rPr>
        <w:t>评分办法、合同条款及格式等。</w:t>
      </w:r>
    </w:p>
    <w:p w14:paraId="68DC64BC">
      <w:pPr>
        <w:pStyle w:val="4"/>
        <w:keepNext w:val="0"/>
        <w:keepLines w:val="0"/>
        <w:spacing w:before="0" w:after="0" w:line="360" w:lineRule="auto"/>
        <w:ind w:firstLine="482" w:firstLineChars="200"/>
        <w:rPr>
          <w:rFonts w:ascii="宋体" w:hAnsi="宋体"/>
          <w:color w:val="000000"/>
          <w:kern w:val="0"/>
          <w:sz w:val="24"/>
          <w:szCs w:val="24"/>
          <w:highlight w:val="none"/>
        </w:rPr>
      </w:pPr>
      <w:bookmarkStart w:id="47" w:name="_Toc392862481"/>
      <w:bookmarkStart w:id="48" w:name="_Toc114052346"/>
      <w:bookmarkStart w:id="49" w:name="_Toc286386840"/>
      <w:bookmarkStart w:id="50" w:name="_Toc114052420"/>
      <w:bookmarkStart w:id="51" w:name="_Toc22850"/>
      <w:bookmarkStart w:id="52" w:name="_Toc436771469"/>
      <w:r>
        <w:rPr>
          <w:rFonts w:hint="eastAsia" w:ascii="宋体" w:hAnsi="宋体"/>
          <w:color w:val="000000"/>
          <w:kern w:val="0"/>
          <w:sz w:val="24"/>
          <w:szCs w:val="24"/>
          <w:highlight w:val="none"/>
        </w:rPr>
        <w:t>5. 比选文件的解释</w:t>
      </w:r>
      <w:bookmarkEnd w:id="47"/>
      <w:bookmarkEnd w:id="48"/>
      <w:bookmarkEnd w:id="49"/>
      <w:bookmarkEnd w:id="50"/>
      <w:bookmarkEnd w:id="51"/>
      <w:bookmarkEnd w:id="52"/>
    </w:p>
    <w:p w14:paraId="6A11807F">
      <w:pPr>
        <w:autoSpaceDE w:val="0"/>
        <w:autoSpaceDN w:val="0"/>
        <w:adjustRightInd w:val="0"/>
        <w:ind w:firstLine="420" w:firstLineChars="200"/>
        <w:rPr>
          <w:rFonts w:ascii="宋体" w:hAnsi="宋体"/>
          <w:color w:val="000000"/>
          <w:kern w:val="0"/>
          <w:szCs w:val="24"/>
          <w:highlight w:val="none"/>
        </w:rPr>
      </w:pPr>
      <w:bookmarkStart w:id="53" w:name="_Toc436771470"/>
      <w:bookmarkStart w:id="54" w:name="_Toc392862482"/>
      <w:bookmarkStart w:id="55" w:name="_Toc114052347"/>
      <w:bookmarkStart w:id="56" w:name="_Toc114052421"/>
      <w:bookmarkStart w:id="57" w:name="_Toc286386841"/>
      <w:r>
        <w:rPr>
          <w:rFonts w:hint="eastAsia" w:ascii="宋体" w:hAnsi="宋体"/>
          <w:color w:val="000000"/>
          <w:kern w:val="58"/>
          <w:szCs w:val="24"/>
          <w:highlight w:val="none"/>
        </w:rPr>
        <w:t xml:space="preserve">5.1 </w:t>
      </w:r>
      <w:r>
        <w:rPr>
          <w:rFonts w:hint="eastAsia" w:ascii="宋体" w:hAnsi="宋体"/>
          <w:color w:val="000000"/>
          <w:kern w:val="0"/>
          <w:szCs w:val="24"/>
          <w:highlight w:val="none"/>
        </w:rPr>
        <w:t>比选申请人在获取比选文件后，若有问题需要澄清，均应在递交文件截止时间3个工作日前的正常工作时间内，用当面递交或传真书面通知比选人，其他方式为无效。比选人将于递交文件截止时间2天前以书面形式,在比选人公共邮箱发布，予以答复。</w:t>
      </w:r>
    </w:p>
    <w:p w14:paraId="3C7B802C">
      <w:pPr>
        <w:pStyle w:val="4"/>
        <w:keepNext w:val="0"/>
        <w:keepLines w:val="0"/>
        <w:spacing w:before="0" w:after="0" w:line="360" w:lineRule="auto"/>
        <w:ind w:firstLine="482" w:firstLineChars="200"/>
        <w:rPr>
          <w:rFonts w:ascii="宋体" w:hAnsi="宋体"/>
          <w:color w:val="000000"/>
          <w:kern w:val="0"/>
          <w:sz w:val="24"/>
          <w:szCs w:val="24"/>
          <w:highlight w:val="none"/>
        </w:rPr>
      </w:pPr>
      <w:bookmarkStart w:id="58" w:name="_Toc6345"/>
      <w:r>
        <w:rPr>
          <w:rFonts w:hint="eastAsia" w:ascii="宋体" w:hAnsi="宋体"/>
          <w:color w:val="000000"/>
          <w:kern w:val="0"/>
          <w:sz w:val="24"/>
          <w:szCs w:val="24"/>
          <w:highlight w:val="none"/>
        </w:rPr>
        <w:t>6. 比选文件的修改</w:t>
      </w:r>
      <w:bookmarkEnd w:id="53"/>
      <w:bookmarkEnd w:id="54"/>
      <w:bookmarkEnd w:id="55"/>
      <w:bookmarkEnd w:id="56"/>
      <w:bookmarkEnd w:id="57"/>
      <w:bookmarkEnd w:id="58"/>
    </w:p>
    <w:p w14:paraId="68F0F15F">
      <w:pPr>
        <w:autoSpaceDE w:val="0"/>
        <w:autoSpaceDN w:val="0"/>
        <w:adjustRightInd w:val="0"/>
        <w:ind w:firstLine="420" w:firstLineChars="200"/>
        <w:rPr>
          <w:rFonts w:ascii="宋体" w:hAnsi="宋体"/>
          <w:color w:val="000000"/>
          <w:kern w:val="58"/>
          <w:szCs w:val="24"/>
          <w:highlight w:val="none"/>
        </w:rPr>
      </w:pPr>
      <w:r>
        <w:rPr>
          <w:rFonts w:hint="eastAsia" w:ascii="宋体" w:hAnsi="宋体"/>
          <w:color w:val="000000"/>
          <w:kern w:val="58"/>
          <w:szCs w:val="24"/>
          <w:highlight w:val="none"/>
        </w:rPr>
        <w:t>6</w:t>
      </w:r>
      <w:r>
        <w:rPr>
          <w:rFonts w:ascii="宋体" w:hAnsi="宋体"/>
          <w:color w:val="000000"/>
          <w:kern w:val="58"/>
          <w:szCs w:val="24"/>
          <w:highlight w:val="none"/>
        </w:rPr>
        <w:t xml:space="preserve">.1 </w:t>
      </w:r>
      <w:r>
        <w:rPr>
          <w:rFonts w:hint="eastAsia" w:ascii="宋体" w:hAnsi="宋体"/>
          <w:color w:val="000000"/>
          <w:kern w:val="58"/>
          <w:szCs w:val="24"/>
          <w:highlight w:val="none"/>
        </w:rPr>
        <w:t>比选发起人将答疑及修改内容在前附表规定的时间内以书面的形式发给比选申请人，补充通知作为比选文件的组成部分，对比选申请人起约束作用。</w:t>
      </w:r>
    </w:p>
    <w:p w14:paraId="7E68BE19">
      <w:pPr>
        <w:pStyle w:val="16"/>
        <w:rPr>
          <w:highlight w:val="none"/>
        </w:rPr>
      </w:pPr>
    </w:p>
    <w:p w14:paraId="1351B733">
      <w:pPr>
        <w:pStyle w:val="3"/>
        <w:jc w:val="center"/>
        <w:rPr>
          <w:rFonts w:ascii="宋体" w:hAnsi="宋体" w:eastAsia="宋体"/>
          <w:color w:val="000000"/>
          <w:sz w:val="28"/>
          <w:szCs w:val="28"/>
          <w:highlight w:val="none"/>
        </w:rPr>
      </w:pPr>
      <w:bookmarkStart w:id="59" w:name="_Toc286386842"/>
      <w:bookmarkStart w:id="60" w:name="_Toc114052422"/>
      <w:bookmarkStart w:id="61" w:name="_Toc20534"/>
      <w:bookmarkStart w:id="62" w:name="_Toc392862483"/>
      <w:bookmarkStart w:id="63" w:name="_Toc114052348"/>
      <w:r>
        <w:rPr>
          <w:rFonts w:hint="eastAsia" w:ascii="宋体" w:hAnsi="宋体" w:eastAsia="宋体"/>
          <w:color w:val="000000"/>
          <w:sz w:val="28"/>
          <w:szCs w:val="28"/>
          <w:highlight w:val="none"/>
        </w:rPr>
        <w:t>三、申请比选报价说明</w:t>
      </w:r>
      <w:bookmarkEnd w:id="59"/>
      <w:bookmarkEnd w:id="60"/>
      <w:bookmarkEnd w:id="61"/>
      <w:bookmarkEnd w:id="62"/>
      <w:bookmarkEnd w:id="63"/>
      <w:bookmarkStart w:id="64" w:name="_Toc286386843"/>
      <w:bookmarkStart w:id="65" w:name="_Toc114052423"/>
      <w:bookmarkStart w:id="66" w:name="_Toc114052349"/>
      <w:bookmarkStart w:id="67" w:name="_Toc392862484"/>
    </w:p>
    <w:p w14:paraId="40EDEB94">
      <w:pPr>
        <w:pStyle w:val="4"/>
        <w:keepNext w:val="0"/>
        <w:keepLines w:val="0"/>
        <w:spacing w:before="0" w:after="0" w:line="360" w:lineRule="auto"/>
        <w:ind w:firstLine="482" w:firstLineChars="200"/>
        <w:rPr>
          <w:rFonts w:ascii="宋体" w:hAnsi="宋体"/>
          <w:color w:val="000000"/>
          <w:kern w:val="0"/>
          <w:sz w:val="24"/>
          <w:szCs w:val="24"/>
          <w:highlight w:val="none"/>
        </w:rPr>
      </w:pPr>
      <w:bookmarkStart w:id="68" w:name="_Toc19798"/>
      <w:bookmarkStart w:id="69" w:name="_Toc436771472"/>
      <w:r>
        <w:rPr>
          <w:rFonts w:hint="eastAsia" w:ascii="宋体" w:hAnsi="宋体"/>
          <w:color w:val="000000"/>
          <w:kern w:val="0"/>
          <w:sz w:val="24"/>
          <w:szCs w:val="24"/>
          <w:highlight w:val="none"/>
        </w:rPr>
        <w:t>7. 申请比选</w:t>
      </w:r>
      <w:bookmarkEnd w:id="64"/>
      <w:bookmarkEnd w:id="65"/>
      <w:bookmarkEnd w:id="66"/>
      <w:r>
        <w:rPr>
          <w:rFonts w:hint="eastAsia" w:ascii="宋体" w:hAnsi="宋体"/>
          <w:color w:val="000000"/>
          <w:kern w:val="0"/>
          <w:sz w:val="24"/>
          <w:szCs w:val="24"/>
          <w:highlight w:val="none"/>
        </w:rPr>
        <w:t>报价</w:t>
      </w:r>
      <w:bookmarkEnd w:id="67"/>
      <w:bookmarkEnd w:id="68"/>
      <w:bookmarkEnd w:id="69"/>
    </w:p>
    <w:p w14:paraId="0273749F">
      <w:pPr>
        <w:autoSpaceDE w:val="0"/>
        <w:autoSpaceDN w:val="0"/>
        <w:adjustRightInd w:val="0"/>
        <w:ind w:firstLine="420" w:firstLineChars="200"/>
        <w:rPr>
          <w:rFonts w:ascii="宋体" w:hAnsi="宋体"/>
          <w:color w:val="000000"/>
          <w:kern w:val="58"/>
          <w:szCs w:val="24"/>
          <w:highlight w:val="none"/>
        </w:rPr>
      </w:pPr>
      <w:r>
        <w:rPr>
          <w:rFonts w:hint="eastAsia" w:ascii="宋体" w:hAnsi="宋体"/>
          <w:color w:val="000000"/>
          <w:kern w:val="58"/>
          <w:szCs w:val="24"/>
          <w:highlight w:val="none"/>
        </w:rPr>
        <w:t>7.1 本项目的比选范围为</w:t>
      </w:r>
      <w:r>
        <w:rPr>
          <w:rFonts w:hint="eastAsia" w:ascii="宋体" w:hAnsi="宋体"/>
          <w:szCs w:val="21"/>
          <w:highlight w:val="none"/>
        </w:rPr>
        <w:t>用户需求书</w:t>
      </w:r>
      <w:r>
        <w:rPr>
          <w:rFonts w:hint="eastAsia" w:ascii="宋体" w:hAnsi="宋体"/>
          <w:kern w:val="58"/>
          <w:szCs w:val="24"/>
          <w:highlight w:val="none"/>
        </w:rPr>
        <w:t>规定的全部要求</w:t>
      </w:r>
      <w:r>
        <w:rPr>
          <w:rFonts w:hint="eastAsia" w:ascii="宋体" w:hAnsi="宋体"/>
          <w:color w:val="000000"/>
          <w:kern w:val="58"/>
          <w:szCs w:val="24"/>
          <w:highlight w:val="none"/>
        </w:rPr>
        <w:t>及服务范围，并以比选申请人提交的比选报价中的单价和合价为基础。本项目比选报价采用的币种为人民币。</w:t>
      </w:r>
    </w:p>
    <w:p w14:paraId="224DA1CC">
      <w:pPr>
        <w:autoSpaceDE w:val="0"/>
        <w:autoSpaceDN w:val="0"/>
        <w:adjustRightInd w:val="0"/>
        <w:ind w:firstLine="420" w:firstLineChars="200"/>
        <w:rPr>
          <w:rFonts w:ascii="宋体" w:hAnsi="宋体"/>
          <w:color w:val="000000"/>
          <w:kern w:val="58"/>
          <w:szCs w:val="24"/>
          <w:highlight w:val="none"/>
        </w:rPr>
      </w:pPr>
      <w:r>
        <w:rPr>
          <w:rFonts w:hint="eastAsia" w:ascii="宋体" w:hAnsi="宋体"/>
          <w:color w:val="000000"/>
          <w:kern w:val="58"/>
          <w:szCs w:val="24"/>
          <w:highlight w:val="none"/>
        </w:rPr>
        <w:t>7.2 比选申请人必须对比选项目内容中所有工作内容作完整唯一的报价。</w:t>
      </w:r>
    </w:p>
    <w:p w14:paraId="1744E522">
      <w:pPr>
        <w:pStyle w:val="3"/>
        <w:jc w:val="center"/>
        <w:rPr>
          <w:rFonts w:ascii="宋体" w:hAnsi="宋体" w:eastAsia="宋体"/>
          <w:color w:val="000000"/>
          <w:sz w:val="28"/>
          <w:szCs w:val="28"/>
          <w:highlight w:val="none"/>
        </w:rPr>
      </w:pPr>
      <w:bookmarkStart w:id="70" w:name="_Toc114052350"/>
      <w:bookmarkStart w:id="71" w:name="_Toc114052424"/>
      <w:bookmarkStart w:id="72" w:name="_Toc7022"/>
      <w:bookmarkStart w:id="73" w:name="_Toc392862485"/>
      <w:bookmarkStart w:id="74" w:name="_Toc286386844"/>
      <w:r>
        <w:rPr>
          <w:rFonts w:hint="eastAsia" w:ascii="宋体" w:hAnsi="宋体" w:eastAsia="宋体"/>
          <w:color w:val="000000"/>
          <w:sz w:val="28"/>
          <w:szCs w:val="28"/>
          <w:highlight w:val="none"/>
        </w:rPr>
        <w:t>四、比选申请文件的编制</w:t>
      </w:r>
      <w:bookmarkEnd w:id="70"/>
      <w:bookmarkEnd w:id="71"/>
      <w:bookmarkEnd w:id="72"/>
      <w:bookmarkEnd w:id="73"/>
      <w:bookmarkEnd w:id="74"/>
    </w:p>
    <w:p w14:paraId="4917018C">
      <w:pPr>
        <w:pStyle w:val="4"/>
        <w:keepNext w:val="0"/>
        <w:keepLines w:val="0"/>
        <w:spacing w:before="0" w:after="0" w:line="360" w:lineRule="auto"/>
        <w:ind w:firstLine="482" w:firstLineChars="200"/>
        <w:rPr>
          <w:rFonts w:ascii="宋体" w:hAnsi="宋体"/>
          <w:color w:val="000000"/>
          <w:kern w:val="0"/>
          <w:sz w:val="24"/>
          <w:szCs w:val="24"/>
          <w:highlight w:val="none"/>
        </w:rPr>
      </w:pPr>
      <w:bookmarkStart w:id="75" w:name="_Toc436771474"/>
      <w:bookmarkStart w:id="76" w:name="_Toc4526"/>
      <w:bookmarkStart w:id="77" w:name="_Toc392862486"/>
      <w:bookmarkStart w:id="78" w:name="_Toc286386845"/>
      <w:r>
        <w:rPr>
          <w:rFonts w:hint="eastAsia" w:ascii="宋体" w:hAnsi="宋体"/>
          <w:color w:val="000000"/>
          <w:kern w:val="0"/>
          <w:sz w:val="24"/>
          <w:szCs w:val="24"/>
          <w:highlight w:val="none"/>
        </w:rPr>
        <w:t>8. 比选申请文件编写注意事项</w:t>
      </w:r>
      <w:bookmarkEnd w:id="75"/>
      <w:bookmarkEnd w:id="76"/>
      <w:bookmarkEnd w:id="77"/>
      <w:bookmarkEnd w:id="78"/>
    </w:p>
    <w:p w14:paraId="12A33A8B">
      <w:pPr>
        <w:adjustRightInd w:val="0"/>
        <w:ind w:firstLine="420" w:firstLineChars="200"/>
        <w:rPr>
          <w:rFonts w:ascii="宋体" w:hAnsi="宋体"/>
          <w:color w:val="000000"/>
          <w:kern w:val="58"/>
          <w:szCs w:val="24"/>
          <w:highlight w:val="none"/>
        </w:rPr>
      </w:pPr>
      <w:r>
        <w:rPr>
          <w:rFonts w:hint="eastAsia" w:ascii="宋体" w:hAnsi="宋体"/>
          <w:color w:val="000000"/>
          <w:kern w:val="58"/>
          <w:szCs w:val="24"/>
          <w:highlight w:val="none"/>
        </w:rPr>
        <w:t>8.1 比选申请人应认真阅读比选文件，按照比选文件的要求编制比选申请文件。如果没有按照比选文件要求提交比选申请文件，或没有对比选文件提出的实质性要求和条件作出响应，可能导致该比选申请文件被拒绝。</w:t>
      </w:r>
    </w:p>
    <w:p w14:paraId="1B09A271">
      <w:pPr>
        <w:adjustRightInd w:val="0"/>
        <w:ind w:firstLine="420" w:firstLineChars="200"/>
        <w:rPr>
          <w:rFonts w:ascii="宋体" w:hAnsi="宋体"/>
          <w:color w:val="000000"/>
          <w:kern w:val="58"/>
          <w:szCs w:val="24"/>
          <w:highlight w:val="none"/>
        </w:rPr>
      </w:pPr>
      <w:r>
        <w:rPr>
          <w:rFonts w:hint="eastAsia" w:ascii="宋体" w:hAnsi="宋体"/>
          <w:color w:val="000000"/>
          <w:kern w:val="58"/>
          <w:szCs w:val="24"/>
          <w:highlight w:val="none"/>
        </w:rPr>
        <w:t>8.2 比选文件提出的实质性要求和条件是指本比选项目所涉及的价格、服务及其它要求、合同条款等内容。</w:t>
      </w:r>
    </w:p>
    <w:p w14:paraId="5BA98884">
      <w:pPr>
        <w:adjustRightInd w:val="0"/>
        <w:ind w:firstLine="420" w:firstLineChars="200"/>
        <w:rPr>
          <w:rFonts w:ascii="宋体" w:hAnsi="宋体"/>
          <w:color w:val="000000"/>
          <w:kern w:val="58"/>
          <w:szCs w:val="24"/>
          <w:highlight w:val="none"/>
        </w:rPr>
      </w:pPr>
      <w:r>
        <w:rPr>
          <w:rFonts w:hint="eastAsia" w:ascii="宋体" w:hAnsi="宋体"/>
          <w:color w:val="000000"/>
          <w:kern w:val="58"/>
          <w:szCs w:val="24"/>
          <w:highlight w:val="none"/>
        </w:rPr>
        <w:t>8.3 比选申请人的比选申请文件以及所有来往函电统一使用中文(特别规定除外)。</w:t>
      </w:r>
    </w:p>
    <w:p w14:paraId="11E70407">
      <w:pPr>
        <w:adjustRightInd w:val="0"/>
        <w:ind w:firstLine="420" w:firstLineChars="200"/>
        <w:rPr>
          <w:rFonts w:ascii="宋体" w:hAnsi="宋体"/>
          <w:color w:val="000000"/>
          <w:kern w:val="58"/>
          <w:szCs w:val="24"/>
          <w:highlight w:val="none"/>
        </w:rPr>
      </w:pPr>
      <w:r>
        <w:rPr>
          <w:rFonts w:hint="eastAsia" w:ascii="宋体" w:hAnsi="宋体"/>
          <w:color w:val="000000"/>
          <w:kern w:val="58"/>
          <w:szCs w:val="24"/>
          <w:highlight w:val="none"/>
        </w:rPr>
        <w:t>8.4 比选申请文件中使用的计量单位除比选文件中有特殊规定外，一律使用法定计量单位。</w:t>
      </w:r>
    </w:p>
    <w:p w14:paraId="66922C60">
      <w:pPr>
        <w:adjustRightInd w:val="0"/>
        <w:ind w:firstLine="420" w:firstLineChars="200"/>
        <w:rPr>
          <w:rFonts w:ascii="宋体" w:hAnsi="宋体"/>
          <w:color w:val="000000"/>
          <w:kern w:val="58"/>
          <w:szCs w:val="24"/>
          <w:highlight w:val="none"/>
        </w:rPr>
      </w:pPr>
      <w:r>
        <w:rPr>
          <w:rFonts w:hint="eastAsia" w:ascii="宋体" w:hAnsi="宋体"/>
          <w:color w:val="000000"/>
          <w:kern w:val="58"/>
          <w:szCs w:val="24"/>
          <w:highlight w:val="none"/>
        </w:rPr>
        <w:t>8.5 比选申请文件必须装订成册，不允许以活页夹等形式封装。</w:t>
      </w:r>
    </w:p>
    <w:p w14:paraId="10BD42AF">
      <w:pPr>
        <w:adjustRightInd w:val="0"/>
        <w:ind w:firstLine="420" w:firstLineChars="200"/>
        <w:rPr>
          <w:rFonts w:ascii="宋体" w:hAnsi="宋体"/>
          <w:color w:val="000000"/>
          <w:kern w:val="58"/>
          <w:szCs w:val="24"/>
          <w:highlight w:val="none"/>
        </w:rPr>
      </w:pPr>
      <w:r>
        <w:rPr>
          <w:rFonts w:hint="eastAsia" w:ascii="宋体" w:hAnsi="宋体"/>
          <w:color w:val="000000"/>
          <w:kern w:val="58"/>
          <w:szCs w:val="24"/>
          <w:highlight w:val="none"/>
        </w:rPr>
        <w:t xml:space="preserve">8.6 比选申请文件的所有组成部分均须加盖法人单位公章或骑缝章。 </w:t>
      </w:r>
    </w:p>
    <w:p w14:paraId="47B3E4F4">
      <w:pPr>
        <w:pStyle w:val="4"/>
        <w:keepNext w:val="0"/>
        <w:keepLines w:val="0"/>
        <w:spacing w:before="0" w:after="0" w:line="360" w:lineRule="auto"/>
        <w:ind w:firstLine="482" w:firstLineChars="200"/>
        <w:rPr>
          <w:rFonts w:ascii="宋体" w:hAnsi="宋体"/>
          <w:color w:val="000000"/>
          <w:kern w:val="0"/>
          <w:sz w:val="24"/>
          <w:szCs w:val="24"/>
          <w:highlight w:val="none"/>
        </w:rPr>
      </w:pPr>
      <w:bookmarkStart w:id="79" w:name="_Toc114052426"/>
      <w:bookmarkStart w:id="80" w:name="_Toc14978"/>
      <w:bookmarkStart w:id="81" w:name="_Toc392862487"/>
      <w:bookmarkStart w:id="82" w:name="_Toc286386846"/>
      <w:bookmarkStart w:id="83" w:name="_Toc436771475"/>
      <w:bookmarkStart w:id="84" w:name="_Toc114052352"/>
      <w:r>
        <w:rPr>
          <w:rFonts w:hint="eastAsia" w:ascii="宋体" w:hAnsi="宋体"/>
          <w:color w:val="000000"/>
          <w:kern w:val="0"/>
          <w:sz w:val="24"/>
          <w:szCs w:val="24"/>
          <w:highlight w:val="none"/>
        </w:rPr>
        <w:t>9. 比选申请文件的组成</w:t>
      </w:r>
      <w:bookmarkEnd w:id="79"/>
      <w:bookmarkEnd w:id="80"/>
      <w:bookmarkEnd w:id="81"/>
      <w:bookmarkEnd w:id="82"/>
      <w:bookmarkEnd w:id="83"/>
      <w:bookmarkEnd w:id="84"/>
    </w:p>
    <w:p w14:paraId="5B633304">
      <w:pPr>
        <w:adjustRightInd w:val="0"/>
        <w:ind w:firstLine="420" w:firstLineChars="200"/>
        <w:rPr>
          <w:rFonts w:ascii="宋体" w:hAnsi="宋体"/>
          <w:color w:val="000000"/>
          <w:kern w:val="0"/>
          <w:szCs w:val="24"/>
          <w:highlight w:val="none"/>
        </w:rPr>
      </w:pPr>
      <w:bookmarkStart w:id="85" w:name="_Toc114052354"/>
      <w:r>
        <w:rPr>
          <w:rFonts w:hint="eastAsia" w:ascii="宋体" w:hAnsi="宋体"/>
          <w:color w:val="000000"/>
          <w:kern w:val="0"/>
          <w:szCs w:val="24"/>
          <w:highlight w:val="none"/>
        </w:rPr>
        <w:t>9</w:t>
      </w:r>
      <w:r>
        <w:rPr>
          <w:rFonts w:ascii="宋体" w:hAnsi="宋体"/>
          <w:color w:val="000000"/>
          <w:kern w:val="0"/>
          <w:szCs w:val="24"/>
          <w:highlight w:val="none"/>
        </w:rPr>
        <w:t>.1 比选</w:t>
      </w:r>
      <w:r>
        <w:rPr>
          <w:rFonts w:hint="eastAsia" w:ascii="宋体" w:hAnsi="宋体"/>
          <w:color w:val="000000"/>
          <w:kern w:val="0"/>
          <w:szCs w:val="24"/>
          <w:highlight w:val="none"/>
        </w:rPr>
        <w:t>申请</w:t>
      </w:r>
      <w:r>
        <w:rPr>
          <w:rFonts w:ascii="宋体" w:hAnsi="宋体"/>
          <w:color w:val="000000"/>
          <w:kern w:val="0"/>
          <w:szCs w:val="24"/>
          <w:highlight w:val="none"/>
        </w:rPr>
        <w:t>文件由比选申请人资格审查部分、</w:t>
      </w:r>
      <w:r>
        <w:rPr>
          <w:rFonts w:hint="eastAsia" w:ascii="宋体" w:hAnsi="宋体"/>
          <w:color w:val="000000"/>
          <w:kern w:val="0"/>
          <w:szCs w:val="24"/>
          <w:highlight w:val="none"/>
        </w:rPr>
        <w:t>技术部分、价格</w:t>
      </w:r>
      <w:r>
        <w:rPr>
          <w:rFonts w:ascii="宋体" w:hAnsi="宋体"/>
          <w:color w:val="000000"/>
          <w:kern w:val="0"/>
          <w:szCs w:val="24"/>
          <w:highlight w:val="none"/>
        </w:rPr>
        <w:t>部分</w:t>
      </w:r>
      <w:r>
        <w:rPr>
          <w:rFonts w:hint="eastAsia" w:ascii="宋体" w:hAnsi="宋体"/>
          <w:color w:val="000000"/>
          <w:kern w:val="0"/>
          <w:szCs w:val="24"/>
          <w:highlight w:val="none"/>
        </w:rPr>
        <w:t>三</w:t>
      </w:r>
      <w:r>
        <w:rPr>
          <w:rFonts w:ascii="宋体" w:hAnsi="宋体"/>
          <w:color w:val="000000"/>
          <w:kern w:val="0"/>
          <w:szCs w:val="24"/>
          <w:highlight w:val="none"/>
        </w:rPr>
        <w:t>部分组成。</w:t>
      </w:r>
    </w:p>
    <w:p w14:paraId="07A8FA25">
      <w:pPr>
        <w:adjustRightInd w:val="0"/>
        <w:ind w:firstLine="420" w:firstLineChars="200"/>
        <w:rPr>
          <w:rFonts w:ascii="宋体" w:hAnsi="宋体"/>
          <w:color w:val="000000"/>
          <w:kern w:val="0"/>
          <w:szCs w:val="24"/>
          <w:highlight w:val="none"/>
        </w:rPr>
      </w:pPr>
      <w:r>
        <w:rPr>
          <w:rFonts w:hint="eastAsia" w:ascii="宋体" w:hAnsi="宋体"/>
          <w:color w:val="000000"/>
          <w:kern w:val="0"/>
          <w:szCs w:val="24"/>
          <w:highlight w:val="none"/>
        </w:rPr>
        <w:t>9</w:t>
      </w:r>
      <w:r>
        <w:rPr>
          <w:rFonts w:ascii="宋体" w:hAnsi="宋体"/>
          <w:color w:val="000000"/>
          <w:kern w:val="0"/>
          <w:szCs w:val="24"/>
          <w:highlight w:val="none"/>
        </w:rPr>
        <w:t>.2</w:t>
      </w:r>
      <w:r>
        <w:rPr>
          <w:rFonts w:hint="eastAsia" w:ascii="宋体" w:hAnsi="宋体"/>
          <w:color w:val="000000"/>
          <w:kern w:val="0"/>
          <w:szCs w:val="24"/>
          <w:highlight w:val="none"/>
        </w:rPr>
        <w:t xml:space="preserve"> 资格审查</w:t>
      </w:r>
      <w:r>
        <w:rPr>
          <w:rFonts w:ascii="宋体" w:hAnsi="宋体"/>
          <w:color w:val="000000"/>
          <w:kern w:val="0"/>
          <w:szCs w:val="24"/>
          <w:highlight w:val="none"/>
        </w:rPr>
        <w:t>部分主要包括下列内容：</w:t>
      </w:r>
    </w:p>
    <w:p w14:paraId="7891212C">
      <w:pPr>
        <w:numPr>
          <w:ilvl w:val="0"/>
          <w:numId w:val="3"/>
        </w:numPr>
        <w:adjustRightInd w:val="0"/>
        <w:ind w:firstLine="420" w:firstLineChars="200"/>
        <w:rPr>
          <w:rFonts w:ascii="宋体" w:hAnsi="宋体"/>
          <w:szCs w:val="24"/>
          <w:highlight w:val="none"/>
        </w:rPr>
      </w:pPr>
      <w:r>
        <w:rPr>
          <w:rFonts w:hint="eastAsia" w:ascii="宋体" w:hAnsi="宋体"/>
          <w:szCs w:val="24"/>
          <w:highlight w:val="none"/>
        </w:rPr>
        <w:t>诚信声明</w:t>
      </w:r>
    </w:p>
    <w:p w14:paraId="72B29CFA">
      <w:pPr>
        <w:numPr>
          <w:ilvl w:val="0"/>
          <w:numId w:val="3"/>
        </w:numPr>
        <w:adjustRightInd w:val="0"/>
        <w:ind w:firstLine="420" w:firstLineChars="200"/>
        <w:rPr>
          <w:rFonts w:ascii="宋体" w:hAnsi="宋体"/>
          <w:szCs w:val="24"/>
          <w:highlight w:val="none"/>
        </w:rPr>
      </w:pPr>
      <w:r>
        <w:rPr>
          <w:rFonts w:hint="eastAsia" w:ascii="宋体" w:hAnsi="宋体"/>
          <w:szCs w:val="24"/>
          <w:highlight w:val="none"/>
        </w:rPr>
        <w:t>法定代表人资格证明书</w:t>
      </w:r>
    </w:p>
    <w:p w14:paraId="493D16BC">
      <w:pPr>
        <w:numPr>
          <w:ilvl w:val="0"/>
          <w:numId w:val="3"/>
        </w:numPr>
        <w:adjustRightInd w:val="0"/>
        <w:ind w:firstLine="420" w:firstLineChars="200"/>
        <w:rPr>
          <w:rFonts w:ascii="宋体" w:hAnsi="宋体"/>
          <w:szCs w:val="24"/>
          <w:highlight w:val="none"/>
        </w:rPr>
      </w:pPr>
      <w:r>
        <w:rPr>
          <w:rFonts w:hint="eastAsia" w:ascii="宋体" w:hAnsi="宋体"/>
          <w:szCs w:val="24"/>
          <w:highlight w:val="none"/>
        </w:rPr>
        <w:t>法定代表人身份证明文件（原件扫描件加盖公章）</w:t>
      </w:r>
    </w:p>
    <w:p w14:paraId="479E0423">
      <w:pPr>
        <w:numPr>
          <w:ilvl w:val="0"/>
          <w:numId w:val="3"/>
        </w:numPr>
        <w:adjustRightInd w:val="0"/>
        <w:ind w:firstLine="420" w:firstLineChars="200"/>
        <w:rPr>
          <w:rFonts w:ascii="宋体" w:hAnsi="宋体"/>
          <w:szCs w:val="24"/>
          <w:highlight w:val="none"/>
        </w:rPr>
      </w:pPr>
      <w:r>
        <w:rPr>
          <w:rFonts w:hint="eastAsia" w:ascii="宋体" w:hAnsi="宋体"/>
          <w:szCs w:val="24"/>
          <w:highlight w:val="none"/>
        </w:rPr>
        <w:t>授权委托书</w:t>
      </w:r>
    </w:p>
    <w:p w14:paraId="14118464">
      <w:pPr>
        <w:numPr>
          <w:ilvl w:val="0"/>
          <w:numId w:val="3"/>
        </w:numPr>
        <w:adjustRightInd w:val="0"/>
        <w:ind w:firstLine="420" w:firstLineChars="200"/>
        <w:rPr>
          <w:rFonts w:ascii="宋体" w:hAnsi="宋体"/>
          <w:szCs w:val="24"/>
          <w:highlight w:val="none"/>
        </w:rPr>
      </w:pPr>
      <w:r>
        <w:rPr>
          <w:rFonts w:hint="eastAsia" w:ascii="宋体" w:hAnsi="宋体"/>
          <w:szCs w:val="24"/>
          <w:highlight w:val="none"/>
        </w:rPr>
        <w:t>授权代理人身份证明文件（原件扫描件加盖公章）</w:t>
      </w:r>
    </w:p>
    <w:p w14:paraId="7F10A35A">
      <w:pPr>
        <w:numPr>
          <w:ilvl w:val="0"/>
          <w:numId w:val="3"/>
        </w:numPr>
        <w:adjustRightInd w:val="0"/>
        <w:ind w:firstLine="420" w:firstLineChars="200"/>
        <w:rPr>
          <w:rFonts w:ascii="宋体" w:hAnsi="宋体"/>
          <w:szCs w:val="24"/>
          <w:highlight w:val="none"/>
        </w:rPr>
      </w:pPr>
      <w:r>
        <w:rPr>
          <w:rFonts w:hint="eastAsia" w:ascii="宋体" w:hAnsi="宋体"/>
          <w:szCs w:val="24"/>
          <w:highlight w:val="none"/>
        </w:rPr>
        <w:t>营业执照副本（原件扫描件加盖公章）</w:t>
      </w:r>
    </w:p>
    <w:p w14:paraId="3C57A849">
      <w:pPr>
        <w:numPr>
          <w:ilvl w:val="0"/>
          <w:numId w:val="3"/>
        </w:numPr>
        <w:adjustRightInd w:val="0"/>
        <w:ind w:firstLine="420" w:firstLineChars="200"/>
        <w:rPr>
          <w:rFonts w:ascii="宋体" w:hAnsi="宋体"/>
          <w:szCs w:val="24"/>
          <w:highlight w:val="none"/>
        </w:rPr>
      </w:pPr>
      <w:r>
        <w:rPr>
          <w:rFonts w:hint="eastAsia" w:ascii="宋体" w:hAnsi="宋体"/>
          <w:szCs w:val="24"/>
          <w:highlight w:val="none"/>
        </w:rPr>
        <w:t>税务登记证、组织机构代码证（提供原件扫描件加盖公章, 如已办理三证合一则不需提供）</w:t>
      </w:r>
    </w:p>
    <w:p w14:paraId="09DFC447">
      <w:pPr>
        <w:numPr>
          <w:ilvl w:val="0"/>
          <w:numId w:val="3"/>
        </w:numPr>
        <w:adjustRightInd w:val="0"/>
        <w:ind w:firstLine="420" w:firstLineChars="200"/>
        <w:rPr>
          <w:rFonts w:ascii="宋体" w:hAnsi="宋体"/>
          <w:szCs w:val="24"/>
          <w:highlight w:val="none"/>
        </w:rPr>
      </w:pPr>
      <w:r>
        <w:rPr>
          <w:rFonts w:hint="eastAsia" w:ascii="宋体" w:hAnsi="宋体"/>
          <w:szCs w:val="24"/>
          <w:highlight w:val="none"/>
        </w:rPr>
        <w:t>项目负责人简历&amp;社保等相关证明材料。</w:t>
      </w:r>
    </w:p>
    <w:p w14:paraId="68797D68">
      <w:pPr>
        <w:adjustRightInd w:val="0"/>
        <w:ind w:firstLine="420" w:firstLineChars="200"/>
        <w:rPr>
          <w:rFonts w:ascii="宋体" w:hAnsi="宋体"/>
          <w:color w:val="000000"/>
          <w:kern w:val="0"/>
          <w:szCs w:val="21"/>
          <w:highlight w:val="none"/>
        </w:rPr>
      </w:pPr>
      <w:r>
        <w:rPr>
          <w:rFonts w:hint="eastAsia" w:ascii="宋体" w:hAnsi="宋体"/>
          <w:color w:val="000000"/>
          <w:kern w:val="0"/>
          <w:szCs w:val="21"/>
          <w:highlight w:val="none"/>
        </w:rPr>
        <w:t>9.3 技术部分</w:t>
      </w:r>
      <w:r>
        <w:rPr>
          <w:rFonts w:ascii="宋体" w:hAnsi="宋体"/>
          <w:color w:val="000000"/>
          <w:kern w:val="0"/>
          <w:szCs w:val="21"/>
          <w:highlight w:val="none"/>
        </w:rPr>
        <w:t>主要包括下列内容：</w:t>
      </w:r>
    </w:p>
    <w:p w14:paraId="17CCDFAB">
      <w:pPr>
        <w:numPr>
          <w:ilvl w:val="0"/>
          <w:numId w:val="4"/>
        </w:numPr>
        <w:adjustRightInd w:val="0"/>
        <w:ind w:firstLine="420" w:firstLineChars="200"/>
        <w:rPr>
          <w:rFonts w:ascii="宋体" w:hAnsi="宋体"/>
          <w:szCs w:val="21"/>
          <w:highlight w:val="none"/>
        </w:rPr>
      </w:pPr>
      <w:r>
        <w:rPr>
          <w:rFonts w:hint="eastAsia" w:ascii="宋体" w:hAnsi="宋体"/>
          <w:szCs w:val="21"/>
          <w:highlight w:val="none"/>
        </w:rPr>
        <w:t>比选申请人业绩清单（附合同关键页</w:t>
      </w:r>
      <w:r>
        <w:rPr>
          <w:rFonts w:hint="eastAsia" w:ascii="宋体" w:hAnsi="宋体"/>
          <w:szCs w:val="24"/>
          <w:highlight w:val="none"/>
        </w:rPr>
        <w:t>原件扫描件加盖公章</w:t>
      </w:r>
      <w:r>
        <w:rPr>
          <w:rFonts w:hint="eastAsia" w:ascii="宋体" w:hAnsi="宋体"/>
          <w:szCs w:val="21"/>
          <w:highlight w:val="none"/>
        </w:rPr>
        <w:t>）</w:t>
      </w:r>
    </w:p>
    <w:p w14:paraId="29AD5147">
      <w:pPr>
        <w:numPr>
          <w:ilvl w:val="0"/>
          <w:numId w:val="4"/>
        </w:numPr>
        <w:adjustRightInd w:val="0"/>
        <w:ind w:firstLine="420" w:firstLineChars="200"/>
        <w:rPr>
          <w:rFonts w:ascii="宋体" w:hAnsi="宋体"/>
          <w:szCs w:val="21"/>
          <w:highlight w:val="none"/>
        </w:rPr>
      </w:pPr>
      <w:r>
        <w:rPr>
          <w:rFonts w:hint="eastAsia" w:ascii="宋体" w:hAnsi="宋体"/>
          <w:szCs w:val="21"/>
          <w:highlight w:val="none"/>
        </w:rPr>
        <w:t>本项目拟投入人员组成表</w:t>
      </w:r>
    </w:p>
    <w:p w14:paraId="7913E66F">
      <w:pPr>
        <w:numPr>
          <w:ilvl w:val="0"/>
          <w:numId w:val="4"/>
        </w:numPr>
        <w:adjustRightInd w:val="0"/>
        <w:ind w:firstLine="420" w:firstLineChars="200"/>
        <w:rPr>
          <w:rFonts w:ascii="宋体" w:hAnsi="宋体"/>
          <w:szCs w:val="21"/>
          <w:highlight w:val="none"/>
        </w:rPr>
      </w:pPr>
      <w:r>
        <w:rPr>
          <w:rFonts w:hint="eastAsia" w:ascii="宋体" w:hAnsi="宋体"/>
          <w:szCs w:val="21"/>
          <w:highlight w:val="none"/>
        </w:rPr>
        <w:t>本项目工作的技术方案</w:t>
      </w:r>
    </w:p>
    <w:p w14:paraId="0B7C21C5">
      <w:pPr>
        <w:numPr>
          <w:ilvl w:val="0"/>
          <w:numId w:val="4"/>
        </w:numPr>
        <w:adjustRightInd w:val="0"/>
        <w:ind w:firstLine="420" w:firstLineChars="200"/>
        <w:rPr>
          <w:rFonts w:ascii="宋体" w:hAnsi="宋体"/>
          <w:color w:val="000000"/>
          <w:kern w:val="0"/>
          <w:szCs w:val="21"/>
          <w:highlight w:val="none"/>
        </w:rPr>
      </w:pPr>
      <w:r>
        <w:rPr>
          <w:rFonts w:hint="eastAsia" w:ascii="宋体" w:hAnsi="宋体"/>
          <w:szCs w:val="21"/>
          <w:highlight w:val="none"/>
        </w:rPr>
        <w:t>售后服务</w:t>
      </w:r>
    </w:p>
    <w:p w14:paraId="34283658">
      <w:pPr>
        <w:numPr>
          <w:ilvl w:val="0"/>
          <w:numId w:val="4"/>
        </w:numPr>
        <w:adjustRightInd w:val="0"/>
        <w:ind w:firstLine="420" w:firstLineChars="200"/>
        <w:rPr>
          <w:rFonts w:ascii="宋体" w:hAnsi="宋体"/>
          <w:color w:val="000000"/>
          <w:kern w:val="0"/>
          <w:szCs w:val="21"/>
          <w:highlight w:val="none"/>
        </w:rPr>
      </w:pPr>
      <w:r>
        <w:rPr>
          <w:rFonts w:hint="eastAsia" w:ascii="宋体" w:hAnsi="宋体"/>
          <w:szCs w:val="21"/>
          <w:highlight w:val="none"/>
        </w:rPr>
        <w:t>比选申请人认为有必要提供的其他材料</w:t>
      </w:r>
    </w:p>
    <w:p w14:paraId="05B99528">
      <w:pPr>
        <w:adjustRightInd w:val="0"/>
        <w:ind w:firstLine="420" w:firstLineChars="200"/>
        <w:rPr>
          <w:rFonts w:ascii="宋体" w:hAnsi="宋体"/>
          <w:color w:val="000000"/>
          <w:kern w:val="0"/>
          <w:szCs w:val="21"/>
          <w:highlight w:val="none"/>
        </w:rPr>
      </w:pPr>
      <w:r>
        <w:rPr>
          <w:rFonts w:hint="eastAsia" w:ascii="宋体" w:hAnsi="宋体"/>
          <w:color w:val="000000"/>
          <w:kern w:val="0"/>
          <w:szCs w:val="21"/>
          <w:highlight w:val="none"/>
        </w:rPr>
        <w:t>9</w:t>
      </w:r>
      <w:r>
        <w:rPr>
          <w:rFonts w:ascii="宋体" w:hAnsi="宋体"/>
          <w:color w:val="000000"/>
          <w:kern w:val="0"/>
          <w:szCs w:val="21"/>
          <w:highlight w:val="none"/>
        </w:rPr>
        <w:t>.</w:t>
      </w:r>
      <w:r>
        <w:rPr>
          <w:rFonts w:hint="eastAsia" w:ascii="宋体" w:hAnsi="宋体"/>
          <w:color w:val="000000"/>
          <w:kern w:val="0"/>
          <w:szCs w:val="21"/>
          <w:highlight w:val="none"/>
        </w:rPr>
        <w:t>4 价格</w:t>
      </w:r>
      <w:r>
        <w:rPr>
          <w:rFonts w:ascii="宋体" w:hAnsi="宋体"/>
          <w:color w:val="000000"/>
          <w:kern w:val="0"/>
          <w:szCs w:val="21"/>
          <w:highlight w:val="none"/>
        </w:rPr>
        <w:t>部分主要包括下列内容：</w:t>
      </w:r>
    </w:p>
    <w:bookmarkEnd w:id="85"/>
    <w:p w14:paraId="3B9BC213">
      <w:pPr>
        <w:numPr>
          <w:ilvl w:val="0"/>
          <w:numId w:val="5"/>
        </w:numPr>
        <w:adjustRightInd w:val="0"/>
        <w:ind w:firstLine="420" w:firstLineChars="200"/>
        <w:rPr>
          <w:rFonts w:ascii="宋体" w:hAnsi="宋体"/>
          <w:color w:val="000000"/>
          <w:kern w:val="0"/>
          <w:szCs w:val="21"/>
          <w:highlight w:val="none"/>
        </w:rPr>
      </w:pPr>
      <w:r>
        <w:rPr>
          <w:rFonts w:hint="eastAsia" w:ascii="宋体" w:hAnsi="宋体"/>
          <w:szCs w:val="21"/>
          <w:highlight w:val="none"/>
        </w:rPr>
        <w:t>比选函</w:t>
      </w:r>
    </w:p>
    <w:p w14:paraId="617122A0">
      <w:pPr>
        <w:numPr>
          <w:ilvl w:val="0"/>
          <w:numId w:val="5"/>
        </w:numPr>
        <w:adjustRightInd w:val="0"/>
        <w:ind w:firstLine="420" w:firstLineChars="200"/>
        <w:rPr>
          <w:rFonts w:ascii="宋体" w:hAnsi="宋体"/>
          <w:color w:val="000000"/>
          <w:kern w:val="0"/>
          <w:szCs w:val="21"/>
          <w:highlight w:val="none"/>
        </w:rPr>
      </w:pPr>
      <w:r>
        <w:rPr>
          <w:rFonts w:hint="eastAsia" w:ascii="宋体" w:hAnsi="宋体"/>
          <w:color w:val="000000"/>
          <w:kern w:val="0"/>
          <w:szCs w:val="21"/>
          <w:highlight w:val="none"/>
        </w:rPr>
        <w:t>报价表</w:t>
      </w:r>
    </w:p>
    <w:p w14:paraId="4C4A3827">
      <w:pPr>
        <w:adjustRightInd w:val="0"/>
        <w:ind w:firstLine="420" w:firstLineChars="200"/>
        <w:rPr>
          <w:rFonts w:ascii="宋体" w:hAnsi="宋体"/>
          <w:color w:val="000000"/>
          <w:kern w:val="0"/>
          <w:szCs w:val="21"/>
          <w:highlight w:val="none"/>
        </w:rPr>
      </w:pPr>
      <w:r>
        <w:rPr>
          <w:rFonts w:hint="eastAsia" w:ascii="宋体" w:hAnsi="宋体"/>
          <w:color w:val="000000"/>
          <w:kern w:val="0"/>
          <w:szCs w:val="21"/>
          <w:highlight w:val="none"/>
        </w:rPr>
        <w:t>9</w:t>
      </w:r>
      <w:r>
        <w:rPr>
          <w:rFonts w:ascii="宋体" w:hAnsi="宋体"/>
          <w:color w:val="000000"/>
          <w:kern w:val="0"/>
          <w:szCs w:val="21"/>
          <w:highlight w:val="none"/>
        </w:rPr>
        <w:t>.</w:t>
      </w:r>
      <w:r>
        <w:rPr>
          <w:rFonts w:hint="eastAsia" w:ascii="宋体" w:hAnsi="宋体"/>
          <w:color w:val="000000"/>
          <w:kern w:val="0"/>
          <w:szCs w:val="21"/>
          <w:highlight w:val="none"/>
        </w:rPr>
        <w:t>5</w:t>
      </w:r>
      <w:r>
        <w:rPr>
          <w:rFonts w:ascii="宋体" w:hAnsi="宋体"/>
          <w:color w:val="000000"/>
          <w:kern w:val="0"/>
          <w:szCs w:val="21"/>
          <w:highlight w:val="none"/>
        </w:rPr>
        <w:t xml:space="preserve"> </w:t>
      </w:r>
      <w:r>
        <w:rPr>
          <w:rFonts w:hint="eastAsia" w:ascii="宋体" w:hAnsi="宋体"/>
          <w:color w:val="000000"/>
          <w:kern w:val="0"/>
          <w:szCs w:val="21"/>
          <w:highlight w:val="none"/>
        </w:rPr>
        <w:t>比选申请人按照比选发起人提供的比选申请文件格式和顺序另行编制比选申请文件，但表格可以按同样格式扩展。</w:t>
      </w:r>
    </w:p>
    <w:p w14:paraId="56591CD0">
      <w:pPr>
        <w:pStyle w:val="4"/>
        <w:keepNext w:val="0"/>
        <w:keepLines w:val="0"/>
        <w:spacing w:before="0" w:after="0" w:line="360" w:lineRule="auto"/>
        <w:ind w:firstLine="482" w:firstLineChars="200"/>
        <w:rPr>
          <w:rFonts w:ascii="宋体" w:hAnsi="宋体"/>
          <w:color w:val="000000"/>
          <w:kern w:val="0"/>
          <w:sz w:val="24"/>
          <w:szCs w:val="24"/>
          <w:highlight w:val="none"/>
        </w:rPr>
      </w:pPr>
      <w:bookmarkStart w:id="86" w:name="_Toc114052363"/>
      <w:bookmarkStart w:id="87" w:name="_Toc392862488"/>
      <w:bookmarkStart w:id="88" w:name="_Toc114052427"/>
      <w:bookmarkStart w:id="89" w:name="_Toc436771476"/>
      <w:bookmarkStart w:id="90" w:name="_Toc21947"/>
      <w:bookmarkStart w:id="91" w:name="_Toc286386847"/>
      <w:r>
        <w:rPr>
          <w:rFonts w:hint="eastAsia" w:ascii="宋体" w:hAnsi="宋体"/>
          <w:color w:val="000000"/>
          <w:kern w:val="0"/>
          <w:sz w:val="24"/>
          <w:szCs w:val="24"/>
          <w:highlight w:val="none"/>
        </w:rPr>
        <w:t>10. 比选有效期</w:t>
      </w:r>
      <w:bookmarkEnd w:id="86"/>
      <w:bookmarkEnd w:id="87"/>
      <w:bookmarkEnd w:id="88"/>
      <w:bookmarkEnd w:id="89"/>
      <w:bookmarkEnd w:id="90"/>
      <w:bookmarkEnd w:id="91"/>
    </w:p>
    <w:p w14:paraId="33B33FF0">
      <w:pPr>
        <w:adjustRightInd w:val="0"/>
        <w:ind w:firstLine="420" w:firstLineChars="200"/>
        <w:rPr>
          <w:rFonts w:ascii="宋体" w:hAnsi="宋体"/>
          <w:color w:val="000000"/>
          <w:kern w:val="0"/>
          <w:szCs w:val="24"/>
          <w:highlight w:val="none"/>
        </w:rPr>
      </w:pPr>
      <w:r>
        <w:rPr>
          <w:rFonts w:hint="eastAsia" w:ascii="宋体" w:hAnsi="宋体"/>
          <w:color w:val="000000"/>
          <w:kern w:val="0"/>
          <w:szCs w:val="24"/>
          <w:highlight w:val="none"/>
        </w:rPr>
        <w:t>10.</w:t>
      </w:r>
      <w:r>
        <w:rPr>
          <w:rFonts w:ascii="宋体" w:hAnsi="宋体"/>
          <w:color w:val="000000"/>
          <w:kern w:val="0"/>
          <w:szCs w:val="24"/>
          <w:highlight w:val="none"/>
        </w:rPr>
        <w:t xml:space="preserve">1 </w:t>
      </w:r>
      <w:r>
        <w:rPr>
          <w:rFonts w:hint="eastAsia" w:ascii="宋体" w:hAnsi="宋体"/>
          <w:color w:val="000000"/>
          <w:kern w:val="0"/>
          <w:szCs w:val="24"/>
          <w:highlight w:val="none"/>
        </w:rPr>
        <w:t>比选申请文件在本须知前附表规定的第8项所述时间内有效。</w:t>
      </w:r>
    </w:p>
    <w:p w14:paraId="7EA8B4FF">
      <w:pPr>
        <w:adjustRightInd w:val="0"/>
        <w:ind w:firstLine="420" w:firstLineChars="200"/>
        <w:rPr>
          <w:rFonts w:ascii="宋体" w:hAnsi="宋体"/>
          <w:szCs w:val="24"/>
          <w:highlight w:val="none"/>
        </w:rPr>
      </w:pPr>
      <w:r>
        <w:rPr>
          <w:rFonts w:ascii="宋体" w:hAnsi="宋体"/>
          <w:color w:val="000000"/>
          <w:kern w:val="0"/>
          <w:szCs w:val="24"/>
          <w:highlight w:val="none"/>
        </w:rPr>
        <w:t>1</w:t>
      </w:r>
      <w:r>
        <w:rPr>
          <w:rFonts w:hint="eastAsia" w:ascii="宋体" w:hAnsi="宋体"/>
          <w:color w:val="000000"/>
          <w:kern w:val="0"/>
          <w:szCs w:val="24"/>
          <w:highlight w:val="none"/>
        </w:rPr>
        <w:t>0.</w:t>
      </w:r>
      <w:r>
        <w:rPr>
          <w:rFonts w:ascii="宋体" w:hAnsi="宋体"/>
          <w:color w:val="000000"/>
          <w:kern w:val="0"/>
          <w:szCs w:val="24"/>
          <w:highlight w:val="none"/>
        </w:rPr>
        <w:t xml:space="preserve">2 </w:t>
      </w:r>
      <w:r>
        <w:rPr>
          <w:rFonts w:hint="eastAsia" w:ascii="宋体" w:hAnsi="宋体"/>
          <w:color w:val="000000"/>
          <w:kern w:val="0"/>
          <w:szCs w:val="24"/>
          <w:highlight w:val="none"/>
        </w:rPr>
        <w:t>在原定递交文件有效期满之前，如果出现特殊情况，</w:t>
      </w:r>
      <w:r>
        <w:rPr>
          <w:rFonts w:hint="eastAsia" w:ascii="宋体" w:hAnsi="宋体"/>
          <w:color w:val="000000"/>
          <w:szCs w:val="24"/>
          <w:highlight w:val="none"/>
        </w:rPr>
        <w:t>比选发起人可以书面形式向比选申请人提出延长</w:t>
      </w:r>
      <w:r>
        <w:rPr>
          <w:rFonts w:hint="eastAsia" w:ascii="宋体" w:hAnsi="宋体"/>
          <w:color w:val="000000"/>
          <w:kern w:val="0"/>
          <w:szCs w:val="24"/>
          <w:highlight w:val="none"/>
        </w:rPr>
        <w:t>递交文件</w:t>
      </w:r>
      <w:r>
        <w:rPr>
          <w:rFonts w:hint="eastAsia" w:ascii="宋体" w:hAnsi="宋体"/>
          <w:color w:val="000000"/>
          <w:szCs w:val="24"/>
          <w:highlight w:val="none"/>
        </w:rPr>
        <w:t>有效期的要求。比选申请人须以书面形式予以答复。同意延长</w:t>
      </w:r>
      <w:r>
        <w:rPr>
          <w:rFonts w:hint="eastAsia" w:ascii="宋体" w:hAnsi="宋体"/>
          <w:color w:val="000000"/>
          <w:kern w:val="0"/>
          <w:szCs w:val="24"/>
          <w:highlight w:val="none"/>
        </w:rPr>
        <w:t>递交文件</w:t>
      </w:r>
      <w:r>
        <w:rPr>
          <w:rFonts w:hint="eastAsia" w:ascii="宋体" w:hAnsi="宋体"/>
          <w:color w:val="000000"/>
          <w:szCs w:val="24"/>
          <w:highlight w:val="none"/>
        </w:rPr>
        <w:t>有效期的比选申请人不允许修改其比选申请文件。在延长的比选有效期</w:t>
      </w:r>
      <w:r>
        <w:rPr>
          <w:rFonts w:hint="eastAsia" w:ascii="宋体" w:hAnsi="宋体"/>
          <w:szCs w:val="24"/>
          <w:highlight w:val="none"/>
        </w:rPr>
        <w:t>内，第一章第二部分第6条仍然适用。</w:t>
      </w:r>
    </w:p>
    <w:p w14:paraId="2934A089">
      <w:pPr>
        <w:pStyle w:val="4"/>
        <w:keepNext w:val="0"/>
        <w:keepLines w:val="0"/>
        <w:spacing w:before="0" w:after="0" w:line="360" w:lineRule="auto"/>
        <w:ind w:firstLine="482" w:firstLineChars="200"/>
        <w:rPr>
          <w:rFonts w:ascii="宋体" w:hAnsi="宋体"/>
          <w:color w:val="000000"/>
          <w:kern w:val="0"/>
          <w:sz w:val="24"/>
          <w:szCs w:val="24"/>
          <w:highlight w:val="none"/>
        </w:rPr>
      </w:pPr>
      <w:bookmarkStart w:id="92" w:name="_Toc392862491"/>
      <w:bookmarkStart w:id="93" w:name="_Toc436771479"/>
      <w:bookmarkStart w:id="94" w:name="_Toc22942"/>
      <w:bookmarkStart w:id="95" w:name="_Toc286386850"/>
      <w:bookmarkStart w:id="96" w:name="_Toc114052430"/>
      <w:bookmarkStart w:id="97" w:name="_Toc114052366"/>
      <w:r>
        <w:rPr>
          <w:rFonts w:hint="eastAsia" w:ascii="宋体" w:hAnsi="宋体"/>
          <w:color w:val="000000"/>
          <w:kern w:val="0"/>
          <w:sz w:val="24"/>
          <w:szCs w:val="24"/>
          <w:highlight w:val="none"/>
        </w:rPr>
        <w:t>11. 比选申请文件的份数和签署</w:t>
      </w:r>
      <w:bookmarkEnd w:id="92"/>
      <w:bookmarkEnd w:id="93"/>
      <w:bookmarkEnd w:id="94"/>
      <w:bookmarkEnd w:id="95"/>
      <w:bookmarkEnd w:id="96"/>
      <w:bookmarkEnd w:id="97"/>
    </w:p>
    <w:p w14:paraId="62FF7206">
      <w:pPr>
        <w:adjustRightInd w:val="0"/>
        <w:ind w:firstLine="436" w:firstLineChars="200"/>
        <w:rPr>
          <w:rFonts w:ascii="宋体" w:hAnsi="宋体"/>
          <w:color w:val="000000"/>
          <w:spacing w:val="4"/>
          <w:kern w:val="0"/>
          <w:szCs w:val="24"/>
          <w:highlight w:val="none"/>
        </w:rPr>
      </w:pPr>
      <w:r>
        <w:rPr>
          <w:rFonts w:hint="eastAsia" w:ascii="宋体" w:hAnsi="宋体"/>
          <w:color w:val="000000"/>
          <w:spacing w:val="4"/>
          <w:kern w:val="0"/>
          <w:szCs w:val="24"/>
          <w:highlight w:val="none"/>
        </w:rPr>
        <w:t xml:space="preserve">11.1 </w:t>
      </w:r>
      <w:bookmarkStart w:id="98" w:name="_Toc114052431"/>
      <w:bookmarkStart w:id="99" w:name="_Toc286386851"/>
      <w:bookmarkStart w:id="100" w:name="_Toc114052367"/>
      <w:r>
        <w:rPr>
          <w:rFonts w:hint="eastAsia" w:ascii="宋体" w:hAnsi="宋体"/>
          <w:color w:val="000000"/>
          <w:spacing w:val="4"/>
          <w:kern w:val="0"/>
          <w:szCs w:val="24"/>
          <w:highlight w:val="none"/>
        </w:rPr>
        <w:t>比选申请人按比选文件规定，编制一份比选申请文件“正本”和</w:t>
      </w:r>
      <w:r>
        <w:rPr>
          <w:rFonts w:hint="eastAsia" w:ascii="宋体" w:hAnsi="宋体"/>
          <w:color w:val="000000"/>
          <w:spacing w:val="4"/>
          <w:kern w:val="0"/>
          <w:szCs w:val="24"/>
          <w:highlight w:val="none"/>
          <w:lang w:val="en-US" w:eastAsia="zh-CN"/>
        </w:rPr>
        <w:t>两份</w:t>
      </w:r>
      <w:r>
        <w:rPr>
          <w:rFonts w:hint="eastAsia" w:ascii="宋体" w:hAnsi="宋体"/>
          <w:color w:val="000000"/>
          <w:spacing w:val="4"/>
          <w:kern w:val="0"/>
          <w:szCs w:val="24"/>
          <w:highlight w:val="none"/>
        </w:rPr>
        <w:t>份比选申请文件“副本”，并标明“比选申请文件正本”和“比选申请文件副本”。比选申请文件正本和副本如有不一致之处，以正本为准。</w:t>
      </w:r>
    </w:p>
    <w:p w14:paraId="7CC62A3D">
      <w:pPr>
        <w:adjustRightInd w:val="0"/>
        <w:ind w:firstLine="436" w:firstLineChars="200"/>
        <w:rPr>
          <w:rFonts w:ascii="宋体" w:hAnsi="宋体"/>
          <w:color w:val="000000"/>
          <w:spacing w:val="4"/>
          <w:kern w:val="0"/>
          <w:szCs w:val="24"/>
          <w:highlight w:val="none"/>
        </w:rPr>
      </w:pPr>
      <w:r>
        <w:rPr>
          <w:rFonts w:hint="eastAsia" w:ascii="宋体" w:hAnsi="宋体"/>
          <w:color w:val="000000"/>
          <w:spacing w:val="4"/>
          <w:kern w:val="0"/>
          <w:szCs w:val="24"/>
          <w:highlight w:val="none"/>
        </w:rPr>
        <w:t>11.2 比选申请文件正本与副本均应使用不能擦去的黑色墨水打印或书写，装订成册，由比选申请人负责人或授权委托代理人亲自签署或加盖印鉴，并加盖比选申请人单位公章。</w:t>
      </w:r>
    </w:p>
    <w:p w14:paraId="594F7319">
      <w:pPr>
        <w:adjustRightInd w:val="0"/>
        <w:ind w:firstLine="436" w:firstLineChars="200"/>
        <w:rPr>
          <w:rFonts w:ascii="宋体" w:hAnsi="宋体"/>
          <w:color w:val="000000"/>
          <w:spacing w:val="4"/>
          <w:kern w:val="0"/>
          <w:szCs w:val="24"/>
          <w:highlight w:val="none"/>
        </w:rPr>
      </w:pPr>
      <w:r>
        <w:rPr>
          <w:rFonts w:hint="eastAsia" w:ascii="宋体" w:hAnsi="宋体"/>
          <w:color w:val="000000"/>
          <w:spacing w:val="4"/>
          <w:kern w:val="0"/>
          <w:szCs w:val="24"/>
          <w:highlight w:val="none"/>
        </w:rPr>
        <w:t>11.3 全套比选申请文件应无涂改和行间插字，除非这些删改是根据比选人指示进行的；或者是比选申请人造成的必须修改的错误，但修改处应由比选申请文件签字人签字证明，否则修改无效。</w:t>
      </w:r>
    </w:p>
    <w:p w14:paraId="57FF798C">
      <w:pPr>
        <w:pStyle w:val="3"/>
        <w:jc w:val="center"/>
        <w:rPr>
          <w:rFonts w:ascii="宋体" w:hAnsi="宋体" w:eastAsia="宋体"/>
          <w:color w:val="000000"/>
          <w:sz w:val="28"/>
          <w:szCs w:val="28"/>
          <w:highlight w:val="none"/>
        </w:rPr>
      </w:pPr>
      <w:bookmarkStart w:id="101" w:name="_Toc392862492"/>
      <w:bookmarkStart w:id="102" w:name="_Toc18748"/>
      <w:r>
        <w:rPr>
          <w:rFonts w:hint="eastAsia" w:ascii="宋体" w:hAnsi="宋体" w:eastAsia="宋体"/>
          <w:color w:val="000000"/>
          <w:sz w:val="28"/>
          <w:szCs w:val="28"/>
          <w:highlight w:val="none"/>
        </w:rPr>
        <w:t>五、比选申请文件的递交</w:t>
      </w:r>
      <w:bookmarkEnd w:id="98"/>
      <w:bookmarkEnd w:id="99"/>
      <w:bookmarkEnd w:id="100"/>
      <w:bookmarkEnd w:id="101"/>
      <w:bookmarkEnd w:id="102"/>
    </w:p>
    <w:p w14:paraId="7EE6C62C">
      <w:pPr>
        <w:pStyle w:val="4"/>
        <w:keepNext w:val="0"/>
        <w:keepLines w:val="0"/>
        <w:spacing w:before="0" w:after="0" w:line="360" w:lineRule="auto"/>
        <w:ind w:firstLine="482" w:firstLineChars="200"/>
        <w:rPr>
          <w:rFonts w:ascii="宋体" w:hAnsi="宋体"/>
          <w:color w:val="000000"/>
          <w:kern w:val="0"/>
          <w:sz w:val="24"/>
          <w:szCs w:val="24"/>
          <w:highlight w:val="none"/>
        </w:rPr>
      </w:pPr>
      <w:bookmarkStart w:id="103" w:name="_Toc21699"/>
      <w:bookmarkStart w:id="104" w:name="_Toc392862493"/>
      <w:bookmarkStart w:id="105" w:name="_Toc114052368"/>
      <w:bookmarkStart w:id="106" w:name="_Toc286386852"/>
      <w:bookmarkStart w:id="107" w:name="_Toc436771481"/>
      <w:bookmarkStart w:id="108" w:name="_Toc114052432"/>
      <w:r>
        <w:rPr>
          <w:rFonts w:hint="eastAsia" w:ascii="宋体" w:hAnsi="宋体"/>
          <w:color w:val="000000"/>
          <w:kern w:val="0"/>
          <w:sz w:val="24"/>
          <w:szCs w:val="24"/>
          <w:highlight w:val="none"/>
        </w:rPr>
        <w:t>12. 比选申请文件的密封</w:t>
      </w:r>
      <w:bookmarkEnd w:id="103"/>
    </w:p>
    <w:bookmarkEnd w:id="104"/>
    <w:bookmarkEnd w:id="105"/>
    <w:bookmarkEnd w:id="106"/>
    <w:bookmarkEnd w:id="107"/>
    <w:bookmarkEnd w:id="108"/>
    <w:p w14:paraId="764D8FC6">
      <w:pPr>
        <w:adjustRightInd w:val="0"/>
        <w:ind w:firstLine="420" w:firstLineChars="200"/>
        <w:rPr>
          <w:rFonts w:ascii="宋体" w:hAnsi="宋体"/>
          <w:color w:val="000000"/>
          <w:szCs w:val="24"/>
          <w:highlight w:val="none"/>
        </w:rPr>
      </w:pPr>
      <w:r>
        <w:rPr>
          <w:rFonts w:ascii="宋体" w:hAnsi="宋体"/>
          <w:color w:val="000000"/>
          <w:szCs w:val="24"/>
          <w:highlight w:val="none"/>
        </w:rPr>
        <w:t>1</w:t>
      </w:r>
      <w:r>
        <w:rPr>
          <w:rFonts w:hint="eastAsia" w:ascii="宋体" w:hAnsi="宋体"/>
          <w:color w:val="000000"/>
          <w:szCs w:val="24"/>
          <w:highlight w:val="none"/>
        </w:rPr>
        <w:t>2</w:t>
      </w:r>
      <w:r>
        <w:rPr>
          <w:rFonts w:ascii="宋体" w:hAnsi="宋体"/>
          <w:color w:val="000000"/>
          <w:szCs w:val="24"/>
          <w:highlight w:val="none"/>
        </w:rPr>
        <w:t xml:space="preserve">.1 </w:t>
      </w:r>
      <w:r>
        <w:rPr>
          <w:rFonts w:hint="eastAsia" w:ascii="宋体" w:hAnsi="宋体"/>
          <w:color w:val="000000"/>
          <w:szCs w:val="24"/>
          <w:highlight w:val="none"/>
        </w:rPr>
        <w:t>比选申请</w:t>
      </w:r>
      <w:r>
        <w:rPr>
          <w:rFonts w:ascii="宋体" w:hAnsi="宋体"/>
          <w:color w:val="000000"/>
          <w:szCs w:val="24"/>
          <w:highlight w:val="none"/>
        </w:rPr>
        <w:t>文件装订要求：</w:t>
      </w:r>
      <w:r>
        <w:rPr>
          <w:rFonts w:hint="eastAsia" w:ascii="宋体" w:hAnsi="宋体"/>
          <w:color w:val="000000"/>
          <w:szCs w:val="24"/>
          <w:highlight w:val="none"/>
        </w:rPr>
        <w:t>比选申请</w:t>
      </w:r>
      <w:r>
        <w:rPr>
          <w:rFonts w:ascii="宋体" w:hAnsi="宋体"/>
          <w:color w:val="000000"/>
          <w:szCs w:val="24"/>
          <w:highlight w:val="none"/>
        </w:rPr>
        <w:t>文件中</w:t>
      </w:r>
      <w:r>
        <w:rPr>
          <w:rFonts w:hint="eastAsia" w:ascii="宋体" w:hAnsi="宋体"/>
          <w:color w:val="000000"/>
          <w:szCs w:val="24"/>
          <w:highlight w:val="none"/>
        </w:rPr>
        <w:t>资格审查部分</w:t>
      </w:r>
      <w:r>
        <w:rPr>
          <w:rFonts w:ascii="宋体" w:hAnsi="宋体"/>
          <w:color w:val="000000"/>
          <w:szCs w:val="24"/>
          <w:highlight w:val="none"/>
        </w:rPr>
        <w:t>、</w:t>
      </w:r>
      <w:r>
        <w:rPr>
          <w:rFonts w:hint="eastAsia" w:ascii="宋体" w:hAnsi="宋体"/>
          <w:color w:val="000000"/>
          <w:szCs w:val="24"/>
          <w:highlight w:val="none"/>
        </w:rPr>
        <w:t>技术部分、价格</w:t>
      </w:r>
      <w:r>
        <w:rPr>
          <w:rFonts w:ascii="宋体" w:hAnsi="宋体"/>
          <w:color w:val="000000"/>
          <w:szCs w:val="24"/>
          <w:highlight w:val="none"/>
        </w:rPr>
        <w:t>部分分开装订</w:t>
      </w:r>
      <w:r>
        <w:rPr>
          <w:rFonts w:hint="eastAsia" w:ascii="宋体" w:hAnsi="宋体"/>
          <w:color w:val="000000"/>
          <w:szCs w:val="24"/>
          <w:highlight w:val="none"/>
        </w:rPr>
        <w:t>。</w:t>
      </w:r>
    </w:p>
    <w:p w14:paraId="1891A0A2">
      <w:pPr>
        <w:adjustRightInd w:val="0"/>
        <w:ind w:firstLine="420" w:firstLineChars="200"/>
        <w:rPr>
          <w:rFonts w:ascii="宋体" w:hAnsi="宋体"/>
          <w:color w:val="000000"/>
          <w:szCs w:val="24"/>
          <w:highlight w:val="none"/>
        </w:rPr>
      </w:pPr>
      <w:r>
        <w:rPr>
          <w:rFonts w:ascii="宋体" w:hAnsi="宋体"/>
          <w:color w:val="000000"/>
          <w:szCs w:val="24"/>
          <w:highlight w:val="none"/>
        </w:rPr>
        <w:t>1</w:t>
      </w:r>
      <w:r>
        <w:rPr>
          <w:rFonts w:hint="eastAsia" w:ascii="宋体" w:hAnsi="宋体"/>
          <w:color w:val="000000"/>
          <w:szCs w:val="24"/>
          <w:highlight w:val="none"/>
        </w:rPr>
        <w:t>2</w:t>
      </w:r>
      <w:r>
        <w:rPr>
          <w:rFonts w:ascii="宋体" w:hAnsi="宋体"/>
          <w:color w:val="000000"/>
          <w:szCs w:val="24"/>
          <w:highlight w:val="none"/>
        </w:rPr>
        <w:t>.2</w:t>
      </w:r>
      <w:r>
        <w:rPr>
          <w:rFonts w:hint="eastAsia" w:ascii="宋体" w:hAnsi="宋体"/>
          <w:color w:val="000000"/>
          <w:szCs w:val="24"/>
          <w:highlight w:val="none"/>
        </w:rPr>
        <w:t xml:space="preserve"> 比选申请文件的资格审查部分、技术部分封装为1个包、价格部分独立封装成包。</w:t>
      </w:r>
    </w:p>
    <w:p w14:paraId="25CC2A84">
      <w:pPr>
        <w:adjustRightInd w:val="0"/>
        <w:ind w:firstLine="420" w:firstLineChars="200"/>
        <w:rPr>
          <w:rFonts w:ascii="宋体" w:hAnsi="宋体"/>
          <w:color w:val="000000"/>
          <w:szCs w:val="24"/>
          <w:highlight w:val="none"/>
        </w:rPr>
      </w:pPr>
      <w:r>
        <w:rPr>
          <w:rFonts w:ascii="宋体" w:hAnsi="宋体"/>
          <w:color w:val="000000"/>
          <w:kern w:val="0"/>
          <w:szCs w:val="24"/>
          <w:highlight w:val="none"/>
        </w:rPr>
        <w:t>1</w:t>
      </w:r>
      <w:r>
        <w:rPr>
          <w:rFonts w:hint="eastAsia" w:ascii="宋体" w:hAnsi="宋体"/>
          <w:color w:val="000000"/>
          <w:kern w:val="0"/>
          <w:szCs w:val="24"/>
          <w:highlight w:val="none"/>
        </w:rPr>
        <w:t>2</w:t>
      </w:r>
      <w:r>
        <w:rPr>
          <w:rFonts w:ascii="宋体" w:hAnsi="宋体"/>
          <w:color w:val="000000"/>
          <w:kern w:val="0"/>
          <w:szCs w:val="24"/>
          <w:highlight w:val="none"/>
        </w:rPr>
        <w:t>.</w:t>
      </w:r>
      <w:r>
        <w:rPr>
          <w:rFonts w:hint="eastAsia" w:ascii="宋体" w:hAnsi="宋体"/>
          <w:color w:val="000000"/>
          <w:kern w:val="0"/>
          <w:szCs w:val="24"/>
          <w:highlight w:val="none"/>
        </w:rPr>
        <w:t xml:space="preserve">3 </w:t>
      </w:r>
      <w:r>
        <w:rPr>
          <w:rFonts w:hint="eastAsia" w:ascii="宋体" w:hAnsi="宋体"/>
          <w:color w:val="000000"/>
          <w:szCs w:val="24"/>
          <w:highlight w:val="none"/>
        </w:rPr>
        <w:t>密封袋封口处都应加盖比选申请人公章或粘贴加盖公章的密封条，若密封袋没有加盖公章或破损严重，有可能导致比选人的拒收。</w:t>
      </w:r>
    </w:p>
    <w:p w14:paraId="2487BE41">
      <w:pPr>
        <w:pStyle w:val="4"/>
        <w:keepNext w:val="0"/>
        <w:keepLines w:val="0"/>
        <w:spacing w:before="0" w:after="0" w:line="360" w:lineRule="auto"/>
        <w:ind w:firstLine="482" w:firstLineChars="200"/>
        <w:rPr>
          <w:rFonts w:ascii="宋体" w:hAnsi="宋体"/>
          <w:color w:val="000000"/>
          <w:kern w:val="0"/>
          <w:sz w:val="24"/>
          <w:szCs w:val="24"/>
          <w:highlight w:val="none"/>
        </w:rPr>
      </w:pPr>
      <w:bookmarkStart w:id="109" w:name="_Toc436771482"/>
      <w:bookmarkStart w:id="110" w:name="_Toc114052369"/>
      <w:bookmarkStart w:id="111" w:name="_Toc114052433"/>
      <w:bookmarkStart w:id="112" w:name="_Toc32380"/>
      <w:bookmarkStart w:id="113" w:name="_Toc392862494"/>
      <w:bookmarkStart w:id="114" w:name="_Toc286386853"/>
      <w:r>
        <w:rPr>
          <w:rFonts w:hint="eastAsia" w:ascii="宋体" w:hAnsi="宋体"/>
          <w:color w:val="000000"/>
          <w:kern w:val="0"/>
          <w:sz w:val="24"/>
          <w:szCs w:val="24"/>
          <w:highlight w:val="none"/>
        </w:rPr>
        <w:t>13. 递交比选申请文件截止日期</w:t>
      </w:r>
      <w:bookmarkEnd w:id="109"/>
      <w:bookmarkEnd w:id="110"/>
      <w:bookmarkEnd w:id="111"/>
      <w:bookmarkEnd w:id="112"/>
      <w:bookmarkEnd w:id="113"/>
      <w:bookmarkEnd w:id="114"/>
    </w:p>
    <w:p w14:paraId="069A9537">
      <w:pPr>
        <w:ind w:firstLine="420" w:firstLineChars="200"/>
        <w:rPr>
          <w:rFonts w:ascii="宋体" w:hAnsi="宋体"/>
          <w:color w:val="000000"/>
          <w:kern w:val="0"/>
          <w:szCs w:val="24"/>
          <w:highlight w:val="none"/>
        </w:rPr>
      </w:pPr>
      <w:r>
        <w:rPr>
          <w:rFonts w:hint="eastAsia" w:ascii="宋体" w:hAnsi="宋体"/>
          <w:color w:val="000000"/>
          <w:kern w:val="0"/>
          <w:szCs w:val="24"/>
          <w:highlight w:val="none"/>
        </w:rPr>
        <w:t>13.1 比选申请人应在前附表第10项规定的日期和时间之前将比选申请文件递</w:t>
      </w:r>
      <w:r>
        <w:rPr>
          <w:rFonts w:hint="eastAsia" w:ascii="宋体" w:hAnsi="宋体"/>
          <w:caps/>
          <w:color w:val="000000"/>
          <w:kern w:val="0"/>
          <w:szCs w:val="24"/>
          <w:highlight w:val="none"/>
        </w:rPr>
        <w:t>交</w:t>
      </w:r>
      <w:r>
        <w:rPr>
          <w:rFonts w:hint="eastAsia" w:ascii="宋体" w:hAnsi="宋体"/>
          <w:color w:val="000000"/>
          <w:kern w:val="0"/>
          <w:szCs w:val="24"/>
          <w:highlight w:val="none"/>
        </w:rPr>
        <w:t>至前附表第10项所述的单位和地址。</w:t>
      </w:r>
    </w:p>
    <w:p w14:paraId="735B0B09">
      <w:pPr>
        <w:ind w:firstLine="420" w:firstLineChars="200"/>
        <w:rPr>
          <w:rFonts w:ascii="宋体" w:hAnsi="宋体"/>
          <w:color w:val="000000"/>
          <w:kern w:val="0"/>
          <w:szCs w:val="24"/>
          <w:highlight w:val="none"/>
        </w:rPr>
      </w:pPr>
      <w:r>
        <w:rPr>
          <w:rFonts w:hint="eastAsia" w:ascii="宋体" w:hAnsi="宋体"/>
          <w:color w:val="000000"/>
          <w:kern w:val="0"/>
          <w:szCs w:val="24"/>
          <w:highlight w:val="none"/>
        </w:rPr>
        <w:t>13.</w:t>
      </w:r>
      <w:r>
        <w:rPr>
          <w:rFonts w:ascii="宋体" w:hAnsi="宋体"/>
          <w:color w:val="000000"/>
          <w:kern w:val="0"/>
          <w:szCs w:val="24"/>
          <w:highlight w:val="none"/>
        </w:rPr>
        <w:t xml:space="preserve">2 </w:t>
      </w:r>
      <w:r>
        <w:rPr>
          <w:rFonts w:hint="eastAsia" w:ascii="宋体" w:hAnsi="宋体"/>
          <w:color w:val="000000"/>
          <w:kern w:val="0"/>
          <w:szCs w:val="24"/>
          <w:highlight w:val="none"/>
        </w:rPr>
        <w:t>比选发起人可以以补充通知方式，酌情延长递交比选申请文件的截止日期。在上述情况下，比选发起人与比选申请人在比选截止日期以前拥有的全部权力、责任和义务，将适用于延长后新的递交文件截止日期。</w:t>
      </w:r>
    </w:p>
    <w:p w14:paraId="06C350FC">
      <w:pPr>
        <w:ind w:firstLine="420" w:firstLineChars="200"/>
        <w:rPr>
          <w:rFonts w:ascii="宋体" w:hAnsi="宋体"/>
          <w:color w:val="000000"/>
          <w:kern w:val="0"/>
          <w:szCs w:val="24"/>
          <w:highlight w:val="none"/>
        </w:rPr>
      </w:pPr>
      <w:r>
        <w:rPr>
          <w:rFonts w:hint="eastAsia" w:ascii="宋体" w:hAnsi="宋体"/>
          <w:color w:val="000000"/>
          <w:kern w:val="0"/>
          <w:szCs w:val="24"/>
          <w:highlight w:val="none"/>
        </w:rPr>
        <w:t>13.3 凡没有以补充方式获得酌情延长递交文件截止日期的比选申请人，比选发起人将拒收在递交文件截止日期以后送到的比选申请文件。</w:t>
      </w:r>
    </w:p>
    <w:p w14:paraId="0E0678A4">
      <w:pPr>
        <w:pStyle w:val="3"/>
        <w:jc w:val="center"/>
        <w:rPr>
          <w:rFonts w:ascii="宋体" w:hAnsi="宋体" w:eastAsia="宋体"/>
          <w:color w:val="000000"/>
          <w:sz w:val="28"/>
          <w:szCs w:val="28"/>
          <w:highlight w:val="none"/>
        </w:rPr>
      </w:pPr>
      <w:bookmarkStart w:id="115" w:name="_Toc286386855"/>
      <w:bookmarkStart w:id="116" w:name="_Toc114052371"/>
      <w:bookmarkStart w:id="117" w:name="_Toc114052435"/>
      <w:bookmarkStart w:id="118" w:name="_Toc18962"/>
      <w:bookmarkStart w:id="119" w:name="_Toc392862496"/>
      <w:r>
        <w:rPr>
          <w:rFonts w:hint="eastAsia" w:ascii="宋体" w:hAnsi="宋体" w:eastAsia="宋体"/>
          <w:color w:val="000000"/>
          <w:sz w:val="28"/>
          <w:szCs w:val="28"/>
          <w:highlight w:val="none"/>
        </w:rPr>
        <w:t>六、</w:t>
      </w:r>
      <w:bookmarkEnd w:id="115"/>
      <w:bookmarkEnd w:id="116"/>
      <w:bookmarkEnd w:id="117"/>
      <w:r>
        <w:rPr>
          <w:rFonts w:hint="eastAsia" w:ascii="宋体" w:hAnsi="宋体" w:eastAsia="宋体"/>
          <w:color w:val="000000"/>
          <w:sz w:val="28"/>
          <w:szCs w:val="28"/>
          <w:highlight w:val="none"/>
        </w:rPr>
        <w:t>评   审</w:t>
      </w:r>
      <w:bookmarkEnd w:id="118"/>
      <w:bookmarkEnd w:id="119"/>
    </w:p>
    <w:p w14:paraId="294EDBAF">
      <w:pPr>
        <w:pStyle w:val="4"/>
        <w:keepNext w:val="0"/>
        <w:keepLines w:val="0"/>
        <w:spacing w:before="0" w:after="0" w:line="360" w:lineRule="auto"/>
        <w:ind w:firstLine="482" w:firstLineChars="200"/>
        <w:rPr>
          <w:rFonts w:ascii="宋体" w:hAnsi="宋体"/>
          <w:color w:val="000000"/>
          <w:kern w:val="0"/>
          <w:sz w:val="24"/>
          <w:szCs w:val="24"/>
          <w:highlight w:val="none"/>
        </w:rPr>
      </w:pPr>
      <w:bookmarkStart w:id="120" w:name="_Toc436771484"/>
      <w:bookmarkStart w:id="121" w:name="_Toc17404"/>
      <w:r>
        <w:rPr>
          <w:rFonts w:hint="eastAsia" w:ascii="宋体" w:hAnsi="宋体"/>
          <w:color w:val="000000"/>
          <w:kern w:val="0"/>
          <w:sz w:val="24"/>
          <w:szCs w:val="24"/>
          <w:highlight w:val="none"/>
        </w:rPr>
        <w:t>14. 评审</w:t>
      </w:r>
      <w:bookmarkEnd w:id="120"/>
      <w:r>
        <w:rPr>
          <w:rFonts w:hint="eastAsia" w:ascii="宋体" w:hAnsi="宋体"/>
          <w:color w:val="000000"/>
          <w:kern w:val="0"/>
          <w:sz w:val="24"/>
          <w:szCs w:val="24"/>
          <w:highlight w:val="none"/>
        </w:rPr>
        <w:t>程序</w:t>
      </w:r>
      <w:bookmarkEnd w:id="121"/>
    </w:p>
    <w:p w14:paraId="514E9394">
      <w:pPr>
        <w:autoSpaceDE w:val="0"/>
        <w:autoSpaceDN w:val="0"/>
        <w:adjustRightInd w:val="0"/>
        <w:ind w:firstLine="420" w:firstLineChars="200"/>
        <w:rPr>
          <w:rFonts w:ascii="宋体" w:hAnsi="宋体"/>
          <w:color w:val="FF0000"/>
          <w:kern w:val="0"/>
          <w:szCs w:val="24"/>
          <w:highlight w:val="none"/>
        </w:rPr>
      </w:pPr>
      <w:r>
        <w:rPr>
          <w:rFonts w:hint="eastAsia" w:ascii="宋体" w:hAnsi="宋体"/>
          <w:kern w:val="0"/>
          <w:szCs w:val="24"/>
          <w:highlight w:val="none"/>
        </w:rPr>
        <w:t>14.1 比选发起人将于前附表第11项规定的时间和地点举行评审会议。</w:t>
      </w:r>
    </w:p>
    <w:p w14:paraId="4E8067C9">
      <w:pPr>
        <w:autoSpaceDE w:val="0"/>
        <w:autoSpaceDN w:val="0"/>
        <w:adjustRightInd w:val="0"/>
        <w:ind w:firstLine="420" w:firstLineChars="200"/>
        <w:rPr>
          <w:rFonts w:ascii="宋体" w:hAnsi="宋体"/>
          <w:color w:val="000000"/>
          <w:kern w:val="0"/>
          <w:szCs w:val="24"/>
          <w:highlight w:val="none"/>
        </w:rPr>
      </w:pPr>
      <w:r>
        <w:rPr>
          <w:rFonts w:hint="eastAsia" w:ascii="宋体" w:hAnsi="宋体"/>
          <w:color w:val="000000"/>
          <w:kern w:val="0"/>
          <w:szCs w:val="24"/>
          <w:highlight w:val="none"/>
        </w:rPr>
        <w:t>14.2 本项目</w:t>
      </w:r>
      <w:r>
        <w:rPr>
          <w:rFonts w:hint="eastAsia" w:ascii="宋体" w:hAnsi="宋体"/>
          <w:kern w:val="0"/>
          <w:szCs w:val="24"/>
          <w:highlight w:val="none"/>
        </w:rPr>
        <w:t>由5名评委组成</w:t>
      </w:r>
      <w:r>
        <w:rPr>
          <w:rFonts w:hint="eastAsia" w:ascii="宋体" w:hAnsi="宋体"/>
          <w:color w:val="000000"/>
          <w:kern w:val="0"/>
          <w:szCs w:val="24"/>
          <w:highlight w:val="none"/>
        </w:rPr>
        <w:t>评审委员会。</w:t>
      </w:r>
    </w:p>
    <w:p w14:paraId="2F1A6DC0">
      <w:pPr>
        <w:autoSpaceDE w:val="0"/>
        <w:autoSpaceDN w:val="0"/>
        <w:adjustRightInd w:val="0"/>
        <w:ind w:firstLine="420" w:firstLineChars="200"/>
        <w:rPr>
          <w:rFonts w:ascii="宋体" w:hAnsi="宋体"/>
          <w:color w:val="000000"/>
          <w:kern w:val="0"/>
          <w:szCs w:val="24"/>
          <w:highlight w:val="none"/>
        </w:rPr>
      </w:pPr>
      <w:r>
        <w:rPr>
          <w:rFonts w:hint="eastAsia" w:ascii="宋体" w:hAnsi="宋体"/>
          <w:color w:val="000000"/>
          <w:kern w:val="0"/>
          <w:szCs w:val="24"/>
          <w:highlight w:val="none"/>
        </w:rPr>
        <w:t>14.3 评比委员会成员独立、客观、公正地履行职责，遵守职业道德，对所提出的评比意见承担个人责任；评比委员会成员应对整个评比活动保密。</w:t>
      </w:r>
    </w:p>
    <w:p w14:paraId="23F12F86">
      <w:pPr>
        <w:autoSpaceDE w:val="0"/>
        <w:autoSpaceDN w:val="0"/>
        <w:adjustRightInd w:val="0"/>
        <w:ind w:firstLine="420" w:firstLineChars="200"/>
        <w:rPr>
          <w:rFonts w:ascii="宋体" w:hAnsi="宋体"/>
          <w:color w:val="000000"/>
          <w:kern w:val="0"/>
          <w:szCs w:val="24"/>
          <w:highlight w:val="none"/>
        </w:rPr>
      </w:pPr>
      <w:r>
        <w:rPr>
          <w:rFonts w:hint="eastAsia" w:ascii="宋体" w:hAnsi="宋体"/>
          <w:color w:val="000000"/>
          <w:kern w:val="0"/>
          <w:szCs w:val="24"/>
          <w:highlight w:val="none"/>
        </w:rPr>
        <w:t>14.4 评审委员会成员不得在比选期间私下接触参与比选的参选人员，不得接受参选人或相关人员的任何馈赠，不得参加参选人以任何形式组织的宴请、娱乐、旅游等活动，不得透露与评审工作有关的内容情况。比选发起人应当对参选人报送的文件内容保密，比选发起人及参与者不得泄露。如果参加竞争的参选人试图采用不正当手段对评委施加影响，取消其比选资格。</w:t>
      </w:r>
    </w:p>
    <w:p w14:paraId="76B8FA2C">
      <w:pPr>
        <w:autoSpaceDE w:val="0"/>
        <w:autoSpaceDN w:val="0"/>
        <w:adjustRightInd w:val="0"/>
        <w:ind w:firstLine="420" w:firstLineChars="200"/>
        <w:rPr>
          <w:rFonts w:ascii="宋体" w:hAnsi="宋体"/>
          <w:color w:val="000000"/>
          <w:kern w:val="0"/>
          <w:szCs w:val="24"/>
          <w:highlight w:val="none"/>
        </w:rPr>
      </w:pPr>
      <w:r>
        <w:rPr>
          <w:rFonts w:hint="eastAsia" w:ascii="宋体" w:hAnsi="宋体"/>
          <w:color w:val="000000"/>
          <w:kern w:val="0"/>
          <w:szCs w:val="24"/>
          <w:highlight w:val="none"/>
        </w:rPr>
        <w:t>14.5 严禁任何单位和个人以任何形式操纵或干预评比过程和评比结果。</w:t>
      </w:r>
    </w:p>
    <w:p w14:paraId="316269AA">
      <w:pPr>
        <w:autoSpaceDE w:val="0"/>
        <w:autoSpaceDN w:val="0"/>
        <w:adjustRightInd w:val="0"/>
        <w:ind w:firstLine="420" w:firstLineChars="200"/>
        <w:rPr>
          <w:rFonts w:ascii="宋体" w:hAnsi="宋体"/>
          <w:szCs w:val="24"/>
          <w:highlight w:val="none"/>
        </w:rPr>
      </w:pPr>
      <w:r>
        <w:rPr>
          <w:rFonts w:hint="eastAsia" w:ascii="宋体" w:hAnsi="宋体"/>
          <w:color w:val="000000"/>
          <w:kern w:val="0"/>
          <w:szCs w:val="24"/>
          <w:highlight w:val="none"/>
        </w:rPr>
        <w:t>14.6 评审会议程序：</w:t>
      </w:r>
      <w:r>
        <w:rPr>
          <w:rFonts w:ascii="宋体" w:hAnsi="宋体"/>
          <w:color w:val="000000"/>
          <w:kern w:val="0"/>
          <w:szCs w:val="24"/>
          <w:highlight w:val="none"/>
        </w:rPr>
        <w:t xml:space="preserve"> </w:t>
      </w:r>
    </w:p>
    <w:p w14:paraId="277C6604">
      <w:pPr>
        <w:ind w:firstLine="420" w:firstLineChars="200"/>
        <w:rPr>
          <w:rFonts w:ascii="宋体" w:hAnsi="宋体"/>
          <w:szCs w:val="24"/>
          <w:highlight w:val="none"/>
        </w:rPr>
      </w:pPr>
      <w:r>
        <w:rPr>
          <w:rFonts w:hint="eastAsia" w:ascii="宋体" w:hAnsi="宋体"/>
          <w:kern w:val="0"/>
          <w:szCs w:val="24"/>
          <w:highlight w:val="none"/>
        </w:rPr>
        <w:t>（1）</w:t>
      </w:r>
      <w:r>
        <w:rPr>
          <w:rFonts w:hint="eastAsia" w:ascii="宋体" w:hAnsi="宋体"/>
          <w:szCs w:val="24"/>
          <w:highlight w:val="none"/>
        </w:rPr>
        <w:t>由主持人宣布评比会议开始，纪检监察部工作人员宣布相关纪律后，评比委员会确认文件是否密封。</w:t>
      </w:r>
    </w:p>
    <w:p w14:paraId="6A627753">
      <w:pPr>
        <w:ind w:firstLine="420" w:firstLineChars="200"/>
        <w:rPr>
          <w:rFonts w:ascii="宋体" w:hAnsi="宋体"/>
          <w:szCs w:val="24"/>
          <w:highlight w:val="none"/>
        </w:rPr>
      </w:pPr>
      <w:r>
        <w:rPr>
          <w:rFonts w:hint="eastAsia" w:ascii="宋体" w:hAnsi="宋体"/>
          <w:kern w:val="0"/>
          <w:szCs w:val="24"/>
          <w:highlight w:val="none"/>
        </w:rPr>
        <w:t>（2）</w:t>
      </w:r>
      <w:r>
        <w:rPr>
          <w:rFonts w:hint="eastAsia" w:ascii="宋体" w:hAnsi="宋体"/>
          <w:szCs w:val="24"/>
          <w:highlight w:val="none"/>
        </w:rPr>
        <w:t>评比委员会应启封比选申请文件的资格审查部分，并检验比选申请人提交的诚信声明、法定代表人资格证明书、法定代表人身份证明文件、授权委托书、授权代理人身份证明文件、营业执照副本、税务登记证、组织机构代码证、项目负责人相关证明材料等材料，报送评委进行资格审查和初步评审。</w:t>
      </w:r>
    </w:p>
    <w:p w14:paraId="5E889D1E">
      <w:pPr>
        <w:ind w:firstLine="420" w:firstLineChars="200"/>
        <w:rPr>
          <w:rFonts w:ascii="宋体" w:hAnsi="宋体"/>
          <w:szCs w:val="24"/>
          <w:highlight w:val="none"/>
        </w:rPr>
      </w:pPr>
      <w:r>
        <w:rPr>
          <w:rFonts w:hint="eastAsia" w:ascii="宋体" w:hAnsi="宋体"/>
          <w:kern w:val="0"/>
          <w:szCs w:val="24"/>
          <w:highlight w:val="none"/>
        </w:rPr>
        <w:t xml:space="preserve">（3） </w:t>
      </w:r>
      <w:r>
        <w:rPr>
          <w:rFonts w:hint="eastAsia" w:ascii="宋体" w:hAnsi="宋体"/>
          <w:szCs w:val="24"/>
          <w:highlight w:val="none"/>
        </w:rPr>
        <w:t>由主持人当众宣布核查结果，并宣读有效比选的比选申请人名称以及比选发起人认为需要的其他内容。</w:t>
      </w:r>
    </w:p>
    <w:p w14:paraId="3A006C4E">
      <w:pPr>
        <w:ind w:firstLine="420" w:firstLineChars="200"/>
        <w:rPr>
          <w:rFonts w:ascii="宋体" w:hAnsi="宋体"/>
          <w:szCs w:val="24"/>
          <w:highlight w:val="none"/>
        </w:rPr>
      </w:pPr>
      <w:r>
        <w:rPr>
          <w:rFonts w:hint="eastAsia" w:ascii="宋体" w:hAnsi="宋体"/>
          <w:kern w:val="0"/>
          <w:szCs w:val="24"/>
          <w:highlight w:val="none"/>
        </w:rPr>
        <w:t>（4）评比委员会启封通过资格审查的比选申请文件的技术部分，并进行评审</w:t>
      </w:r>
      <w:r>
        <w:rPr>
          <w:rFonts w:hint="eastAsia" w:ascii="宋体" w:hAnsi="宋体"/>
          <w:szCs w:val="24"/>
          <w:highlight w:val="none"/>
        </w:rPr>
        <w:t>。</w:t>
      </w:r>
    </w:p>
    <w:p w14:paraId="3D47AF19">
      <w:pPr>
        <w:ind w:firstLine="420" w:firstLineChars="200"/>
        <w:rPr>
          <w:rFonts w:ascii="宋体" w:hAnsi="宋体"/>
          <w:szCs w:val="24"/>
          <w:highlight w:val="none"/>
        </w:rPr>
      </w:pPr>
      <w:r>
        <w:rPr>
          <w:rFonts w:hint="eastAsia" w:ascii="宋体" w:hAnsi="宋体"/>
          <w:szCs w:val="24"/>
          <w:highlight w:val="none"/>
        </w:rPr>
        <w:t>（5）评比委员会启封通过资格审查的比选申请文件的价格部分，并进行评审。</w:t>
      </w:r>
    </w:p>
    <w:p w14:paraId="021525DB">
      <w:pPr>
        <w:ind w:firstLine="420" w:firstLineChars="200"/>
        <w:rPr>
          <w:rFonts w:ascii="宋体" w:hAnsi="宋体"/>
          <w:szCs w:val="24"/>
          <w:highlight w:val="none"/>
        </w:rPr>
      </w:pPr>
      <w:r>
        <w:rPr>
          <w:rFonts w:hint="eastAsia" w:ascii="宋体" w:hAnsi="宋体"/>
          <w:szCs w:val="24"/>
          <w:highlight w:val="none"/>
        </w:rPr>
        <w:t>（6）在评审过程中业主人员做比选记录，评审委员、监督人、记录人等有关人员在比选记录表上签字确认，主持人宣读比选结果。</w:t>
      </w:r>
    </w:p>
    <w:p w14:paraId="0059F8E3">
      <w:pPr>
        <w:ind w:firstLine="420" w:firstLineChars="200"/>
        <w:rPr>
          <w:rFonts w:ascii="宋体" w:hAnsi="宋体"/>
          <w:color w:val="000000"/>
          <w:szCs w:val="24"/>
          <w:highlight w:val="none"/>
        </w:rPr>
      </w:pPr>
      <w:r>
        <w:rPr>
          <w:rFonts w:hint="eastAsia" w:ascii="宋体" w:hAnsi="宋体"/>
          <w:szCs w:val="24"/>
          <w:highlight w:val="none"/>
        </w:rPr>
        <w:t>（7）评审结束。</w:t>
      </w:r>
    </w:p>
    <w:p w14:paraId="16ADC408">
      <w:pPr>
        <w:pStyle w:val="4"/>
        <w:keepNext w:val="0"/>
        <w:keepLines w:val="0"/>
        <w:spacing w:before="0" w:after="0" w:line="360" w:lineRule="auto"/>
        <w:ind w:firstLine="482" w:firstLineChars="200"/>
        <w:rPr>
          <w:rFonts w:ascii="宋体" w:hAnsi="宋体"/>
          <w:color w:val="000000"/>
          <w:kern w:val="0"/>
          <w:sz w:val="24"/>
          <w:szCs w:val="24"/>
          <w:highlight w:val="none"/>
        </w:rPr>
      </w:pPr>
      <w:bookmarkStart w:id="122" w:name="_Toc436771486"/>
      <w:bookmarkStart w:id="123" w:name="_Toc392862499"/>
      <w:bookmarkStart w:id="124" w:name="_Toc23399"/>
      <w:r>
        <w:rPr>
          <w:rFonts w:hint="eastAsia" w:ascii="宋体" w:hAnsi="宋体"/>
          <w:color w:val="000000"/>
          <w:kern w:val="0"/>
          <w:sz w:val="24"/>
          <w:szCs w:val="24"/>
          <w:highlight w:val="none"/>
        </w:rPr>
        <w:t>15. 评审</w:t>
      </w:r>
      <w:bookmarkEnd w:id="122"/>
      <w:bookmarkEnd w:id="123"/>
      <w:r>
        <w:rPr>
          <w:rFonts w:hint="eastAsia" w:ascii="宋体" w:hAnsi="宋体"/>
          <w:color w:val="000000"/>
          <w:kern w:val="0"/>
          <w:sz w:val="24"/>
          <w:szCs w:val="24"/>
          <w:highlight w:val="none"/>
        </w:rPr>
        <w:t>规则</w:t>
      </w:r>
      <w:bookmarkEnd w:id="124"/>
    </w:p>
    <w:p w14:paraId="23462DC9">
      <w:pPr>
        <w:ind w:firstLine="420" w:firstLineChars="200"/>
        <w:rPr>
          <w:rFonts w:ascii="宋体" w:hAnsi="宋体"/>
          <w:color w:val="000000"/>
          <w:szCs w:val="24"/>
          <w:highlight w:val="none"/>
        </w:rPr>
      </w:pPr>
      <w:r>
        <w:rPr>
          <w:rFonts w:hint="eastAsia" w:ascii="宋体" w:hAnsi="宋体"/>
          <w:color w:val="000000"/>
          <w:szCs w:val="24"/>
          <w:highlight w:val="none"/>
        </w:rPr>
        <w:t>15.1 本比选项目的比选控制价为：人民币95万元（不含税价）。当比选申请人报价超过比选控制价时，比选申请文件无效；当有效报价不足3家比选申请人时，本次比选无效，后续将视情况依法依规重新组织比选工作；当中标候选人数量大于等于3名时，中标人数量为1名（确定最终综合得分第一名的为中标人）。</w:t>
      </w:r>
    </w:p>
    <w:p w14:paraId="56573B27">
      <w:pPr>
        <w:ind w:firstLine="420" w:firstLineChars="200"/>
        <w:rPr>
          <w:rFonts w:ascii="宋体" w:hAnsi="宋体"/>
          <w:color w:val="000000"/>
          <w:szCs w:val="24"/>
          <w:highlight w:val="none"/>
        </w:rPr>
      </w:pPr>
      <w:r>
        <w:rPr>
          <w:rFonts w:hint="eastAsia" w:ascii="宋体" w:hAnsi="宋体"/>
          <w:color w:val="000000"/>
          <w:szCs w:val="24"/>
          <w:highlight w:val="none"/>
        </w:rPr>
        <w:t>15.2 评审过程的保密性。评审委员会成员、有关工作人员及其他知情人不得透露对比选申请文件的评审和比较、中选、候选供应商的推荐情况以及与评审有关的其他情况。</w:t>
      </w:r>
    </w:p>
    <w:p w14:paraId="6B853DC7">
      <w:pPr>
        <w:ind w:firstLine="420" w:firstLineChars="200"/>
        <w:rPr>
          <w:rFonts w:ascii="宋体" w:hAnsi="宋体"/>
          <w:color w:val="000000"/>
          <w:szCs w:val="24"/>
          <w:highlight w:val="none"/>
        </w:rPr>
      </w:pPr>
      <w:r>
        <w:rPr>
          <w:rFonts w:hint="eastAsia" w:ascii="宋体" w:hAnsi="宋体"/>
          <w:color w:val="000000"/>
          <w:szCs w:val="24"/>
          <w:highlight w:val="none"/>
        </w:rPr>
        <w:t>15.3 比选申请文件的澄清或说明</w:t>
      </w:r>
    </w:p>
    <w:p w14:paraId="719FE9BC">
      <w:pPr>
        <w:ind w:firstLine="420" w:firstLineChars="200"/>
        <w:rPr>
          <w:rFonts w:ascii="宋体" w:hAnsi="宋体"/>
          <w:color w:val="000000"/>
          <w:szCs w:val="24"/>
          <w:highlight w:val="none"/>
        </w:rPr>
      </w:pPr>
      <w:r>
        <w:rPr>
          <w:rFonts w:hint="eastAsia" w:ascii="宋体" w:hAnsi="宋体"/>
          <w:color w:val="000000"/>
          <w:szCs w:val="24"/>
          <w:highlight w:val="none"/>
        </w:rPr>
        <w:t>（1）评审时评审委员会将以书面形式要求比选申请人就其比选申请文件中含义不明确、同类问题表述不一致或有明显文字错误等的内容予以澄清或说明。</w:t>
      </w:r>
    </w:p>
    <w:p w14:paraId="1ED6C79C">
      <w:pPr>
        <w:ind w:firstLine="420" w:firstLineChars="200"/>
        <w:rPr>
          <w:rFonts w:ascii="宋体" w:hAnsi="宋体"/>
          <w:color w:val="000000"/>
          <w:szCs w:val="24"/>
          <w:highlight w:val="none"/>
        </w:rPr>
      </w:pPr>
      <w:r>
        <w:rPr>
          <w:rFonts w:hint="eastAsia" w:ascii="宋体" w:hAnsi="宋体"/>
          <w:color w:val="000000"/>
          <w:szCs w:val="24"/>
          <w:highlight w:val="none"/>
        </w:rPr>
        <w:t>（2）比选申请人对要求澄清或说明的内容应在评审委员会规定的时间内以书面形式予以澄清，该澄清或说明函应有法定代表人或其委托代理人的签名或盖公章。</w:t>
      </w:r>
    </w:p>
    <w:p w14:paraId="30B47E52">
      <w:pPr>
        <w:ind w:firstLine="420" w:firstLineChars="200"/>
        <w:rPr>
          <w:rFonts w:ascii="宋体" w:hAnsi="宋体"/>
          <w:color w:val="000000"/>
          <w:szCs w:val="24"/>
          <w:highlight w:val="none"/>
        </w:rPr>
      </w:pPr>
      <w:r>
        <w:rPr>
          <w:rFonts w:hint="eastAsia" w:ascii="宋体" w:hAnsi="宋体"/>
          <w:color w:val="000000"/>
          <w:szCs w:val="24"/>
          <w:highlight w:val="none"/>
        </w:rPr>
        <w:t>（3）比选申请人的澄清或说明函作为比选申请文件的组成部分。</w:t>
      </w:r>
    </w:p>
    <w:p w14:paraId="175ED0AE">
      <w:pPr>
        <w:ind w:firstLine="420" w:firstLineChars="200"/>
        <w:rPr>
          <w:rFonts w:ascii="宋体" w:hAnsi="宋体"/>
          <w:color w:val="000000"/>
          <w:szCs w:val="24"/>
          <w:highlight w:val="none"/>
        </w:rPr>
      </w:pPr>
      <w:r>
        <w:rPr>
          <w:rFonts w:hint="eastAsia" w:ascii="宋体" w:hAnsi="宋体"/>
          <w:color w:val="000000"/>
          <w:szCs w:val="24"/>
          <w:highlight w:val="none"/>
        </w:rPr>
        <w:t>（4）比选申请人对比选申请文件的澄清或说明不得超出比选申请文件的范围或改变比选的实质内容。</w:t>
      </w:r>
    </w:p>
    <w:p w14:paraId="2B78623A">
      <w:pPr>
        <w:pStyle w:val="4"/>
        <w:keepNext w:val="0"/>
        <w:keepLines w:val="0"/>
        <w:spacing w:before="0" w:after="0" w:line="360" w:lineRule="auto"/>
        <w:ind w:firstLine="482" w:firstLineChars="200"/>
        <w:rPr>
          <w:rFonts w:ascii="宋体" w:hAnsi="宋体"/>
          <w:color w:val="000000"/>
          <w:kern w:val="0"/>
          <w:sz w:val="24"/>
          <w:szCs w:val="24"/>
          <w:highlight w:val="none"/>
        </w:rPr>
      </w:pPr>
      <w:bookmarkStart w:id="125" w:name="_Toc436771487"/>
      <w:bookmarkStart w:id="126" w:name="_Toc392862500"/>
      <w:bookmarkStart w:id="127" w:name="_Toc114052375"/>
      <w:bookmarkStart w:id="128" w:name="_Toc286386859"/>
      <w:bookmarkStart w:id="129" w:name="_Toc29725"/>
      <w:bookmarkStart w:id="130" w:name="_Toc114052439"/>
      <w:r>
        <w:rPr>
          <w:rFonts w:hint="eastAsia" w:ascii="宋体" w:hAnsi="宋体"/>
          <w:color w:val="000000"/>
          <w:kern w:val="0"/>
          <w:sz w:val="24"/>
          <w:szCs w:val="24"/>
          <w:highlight w:val="none"/>
        </w:rPr>
        <w:t>16. 评审保密</w:t>
      </w:r>
      <w:bookmarkEnd w:id="125"/>
      <w:bookmarkEnd w:id="126"/>
      <w:bookmarkEnd w:id="127"/>
      <w:bookmarkEnd w:id="128"/>
      <w:bookmarkEnd w:id="129"/>
      <w:bookmarkEnd w:id="130"/>
    </w:p>
    <w:p w14:paraId="445D1BB1">
      <w:pPr>
        <w:autoSpaceDE w:val="0"/>
        <w:autoSpaceDN w:val="0"/>
        <w:adjustRightInd w:val="0"/>
        <w:ind w:firstLine="420" w:firstLineChars="200"/>
        <w:rPr>
          <w:rFonts w:ascii="宋体" w:hAnsi="宋体"/>
          <w:szCs w:val="24"/>
          <w:highlight w:val="none"/>
        </w:rPr>
      </w:pPr>
      <w:r>
        <w:rPr>
          <w:rFonts w:hint="eastAsia" w:ascii="宋体" w:hAnsi="宋体"/>
          <w:szCs w:val="24"/>
          <w:highlight w:val="none"/>
        </w:rPr>
        <w:t>16.1 评审全过程内容和比选申请文件的评审结果，不得向比选申请人和与该过程无关的其他单位和个人泄露。</w:t>
      </w:r>
    </w:p>
    <w:p w14:paraId="42FC4039">
      <w:pPr>
        <w:autoSpaceDE w:val="0"/>
        <w:autoSpaceDN w:val="0"/>
        <w:adjustRightInd w:val="0"/>
        <w:ind w:firstLine="420" w:firstLineChars="200"/>
        <w:rPr>
          <w:rFonts w:ascii="宋体" w:hAnsi="宋体"/>
          <w:szCs w:val="24"/>
          <w:highlight w:val="none"/>
        </w:rPr>
      </w:pPr>
      <w:r>
        <w:rPr>
          <w:rFonts w:hint="eastAsia" w:ascii="宋体" w:hAnsi="宋体"/>
          <w:szCs w:val="24"/>
          <w:highlight w:val="none"/>
        </w:rPr>
        <w:t>16.2 比选申请人对比选发起人和评委施加任何有影响的行为，都将被取消比选资格。</w:t>
      </w:r>
    </w:p>
    <w:p w14:paraId="6238AC43">
      <w:pPr>
        <w:pStyle w:val="4"/>
        <w:keepNext w:val="0"/>
        <w:keepLines w:val="0"/>
        <w:spacing w:before="0" w:after="0" w:line="360" w:lineRule="auto"/>
        <w:ind w:firstLine="482" w:firstLineChars="200"/>
        <w:rPr>
          <w:rFonts w:ascii="宋体" w:hAnsi="宋体"/>
          <w:color w:val="000000"/>
          <w:sz w:val="24"/>
          <w:szCs w:val="24"/>
          <w:highlight w:val="none"/>
        </w:rPr>
      </w:pPr>
      <w:bookmarkStart w:id="131" w:name="_Toc459"/>
      <w:bookmarkStart w:id="132" w:name="_Toc436771488"/>
      <w:bookmarkStart w:id="133" w:name="_Toc392862501"/>
      <w:r>
        <w:rPr>
          <w:rFonts w:hint="eastAsia" w:ascii="宋体" w:hAnsi="宋体"/>
          <w:color w:val="000000"/>
          <w:kern w:val="0"/>
          <w:sz w:val="24"/>
          <w:szCs w:val="24"/>
          <w:highlight w:val="none"/>
        </w:rPr>
        <w:t>17. 比选申请文件评审</w:t>
      </w:r>
      <w:bookmarkEnd w:id="131"/>
      <w:bookmarkEnd w:id="132"/>
      <w:bookmarkEnd w:id="133"/>
    </w:p>
    <w:p w14:paraId="33357336">
      <w:pPr>
        <w:adjustRightInd w:val="0"/>
        <w:snapToGrid w:val="0"/>
        <w:ind w:firstLine="420" w:firstLineChars="200"/>
        <w:rPr>
          <w:rFonts w:ascii="宋体" w:hAnsi="宋体"/>
          <w:color w:val="000000"/>
          <w:szCs w:val="24"/>
          <w:highlight w:val="none"/>
        </w:rPr>
      </w:pPr>
      <w:r>
        <w:rPr>
          <w:rFonts w:hint="eastAsia" w:ascii="宋体" w:hAnsi="宋体"/>
          <w:color w:val="000000"/>
          <w:szCs w:val="24"/>
          <w:highlight w:val="none"/>
        </w:rPr>
        <w:t xml:space="preserve">17.1 </w:t>
      </w:r>
      <w:r>
        <w:rPr>
          <w:rFonts w:ascii="宋体" w:hAnsi="宋体"/>
          <w:color w:val="000000"/>
          <w:szCs w:val="24"/>
          <w:highlight w:val="none"/>
        </w:rPr>
        <w:t>比选申请人资格审查</w:t>
      </w:r>
    </w:p>
    <w:p w14:paraId="2491B589">
      <w:pPr>
        <w:adjustRightInd w:val="0"/>
        <w:snapToGrid w:val="0"/>
        <w:ind w:firstLine="420" w:firstLineChars="200"/>
        <w:rPr>
          <w:rFonts w:ascii="宋体" w:hAnsi="宋体"/>
          <w:color w:val="000000"/>
          <w:szCs w:val="24"/>
          <w:highlight w:val="none"/>
        </w:rPr>
      </w:pPr>
      <w:r>
        <w:rPr>
          <w:rFonts w:hint="eastAsia" w:ascii="宋体" w:hAnsi="宋体"/>
          <w:color w:val="000000"/>
          <w:szCs w:val="24"/>
          <w:highlight w:val="none"/>
        </w:rPr>
        <w:t>只有通过资格审查才能进入详评。所要提供的材料见第一章第四部分第9</w:t>
      </w:r>
      <w:r>
        <w:rPr>
          <w:rFonts w:ascii="宋体" w:hAnsi="宋体"/>
          <w:color w:val="000000"/>
          <w:szCs w:val="24"/>
          <w:highlight w:val="none"/>
        </w:rPr>
        <w:t>.2</w:t>
      </w:r>
      <w:r>
        <w:rPr>
          <w:rFonts w:hint="eastAsia" w:ascii="宋体" w:hAnsi="宋体"/>
          <w:color w:val="000000"/>
          <w:szCs w:val="24"/>
          <w:highlight w:val="none"/>
        </w:rPr>
        <w:t>条</w:t>
      </w:r>
      <w:r>
        <w:rPr>
          <w:rFonts w:ascii="宋体" w:hAnsi="宋体"/>
          <w:color w:val="000000"/>
          <w:szCs w:val="24"/>
          <w:highlight w:val="none"/>
        </w:rPr>
        <w:t>内容</w:t>
      </w:r>
      <w:r>
        <w:rPr>
          <w:rFonts w:hint="eastAsia" w:ascii="宋体" w:hAnsi="宋体"/>
          <w:color w:val="000000"/>
          <w:szCs w:val="24"/>
          <w:highlight w:val="none"/>
        </w:rPr>
        <w:t>，资格审查资料有任何一项不合格者其资格审查视为不通过。</w:t>
      </w:r>
    </w:p>
    <w:p w14:paraId="04EE1739">
      <w:pPr>
        <w:adjustRightInd w:val="0"/>
        <w:snapToGrid w:val="0"/>
        <w:ind w:firstLine="420" w:firstLineChars="200"/>
        <w:rPr>
          <w:rFonts w:ascii="宋体" w:hAnsi="宋体"/>
          <w:color w:val="000000"/>
          <w:szCs w:val="24"/>
          <w:highlight w:val="none"/>
        </w:rPr>
      </w:pPr>
      <w:r>
        <w:rPr>
          <w:rFonts w:hint="eastAsia" w:ascii="宋体" w:hAnsi="宋体"/>
          <w:color w:val="000000"/>
          <w:szCs w:val="24"/>
          <w:highlight w:val="none"/>
        </w:rPr>
        <w:t>17.2 比选申请文件的评价与比较</w:t>
      </w:r>
    </w:p>
    <w:p w14:paraId="3CFDA000">
      <w:pPr>
        <w:adjustRightInd w:val="0"/>
        <w:snapToGrid w:val="0"/>
        <w:ind w:firstLine="420" w:firstLineChars="200"/>
        <w:rPr>
          <w:rFonts w:ascii="宋体" w:hAnsi="宋体"/>
          <w:color w:val="000000"/>
          <w:szCs w:val="24"/>
          <w:highlight w:val="none"/>
        </w:rPr>
      </w:pPr>
      <w:r>
        <w:rPr>
          <w:rFonts w:hint="eastAsia" w:ascii="宋体" w:hAnsi="宋体"/>
          <w:color w:val="000000"/>
          <w:szCs w:val="24"/>
          <w:highlight w:val="none"/>
        </w:rPr>
        <w:t>对比选申请文件进行符合性鉴定。比选申请文件应实质上响应比选文件的要求，应与比选文件所有条款、条件和规定，无明显差异或保留。评审委员会对实质上不响应比选文件要求的比选予以拒绝。并且不允许通过修正或撤销其不符合要求的差异或保留，使之成为具有响应性的比选文件。</w:t>
      </w:r>
    </w:p>
    <w:p w14:paraId="68F005FA">
      <w:pPr>
        <w:adjustRightInd w:val="0"/>
        <w:snapToGrid w:val="0"/>
        <w:ind w:firstLine="420" w:firstLineChars="200"/>
        <w:rPr>
          <w:rFonts w:ascii="宋体" w:hAnsi="宋体"/>
          <w:color w:val="000000"/>
          <w:szCs w:val="24"/>
          <w:highlight w:val="none"/>
        </w:rPr>
      </w:pPr>
      <w:r>
        <w:rPr>
          <w:rFonts w:hint="eastAsia" w:ascii="宋体" w:hAnsi="宋体"/>
          <w:color w:val="000000"/>
          <w:szCs w:val="24"/>
          <w:highlight w:val="none"/>
        </w:rPr>
        <w:t>17.3</w:t>
      </w:r>
      <w:r>
        <w:rPr>
          <w:rFonts w:ascii="宋体" w:hAnsi="宋体"/>
          <w:color w:val="000000"/>
          <w:szCs w:val="24"/>
          <w:highlight w:val="none"/>
        </w:rPr>
        <w:t xml:space="preserve"> </w:t>
      </w:r>
      <w:r>
        <w:rPr>
          <w:rFonts w:hint="eastAsia" w:ascii="宋体" w:hAnsi="宋体"/>
          <w:color w:val="000000"/>
          <w:szCs w:val="24"/>
          <w:highlight w:val="none"/>
        </w:rPr>
        <w:t>比选申请人或其比选申请文件有下列情况之一者，其比选申请文件将视为无效或作废处理：</w:t>
      </w:r>
    </w:p>
    <w:p w14:paraId="5B2229D3">
      <w:pPr>
        <w:adjustRightInd w:val="0"/>
        <w:snapToGrid w:val="0"/>
        <w:ind w:firstLine="420" w:firstLineChars="200"/>
        <w:rPr>
          <w:rFonts w:ascii="宋体" w:hAnsi="宋体"/>
          <w:color w:val="000000"/>
          <w:szCs w:val="24"/>
          <w:highlight w:val="none"/>
        </w:rPr>
      </w:pPr>
      <w:r>
        <w:rPr>
          <w:rFonts w:hint="eastAsia" w:ascii="宋体" w:hAnsi="宋体"/>
          <w:color w:val="000000"/>
          <w:kern w:val="0"/>
          <w:szCs w:val="24"/>
          <w:highlight w:val="none"/>
        </w:rPr>
        <w:t>（1）</w:t>
      </w:r>
      <w:r>
        <w:rPr>
          <w:rFonts w:hint="eastAsia" w:ascii="宋体" w:hAnsi="宋体"/>
          <w:color w:val="000000"/>
          <w:szCs w:val="24"/>
          <w:highlight w:val="none"/>
        </w:rPr>
        <w:t>比选申请文件未按照第一章第五部分第12条的要求装订、密封和标记的。</w:t>
      </w:r>
    </w:p>
    <w:p w14:paraId="48AB73F8">
      <w:pPr>
        <w:adjustRightInd w:val="0"/>
        <w:snapToGrid w:val="0"/>
        <w:ind w:firstLine="420" w:firstLineChars="200"/>
        <w:rPr>
          <w:rFonts w:ascii="宋体" w:hAnsi="宋体"/>
          <w:color w:val="000000"/>
          <w:szCs w:val="24"/>
          <w:highlight w:val="none"/>
        </w:rPr>
      </w:pPr>
      <w:r>
        <w:rPr>
          <w:rFonts w:hint="eastAsia" w:ascii="宋体" w:hAnsi="宋体"/>
          <w:kern w:val="0"/>
          <w:szCs w:val="24"/>
          <w:highlight w:val="none"/>
        </w:rPr>
        <w:t>（2）</w:t>
      </w:r>
      <w:r>
        <w:rPr>
          <w:rFonts w:hint="eastAsia" w:ascii="宋体" w:hAnsi="宋体"/>
          <w:szCs w:val="24"/>
          <w:highlight w:val="none"/>
        </w:rPr>
        <w:t>本比选文件第一章第四部分第9条规定的比选申请文件有关内容未按本比选文件第一章第五部分第</w:t>
      </w:r>
      <w:r>
        <w:rPr>
          <w:rFonts w:ascii="宋体" w:hAnsi="宋体"/>
          <w:szCs w:val="24"/>
          <w:highlight w:val="none"/>
        </w:rPr>
        <w:t>1</w:t>
      </w:r>
      <w:r>
        <w:rPr>
          <w:rFonts w:hint="eastAsia" w:ascii="宋体" w:hAnsi="宋体"/>
          <w:szCs w:val="24"/>
          <w:highlight w:val="none"/>
        </w:rPr>
        <w:t>2条规</w:t>
      </w:r>
      <w:r>
        <w:rPr>
          <w:rFonts w:hint="eastAsia" w:ascii="宋体" w:hAnsi="宋体"/>
          <w:color w:val="000000"/>
          <w:szCs w:val="24"/>
          <w:highlight w:val="none"/>
        </w:rPr>
        <w:t>定加盖比选申请人印章、未经法定代表人或其授权委托代理人签字或盖章的；</w:t>
      </w:r>
    </w:p>
    <w:p w14:paraId="748CD5A5">
      <w:pPr>
        <w:adjustRightInd w:val="0"/>
        <w:snapToGrid w:val="0"/>
        <w:ind w:firstLine="420" w:firstLineChars="200"/>
        <w:rPr>
          <w:rFonts w:ascii="宋体" w:hAnsi="宋体"/>
          <w:color w:val="000000"/>
          <w:szCs w:val="24"/>
          <w:highlight w:val="none"/>
        </w:rPr>
      </w:pPr>
      <w:r>
        <w:rPr>
          <w:rFonts w:hint="eastAsia" w:ascii="宋体" w:hAnsi="宋体"/>
          <w:color w:val="000000"/>
          <w:kern w:val="0"/>
          <w:szCs w:val="24"/>
          <w:highlight w:val="none"/>
        </w:rPr>
        <w:t>（4）</w:t>
      </w:r>
      <w:r>
        <w:rPr>
          <w:rFonts w:hint="eastAsia" w:ascii="宋体" w:hAnsi="宋体"/>
          <w:color w:val="000000"/>
          <w:szCs w:val="24"/>
          <w:highlight w:val="none"/>
        </w:rPr>
        <w:t>由授权委托代理人签字或盖章，但未随比选申请文件一起提交有效的</w:t>
      </w:r>
      <w:r>
        <w:rPr>
          <w:rFonts w:ascii="宋体" w:hAnsi="宋体"/>
          <w:color w:val="000000"/>
          <w:szCs w:val="24"/>
          <w:highlight w:val="none"/>
        </w:rPr>
        <w:t>“</w:t>
      </w:r>
      <w:r>
        <w:rPr>
          <w:rFonts w:hint="eastAsia" w:ascii="宋体" w:hAnsi="宋体"/>
          <w:color w:val="000000"/>
          <w:szCs w:val="24"/>
          <w:highlight w:val="none"/>
        </w:rPr>
        <w:t>授权委托书</w:t>
      </w:r>
      <w:r>
        <w:rPr>
          <w:rFonts w:ascii="宋体" w:hAnsi="宋体"/>
          <w:color w:val="000000"/>
          <w:szCs w:val="24"/>
          <w:highlight w:val="none"/>
        </w:rPr>
        <w:t>”</w:t>
      </w:r>
      <w:r>
        <w:rPr>
          <w:rFonts w:hint="eastAsia" w:ascii="宋体" w:hAnsi="宋体"/>
          <w:color w:val="000000"/>
          <w:szCs w:val="24"/>
          <w:highlight w:val="none"/>
        </w:rPr>
        <w:t>原件的。</w:t>
      </w:r>
    </w:p>
    <w:p w14:paraId="59ED1200">
      <w:pPr>
        <w:adjustRightInd w:val="0"/>
        <w:snapToGrid w:val="0"/>
        <w:ind w:firstLine="420" w:firstLineChars="200"/>
        <w:rPr>
          <w:rFonts w:ascii="宋体" w:hAnsi="宋体"/>
          <w:color w:val="000000"/>
          <w:szCs w:val="24"/>
          <w:highlight w:val="none"/>
        </w:rPr>
      </w:pPr>
      <w:r>
        <w:rPr>
          <w:rFonts w:hint="eastAsia" w:ascii="宋体" w:hAnsi="宋体"/>
          <w:color w:val="000000"/>
          <w:kern w:val="0"/>
          <w:szCs w:val="24"/>
          <w:highlight w:val="none"/>
        </w:rPr>
        <w:t>（5）</w:t>
      </w:r>
      <w:r>
        <w:rPr>
          <w:rFonts w:hint="eastAsia" w:ascii="宋体" w:hAnsi="宋体"/>
          <w:color w:val="000000"/>
          <w:szCs w:val="24"/>
          <w:highlight w:val="none"/>
        </w:rPr>
        <w:t>比选申请文件的关键内容字迹模糊、辨认不清的。</w:t>
      </w:r>
    </w:p>
    <w:p w14:paraId="76D87BF7">
      <w:pPr>
        <w:adjustRightInd w:val="0"/>
        <w:snapToGrid w:val="0"/>
        <w:ind w:firstLine="420" w:firstLineChars="200"/>
        <w:rPr>
          <w:rFonts w:ascii="宋体" w:hAnsi="宋体"/>
          <w:color w:val="000000"/>
          <w:szCs w:val="24"/>
          <w:highlight w:val="none"/>
        </w:rPr>
      </w:pPr>
      <w:r>
        <w:rPr>
          <w:rFonts w:hint="eastAsia" w:ascii="宋体" w:hAnsi="宋体"/>
          <w:color w:val="000000"/>
          <w:kern w:val="0"/>
          <w:szCs w:val="24"/>
          <w:highlight w:val="none"/>
        </w:rPr>
        <w:t>（6）</w:t>
      </w:r>
      <w:r>
        <w:rPr>
          <w:rFonts w:hint="eastAsia" w:ascii="宋体" w:hAnsi="宋体"/>
          <w:color w:val="000000"/>
          <w:szCs w:val="24"/>
          <w:highlight w:val="none"/>
        </w:rPr>
        <w:t>不按本比选文件第一章第四部分第9条内容提供资料的。</w:t>
      </w:r>
      <w:r>
        <w:rPr>
          <w:rFonts w:ascii="宋体" w:hAnsi="宋体"/>
          <w:color w:val="000000"/>
          <w:szCs w:val="24"/>
          <w:highlight w:val="none"/>
        </w:rPr>
        <w:tab/>
      </w:r>
    </w:p>
    <w:p w14:paraId="6A189722">
      <w:pPr>
        <w:adjustRightInd w:val="0"/>
        <w:snapToGrid w:val="0"/>
        <w:ind w:firstLine="420" w:firstLineChars="200"/>
        <w:rPr>
          <w:rFonts w:ascii="宋体" w:hAnsi="宋体"/>
          <w:color w:val="000000"/>
          <w:szCs w:val="24"/>
          <w:highlight w:val="none"/>
        </w:rPr>
      </w:pPr>
      <w:r>
        <w:rPr>
          <w:rFonts w:hint="eastAsia" w:ascii="宋体" w:hAnsi="宋体"/>
          <w:color w:val="000000"/>
          <w:kern w:val="0"/>
          <w:szCs w:val="24"/>
          <w:highlight w:val="none"/>
        </w:rPr>
        <w:t>（7）</w:t>
      </w:r>
      <w:r>
        <w:rPr>
          <w:rFonts w:hint="eastAsia" w:ascii="宋体" w:hAnsi="宋体"/>
          <w:color w:val="000000"/>
          <w:szCs w:val="24"/>
          <w:highlight w:val="none"/>
        </w:rPr>
        <w:t>比选申请文件内容不真实的。</w:t>
      </w:r>
    </w:p>
    <w:p w14:paraId="4C6ADC7A">
      <w:pPr>
        <w:adjustRightInd w:val="0"/>
        <w:snapToGrid w:val="0"/>
        <w:ind w:firstLine="420" w:firstLineChars="200"/>
        <w:rPr>
          <w:rFonts w:ascii="宋体" w:hAnsi="宋体"/>
          <w:color w:val="000000"/>
          <w:szCs w:val="24"/>
          <w:highlight w:val="none"/>
        </w:rPr>
      </w:pPr>
      <w:r>
        <w:rPr>
          <w:rFonts w:hint="eastAsia" w:ascii="宋体" w:hAnsi="宋体"/>
          <w:color w:val="000000"/>
          <w:szCs w:val="24"/>
          <w:highlight w:val="none"/>
        </w:rPr>
        <w:t>（8）比选申请人报价超过上控价的视为无效或作废处理。</w:t>
      </w:r>
    </w:p>
    <w:p w14:paraId="3A990817">
      <w:pPr>
        <w:adjustRightInd w:val="0"/>
        <w:snapToGrid w:val="0"/>
        <w:ind w:firstLine="420" w:firstLineChars="200"/>
        <w:rPr>
          <w:rFonts w:ascii="宋体" w:hAnsi="宋体"/>
          <w:color w:val="000000"/>
          <w:szCs w:val="24"/>
          <w:highlight w:val="none"/>
        </w:rPr>
      </w:pPr>
      <w:r>
        <w:rPr>
          <w:rFonts w:hint="eastAsia" w:ascii="宋体" w:hAnsi="宋体"/>
          <w:color w:val="000000"/>
          <w:kern w:val="0"/>
          <w:szCs w:val="24"/>
          <w:highlight w:val="none"/>
        </w:rPr>
        <w:t>（9）</w:t>
      </w:r>
      <w:r>
        <w:rPr>
          <w:rFonts w:hint="eastAsia" w:ascii="宋体" w:hAnsi="宋体"/>
          <w:color w:val="000000"/>
          <w:szCs w:val="24"/>
          <w:highlight w:val="none"/>
        </w:rPr>
        <w:t>比选申请文件实质上没有完全响应比选文件的要求的。</w:t>
      </w:r>
    </w:p>
    <w:p w14:paraId="1BD8370B">
      <w:pPr>
        <w:adjustRightInd w:val="0"/>
        <w:snapToGrid w:val="0"/>
        <w:ind w:firstLine="420" w:firstLineChars="200"/>
        <w:rPr>
          <w:rFonts w:ascii="宋体" w:hAnsi="宋体"/>
          <w:color w:val="000000"/>
          <w:szCs w:val="24"/>
          <w:highlight w:val="none"/>
        </w:rPr>
      </w:pPr>
      <w:r>
        <w:rPr>
          <w:rFonts w:hint="eastAsia" w:ascii="宋体" w:hAnsi="宋体"/>
          <w:color w:val="000000"/>
          <w:szCs w:val="24"/>
          <w:highlight w:val="none"/>
        </w:rPr>
        <w:t>17.4评分细则</w:t>
      </w:r>
    </w:p>
    <w:p w14:paraId="50C46EEC">
      <w:pPr>
        <w:adjustRightInd w:val="0"/>
        <w:snapToGrid w:val="0"/>
        <w:ind w:firstLine="420" w:firstLineChars="200"/>
        <w:rPr>
          <w:rFonts w:ascii="宋体" w:hAnsi="宋体"/>
          <w:color w:val="000000"/>
          <w:szCs w:val="24"/>
          <w:highlight w:val="none"/>
        </w:rPr>
      </w:pPr>
      <w:r>
        <w:rPr>
          <w:rFonts w:hint="eastAsia" w:ascii="宋体" w:hAnsi="宋体"/>
          <w:color w:val="000000"/>
          <w:szCs w:val="24"/>
          <w:highlight w:val="none"/>
        </w:rPr>
        <w:t xml:space="preserve">详见第四章“评分办法”。   </w:t>
      </w:r>
    </w:p>
    <w:p w14:paraId="1AE029FB">
      <w:pPr>
        <w:ind w:firstLine="420" w:firstLineChars="200"/>
        <w:rPr>
          <w:rFonts w:ascii="宋体" w:hAnsi="宋体"/>
          <w:color w:val="000000"/>
          <w:szCs w:val="24"/>
          <w:highlight w:val="none"/>
        </w:rPr>
      </w:pPr>
      <w:r>
        <w:rPr>
          <w:rFonts w:hint="eastAsia" w:ascii="宋体" w:hAnsi="宋体"/>
          <w:color w:val="000000"/>
          <w:szCs w:val="24"/>
          <w:highlight w:val="none"/>
        </w:rPr>
        <w:t>17.5 确定中选人</w:t>
      </w:r>
    </w:p>
    <w:p w14:paraId="24B73849">
      <w:pPr>
        <w:adjustRightInd w:val="0"/>
        <w:snapToGrid w:val="0"/>
        <w:ind w:firstLine="420" w:firstLineChars="200"/>
        <w:rPr>
          <w:rFonts w:ascii="宋体" w:hAnsi="宋体"/>
          <w:color w:val="000000"/>
          <w:szCs w:val="24"/>
          <w:highlight w:val="none"/>
        </w:rPr>
      </w:pPr>
      <w:r>
        <w:rPr>
          <w:rFonts w:hint="eastAsia" w:ascii="宋体" w:hAnsi="宋体"/>
          <w:color w:val="000000"/>
          <w:szCs w:val="24"/>
          <w:highlight w:val="none"/>
        </w:rPr>
        <w:t>17.5.1比选采用综合评分办法，就比选申请单位提交比选文件分别进行评分比选，评比小组按综合总得分高低，由评委会推荐总得分排名第一的比选申请人为第一中选人。</w:t>
      </w:r>
    </w:p>
    <w:p w14:paraId="23F7018B">
      <w:pPr>
        <w:adjustRightInd w:val="0"/>
        <w:snapToGrid w:val="0"/>
        <w:ind w:firstLine="420" w:firstLineChars="200"/>
        <w:rPr>
          <w:rFonts w:ascii="宋体" w:hAnsi="宋体"/>
          <w:color w:val="000000"/>
          <w:szCs w:val="24"/>
          <w:highlight w:val="none"/>
        </w:rPr>
      </w:pPr>
      <w:r>
        <w:rPr>
          <w:rFonts w:hint="eastAsia" w:ascii="宋体" w:hAnsi="宋体"/>
          <w:color w:val="000000"/>
          <w:szCs w:val="24"/>
          <w:highlight w:val="none"/>
        </w:rPr>
        <w:t>17.5.2 当综合得分相同时，按报价由低到高顺序排列；综合得分且报价相同的，按照技术部分得分由高到低顺序排列，如意见不一致时，以记名方式投票并按照多数评审意见确定。</w:t>
      </w:r>
    </w:p>
    <w:p w14:paraId="5602EDBD">
      <w:pPr>
        <w:adjustRightInd w:val="0"/>
        <w:snapToGrid w:val="0"/>
        <w:ind w:firstLine="420" w:firstLineChars="200"/>
        <w:rPr>
          <w:rFonts w:ascii="宋体" w:hAnsi="宋体"/>
          <w:color w:val="000000"/>
          <w:szCs w:val="24"/>
          <w:highlight w:val="none"/>
        </w:rPr>
      </w:pPr>
      <w:r>
        <w:rPr>
          <w:rFonts w:hint="eastAsia" w:ascii="宋体" w:hAnsi="宋体"/>
          <w:color w:val="000000"/>
          <w:szCs w:val="24"/>
          <w:highlight w:val="none"/>
        </w:rPr>
        <w:t>17.5.3 如第一中选人因不可抗力或者自身原因不能履行本合同的，比选发起人可以从后续排名中选候选人中依次向上递补确定中选人或重新比选确定中选人。</w:t>
      </w:r>
    </w:p>
    <w:p w14:paraId="496746FF">
      <w:pPr>
        <w:pStyle w:val="4"/>
        <w:keepNext w:val="0"/>
        <w:keepLines w:val="0"/>
        <w:spacing w:before="0" w:after="0" w:line="360" w:lineRule="auto"/>
        <w:ind w:firstLine="482" w:firstLineChars="200"/>
        <w:rPr>
          <w:rFonts w:ascii="宋体" w:hAnsi="宋体"/>
          <w:color w:val="000000"/>
          <w:kern w:val="0"/>
          <w:sz w:val="24"/>
          <w:szCs w:val="24"/>
          <w:highlight w:val="none"/>
        </w:rPr>
      </w:pPr>
      <w:bookmarkStart w:id="134" w:name="_Toc13121"/>
      <w:bookmarkStart w:id="135" w:name="_Toc114052377"/>
      <w:bookmarkStart w:id="136" w:name="_Toc436771489"/>
      <w:bookmarkStart w:id="137" w:name="_Toc392862502"/>
      <w:bookmarkStart w:id="138" w:name="_Toc114052441"/>
      <w:bookmarkStart w:id="139" w:name="_Toc286386861"/>
      <w:r>
        <w:rPr>
          <w:rFonts w:hint="eastAsia" w:ascii="宋体" w:hAnsi="宋体"/>
          <w:color w:val="000000"/>
          <w:kern w:val="0"/>
          <w:sz w:val="24"/>
          <w:szCs w:val="24"/>
          <w:highlight w:val="none"/>
        </w:rPr>
        <w:t>18. 评审结果公示</w:t>
      </w:r>
      <w:bookmarkEnd w:id="134"/>
      <w:bookmarkEnd w:id="135"/>
      <w:bookmarkEnd w:id="136"/>
      <w:bookmarkEnd w:id="137"/>
      <w:bookmarkEnd w:id="138"/>
      <w:bookmarkEnd w:id="139"/>
    </w:p>
    <w:p w14:paraId="1A1B8E97">
      <w:pPr>
        <w:autoSpaceDE w:val="0"/>
        <w:autoSpaceDN w:val="0"/>
        <w:adjustRightInd w:val="0"/>
        <w:ind w:firstLine="420" w:firstLineChars="200"/>
        <w:rPr>
          <w:rFonts w:ascii="宋体" w:hAnsi="宋体"/>
          <w:color w:val="000000"/>
          <w:szCs w:val="24"/>
          <w:highlight w:val="none"/>
        </w:rPr>
      </w:pPr>
      <w:r>
        <w:rPr>
          <w:rFonts w:hint="eastAsia" w:ascii="宋体" w:hAnsi="宋体"/>
          <w:color w:val="000000"/>
          <w:szCs w:val="24"/>
          <w:highlight w:val="none"/>
        </w:rPr>
        <w:t xml:space="preserve">18.1 </w:t>
      </w:r>
      <w:r>
        <w:rPr>
          <w:rFonts w:hint="eastAsia" w:ascii="宋体" w:hAnsi="宋体"/>
          <w:szCs w:val="21"/>
          <w:highlight w:val="none"/>
        </w:rPr>
        <w:t>在评审结束经比选人确认后，将在</w:t>
      </w:r>
      <w:r>
        <w:rPr>
          <w:rFonts w:ascii="宋体" w:hAnsi="宋体"/>
          <w:szCs w:val="21"/>
          <w:highlight w:val="none"/>
        </w:rPr>
        <w:t>南宁轨道数智科技有限公司</w:t>
      </w:r>
      <w:r>
        <w:rPr>
          <w:rFonts w:hint="eastAsia" w:ascii="宋体" w:hAnsi="宋体"/>
          <w:szCs w:val="21"/>
          <w:highlight w:val="none"/>
        </w:rPr>
        <w:t>官网</w:t>
      </w:r>
      <w:r>
        <w:rPr>
          <w:rFonts w:ascii="宋体" w:hAnsi="宋体"/>
          <w:szCs w:val="21"/>
          <w:highlight w:val="none"/>
        </w:rPr>
        <w:t>（https://www.nnsmk.com/）</w:t>
      </w:r>
      <w:r>
        <w:rPr>
          <w:rFonts w:hint="eastAsia" w:ascii="宋体" w:hAnsi="宋体"/>
          <w:szCs w:val="21"/>
          <w:highlight w:val="none"/>
        </w:rPr>
        <w:t>以结果公示的形式通知各比选申请人评审结果</w:t>
      </w:r>
      <w:r>
        <w:rPr>
          <w:rFonts w:hint="eastAsia" w:ascii="宋体" w:hAnsi="宋体"/>
          <w:color w:val="000000"/>
          <w:szCs w:val="24"/>
          <w:highlight w:val="none"/>
        </w:rPr>
        <w:t>。</w:t>
      </w:r>
    </w:p>
    <w:p w14:paraId="2E39E430">
      <w:pPr>
        <w:autoSpaceDE w:val="0"/>
        <w:autoSpaceDN w:val="0"/>
        <w:adjustRightInd w:val="0"/>
        <w:ind w:firstLine="420" w:firstLineChars="200"/>
        <w:rPr>
          <w:rFonts w:ascii="宋体" w:hAnsi="宋体"/>
          <w:color w:val="000000"/>
          <w:szCs w:val="24"/>
          <w:highlight w:val="none"/>
        </w:rPr>
      </w:pPr>
      <w:r>
        <w:rPr>
          <w:rFonts w:hint="eastAsia" w:ascii="宋体" w:hAnsi="宋体"/>
          <w:color w:val="000000"/>
          <w:szCs w:val="24"/>
          <w:highlight w:val="none"/>
        </w:rPr>
        <w:t>18</w:t>
      </w:r>
      <w:r>
        <w:rPr>
          <w:rFonts w:hint="eastAsia" w:ascii="宋体" w:hAnsi="宋体"/>
          <w:szCs w:val="24"/>
          <w:highlight w:val="none"/>
        </w:rPr>
        <w:t>.2 比选申请人如对评审结果有异议，在接到评审结果或中选公告后三天内，可以书面形式向比选发起人提出质疑。比选发起人应在收到比选申请人的书面质疑后五个工作日内做出答复，但答复的内容不得涉及商业秘密。</w:t>
      </w:r>
      <w:bookmarkStart w:id="140" w:name="_Toc392862503"/>
      <w:bookmarkStart w:id="141" w:name="_Toc286386862"/>
      <w:bookmarkStart w:id="142" w:name="_Toc114052442"/>
      <w:bookmarkStart w:id="143" w:name="_Toc114052378"/>
    </w:p>
    <w:p w14:paraId="7DF3DB27">
      <w:pPr>
        <w:pStyle w:val="3"/>
        <w:spacing w:line="360" w:lineRule="auto"/>
        <w:ind w:firstLine="562"/>
        <w:jc w:val="center"/>
        <w:rPr>
          <w:rFonts w:ascii="宋体" w:hAnsi="宋体" w:eastAsia="宋体"/>
          <w:color w:val="000000"/>
          <w:sz w:val="28"/>
          <w:szCs w:val="28"/>
          <w:highlight w:val="none"/>
        </w:rPr>
      </w:pPr>
      <w:bookmarkStart w:id="144" w:name="_Toc10636"/>
      <w:r>
        <w:rPr>
          <w:rFonts w:hint="eastAsia" w:ascii="宋体" w:hAnsi="宋体" w:eastAsia="宋体"/>
          <w:color w:val="000000"/>
          <w:sz w:val="28"/>
          <w:szCs w:val="28"/>
          <w:highlight w:val="none"/>
        </w:rPr>
        <w:t>七、授予合同</w:t>
      </w:r>
      <w:bookmarkEnd w:id="140"/>
      <w:bookmarkEnd w:id="141"/>
      <w:bookmarkEnd w:id="142"/>
      <w:bookmarkEnd w:id="143"/>
      <w:bookmarkEnd w:id="144"/>
    </w:p>
    <w:p w14:paraId="0F2B5F95">
      <w:pPr>
        <w:pStyle w:val="4"/>
        <w:keepNext w:val="0"/>
        <w:keepLines w:val="0"/>
        <w:spacing w:before="0" w:after="0" w:line="360" w:lineRule="auto"/>
        <w:ind w:firstLine="482" w:firstLineChars="200"/>
        <w:rPr>
          <w:rFonts w:ascii="宋体" w:hAnsi="宋体"/>
          <w:color w:val="000000"/>
          <w:kern w:val="0"/>
          <w:sz w:val="24"/>
          <w:szCs w:val="24"/>
          <w:highlight w:val="none"/>
        </w:rPr>
      </w:pPr>
      <w:bookmarkStart w:id="145" w:name="_Toc286386863"/>
      <w:bookmarkStart w:id="146" w:name="_Toc392862504"/>
      <w:bookmarkStart w:id="147" w:name="_Toc114052379"/>
      <w:bookmarkStart w:id="148" w:name="_Toc436771491"/>
      <w:bookmarkStart w:id="149" w:name="_Toc114052443"/>
      <w:bookmarkStart w:id="150" w:name="_Toc6163"/>
      <w:r>
        <w:rPr>
          <w:rFonts w:hint="eastAsia" w:ascii="宋体" w:hAnsi="宋体"/>
          <w:color w:val="000000"/>
          <w:kern w:val="0"/>
          <w:sz w:val="24"/>
          <w:szCs w:val="24"/>
          <w:highlight w:val="none"/>
        </w:rPr>
        <w:t>19. 中选通知书</w:t>
      </w:r>
      <w:bookmarkEnd w:id="145"/>
      <w:bookmarkEnd w:id="146"/>
      <w:bookmarkEnd w:id="147"/>
      <w:bookmarkEnd w:id="148"/>
      <w:bookmarkEnd w:id="149"/>
      <w:bookmarkEnd w:id="150"/>
    </w:p>
    <w:p w14:paraId="0DFE86B6">
      <w:pPr>
        <w:autoSpaceDE w:val="0"/>
        <w:autoSpaceDN w:val="0"/>
        <w:ind w:firstLine="420" w:firstLineChars="200"/>
        <w:rPr>
          <w:rFonts w:ascii="宋体" w:hAnsi="宋体"/>
          <w:color w:val="000000"/>
          <w:szCs w:val="24"/>
          <w:highlight w:val="none"/>
        </w:rPr>
      </w:pPr>
      <w:r>
        <w:rPr>
          <w:rFonts w:hint="eastAsia" w:ascii="宋体" w:hAnsi="宋体"/>
          <w:color w:val="000000"/>
          <w:szCs w:val="24"/>
          <w:highlight w:val="none"/>
        </w:rPr>
        <w:t>19.1 比选发起人将向中选人发出中选通知书。</w:t>
      </w:r>
    </w:p>
    <w:p w14:paraId="7882B4B4">
      <w:pPr>
        <w:autoSpaceDE w:val="0"/>
        <w:autoSpaceDN w:val="0"/>
        <w:ind w:firstLine="420" w:firstLineChars="200"/>
        <w:rPr>
          <w:rFonts w:ascii="宋体" w:hAnsi="宋体"/>
          <w:color w:val="000000"/>
          <w:kern w:val="0"/>
          <w:szCs w:val="24"/>
          <w:highlight w:val="none"/>
        </w:rPr>
      </w:pPr>
      <w:r>
        <w:rPr>
          <w:rFonts w:hint="eastAsia" w:ascii="宋体" w:hAnsi="宋体"/>
          <w:color w:val="000000"/>
          <w:szCs w:val="24"/>
          <w:highlight w:val="none"/>
        </w:rPr>
        <w:t>19</w:t>
      </w:r>
      <w:r>
        <w:rPr>
          <w:rFonts w:hint="eastAsia" w:ascii="宋体" w:hAnsi="宋体"/>
          <w:color w:val="000000"/>
          <w:kern w:val="0"/>
          <w:szCs w:val="24"/>
          <w:highlight w:val="none"/>
        </w:rPr>
        <w:t>.2 比选发起人无义务向落选的比选申请人解释落选原因和退还比选申请文件。</w:t>
      </w:r>
    </w:p>
    <w:p w14:paraId="495B4D42">
      <w:pPr>
        <w:autoSpaceDE w:val="0"/>
        <w:autoSpaceDN w:val="0"/>
        <w:ind w:firstLine="420" w:firstLineChars="200"/>
        <w:rPr>
          <w:rFonts w:ascii="宋体" w:hAnsi="宋体"/>
          <w:color w:val="000000"/>
          <w:kern w:val="0"/>
          <w:szCs w:val="24"/>
          <w:highlight w:val="none"/>
        </w:rPr>
      </w:pPr>
      <w:r>
        <w:rPr>
          <w:rFonts w:hint="eastAsia" w:ascii="宋体" w:hAnsi="宋体"/>
          <w:color w:val="000000"/>
          <w:szCs w:val="24"/>
          <w:highlight w:val="none"/>
        </w:rPr>
        <w:t>19</w:t>
      </w:r>
      <w:r>
        <w:rPr>
          <w:rFonts w:ascii="宋体" w:hAnsi="宋体"/>
          <w:color w:val="000000"/>
          <w:kern w:val="0"/>
          <w:szCs w:val="24"/>
          <w:highlight w:val="none"/>
        </w:rPr>
        <w:t>.</w:t>
      </w:r>
      <w:r>
        <w:rPr>
          <w:rFonts w:hint="eastAsia" w:ascii="宋体" w:hAnsi="宋体"/>
          <w:color w:val="000000"/>
          <w:kern w:val="0"/>
          <w:szCs w:val="24"/>
          <w:highlight w:val="none"/>
        </w:rPr>
        <w:t>3</w:t>
      </w:r>
      <w:r>
        <w:rPr>
          <w:rFonts w:ascii="宋体" w:hAnsi="宋体"/>
          <w:color w:val="000000"/>
          <w:kern w:val="0"/>
          <w:szCs w:val="24"/>
          <w:highlight w:val="none"/>
        </w:rPr>
        <w:t xml:space="preserve"> </w:t>
      </w:r>
      <w:r>
        <w:rPr>
          <w:rFonts w:hint="eastAsia" w:ascii="宋体" w:hAnsi="宋体"/>
          <w:color w:val="000000"/>
          <w:kern w:val="0"/>
          <w:szCs w:val="24"/>
          <w:highlight w:val="none"/>
        </w:rPr>
        <w:t>中选通知书为合同的组成部分。</w:t>
      </w:r>
    </w:p>
    <w:p w14:paraId="4EAFBE28">
      <w:pPr>
        <w:pStyle w:val="4"/>
        <w:keepNext w:val="0"/>
        <w:keepLines w:val="0"/>
        <w:spacing w:before="0" w:after="0" w:line="360" w:lineRule="auto"/>
        <w:ind w:firstLine="482" w:firstLineChars="200"/>
        <w:rPr>
          <w:rFonts w:ascii="宋体" w:hAnsi="宋体"/>
          <w:color w:val="000000"/>
          <w:kern w:val="0"/>
          <w:sz w:val="24"/>
          <w:szCs w:val="24"/>
          <w:highlight w:val="none"/>
        </w:rPr>
      </w:pPr>
      <w:bookmarkStart w:id="151" w:name="_Toc114052380"/>
      <w:bookmarkStart w:id="152" w:name="_Toc114052444"/>
      <w:bookmarkStart w:id="153" w:name="_Toc436771492"/>
      <w:bookmarkStart w:id="154" w:name="_Toc17402"/>
      <w:bookmarkStart w:id="155" w:name="_Toc392862505"/>
      <w:bookmarkStart w:id="156" w:name="_Toc286386864"/>
      <w:r>
        <w:rPr>
          <w:rFonts w:hint="eastAsia" w:ascii="宋体" w:hAnsi="宋体"/>
          <w:color w:val="000000"/>
          <w:kern w:val="0"/>
          <w:sz w:val="24"/>
          <w:szCs w:val="24"/>
          <w:highlight w:val="none"/>
        </w:rPr>
        <w:t>20. 合同协议书的签署</w:t>
      </w:r>
      <w:bookmarkEnd w:id="151"/>
      <w:bookmarkEnd w:id="152"/>
      <w:bookmarkEnd w:id="153"/>
      <w:bookmarkEnd w:id="154"/>
      <w:bookmarkEnd w:id="155"/>
      <w:bookmarkEnd w:id="156"/>
    </w:p>
    <w:p w14:paraId="471EF4EC">
      <w:pPr>
        <w:autoSpaceDE w:val="0"/>
        <w:autoSpaceDN w:val="0"/>
        <w:ind w:firstLine="420" w:firstLineChars="200"/>
        <w:rPr>
          <w:rFonts w:ascii="宋体" w:hAnsi="宋体"/>
          <w:color w:val="000000"/>
          <w:kern w:val="0"/>
          <w:szCs w:val="24"/>
          <w:highlight w:val="none"/>
        </w:rPr>
      </w:pPr>
      <w:r>
        <w:rPr>
          <w:rFonts w:hint="eastAsia" w:ascii="宋体" w:hAnsi="宋体"/>
          <w:color w:val="000000"/>
          <w:szCs w:val="24"/>
          <w:highlight w:val="none"/>
        </w:rPr>
        <w:t>20</w:t>
      </w:r>
      <w:r>
        <w:rPr>
          <w:rFonts w:hint="eastAsia" w:ascii="宋体" w:hAnsi="宋体"/>
          <w:color w:val="000000"/>
          <w:kern w:val="0"/>
          <w:szCs w:val="24"/>
          <w:highlight w:val="none"/>
        </w:rPr>
        <w:t>.1 中选的比选申请人在中选通知发出后7日内提供书面承诺并安排人员到位，如未按上述要求办理，比选发起人有权取消其中选资格，并选择评审排名次之的比选申请人为本项目中选人。</w:t>
      </w:r>
    </w:p>
    <w:p w14:paraId="09A6ED43">
      <w:pPr>
        <w:autoSpaceDE w:val="0"/>
        <w:autoSpaceDN w:val="0"/>
        <w:ind w:firstLine="420" w:firstLineChars="200"/>
        <w:rPr>
          <w:rFonts w:ascii="宋体" w:hAnsi="宋体"/>
          <w:color w:val="000000"/>
          <w:kern w:val="0"/>
          <w:szCs w:val="24"/>
          <w:highlight w:val="none"/>
        </w:rPr>
      </w:pPr>
      <w:r>
        <w:rPr>
          <w:rFonts w:hint="eastAsia" w:ascii="宋体" w:hAnsi="宋体"/>
          <w:color w:val="000000"/>
          <w:kern w:val="0"/>
          <w:szCs w:val="24"/>
          <w:highlight w:val="none"/>
        </w:rPr>
        <w:t xml:space="preserve">20.2 </w:t>
      </w:r>
      <w:r>
        <w:rPr>
          <w:rFonts w:hint="eastAsia" w:ascii="宋体" w:hAnsi="宋体"/>
          <w:kern w:val="0"/>
          <w:szCs w:val="24"/>
          <w:highlight w:val="none"/>
        </w:rPr>
        <w:t>中选的比选申请人应按中选通知书中规定的日期、时间和地点，由法定代表人或授权委托代理人前往与比选发起人进行签订合同，逾期比选发起人有权取消其中选资格，并选择评审排名次之的比选申请人为本项目中选人；中选的比选申请人若因自己的原因不能履约签订合同，比选发起人将取消其中选资格，</w:t>
      </w:r>
      <w:r>
        <w:rPr>
          <w:rFonts w:hint="eastAsia" w:ascii="宋体" w:hAnsi="宋体"/>
          <w:szCs w:val="24"/>
          <w:highlight w:val="none"/>
        </w:rPr>
        <w:t>并</w:t>
      </w:r>
      <w:r>
        <w:rPr>
          <w:rFonts w:hint="eastAsia" w:ascii="宋体" w:hAnsi="宋体"/>
          <w:kern w:val="0"/>
          <w:szCs w:val="24"/>
          <w:highlight w:val="none"/>
        </w:rPr>
        <w:t>选择评审排名次之的比选申请人为本项目中选人</w:t>
      </w:r>
      <w:r>
        <w:rPr>
          <w:rFonts w:hint="eastAsia" w:ascii="宋体" w:hAnsi="宋体"/>
          <w:color w:val="000000"/>
          <w:kern w:val="0"/>
          <w:szCs w:val="24"/>
          <w:highlight w:val="none"/>
        </w:rPr>
        <w:t>。</w:t>
      </w:r>
    </w:p>
    <w:p w14:paraId="63E8C98D">
      <w:pPr>
        <w:autoSpaceDE w:val="0"/>
        <w:autoSpaceDN w:val="0"/>
        <w:ind w:firstLine="420" w:firstLineChars="200"/>
        <w:rPr>
          <w:rFonts w:ascii="宋体" w:hAnsi="宋体"/>
          <w:color w:val="000000"/>
          <w:kern w:val="0"/>
          <w:szCs w:val="24"/>
          <w:highlight w:val="none"/>
        </w:rPr>
      </w:pPr>
      <w:r>
        <w:rPr>
          <w:rFonts w:hint="eastAsia" w:ascii="宋体" w:hAnsi="宋体"/>
          <w:color w:val="000000"/>
          <w:kern w:val="0"/>
          <w:szCs w:val="24"/>
          <w:highlight w:val="none"/>
        </w:rPr>
        <w:t>20.3 合同备案应提供以下资料：</w:t>
      </w:r>
    </w:p>
    <w:p w14:paraId="7489187C">
      <w:pPr>
        <w:autoSpaceDE w:val="0"/>
        <w:autoSpaceDN w:val="0"/>
        <w:ind w:firstLine="420" w:firstLineChars="200"/>
        <w:rPr>
          <w:rFonts w:ascii="宋体" w:hAnsi="宋体"/>
          <w:color w:val="000000"/>
          <w:kern w:val="0"/>
          <w:szCs w:val="24"/>
          <w:highlight w:val="none"/>
        </w:rPr>
      </w:pPr>
      <w:r>
        <w:rPr>
          <w:rFonts w:hint="eastAsia" w:ascii="宋体" w:hAnsi="宋体"/>
          <w:color w:val="000000"/>
          <w:kern w:val="0"/>
          <w:szCs w:val="24"/>
          <w:highlight w:val="none"/>
        </w:rPr>
        <w:t>20.3.1 合同。</w:t>
      </w:r>
    </w:p>
    <w:p w14:paraId="4A7D4D53">
      <w:pPr>
        <w:autoSpaceDE w:val="0"/>
        <w:autoSpaceDN w:val="0"/>
        <w:ind w:firstLine="420" w:firstLineChars="200"/>
        <w:rPr>
          <w:rFonts w:ascii="宋体" w:hAnsi="宋体"/>
          <w:color w:val="000000"/>
          <w:kern w:val="0"/>
          <w:szCs w:val="24"/>
          <w:highlight w:val="none"/>
        </w:rPr>
      </w:pPr>
      <w:r>
        <w:rPr>
          <w:rFonts w:hint="eastAsia" w:ascii="宋体" w:hAnsi="宋体"/>
          <w:color w:val="000000"/>
          <w:kern w:val="0"/>
          <w:szCs w:val="24"/>
          <w:highlight w:val="none"/>
        </w:rPr>
        <w:t>20.3.2 中选通知书。</w:t>
      </w:r>
    </w:p>
    <w:p w14:paraId="440C41CB">
      <w:pPr>
        <w:autoSpaceDE w:val="0"/>
        <w:autoSpaceDN w:val="0"/>
        <w:ind w:firstLine="420" w:firstLineChars="200"/>
        <w:rPr>
          <w:rFonts w:ascii="宋体" w:hAnsi="宋体"/>
          <w:color w:val="000000"/>
          <w:kern w:val="0"/>
          <w:szCs w:val="24"/>
          <w:highlight w:val="none"/>
        </w:rPr>
      </w:pPr>
      <w:r>
        <w:rPr>
          <w:rFonts w:hint="eastAsia" w:ascii="宋体" w:hAnsi="宋体"/>
          <w:color w:val="000000"/>
          <w:kern w:val="0"/>
          <w:szCs w:val="24"/>
          <w:highlight w:val="none"/>
        </w:rPr>
        <w:t>20.3.3 项目资料表。</w:t>
      </w:r>
    </w:p>
    <w:p w14:paraId="2544DE04">
      <w:pPr>
        <w:autoSpaceDE w:val="0"/>
        <w:autoSpaceDN w:val="0"/>
        <w:ind w:firstLine="420" w:firstLineChars="200"/>
        <w:rPr>
          <w:rFonts w:ascii="宋体" w:hAnsi="宋体"/>
          <w:color w:val="000000"/>
          <w:kern w:val="0"/>
          <w:szCs w:val="24"/>
          <w:highlight w:val="none"/>
        </w:rPr>
      </w:pPr>
      <w:r>
        <w:rPr>
          <w:rFonts w:hint="eastAsia" w:ascii="宋体" w:hAnsi="宋体"/>
          <w:color w:val="000000"/>
          <w:kern w:val="0"/>
          <w:szCs w:val="24"/>
          <w:highlight w:val="none"/>
        </w:rPr>
        <w:t>20.3.4 报价表。</w:t>
      </w:r>
    </w:p>
    <w:p w14:paraId="5E060E0D">
      <w:pPr>
        <w:autoSpaceDE w:val="0"/>
        <w:autoSpaceDN w:val="0"/>
        <w:ind w:firstLine="420" w:firstLineChars="200"/>
        <w:rPr>
          <w:rFonts w:ascii="宋体" w:hAnsi="宋体"/>
          <w:color w:val="000000"/>
          <w:kern w:val="0"/>
          <w:szCs w:val="24"/>
          <w:highlight w:val="none"/>
        </w:rPr>
      </w:pPr>
      <w:r>
        <w:rPr>
          <w:rFonts w:hint="eastAsia" w:ascii="宋体" w:hAnsi="宋体"/>
          <w:color w:val="000000"/>
          <w:kern w:val="0"/>
          <w:szCs w:val="24"/>
          <w:highlight w:val="none"/>
        </w:rPr>
        <w:t>20.3.5 答疑。</w:t>
      </w:r>
    </w:p>
    <w:p w14:paraId="2955F752">
      <w:pPr>
        <w:autoSpaceDE w:val="0"/>
        <w:autoSpaceDN w:val="0"/>
        <w:ind w:firstLine="420" w:firstLineChars="200"/>
        <w:rPr>
          <w:rFonts w:ascii="宋体" w:hAnsi="宋体"/>
          <w:color w:val="000000"/>
          <w:kern w:val="0"/>
          <w:szCs w:val="24"/>
          <w:highlight w:val="none"/>
        </w:rPr>
        <w:sectPr>
          <w:footerReference r:id="rId10" w:type="default"/>
          <w:pgSz w:w="11906" w:h="16838"/>
          <w:pgMar w:top="1134" w:right="1418" w:bottom="1134" w:left="1418" w:header="851" w:footer="567" w:gutter="0"/>
          <w:pgNumType w:fmt="decimal"/>
          <w:cols w:space="720" w:num="1"/>
          <w:docGrid w:type="lines" w:linePitch="312" w:charSpace="0"/>
        </w:sectPr>
      </w:pPr>
    </w:p>
    <w:p w14:paraId="61FDBC29">
      <w:pPr>
        <w:pStyle w:val="2"/>
        <w:jc w:val="center"/>
        <w:rPr>
          <w:sz w:val="28"/>
          <w:szCs w:val="28"/>
          <w:highlight w:val="none"/>
        </w:rPr>
      </w:pPr>
      <w:bookmarkStart w:id="157" w:name="_Toc22212"/>
      <w:r>
        <w:rPr>
          <w:rFonts w:hint="eastAsia"/>
          <w:sz w:val="28"/>
          <w:szCs w:val="28"/>
          <w:highlight w:val="none"/>
        </w:rPr>
        <w:t>第二章 用户需求书</w:t>
      </w:r>
      <w:bookmarkEnd w:id="157"/>
    </w:p>
    <w:p w14:paraId="5E2853A6">
      <w:pPr>
        <w:pStyle w:val="3"/>
        <w:jc w:val="center"/>
        <w:rPr>
          <w:rFonts w:ascii="宋体" w:hAnsi="宋体" w:eastAsia="宋体" w:cs="宋体"/>
          <w:sz w:val="28"/>
          <w:szCs w:val="28"/>
          <w:highlight w:val="none"/>
        </w:rPr>
      </w:pPr>
      <w:bookmarkStart w:id="158" w:name="_Toc9238"/>
      <w:r>
        <w:rPr>
          <w:rFonts w:hint="eastAsia" w:ascii="宋体" w:hAnsi="宋体" w:eastAsia="宋体" w:cs="宋体"/>
          <w:sz w:val="28"/>
          <w:szCs w:val="28"/>
          <w:highlight w:val="none"/>
        </w:rPr>
        <w:t>一、总体说明</w:t>
      </w:r>
      <w:bookmarkEnd w:id="158"/>
    </w:p>
    <w:p w14:paraId="4C1DF094">
      <w:pPr>
        <w:pStyle w:val="4"/>
        <w:keepNext w:val="0"/>
        <w:keepLines w:val="0"/>
        <w:spacing w:before="0" w:after="0" w:line="360" w:lineRule="auto"/>
        <w:ind w:firstLine="482" w:firstLineChars="200"/>
        <w:rPr>
          <w:rFonts w:ascii="宋体" w:hAnsi="宋体"/>
          <w:color w:val="000000"/>
          <w:kern w:val="0"/>
          <w:sz w:val="24"/>
          <w:szCs w:val="24"/>
          <w:highlight w:val="none"/>
        </w:rPr>
      </w:pPr>
      <w:bookmarkStart w:id="159" w:name="_Toc3973"/>
      <w:r>
        <w:rPr>
          <w:rFonts w:hint="eastAsia" w:ascii="宋体" w:hAnsi="宋体"/>
          <w:color w:val="000000"/>
          <w:kern w:val="0"/>
          <w:sz w:val="24"/>
          <w:szCs w:val="24"/>
          <w:highlight w:val="none"/>
        </w:rPr>
        <w:t>1.1项目背景</w:t>
      </w:r>
      <w:bookmarkEnd w:id="159"/>
    </w:p>
    <w:p w14:paraId="33A33F79">
      <w:pPr>
        <w:ind w:firstLine="420" w:firstLineChars="200"/>
        <w:rPr>
          <w:rFonts w:ascii="宋体" w:hAnsi="宋体"/>
          <w:color w:val="000000"/>
          <w:kern w:val="0"/>
          <w:szCs w:val="24"/>
          <w:highlight w:val="none"/>
        </w:rPr>
      </w:pPr>
      <w:r>
        <w:rPr>
          <w:rFonts w:hint="eastAsia" w:ascii="宋体" w:hAnsi="宋体"/>
          <w:color w:val="000000"/>
          <w:kern w:val="0"/>
          <w:szCs w:val="24"/>
          <w:highlight w:val="none"/>
        </w:rPr>
        <w:t>随着南宁市公共交通体系层次的完善，包括轨道交通、常规地面公交、共享交通、出租车及网约车等在内的多方式公共交通的协同管理、一体运营、智慧服务、联动指挥，已成为城市公共交通发展的重要发展方向。</w:t>
      </w:r>
    </w:p>
    <w:p w14:paraId="18C6D967">
      <w:pPr>
        <w:pStyle w:val="16"/>
        <w:spacing w:line="360" w:lineRule="auto"/>
        <w:ind w:firstLine="420" w:firstLineChars="200"/>
        <w:rPr>
          <w:rFonts w:hAnsi="宋体"/>
          <w:color w:val="000000"/>
          <w:szCs w:val="24"/>
          <w:highlight w:val="none"/>
        </w:rPr>
      </w:pPr>
      <w:r>
        <w:rPr>
          <w:rFonts w:hint="eastAsia" w:hAnsi="宋体"/>
          <w:color w:val="000000"/>
          <w:szCs w:val="24"/>
          <w:highlight w:val="none"/>
        </w:rPr>
        <w:t>伴随南宁公共交通智慧信息化高速发展，相关服务单位陆续建设形成各类运营信息化平台，其中包含：轨道交通运营、房地产开发运营、广告服务运营、物业运营等，研发运营“南宁市民卡”互联网综合服务平台、南宁市民卡惠民服务平台、公交调度平台，拥有市民卡实体卡，电子市民卡，手机超级SIM卡等成熟产品。一直以来，南宁轨道交通对客服务平台在会员运营上没有形成统一。当前，会员数据分散在CRM、电商、线下POS系统中，缺乏统一ID体系，导致用户画像碎片化。积分和权益体系也处于各自独立运营的状态，因此，不能有效的抓住会员的长期价值。</w:t>
      </w:r>
    </w:p>
    <w:p w14:paraId="1F8F1318">
      <w:pPr>
        <w:ind w:firstLine="420" w:firstLineChars="200"/>
        <w:rPr>
          <w:rFonts w:ascii="Times New Roman" w:hAnsi="Times New Roman" w:eastAsia="仿宋_GB2312"/>
          <w:sz w:val="24"/>
          <w:highlight w:val="none"/>
        </w:rPr>
      </w:pPr>
      <w:r>
        <w:rPr>
          <w:rFonts w:hint="eastAsia" w:ascii="宋体" w:hAnsi="宋体"/>
          <w:color w:val="000000"/>
          <w:kern w:val="0"/>
          <w:szCs w:val="24"/>
          <w:highlight w:val="none"/>
        </w:rPr>
        <w:t>随着业务的拓充和发展，将进一步推动“轨道+”产业生态圈建设，通过智慧交通和数字化技术，提升会员服务的智能化水平。因此，本次针对南宁轨道交通对客服务平台大会员系统建设咨询非常有必要，为后续整体大项目建设探明方向。</w:t>
      </w:r>
    </w:p>
    <w:p w14:paraId="4EDC4EEB">
      <w:pPr>
        <w:pStyle w:val="4"/>
        <w:keepNext w:val="0"/>
        <w:keepLines w:val="0"/>
        <w:spacing w:before="0" w:after="0" w:line="360" w:lineRule="auto"/>
        <w:ind w:firstLine="482" w:firstLineChars="200"/>
        <w:rPr>
          <w:rFonts w:ascii="宋体" w:hAnsi="宋体"/>
          <w:color w:val="000000"/>
          <w:kern w:val="0"/>
          <w:sz w:val="24"/>
          <w:szCs w:val="24"/>
          <w:highlight w:val="none"/>
        </w:rPr>
      </w:pPr>
      <w:bookmarkStart w:id="160" w:name="_Toc26040"/>
      <w:r>
        <w:rPr>
          <w:rFonts w:hint="eastAsia" w:ascii="宋体" w:hAnsi="宋体"/>
          <w:color w:val="000000"/>
          <w:kern w:val="0"/>
          <w:sz w:val="24"/>
          <w:szCs w:val="24"/>
          <w:highlight w:val="none"/>
        </w:rPr>
        <w:t>1.2项目总体目标</w:t>
      </w:r>
      <w:bookmarkEnd w:id="160"/>
    </w:p>
    <w:p w14:paraId="74CC66FC">
      <w:pPr>
        <w:ind w:firstLine="420" w:firstLineChars="200"/>
        <w:rPr>
          <w:rFonts w:ascii="宋体" w:hAnsi="宋体"/>
          <w:kern w:val="0"/>
          <w:szCs w:val="24"/>
          <w:highlight w:val="none"/>
        </w:rPr>
      </w:pPr>
      <w:bookmarkStart w:id="161" w:name="OLE_LINK3"/>
      <w:bookmarkStart w:id="162" w:name="OLE_LINK4"/>
      <w:r>
        <w:rPr>
          <w:rFonts w:hint="eastAsia" w:ascii="宋体" w:hAnsi="宋体"/>
          <w:kern w:val="0"/>
          <w:szCs w:val="24"/>
          <w:highlight w:val="none"/>
        </w:rPr>
        <w:t>打造多业态一体化的会员管理体系，建设客户数据协同和数字化会员运营能力。通过构建大会员体系，结合不同业态业务场景特点，设计一套会员标准及构建相应的落地方案，拉通南宁轨道交通对客服务平台核心业态及所属公司的会员资源，建设统一的集团会员品牌，挖掘客户资产价值。</w:t>
      </w:r>
    </w:p>
    <w:bookmarkEnd w:id="161"/>
    <w:bookmarkEnd w:id="162"/>
    <w:p w14:paraId="6097B4AD">
      <w:pPr>
        <w:pStyle w:val="4"/>
        <w:keepNext w:val="0"/>
        <w:keepLines w:val="0"/>
        <w:spacing w:before="0" w:after="0" w:line="360" w:lineRule="auto"/>
        <w:ind w:firstLine="482" w:firstLineChars="200"/>
        <w:rPr>
          <w:rFonts w:ascii="宋体" w:hAnsi="宋体"/>
          <w:color w:val="000000"/>
          <w:kern w:val="0"/>
          <w:sz w:val="24"/>
          <w:szCs w:val="24"/>
          <w:highlight w:val="none"/>
        </w:rPr>
      </w:pPr>
      <w:bookmarkStart w:id="163" w:name="_Toc8587"/>
      <w:r>
        <w:rPr>
          <w:rFonts w:hint="eastAsia" w:ascii="宋体" w:hAnsi="宋体"/>
          <w:color w:val="000000"/>
          <w:kern w:val="0"/>
          <w:sz w:val="24"/>
          <w:szCs w:val="24"/>
          <w:highlight w:val="none"/>
        </w:rPr>
        <w:t>1.3 项目范围</w:t>
      </w:r>
      <w:bookmarkEnd w:id="163"/>
    </w:p>
    <w:p w14:paraId="36FB36AD">
      <w:pPr>
        <w:pStyle w:val="45"/>
        <w:ind w:firstLine="360"/>
        <w:rPr>
          <w:rFonts w:ascii="宋体" w:hAnsi="宋体" w:eastAsia="宋体"/>
          <w:kern w:val="0"/>
          <w:sz w:val="18"/>
          <w:szCs w:val="18"/>
          <w:highlight w:val="none"/>
        </w:rPr>
      </w:pPr>
      <w:r>
        <w:rPr>
          <w:rFonts w:hint="eastAsia" w:ascii="宋体" w:hAnsi="宋体" w:eastAsia="宋体"/>
          <w:kern w:val="0"/>
          <w:sz w:val="18"/>
          <w:szCs w:val="18"/>
          <w:highlight w:val="none"/>
        </w:rPr>
        <w:t>建设符合南宁轨道交通对客服务平台大会员体系建设的内容，包括南宁轨道交通集团及其部分下属企业，具体内容如下：</w:t>
      </w:r>
    </w:p>
    <w:p w14:paraId="5E6D5EEA">
      <w:pPr>
        <w:pStyle w:val="45"/>
        <w:ind w:firstLine="361"/>
        <w:rPr>
          <w:rFonts w:ascii="宋体" w:hAnsi="宋体" w:eastAsia="宋体"/>
          <w:b/>
          <w:bCs/>
          <w:kern w:val="0"/>
          <w:sz w:val="18"/>
          <w:szCs w:val="18"/>
          <w:highlight w:val="none"/>
        </w:rPr>
      </w:pPr>
      <w:r>
        <w:rPr>
          <w:rFonts w:hint="eastAsia" w:ascii="宋体" w:hAnsi="宋体" w:eastAsia="宋体"/>
          <w:b/>
          <w:bCs/>
          <w:kern w:val="0"/>
          <w:sz w:val="18"/>
          <w:szCs w:val="18"/>
          <w:highlight w:val="none"/>
        </w:rPr>
        <w:t>南宁轨道交通对客服务平台大会员体系业务梳理：</w:t>
      </w:r>
    </w:p>
    <w:p w14:paraId="24DF2F92">
      <w:pPr>
        <w:pStyle w:val="45"/>
        <w:ind w:firstLine="360"/>
        <w:rPr>
          <w:rFonts w:ascii="宋体" w:hAnsi="宋体" w:eastAsia="宋体"/>
          <w:kern w:val="0"/>
          <w:sz w:val="18"/>
          <w:szCs w:val="18"/>
          <w:highlight w:val="none"/>
        </w:rPr>
      </w:pPr>
      <w:r>
        <w:rPr>
          <w:rFonts w:hint="eastAsia" w:ascii="宋体" w:hAnsi="宋体" w:eastAsia="宋体"/>
          <w:kern w:val="0"/>
          <w:sz w:val="18"/>
          <w:szCs w:val="18"/>
          <w:highlight w:val="none"/>
        </w:rPr>
        <w:t>基于南宁轨道交通对客服务平台的业务范围及会员现状，完成大会员体系调研工作，包含但不限于业态现有会员现状分析：流量、规模、行为特征（频次、单价）、预算、活动、权益、积分、数字化产品及应用、数据、竞争标杆对象、业态供应链资源及可经营商品范围等；业态大会员预期：流量目标、规模目标、行为目标、大会员运营费用、高等级费用、权益拓展计划、跨业态需求、数字化产品期待、数据使用场景等；通过集团高层及业务板块高层及执行层访谈，完成南宁轨道交通对客服务平台会员建设现状及需求分析；</w:t>
      </w:r>
    </w:p>
    <w:p w14:paraId="2130B17C">
      <w:pPr>
        <w:pStyle w:val="45"/>
        <w:ind w:firstLine="361"/>
        <w:rPr>
          <w:rFonts w:ascii="宋体" w:hAnsi="宋体" w:eastAsia="宋体"/>
          <w:b/>
          <w:bCs/>
          <w:kern w:val="0"/>
          <w:sz w:val="18"/>
          <w:szCs w:val="18"/>
          <w:highlight w:val="none"/>
        </w:rPr>
      </w:pPr>
      <w:r>
        <w:rPr>
          <w:rFonts w:hint="eastAsia" w:ascii="宋体" w:hAnsi="宋体" w:eastAsia="宋体"/>
          <w:b/>
          <w:bCs/>
          <w:kern w:val="0"/>
          <w:sz w:val="18"/>
          <w:szCs w:val="18"/>
          <w:highlight w:val="none"/>
        </w:rPr>
        <w:t>南宁轨道交通对客服务平台大会员体系建设方案：</w:t>
      </w:r>
    </w:p>
    <w:p w14:paraId="6415936C">
      <w:pPr>
        <w:pStyle w:val="45"/>
        <w:ind w:firstLine="360"/>
        <w:rPr>
          <w:rFonts w:ascii="宋体" w:hAnsi="宋体" w:eastAsia="宋体"/>
          <w:kern w:val="0"/>
          <w:sz w:val="18"/>
          <w:szCs w:val="18"/>
          <w:highlight w:val="none"/>
        </w:rPr>
      </w:pPr>
      <w:r>
        <w:rPr>
          <w:rFonts w:hint="eastAsia" w:ascii="宋体" w:hAnsi="宋体" w:eastAsia="宋体"/>
          <w:kern w:val="0"/>
          <w:sz w:val="18"/>
          <w:szCs w:val="18"/>
          <w:highlight w:val="none"/>
        </w:rPr>
        <w:t>基于各业态会员情况，设计符合南宁轨道交通对客服务平台的大会员体系，包括大会员建设战略价值目标：总目标、短期、中期、长期阶段性目标及架构蓝图，会员分阶段实施计划，通过业态底层系统、数据及经营情况，完成整体顶层规划设计。同时基于南宁轨道交通的情况完成大会员方案建设：会员等级、会员权益、会员积分、集团和下属企业管理职责范围、积分跨业态管理方法等；从而形成适配南宁轨道交通且可落地执行的大会员建设方案。</w:t>
      </w:r>
    </w:p>
    <w:p w14:paraId="2AC58AF9">
      <w:pPr>
        <w:rPr>
          <w:highlight w:val="none"/>
        </w:rPr>
      </w:pPr>
    </w:p>
    <w:p w14:paraId="77714C25">
      <w:pPr>
        <w:pStyle w:val="3"/>
        <w:jc w:val="center"/>
        <w:rPr>
          <w:rFonts w:ascii="宋体" w:hAnsi="宋体" w:eastAsia="宋体" w:cs="宋体"/>
          <w:sz w:val="28"/>
          <w:szCs w:val="28"/>
          <w:highlight w:val="none"/>
        </w:rPr>
      </w:pPr>
      <w:bookmarkStart w:id="164" w:name="_Toc23294"/>
      <w:r>
        <w:rPr>
          <w:rFonts w:hint="eastAsia" w:ascii="宋体" w:hAnsi="宋体" w:eastAsia="宋体" w:cs="宋体"/>
          <w:sz w:val="28"/>
          <w:szCs w:val="28"/>
          <w:highlight w:val="none"/>
        </w:rPr>
        <w:t>二、具体要求</w:t>
      </w:r>
      <w:bookmarkEnd w:id="164"/>
    </w:p>
    <w:p w14:paraId="5083118A">
      <w:pPr>
        <w:pStyle w:val="4"/>
        <w:keepNext w:val="0"/>
        <w:keepLines w:val="0"/>
        <w:spacing w:before="0" w:after="0" w:line="360" w:lineRule="auto"/>
        <w:ind w:firstLine="482" w:firstLineChars="200"/>
        <w:rPr>
          <w:rFonts w:ascii="宋体" w:hAnsi="宋体"/>
          <w:color w:val="000000"/>
          <w:kern w:val="0"/>
          <w:sz w:val="24"/>
          <w:szCs w:val="24"/>
          <w:highlight w:val="none"/>
        </w:rPr>
      </w:pPr>
      <w:bookmarkStart w:id="165" w:name="_Toc12115"/>
      <w:r>
        <w:rPr>
          <w:rFonts w:hint="eastAsia" w:ascii="宋体" w:hAnsi="宋体"/>
          <w:color w:val="000000"/>
          <w:kern w:val="0"/>
          <w:sz w:val="24"/>
          <w:szCs w:val="24"/>
          <w:highlight w:val="none"/>
        </w:rPr>
        <w:t>2.1. 项目基本要求</w:t>
      </w:r>
      <w:bookmarkEnd w:id="165"/>
    </w:p>
    <w:p w14:paraId="4F44BCC4">
      <w:pPr>
        <w:ind w:firstLine="420" w:firstLineChars="200"/>
        <w:rPr>
          <w:highlight w:val="none"/>
        </w:rPr>
      </w:pPr>
      <w:r>
        <w:rPr>
          <w:rFonts w:hint="eastAsia"/>
          <w:highlight w:val="none"/>
        </w:rPr>
        <w:t>供应商应按照项目具体要求的内容和时间期限，开展约定的相关工作，工作内容形成符合交付要求的文件形式进行汇报，采购人对汇报成果进行验收。</w:t>
      </w:r>
    </w:p>
    <w:p w14:paraId="1B0A78AE">
      <w:pPr>
        <w:pStyle w:val="4"/>
        <w:keepNext w:val="0"/>
        <w:keepLines w:val="0"/>
        <w:spacing w:before="0" w:after="0" w:line="360" w:lineRule="auto"/>
        <w:ind w:firstLine="482" w:firstLineChars="200"/>
        <w:rPr>
          <w:rFonts w:ascii="宋体" w:hAnsi="宋体"/>
          <w:color w:val="000000"/>
          <w:kern w:val="0"/>
          <w:sz w:val="24"/>
          <w:szCs w:val="24"/>
          <w:highlight w:val="none"/>
        </w:rPr>
      </w:pPr>
      <w:bookmarkStart w:id="166" w:name="_Toc6647"/>
      <w:r>
        <w:rPr>
          <w:rFonts w:hint="eastAsia" w:ascii="宋体" w:hAnsi="宋体"/>
          <w:color w:val="000000"/>
          <w:kern w:val="0"/>
          <w:sz w:val="24"/>
          <w:szCs w:val="24"/>
          <w:highlight w:val="none"/>
        </w:rPr>
        <w:t>2.2.具体工作内容</w:t>
      </w:r>
      <w:bookmarkEnd w:id="166"/>
    </w:p>
    <w:p w14:paraId="7BC47E01">
      <w:pPr>
        <w:pStyle w:val="45"/>
        <w:ind w:firstLine="420"/>
        <w:rPr>
          <w:rFonts w:ascii="宋体" w:hAnsi="宋体" w:eastAsia="宋体"/>
          <w:kern w:val="0"/>
          <w:szCs w:val="24"/>
          <w:highlight w:val="none"/>
        </w:rPr>
      </w:pPr>
      <w:r>
        <w:rPr>
          <w:rFonts w:hint="eastAsia" w:ascii="宋体" w:hAnsi="宋体" w:eastAsia="宋体"/>
          <w:kern w:val="0"/>
          <w:szCs w:val="24"/>
          <w:highlight w:val="none"/>
        </w:rPr>
        <w:t>采购人委托供应商承担大会员体系建设方案的相关工作。具体如下:</w:t>
      </w:r>
    </w:p>
    <w:p w14:paraId="3C22E18D">
      <w:pPr>
        <w:pStyle w:val="45"/>
        <w:ind w:firstLine="420"/>
        <w:rPr>
          <w:rFonts w:ascii="宋体" w:hAnsi="宋体" w:eastAsia="宋体"/>
          <w:kern w:val="0"/>
          <w:szCs w:val="24"/>
          <w:highlight w:val="none"/>
        </w:rPr>
      </w:pPr>
      <w:r>
        <w:rPr>
          <w:rFonts w:ascii="宋体" w:hAnsi="宋体" w:eastAsia="宋体"/>
          <w:kern w:val="0"/>
          <w:szCs w:val="24"/>
          <w:highlight w:val="none"/>
        </w:rPr>
        <w:t>2.2.1</w:t>
      </w:r>
      <w:r>
        <w:rPr>
          <w:rFonts w:hint="eastAsia" w:ascii="宋体" w:hAnsi="宋体" w:eastAsia="宋体"/>
          <w:kern w:val="0"/>
          <w:szCs w:val="24"/>
          <w:highlight w:val="none"/>
        </w:rPr>
        <w:t>业务梳理服务</w:t>
      </w:r>
    </w:p>
    <w:p w14:paraId="2133BB5C">
      <w:pPr>
        <w:pStyle w:val="45"/>
        <w:ind w:firstLine="420"/>
        <w:rPr>
          <w:rFonts w:ascii="宋体" w:hAnsi="宋体" w:eastAsia="宋体"/>
          <w:kern w:val="0"/>
          <w:szCs w:val="24"/>
          <w:highlight w:val="none"/>
        </w:rPr>
      </w:pPr>
      <w:r>
        <w:rPr>
          <w:rFonts w:hint="eastAsia" w:ascii="宋体" w:hAnsi="宋体" w:eastAsia="宋体"/>
          <w:kern w:val="0"/>
          <w:szCs w:val="24"/>
          <w:highlight w:val="none"/>
        </w:rPr>
        <w:t>（1）项目开始须进行详尽的会员相关业务需求调研及需求分析，全面梳理南宁轨道交通集团现有会员相关体系及业务需求，提出相应建设方向。</w:t>
      </w:r>
    </w:p>
    <w:p w14:paraId="58A789CB">
      <w:pPr>
        <w:pStyle w:val="45"/>
        <w:ind w:firstLine="420"/>
        <w:rPr>
          <w:rFonts w:ascii="宋体" w:hAnsi="宋体" w:eastAsia="宋体"/>
          <w:kern w:val="0"/>
          <w:szCs w:val="24"/>
          <w:highlight w:val="none"/>
        </w:rPr>
      </w:pPr>
      <w:r>
        <w:rPr>
          <w:rFonts w:ascii="宋体" w:hAnsi="宋体" w:eastAsia="宋体"/>
          <w:kern w:val="0"/>
          <w:szCs w:val="24"/>
          <w:highlight w:val="none"/>
        </w:rPr>
        <w:t>(2)</w:t>
      </w:r>
      <w:r>
        <w:rPr>
          <w:rFonts w:hint="eastAsia" w:ascii="宋体" w:hAnsi="宋体" w:eastAsia="宋体"/>
          <w:kern w:val="0"/>
          <w:szCs w:val="24"/>
          <w:highlight w:val="none"/>
        </w:rPr>
        <w:t xml:space="preserve"> 供应商须安排资深的业务咨询团队，咨询团队项目经理应满足采购方需求，采购方有权对供应商拟安排交付的项目经理进行面试，对面试未通过的人员有权要求更换。</w:t>
      </w:r>
    </w:p>
    <w:p w14:paraId="2E5E14A0">
      <w:pPr>
        <w:pStyle w:val="45"/>
        <w:ind w:firstLine="420"/>
        <w:rPr>
          <w:rFonts w:ascii="宋体" w:hAnsi="宋体" w:eastAsia="宋体"/>
          <w:kern w:val="0"/>
          <w:szCs w:val="24"/>
          <w:highlight w:val="none"/>
        </w:rPr>
      </w:pPr>
      <w:r>
        <w:rPr>
          <w:rFonts w:hint="eastAsia" w:ascii="宋体" w:hAnsi="宋体" w:eastAsia="宋体"/>
          <w:kern w:val="0"/>
          <w:szCs w:val="24"/>
          <w:highlight w:val="none"/>
        </w:rPr>
        <w:t>(</w:t>
      </w:r>
      <w:r>
        <w:rPr>
          <w:rFonts w:ascii="宋体" w:hAnsi="宋体" w:eastAsia="宋体"/>
          <w:kern w:val="0"/>
          <w:szCs w:val="24"/>
          <w:highlight w:val="none"/>
        </w:rPr>
        <w:t>3)</w:t>
      </w:r>
      <w:r>
        <w:rPr>
          <w:rFonts w:hint="eastAsia" w:ascii="宋体" w:hAnsi="宋体" w:eastAsia="宋体"/>
          <w:kern w:val="0"/>
          <w:szCs w:val="24"/>
          <w:highlight w:val="none"/>
        </w:rPr>
        <w:t>主要工作内容：</w:t>
      </w:r>
    </w:p>
    <w:p w14:paraId="23771521">
      <w:pPr>
        <w:pStyle w:val="45"/>
        <w:ind w:firstLine="420"/>
        <w:rPr>
          <w:rFonts w:hint="eastAsia" w:ascii="宋体" w:hAnsi="宋体" w:eastAsia="宋体"/>
          <w:kern w:val="0"/>
          <w:szCs w:val="24"/>
          <w:highlight w:val="none"/>
        </w:rPr>
      </w:pPr>
      <w:r>
        <w:rPr>
          <w:rFonts w:hint="eastAsia" w:ascii="宋体" w:hAnsi="宋体" w:eastAsia="宋体"/>
          <w:kern w:val="0"/>
          <w:szCs w:val="24"/>
          <w:highlight w:val="none"/>
        </w:rPr>
        <w:t>A现状调研：业态现有会员运营情况：流量、规模、行为特征（频次、单价）、预算、活动、权益、积分、数字化产品及应用、数据、竞争标杆对象、业态供应链资源及可经营商品范围等；</w:t>
      </w:r>
    </w:p>
    <w:p w14:paraId="43952AB3">
      <w:pPr>
        <w:pStyle w:val="45"/>
        <w:ind w:firstLine="420"/>
        <w:rPr>
          <w:rFonts w:hint="eastAsia" w:ascii="宋体" w:hAnsi="宋体" w:eastAsia="宋体"/>
          <w:kern w:val="0"/>
          <w:szCs w:val="24"/>
          <w:highlight w:val="none"/>
        </w:rPr>
      </w:pPr>
      <w:r>
        <w:rPr>
          <w:rFonts w:ascii="宋体" w:hAnsi="宋体" w:eastAsia="宋体"/>
          <w:kern w:val="0"/>
          <w:szCs w:val="24"/>
          <w:highlight w:val="none"/>
        </w:rPr>
        <w:t>B</w:t>
      </w:r>
      <w:r>
        <w:rPr>
          <w:rFonts w:hint="eastAsia" w:ascii="宋体" w:hAnsi="宋体" w:eastAsia="宋体"/>
          <w:kern w:val="0"/>
          <w:szCs w:val="24"/>
          <w:highlight w:val="none"/>
        </w:rPr>
        <w:t>大会员预期：流量目标、规模目标、行为目标、大会员运营费用、高等级费用、权益拓展计划、跨业态需求、数字化产品期待、数据使用场景；</w:t>
      </w:r>
    </w:p>
    <w:p w14:paraId="07ACEF57">
      <w:pPr>
        <w:pStyle w:val="45"/>
        <w:ind w:firstLine="420"/>
        <w:rPr>
          <w:rFonts w:ascii="宋体" w:hAnsi="宋体" w:eastAsia="宋体"/>
          <w:kern w:val="0"/>
          <w:szCs w:val="24"/>
          <w:highlight w:val="none"/>
        </w:rPr>
      </w:pPr>
      <w:r>
        <w:rPr>
          <w:rFonts w:hint="eastAsia" w:ascii="宋体" w:hAnsi="宋体" w:eastAsia="宋体"/>
          <w:kern w:val="0"/>
          <w:szCs w:val="24"/>
          <w:highlight w:val="none"/>
        </w:rPr>
        <w:t>(</w:t>
      </w:r>
      <w:r>
        <w:rPr>
          <w:rFonts w:ascii="宋体" w:hAnsi="宋体" w:eastAsia="宋体"/>
          <w:kern w:val="0"/>
          <w:szCs w:val="24"/>
          <w:highlight w:val="none"/>
        </w:rPr>
        <w:t>4</w:t>
      </w:r>
      <w:r>
        <w:rPr>
          <w:rFonts w:hint="eastAsia" w:ascii="宋体" w:hAnsi="宋体" w:eastAsia="宋体"/>
          <w:kern w:val="0"/>
          <w:szCs w:val="24"/>
          <w:highlight w:val="none"/>
        </w:rPr>
        <w:t>)核心交付物：《南宁轨道交通对客服务平台现状调研与大会员建设需求分析报告》</w:t>
      </w:r>
    </w:p>
    <w:p w14:paraId="10668598">
      <w:pPr>
        <w:pStyle w:val="45"/>
        <w:ind w:firstLine="420"/>
        <w:rPr>
          <w:rFonts w:ascii="宋体" w:hAnsi="宋体" w:eastAsia="宋体"/>
          <w:kern w:val="0"/>
          <w:szCs w:val="24"/>
          <w:highlight w:val="none"/>
        </w:rPr>
      </w:pPr>
      <w:r>
        <w:rPr>
          <w:rFonts w:ascii="宋体" w:hAnsi="宋体" w:eastAsia="宋体"/>
          <w:kern w:val="0"/>
          <w:szCs w:val="24"/>
          <w:highlight w:val="none"/>
        </w:rPr>
        <w:t>2.2.2</w:t>
      </w:r>
      <w:r>
        <w:rPr>
          <w:rFonts w:hint="eastAsia" w:ascii="宋体" w:hAnsi="宋体" w:eastAsia="宋体"/>
          <w:kern w:val="0"/>
          <w:szCs w:val="24"/>
          <w:highlight w:val="none"/>
        </w:rPr>
        <w:t>大会员体系建设方案</w:t>
      </w:r>
    </w:p>
    <w:p w14:paraId="481FD968">
      <w:pPr>
        <w:pStyle w:val="45"/>
        <w:numPr>
          <w:ilvl w:val="0"/>
          <w:numId w:val="6"/>
        </w:numPr>
        <w:ind w:firstLine="420"/>
        <w:rPr>
          <w:rFonts w:ascii="宋体" w:hAnsi="宋体" w:eastAsia="宋体"/>
          <w:kern w:val="0"/>
          <w:szCs w:val="24"/>
          <w:highlight w:val="none"/>
        </w:rPr>
      </w:pPr>
      <w:r>
        <w:rPr>
          <w:rFonts w:hint="eastAsia" w:ascii="宋体" w:hAnsi="宋体" w:eastAsia="宋体"/>
          <w:kern w:val="0"/>
          <w:szCs w:val="24"/>
          <w:highlight w:val="none"/>
        </w:rPr>
        <w:t xml:space="preserve">大会员建设战略目标：基于南宁轨交集团和各业态的目标梳理，构建大会员建设整体业务目标，包括总目标、短期、中期、长期分阶段目标及系统架构蓝图；基于整体目标形成分阶段实施计划表； </w:t>
      </w:r>
    </w:p>
    <w:p w14:paraId="08E445AC">
      <w:pPr>
        <w:pStyle w:val="45"/>
        <w:numPr>
          <w:ilvl w:val="0"/>
          <w:numId w:val="6"/>
        </w:numPr>
        <w:ind w:firstLine="420"/>
        <w:rPr>
          <w:rFonts w:ascii="宋体" w:hAnsi="宋体" w:eastAsia="宋体"/>
          <w:kern w:val="0"/>
          <w:szCs w:val="24"/>
          <w:highlight w:val="none"/>
        </w:rPr>
      </w:pPr>
      <w:r>
        <w:rPr>
          <w:rFonts w:hint="eastAsia" w:ascii="宋体" w:hAnsi="宋体" w:eastAsia="宋体"/>
          <w:kern w:val="0"/>
          <w:szCs w:val="24"/>
          <w:highlight w:val="none"/>
        </w:rPr>
        <w:t>会员体系制度：参考行业领先的会员体系实践，梳理并制定会员等级体系，形成可发布可落地实施的细则文档及会员手册，包括：</w:t>
      </w:r>
    </w:p>
    <w:p w14:paraId="385197A0">
      <w:pPr>
        <w:pStyle w:val="45"/>
        <w:numPr>
          <w:ilvl w:val="0"/>
          <w:numId w:val="7"/>
        </w:numPr>
        <w:ind w:firstLine="420"/>
        <w:rPr>
          <w:rFonts w:ascii="宋体" w:hAnsi="宋体" w:eastAsia="宋体"/>
          <w:kern w:val="0"/>
          <w:szCs w:val="24"/>
          <w:highlight w:val="none"/>
        </w:rPr>
      </w:pPr>
      <w:r>
        <w:rPr>
          <w:rFonts w:hint="eastAsia" w:ascii="宋体" w:hAnsi="宋体" w:eastAsia="宋体"/>
          <w:kern w:val="0"/>
          <w:szCs w:val="24"/>
          <w:highlight w:val="none"/>
        </w:rPr>
        <w:t>会员等级（等级划分方式、会员等级升级、会员等级保级、会员等级降级、会员等级有效期、成长规则；）</w:t>
      </w:r>
    </w:p>
    <w:p w14:paraId="09782D8C">
      <w:pPr>
        <w:pStyle w:val="45"/>
        <w:numPr>
          <w:ilvl w:val="0"/>
          <w:numId w:val="7"/>
        </w:numPr>
        <w:ind w:firstLine="420"/>
        <w:rPr>
          <w:rFonts w:ascii="宋体" w:hAnsi="宋体" w:eastAsia="宋体"/>
          <w:kern w:val="0"/>
          <w:szCs w:val="24"/>
          <w:highlight w:val="none"/>
        </w:rPr>
      </w:pPr>
      <w:r>
        <w:rPr>
          <w:rFonts w:hint="eastAsia" w:ascii="宋体" w:hAnsi="宋体" w:eastAsia="宋体"/>
          <w:kern w:val="0"/>
          <w:szCs w:val="24"/>
          <w:highlight w:val="none"/>
        </w:rPr>
        <w:t>会员权益（生日权益、升级权益、业态权益）</w:t>
      </w:r>
    </w:p>
    <w:p w14:paraId="627814AC">
      <w:pPr>
        <w:pStyle w:val="45"/>
        <w:numPr>
          <w:ilvl w:val="0"/>
          <w:numId w:val="7"/>
        </w:numPr>
        <w:ind w:firstLine="420"/>
        <w:rPr>
          <w:rFonts w:ascii="宋体" w:hAnsi="宋体" w:eastAsia="宋体"/>
          <w:kern w:val="0"/>
          <w:szCs w:val="24"/>
          <w:highlight w:val="none"/>
        </w:rPr>
      </w:pPr>
      <w:r>
        <w:rPr>
          <w:rFonts w:hint="eastAsia" w:ascii="宋体" w:hAnsi="宋体" w:eastAsia="宋体"/>
          <w:kern w:val="0"/>
          <w:szCs w:val="24"/>
          <w:highlight w:val="none"/>
        </w:rPr>
        <w:t>会员积分体系（积分规则、积分方法、积分声明）</w:t>
      </w:r>
    </w:p>
    <w:p w14:paraId="33BDE8E5">
      <w:pPr>
        <w:pStyle w:val="45"/>
        <w:numPr>
          <w:ilvl w:val="0"/>
          <w:numId w:val="7"/>
        </w:numPr>
        <w:ind w:firstLine="420"/>
        <w:rPr>
          <w:rFonts w:ascii="宋体" w:hAnsi="宋体" w:eastAsia="宋体"/>
          <w:kern w:val="0"/>
          <w:szCs w:val="24"/>
          <w:highlight w:val="none"/>
        </w:rPr>
      </w:pPr>
      <w:r>
        <w:rPr>
          <w:rFonts w:hint="eastAsia" w:ascii="宋体" w:hAnsi="宋体" w:eastAsia="宋体"/>
          <w:kern w:val="0"/>
          <w:szCs w:val="24"/>
          <w:highlight w:val="none"/>
        </w:rPr>
        <w:t>跨业态会员管理（集团和下属公司会员管理组织职责：会员运营组织、集团会员管理组织架构、下属企业会员管理职责分工；会员积分管理：积分分类、积分发放、积分核销、积分有效期、积分清结算）</w:t>
      </w:r>
    </w:p>
    <w:p w14:paraId="179C6DF0">
      <w:pPr>
        <w:pStyle w:val="45"/>
        <w:numPr>
          <w:ilvl w:val="0"/>
          <w:numId w:val="6"/>
        </w:numPr>
        <w:ind w:firstLine="420"/>
        <w:rPr>
          <w:rFonts w:ascii="宋体" w:hAnsi="宋体" w:eastAsia="宋体"/>
          <w:kern w:val="0"/>
          <w:szCs w:val="24"/>
          <w:highlight w:val="none"/>
        </w:rPr>
      </w:pPr>
      <w:r>
        <w:rPr>
          <w:rFonts w:hint="eastAsia" w:ascii="宋体" w:hAnsi="宋体" w:eastAsia="宋体"/>
          <w:kern w:val="0"/>
          <w:szCs w:val="24"/>
          <w:highlight w:val="none"/>
        </w:rPr>
        <w:t>核心交付物应包含：</w:t>
      </w:r>
    </w:p>
    <w:p w14:paraId="6732545F">
      <w:pPr>
        <w:pStyle w:val="45"/>
        <w:ind w:left="420" w:leftChars="200" w:firstLine="420"/>
        <w:rPr>
          <w:rFonts w:ascii="宋体" w:hAnsi="宋体" w:eastAsia="宋体"/>
          <w:kern w:val="0"/>
          <w:szCs w:val="24"/>
          <w:highlight w:val="none"/>
        </w:rPr>
      </w:pPr>
      <w:r>
        <w:rPr>
          <w:rFonts w:hint="eastAsia" w:ascii="宋体" w:hAnsi="宋体" w:eastAsia="宋体"/>
          <w:kern w:val="0"/>
          <w:szCs w:val="24"/>
          <w:highlight w:val="none"/>
        </w:rPr>
        <w:t>①《南宁轨道交通对客服务平台大会员建设顶层规划报告》</w:t>
      </w:r>
    </w:p>
    <w:p w14:paraId="10DBA598">
      <w:pPr>
        <w:pStyle w:val="45"/>
        <w:ind w:left="420" w:leftChars="200" w:firstLine="420"/>
        <w:rPr>
          <w:rFonts w:ascii="宋体" w:hAnsi="宋体" w:eastAsia="宋体"/>
          <w:kern w:val="0"/>
          <w:szCs w:val="24"/>
          <w:highlight w:val="none"/>
        </w:rPr>
      </w:pPr>
      <w:r>
        <w:rPr>
          <w:rFonts w:hint="eastAsia" w:ascii="宋体" w:hAnsi="宋体" w:eastAsia="宋体"/>
          <w:kern w:val="0"/>
          <w:szCs w:val="24"/>
          <w:highlight w:val="none"/>
        </w:rPr>
        <w:t>②《南宁轨道交通对客服务平台大会员体系方案》</w:t>
      </w:r>
    </w:p>
    <w:p w14:paraId="556C6CF8">
      <w:pPr>
        <w:pStyle w:val="45"/>
        <w:ind w:left="420" w:leftChars="200" w:firstLine="420"/>
        <w:rPr>
          <w:rFonts w:ascii="宋体" w:hAnsi="宋体" w:eastAsia="宋体"/>
          <w:kern w:val="0"/>
          <w:szCs w:val="24"/>
          <w:highlight w:val="none"/>
        </w:rPr>
      </w:pPr>
      <w:r>
        <w:rPr>
          <w:rFonts w:hint="eastAsia" w:ascii="宋体" w:hAnsi="宋体" w:eastAsia="宋体"/>
          <w:kern w:val="0"/>
          <w:szCs w:val="24"/>
          <w:highlight w:val="none"/>
        </w:rPr>
        <w:t>③《南宁轨道交通对客服务平台会员业务协同管理方案》</w:t>
      </w:r>
    </w:p>
    <w:p w14:paraId="3B9D3B23">
      <w:pPr>
        <w:pStyle w:val="45"/>
        <w:ind w:firstLine="420"/>
        <w:rPr>
          <w:rFonts w:ascii="宋体" w:hAnsi="宋体" w:eastAsia="宋体"/>
          <w:kern w:val="0"/>
          <w:szCs w:val="24"/>
          <w:highlight w:val="none"/>
        </w:rPr>
      </w:pPr>
      <w:r>
        <w:rPr>
          <w:rFonts w:ascii="宋体" w:hAnsi="宋体" w:eastAsia="宋体"/>
          <w:kern w:val="0"/>
          <w:szCs w:val="24"/>
          <w:highlight w:val="none"/>
        </w:rPr>
        <w:t>2.2.3</w:t>
      </w:r>
      <w:r>
        <w:rPr>
          <w:rFonts w:hint="eastAsia" w:ascii="宋体" w:hAnsi="宋体" w:eastAsia="宋体"/>
          <w:kern w:val="0"/>
          <w:szCs w:val="24"/>
          <w:highlight w:val="none"/>
        </w:rPr>
        <w:t>大会员体系实施方案</w:t>
      </w:r>
    </w:p>
    <w:p w14:paraId="19F28DC7">
      <w:pPr>
        <w:pStyle w:val="45"/>
        <w:ind w:firstLine="420"/>
        <w:rPr>
          <w:rFonts w:ascii="宋体" w:hAnsi="宋体" w:eastAsia="宋体"/>
          <w:kern w:val="0"/>
          <w:szCs w:val="24"/>
          <w:highlight w:val="none"/>
        </w:rPr>
      </w:pPr>
      <w:r>
        <w:rPr>
          <w:rFonts w:hint="eastAsia" w:ascii="宋体" w:hAnsi="宋体" w:eastAsia="宋体"/>
          <w:kern w:val="0"/>
          <w:szCs w:val="24"/>
          <w:highlight w:val="none"/>
        </w:rPr>
        <w:t>基于会员体系建设方案，设计系统实施方案，并基于实施计划完成项目整体实施计划表。</w:t>
      </w:r>
    </w:p>
    <w:p w14:paraId="0935B987">
      <w:pPr>
        <w:pStyle w:val="45"/>
        <w:ind w:firstLine="420"/>
        <w:rPr>
          <w:rFonts w:ascii="宋体" w:hAnsi="宋体" w:eastAsia="宋体"/>
          <w:kern w:val="0"/>
          <w:szCs w:val="24"/>
          <w:highlight w:val="none"/>
        </w:rPr>
      </w:pPr>
      <w:r>
        <w:rPr>
          <w:rFonts w:hint="eastAsia" w:ascii="宋体" w:hAnsi="宋体" w:eastAsia="宋体"/>
          <w:kern w:val="0"/>
          <w:szCs w:val="24"/>
          <w:highlight w:val="none"/>
        </w:rPr>
        <w:t>核心交付：《南宁轨道交通对客服务平台大会员建设实施计划表》</w:t>
      </w:r>
    </w:p>
    <w:p w14:paraId="6D1B264A">
      <w:pPr>
        <w:pStyle w:val="4"/>
        <w:keepNext w:val="0"/>
        <w:keepLines w:val="0"/>
        <w:spacing w:before="0" w:after="0" w:line="360" w:lineRule="auto"/>
        <w:ind w:firstLine="482" w:firstLineChars="200"/>
        <w:rPr>
          <w:rFonts w:ascii="宋体" w:hAnsi="宋体"/>
          <w:color w:val="000000"/>
          <w:kern w:val="0"/>
          <w:sz w:val="24"/>
          <w:szCs w:val="24"/>
          <w:highlight w:val="none"/>
        </w:rPr>
      </w:pPr>
      <w:bookmarkStart w:id="167" w:name="_Toc9743"/>
      <w:r>
        <w:rPr>
          <w:rFonts w:hint="eastAsia" w:ascii="宋体" w:hAnsi="宋体"/>
          <w:color w:val="000000"/>
          <w:kern w:val="0"/>
          <w:sz w:val="24"/>
          <w:szCs w:val="24"/>
          <w:highlight w:val="none"/>
        </w:rPr>
        <w:t>2.3.供应商要求</w:t>
      </w:r>
      <w:bookmarkEnd w:id="167"/>
    </w:p>
    <w:p w14:paraId="4598D234">
      <w:pPr>
        <w:pStyle w:val="45"/>
        <w:ind w:firstLine="420"/>
        <w:rPr>
          <w:rFonts w:ascii="宋体" w:hAnsi="宋体" w:eastAsia="宋体"/>
          <w:kern w:val="0"/>
          <w:szCs w:val="24"/>
          <w:highlight w:val="none"/>
        </w:rPr>
      </w:pPr>
      <w:r>
        <w:rPr>
          <w:rFonts w:hint="eastAsia" w:ascii="宋体" w:hAnsi="宋体" w:eastAsia="宋体"/>
          <w:kern w:val="0"/>
          <w:szCs w:val="24"/>
          <w:highlight w:val="none"/>
        </w:rPr>
        <w:t>1.中华人民共和国境内依法设立的法人或其他组织，经营范围中须包含类似以下至少一项内容：“技术服务、技术开发、技术咨询、数据处理服务、信息技术咨询服务”。</w:t>
      </w:r>
    </w:p>
    <w:p w14:paraId="12C4EF55">
      <w:pPr>
        <w:pStyle w:val="45"/>
        <w:ind w:firstLine="420"/>
        <w:rPr>
          <w:rFonts w:ascii="宋体" w:hAnsi="宋体" w:eastAsia="宋体"/>
          <w:kern w:val="0"/>
          <w:szCs w:val="24"/>
          <w:highlight w:val="none"/>
        </w:rPr>
      </w:pPr>
      <w:r>
        <w:rPr>
          <w:rFonts w:hint="eastAsia" w:ascii="宋体" w:hAnsi="宋体" w:eastAsia="宋体"/>
          <w:kern w:val="0"/>
          <w:szCs w:val="24"/>
          <w:highlight w:val="none"/>
        </w:rPr>
        <w:t>2.比选申请人需提供组织机构代码、税务登记证（须提供原件扫描件加盖公章，如已办理三证合一则不需提供）；</w:t>
      </w:r>
    </w:p>
    <w:p w14:paraId="281E4C93">
      <w:pPr>
        <w:pStyle w:val="45"/>
        <w:ind w:firstLine="420"/>
        <w:rPr>
          <w:rFonts w:ascii="宋体" w:hAnsi="宋体" w:eastAsia="宋体"/>
          <w:kern w:val="0"/>
          <w:szCs w:val="24"/>
          <w:highlight w:val="none"/>
        </w:rPr>
      </w:pPr>
      <w:r>
        <w:rPr>
          <w:rFonts w:hint="eastAsia" w:ascii="宋体" w:hAnsi="宋体" w:eastAsia="宋体"/>
          <w:kern w:val="0"/>
          <w:szCs w:val="24"/>
          <w:highlight w:val="none"/>
        </w:rPr>
        <w:t>3.比选申请人公司在中华人民共和国境内注册，具有独立的法人资格，能独立承担民事责任，具有从事本项目的经营范围和能力，注册资金不低于人民币500万元的企业；</w:t>
      </w:r>
    </w:p>
    <w:p w14:paraId="2D6C5BD3">
      <w:pPr>
        <w:pStyle w:val="45"/>
        <w:ind w:firstLine="420"/>
        <w:rPr>
          <w:rFonts w:ascii="宋体" w:hAnsi="宋体" w:eastAsia="宋体"/>
          <w:kern w:val="0"/>
          <w:szCs w:val="24"/>
          <w:highlight w:val="none"/>
        </w:rPr>
      </w:pPr>
      <w:r>
        <w:rPr>
          <w:rFonts w:hint="eastAsia" w:ascii="宋体" w:hAnsi="宋体" w:eastAsia="宋体"/>
          <w:kern w:val="0"/>
          <w:szCs w:val="24"/>
          <w:highlight w:val="none"/>
        </w:rPr>
        <w:t>4.比选申请人不存在下列情形之一：被责令停业的；被暂停或取消参选资格的；财产被接管或冻结的；在最近三年内有骗取中标、严重违约或违法或质量问题的；</w:t>
      </w:r>
    </w:p>
    <w:p w14:paraId="310B7EE0">
      <w:pPr>
        <w:pStyle w:val="45"/>
        <w:ind w:firstLine="420"/>
        <w:rPr>
          <w:rFonts w:ascii="宋体" w:hAnsi="宋体" w:eastAsia="宋体"/>
          <w:kern w:val="0"/>
          <w:szCs w:val="24"/>
          <w:highlight w:val="none"/>
        </w:rPr>
      </w:pPr>
      <w:r>
        <w:rPr>
          <w:rFonts w:hint="eastAsia" w:ascii="宋体" w:hAnsi="宋体" w:eastAsia="宋体"/>
          <w:kern w:val="0"/>
          <w:szCs w:val="24"/>
          <w:highlight w:val="none"/>
        </w:rPr>
        <w:t>5.法定代表人为同一个人的两个及两个以上法人，母公司与全资子公司/由其控股的子公司，不得同时参与本项目；</w:t>
      </w:r>
    </w:p>
    <w:p w14:paraId="210F2D52">
      <w:pPr>
        <w:pStyle w:val="45"/>
        <w:ind w:firstLine="420"/>
        <w:rPr>
          <w:rFonts w:ascii="宋体" w:hAnsi="宋体" w:eastAsia="宋体"/>
          <w:kern w:val="0"/>
          <w:szCs w:val="24"/>
          <w:highlight w:val="none"/>
        </w:rPr>
      </w:pPr>
      <w:r>
        <w:rPr>
          <w:rFonts w:hint="eastAsia" w:ascii="宋体" w:hAnsi="宋体" w:eastAsia="宋体"/>
          <w:kern w:val="0"/>
          <w:szCs w:val="24"/>
          <w:highlight w:val="none"/>
        </w:rPr>
        <w:t>6.本次比选不接受联合体参与。</w:t>
      </w:r>
    </w:p>
    <w:p w14:paraId="5E4A6360">
      <w:pPr>
        <w:pStyle w:val="4"/>
        <w:keepNext w:val="0"/>
        <w:keepLines w:val="0"/>
        <w:spacing w:before="0" w:after="0" w:line="360" w:lineRule="auto"/>
        <w:ind w:firstLine="482" w:firstLineChars="200"/>
        <w:rPr>
          <w:rFonts w:ascii="宋体" w:hAnsi="宋体"/>
          <w:color w:val="000000"/>
          <w:kern w:val="0"/>
          <w:sz w:val="24"/>
          <w:szCs w:val="24"/>
          <w:highlight w:val="none"/>
        </w:rPr>
      </w:pPr>
      <w:bookmarkStart w:id="168" w:name="_Toc21740"/>
      <w:r>
        <w:rPr>
          <w:rFonts w:hint="eastAsia" w:ascii="宋体" w:hAnsi="宋体"/>
          <w:color w:val="000000"/>
          <w:kern w:val="0"/>
          <w:sz w:val="24"/>
          <w:szCs w:val="24"/>
          <w:highlight w:val="none"/>
        </w:rPr>
        <w:t>2.4.质量控制要求</w:t>
      </w:r>
      <w:bookmarkEnd w:id="168"/>
    </w:p>
    <w:p w14:paraId="66D349BE">
      <w:pPr>
        <w:pStyle w:val="45"/>
        <w:ind w:firstLine="420"/>
        <w:rPr>
          <w:rFonts w:ascii="宋体" w:hAnsi="宋体" w:eastAsia="宋体" w:cs="宋体"/>
          <w:kern w:val="0"/>
          <w:szCs w:val="24"/>
          <w:highlight w:val="none"/>
        </w:rPr>
      </w:pPr>
      <w:r>
        <w:rPr>
          <w:rFonts w:hint="eastAsia" w:ascii="宋体" w:hAnsi="宋体" w:eastAsia="宋体" w:cs="宋体"/>
          <w:kern w:val="0"/>
          <w:szCs w:val="24"/>
          <w:highlight w:val="none"/>
        </w:rPr>
        <w:t>1、供应商提供的咨询人员应具备相关领域专业经验，必要时，需要通过委托人的面试来确定是否具备相关能力；</w:t>
      </w:r>
    </w:p>
    <w:p w14:paraId="52C0DF21">
      <w:pPr>
        <w:pStyle w:val="45"/>
        <w:ind w:firstLine="420"/>
        <w:rPr>
          <w:rFonts w:ascii="宋体" w:hAnsi="宋体" w:eastAsia="宋体" w:cs="宋体"/>
          <w:kern w:val="0"/>
          <w:szCs w:val="24"/>
          <w:highlight w:val="none"/>
        </w:rPr>
      </w:pPr>
      <w:r>
        <w:rPr>
          <w:rFonts w:hint="eastAsia" w:ascii="宋体" w:hAnsi="宋体" w:eastAsia="宋体" w:cs="宋体"/>
          <w:kern w:val="0"/>
          <w:szCs w:val="24"/>
          <w:highlight w:val="none"/>
        </w:rPr>
        <w:t>2、供应商需定期提交实施进度，以及下一步项目规划，并且得到委托人的认可。</w:t>
      </w:r>
    </w:p>
    <w:p w14:paraId="4C3CDE69">
      <w:pPr>
        <w:pStyle w:val="4"/>
        <w:keepNext w:val="0"/>
        <w:keepLines w:val="0"/>
        <w:spacing w:before="0" w:after="0" w:line="360" w:lineRule="auto"/>
        <w:ind w:firstLine="482" w:firstLineChars="200"/>
        <w:rPr>
          <w:rFonts w:ascii="宋体" w:hAnsi="宋体" w:cs="宋体"/>
          <w:color w:val="000000"/>
          <w:kern w:val="0"/>
          <w:sz w:val="24"/>
          <w:szCs w:val="24"/>
          <w:highlight w:val="none"/>
        </w:rPr>
      </w:pPr>
      <w:bookmarkStart w:id="169" w:name="_Toc26968"/>
      <w:r>
        <w:rPr>
          <w:rFonts w:hint="eastAsia" w:ascii="宋体" w:hAnsi="宋体" w:cs="宋体"/>
          <w:color w:val="000000"/>
          <w:kern w:val="0"/>
          <w:sz w:val="24"/>
          <w:szCs w:val="24"/>
          <w:highlight w:val="none"/>
        </w:rPr>
        <w:t>2.5.质量保证和管理措施</w:t>
      </w:r>
      <w:bookmarkEnd w:id="169"/>
    </w:p>
    <w:p w14:paraId="562D51C9">
      <w:pPr>
        <w:ind w:firstLine="420" w:firstLineChars="200"/>
        <w:rPr>
          <w:rFonts w:ascii="宋体" w:hAnsi="宋体" w:cs="宋体"/>
          <w:highlight w:val="none"/>
        </w:rPr>
      </w:pPr>
      <w:r>
        <w:rPr>
          <w:rFonts w:hint="eastAsia" w:ascii="宋体" w:hAnsi="宋体" w:cs="宋体"/>
          <w:highlight w:val="none"/>
        </w:rPr>
        <w:t>供应商应确保服务的质量达到预期标准，明确项目质量管理目标、组织机构、实施流程、对应职责及管理体系等内容，确保项目质量满足采购方的需求和期望。</w:t>
      </w:r>
    </w:p>
    <w:p w14:paraId="23A77E96">
      <w:pPr>
        <w:ind w:firstLine="420" w:firstLineChars="200"/>
        <w:rPr>
          <w:rFonts w:ascii="宋体" w:hAnsi="宋体" w:cs="宋体"/>
          <w:color w:val="FF0000"/>
          <w:highlight w:val="none"/>
        </w:rPr>
      </w:pPr>
    </w:p>
    <w:p w14:paraId="6BB00FEA">
      <w:pPr>
        <w:pStyle w:val="4"/>
        <w:keepNext w:val="0"/>
        <w:keepLines w:val="0"/>
        <w:spacing w:before="0" w:after="0" w:line="360" w:lineRule="auto"/>
        <w:ind w:firstLine="482" w:firstLineChars="200"/>
        <w:rPr>
          <w:rFonts w:ascii="宋体" w:hAnsi="宋体" w:cs="宋体"/>
          <w:kern w:val="0"/>
          <w:sz w:val="24"/>
          <w:szCs w:val="24"/>
          <w:highlight w:val="none"/>
        </w:rPr>
      </w:pPr>
      <w:bookmarkStart w:id="170" w:name="_Toc14777"/>
      <w:r>
        <w:rPr>
          <w:rFonts w:hint="eastAsia" w:ascii="宋体" w:hAnsi="宋体" w:cs="宋体"/>
          <w:kern w:val="0"/>
          <w:sz w:val="24"/>
          <w:szCs w:val="24"/>
          <w:highlight w:val="none"/>
        </w:rPr>
        <w:t>2.6.项目</w:t>
      </w:r>
      <w:bookmarkEnd w:id="170"/>
      <w:r>
        <w:rPr>
          <w:rFonts w:hint="eastAsia" w:ascii="宋体" w:hAnsi="宋体" w:cs="宋体"/>
          <w:kern w:val="0"/>
          <w:sz w:val="24"/>
          <w:szCs w:val="24"/>
          <w:highlight w:val="none"/>
        </w:rPr>
        <w:t>工作阶段</w:t>
      </w:r>
    </w:p>
    <w:p w14:paraId="5C5F7287">
      <w:pPr>
        <w:ind w:firstLine="420" w:firstLineChars="200"/>
        <w:rPr>
          <w:rFonts w:ascii="宋体" w:hAnsi="宋体" w:cs="宋体"/>
          <w:highlight w:val="none"/>
        </w:rPr>
      </w:pPr>
      <w:r>
        <w:rPr>
          <w:rFonts w:hint="eastAsia" w:ascii="宋体" w:hAnsi="宋体" w:cs="宋体"/>
          <w:highlight w:val="none"/>
        </w:rPr>
        <w:t>本项目需自合同签订后，咨询服务周期为6-8周，于签约后一周内召开项目启动会，6-8周后整体方案交付。</w:t>
      </w:r>
    </w:p>
    <w:p w14:paraId="54B97BE2">
      <w:pPr>
        <w:ind w:firstLine="420" w:firstLineChars="200"/>
        <w:rPr>
          <w:rFonts w:ascii="宋体" w:hAnsi="宋体" w:cs="宋体"/>
          <w:highlight w:val="none"/>
        </w:rPr>
      </w:pPr>
      <w:r>
        <w:rPr>
          <w:rFonts w:hint="eastAsia" w:ascii="宋体" w:hAnsi="宋体" w:cs="宋体"/>
          <w:highlight w:val="none"/>
        </w:rPr>
        <w:t>第一阶段：现状调研：2周；</w:t>
      </w:r>
    </w:p>
    <w:p w14:paraId="6AD27AF2">
      <w:pPr>
        <w:ind w:firstLine="420" w:firstLineChars="200"/>
        <w:rPr>
          <w:rFonts w:ascii="宋体" w:hAnsi="宋体" w:cs="宋体"/>
          <w:highlight w:val="none"/>
        </w:rPr>
      </w:pPr>
      <w:r>
        <w:rPr>
          <w:rFonts w:hint="eastAsia" w:ascii="宋体" w:hAnsi="宋体" w:cs="宋体"/>
          <w:highlight w:val="none"/>
        </w:rPr>
        <w:t>第二阶段：大会员体系方案及实施计划设计：4-6周；</w:t>
      </w:r>
    </w:p>
    <w:p w14:paraId="27C37AB2">
      <w:pPr>
        <w:ind w:firstLine="420" w:firstLineChars="200"/>
        <w:rPr>
          <w:rFonts w:ascii="宋体" w:hAnsi="宋体" w:cs="宋体"/>
          <w:highlight w:val="none"/>
        </w:rPr>
      </w:pPr>
      <w:r>
        <w:rPr>
          <w:rFonts w:hint="eastAsia" w:ascii="宋体" w:hAnsi="宋体" w:cs="宋体"/>
          <w:highlight w:val="none"/>
        </w:rPr>
        <w:t>供应商可以根据自身实力去规划工作时间，最终交付成功以通过委托人签收确认为准。</w:t>
      </w:r>
    </w:p>
    <w:p w14:paraId="1146BDFB">
      <w:pPr>
        <w:ind w:firstLine="420" w:firstLineChars="200"/>
        <w:rPr>
          <w:color w:val="FF0000"/>
          <w:highlight w:val="none"/>
        </w:rPr>
      </w:pPr>
    </w:p>
    <w:p w14:paraId="61F30C51">
      <w:pPr>
        <w:pStyle w:val="3"/>
        <w:jc w:val="center"/>
        <w:rPr>
          <w:rFonts w:ascii="宋体" w:hAnsi="宋体" w:eastAsia="宋体" w:cs="宋体"/>
          <w:sz w:val="28"/>
          <w:szCs w:val="28"/>
          <w:highlight w:val="none"/>
        </w:rPr>
      </w:pPr>
      <w:bookmarkStart w:id="171" w:name="_Toc3485"/>
      <w:r>
        <w:rPr>
          <w:rFonts w:hint="eastAsia" w:ascii="宋体" w:hAnsi="宋体" w:eastAsia="宋体" w:cs="宋体"/>
          <w:sz w:val="28"/>
          <w:szCs w:val="28"/>
          <w:highlight w:val="none"/>
        </w:rPr>
        <w:t>三、项目交付成果</w:t>
      </w:r>
      <w:bookmarkEnd w:id="171"/>
    </w:p>
    <w:p w14:paraId="442C59DD">
      <w:pPr>
        <w:pStyle w:val="45"/>
        <w:ind w:firstLine="420"/>
        <w:rPr>
          <w:rFonts w:ascii="宋体" w:hAnsi="宋体" w:eastAsia="宋体"/>
          <w:kern w:val="0"/>
          <w:szCs w:val="24"/>
          <w:highlight w:val="none"/>
        </w:rPr>
      </w:pPr>
      <w:r>
        <w:rPr>
          <w:rFonts w:hint="eastAsia" w:ascii="宋体" w:hAnsi="宋体" w:eastAsia="宋体"/>
          <w:kern w:val="0"/>
          <w:szCs w:val="24"/>
          <w:highlight w:val="none"/>
        </w:rPr>
        <w:t>供应商应保证在规定的时间内完成合同约定工作，并最终提供如下成果:</w:t>
      </w:r>
    </w:p>
    <w:p w14:paraId="74805656">
      <w:pPr>
        <w:pStyle w:val="45"/>
        <w:ind w:firstLine="420"/>
        <w:rPr>
          <w:rFonts w:ascii="宋体" w:hAnsi="宋体" w:eastAsia="宋体"/>
          <w:kern w:val="0"/>
          <w:szCs w:val="24"/>
          <w:highlight w:val="none"/>
        </w:rPr>
      </w:pPr>
      <w:r>
        <w:rPr>
          <w:rFonts w:hint="eastAsia" w:ascii="宋体" w:hAnsi="宋体" w:eastAsia="宋体"/>
          <w:kern w:val="0"/>
          <w:szCs w:val="24"/>
          <w:highlight w:val="none"/>
        </w:rPr>
        <w:t>1.《南宁轨道交通对客服务平台大会员现状调研与大会员建设需求分析报告》1份；</w:t>
      </w:r>
    </w:p>
    <w:p w14:paraId="7A7D2663">
      <w:pPr>
        <w:pStyle w:val="45"/>
        <w:ind w:firstLine="420"/>
        <w:rPr>
          <w:rFonts w:ascii="宋体" w:hAnsi="宋体" w:eastAsia="宋体"/>
          <w:kern w:val="0"/>
          <w:szCs w:val="24"/>
          <w:highlight w:val="none"/>
        </w:rPr>
      </w:pPr>
      <w:r>
        <w:rPr>
          <w:rFonts w:hint="eastAsia" w:ascii="宋体" w:hAnsi="宋体" w:eastAsia="宋体"/>
          <w:kern w:val="0"/>
          <w:szCs w:val="24"/>
          <w:highlight w:val="none"/>
        </w:rPr>
        <w:t>2.《南宁轨道交通对客服务平台大会员建设顶层规划报告》1份；</w:t>
      </w:r>
    </w:p>
    <w:p w14:paraId="2E369BA0">
      <w:pPr>
        <w:pStyle w:val="45"/>
        <w:ind w:firstLine="420"/>
        <w:rPr>
          <w:rFonts w:ascii="宋体" w:hAnsi="宋体" w:eastAsia="宋体"/>
          <w:kern w:val="0"/>
          <w:szCs w:val="24"/>
          <w:highlight w:val="none"/>
        </w:rPr>
      </w:pPr>
      <w:r>
        <w:rPr>
          <w:rFonts w:hint="eastAsia" w:ascii="宋体" w:hAnsi="宋体" w:eastAsia="宋体"/>
          <w:kern w:val="0"/>
          <w:szCs w:val="24"/>
          <w:highlight w:val="none"/>
        </w:rPr>
        <w:t>3.《南宁轨道交通对客服务平台大会员体系方案》1份；</w:t>
      </w:r>
    </w:p>
    <w:p w14:paraId="7FFD261C">
      <w:pPr>
        <w:pStyle w:val="45"/>
        <w:ind w:firstLine="420"/>
        <w:rPr>
          <w:rFonts w:ascii="宋体" w:hAnsi="宋体" w:eastAsia="宋体"/>
          <w:kern w:val="0"/>
          <w:szCs w:val="24"/>
          <w:highlight w:val="none"/>
        </w:rPr>
      </w:pPr>
      <w:r>
        <w:rPr>
          <w:rFonts w:hint="eastAsia" w:ascii="宋体" w:hAnsi="宋体" w:eastAsia="宋体"/>
          <w:kern w:val="0"/>
          <w:szCs w:val="24"/>
          <w:highlight w:val="none"/>
        </w:rPr>
        <w:t>4.《南宁轨道交通对客服务平台会员业务协同管理方案》1份；</w:t>
      </w:r>
    </w:p>
    <w:p w14:paraId="2DABE9F9">
      <w:pPr>
        <w:pStyle w:val="45"/>
        <w:ind w:firstLine="420"/>
        <w:rPr>
          <w:rFonts w:ascii="宋体" w:hAnsi="宋体" w:eastAsia="宋体"/>
          <w:kern w:val="0"/>
          <w:szCs w:val="24"/>
          <w:highlight w:val="none"/>
        </w:rPr>
      </w:pPr>
      <w:r>
        <w:rPr>
          <w:rFonts w:hint="eastAsia" w:ascii="宋体" w:hAnsi="宋体" w:eastAsia="宋体"/>
          <w:kern w:val="0"/>
          <w:szCs w:val="24"/>
          <w:highlight w:val="none"/>
        </w:rPr>
        <w:t>5. 《南宁轨道交通对客服务平台大会员建设实施计划表》1份；</w:t>
      </w:r>
    </w:p>
    <w:p w14:paraId="373BBB37">
      <w:pPr>
        <w:pStyle w:val="45"/>
        <w:ind w:firstLine="420"/>
        <w:rPr>
          <w:rFonts w:ascii="宋体" w:hAnsi="宋体" w:eastAsia="宋体"/>
          <w:kern w:val="0"/>
          <w:szCs w:val="24"/>
          <w:highlight w:val="none"/>
        </w:rPr>
      </w:pPr>
      <w:r>
        <w:rPr>
          <w:rFonts w:hint="eastAsia" w:ascii="宋体" w:hAnsi="宋体" w:eastAsia="宋体"/>
          <w:kern w:val="0"/>
          <w:szCs w:val="24"/>
          <w:highlight w:val="none"/>
        </w:rPr>
        <w:t>以上成果均包括电子版及纸质版。采购人对项目成果和合同履行情况进行签字验收。</w:t>
      </w:r>
    </w:p>
    <w:p w14:paraId="098A0AF2">
      <w:pPr>
        <w:pStyle w:val="45"/>
        <w:ind w:firstLine="420"/>
        <w:rPr>
          <w:rFonts w:ascii="宋体" w:hAnsi="宋体" w:eastAsia="宋体"/>
          <w:kern w:val="0"/>
          <w:szCs w:val="24"/>
          <w:highlight w:val="none"/>
        </w:rPr>
      </w:pPr>
    </w:p>
    <w:p w14:paraId="0FD290DA">
      <w:pPr>
        <w:pStyle w:val="3"/>
        <w:jc w:val="center"/>
        <w:rPr>
          <w:rFonts w:ascii="宋体" w:hAnsi="宋体" w:eastAsia="宋体"/>
          <w:kern w:val="0"/>
          <w:sz w:val="21"/>
          <w:szCs w:val="24"/>
          <w:highlight w:val="none"/>
        </w:rPr>
      </w:pPr>
      <w:bookmarkStart w:id="172" w:name="_Toc14601"/>
      <w:r>
        <w:rPr>
          <w:rFonts w:hint="eastAsia" w:ascii="宋体" w:hAnsi="宋体" w:eastAsia="宋体" w:cs="宋体"/>
          <w:sz w:val="28"/>
          <w:szCs w:val="28"/>
          <w:highlight w:val="none"/>
        </w:rPr>
        <w:t>四、验收标准</w:t>
      </w:r>
      <w:bookmarkEnd w:id="172"/>
    </w:p>
    <w:p w14:paraId="1C0BB1BF">
      <w:pPr>
        <w:ind w:firstLine="420" w:firstLineChars="200"/>
        <w:rPr>
          <w:highlight w:val="none"/>
        </w:rPr>
      </w:pPr>
      <w:r>
        <w:rPr>
          <w:rFonts w:hint="eastAsia"/>
          <w:highlight w:val="none"/>
        </w:rPr>
        <w:t>在服务期限内，提交的项目成果满足采购人合同约定需求，由采购方项目经理进行签字验收。</w:t>
      </w:r>
    </w:p>
    <w:p w14:paraId="07AEA8DC">
      <w:pPr>
        <w:pStyle w:val="3"/>
        <w:jc w:val="center"/>
        <w:rPr>
          <w:rFonts w:ascii="宋体" w:hAnsi="宋体" w:eastAsia="宋体" w:cs="宋体"/>
          <w:sz w:val="28"/>
          <w:szCs w:val="28"/>
          <w:highlight w:val="none"/>
        </w:rPr>
      </w:pPr>
      <w:bookmarkStart w:id="173" w:name="_Toc7916"/>
      <w:r>
        <w:rPr>
          <w:rFonts w:hint="eastAsia" w:ascii="宋体" w:hAnsi="宋体" w:eastAsia="宋体" w:cs="宋体"/>
          <w:sz w:val="28"/>
          <w:szCs w:val="28"/>
          <w:highlight w:val="none"/>
        </w:rPr>
        <w:t>五、其他说明</w:t>
      </w:r>
      <w:bookmarkEnd w:id="173"/>
    </w:p>
    <w:p w14:paraId="5290A370">
      <w:pPr>
        <w:pStyle w:val="4"/>
        <w:spacing w:before="0" w:after="0" w:line="360" w:lineRule="auto"/>
        <w:ind w:firstLine="482" w:firstLineChars="200"/>
        <w:rPr>
          <w:rFonts w:ascii="宋体" w:hAnsi="宋体" w:cs="宋体"/>
          <w:sz w:val="24"/>
          <w:szCs w:val="24"/>
          <w:highlight w:val="none"/>
        </w:rPr>
      </w:pPr>
      <w:bookmarkStart w:id="174" w:name="_Toc23680"/>
      <w:r>
        <w:rPr>
          <w:rFonts w:hint="eastAsia" w:ascii="宋体" w:hAnsi="宋体" w:cs="宋体"/>
          <w:sz w:val="24"/>
          <w:szCs w:val="24"/>
          <w:highlight w:val="none"/>
        </w:rPr>
        <w:t>5.1.知识产权和成果</w:t>
      </w:r>
      <w:bookmarkEnd w:id="174"/>
    </w:p>
    <w:p w14:paraId="11DADD47">
      <w:pPr>
        <w:pStyle w:val="45"/>
        <w:ind w:firstLine="420"/>
        <w:rPr>
          <w:rFonts w:ascii="宋体" w:hAnsi="宋体" w:eastAsia="宋体"/>
          <w:kern w:val="0"/>
          <w:szCs w:val="24"/>
          <w:highlight w:val="none"/>
        </w:rPr>
      </w:pPr>
      <w:r>
        <w:rPr>
          <w:rFonts w:hint="eastAsia" w:ascii="宋体" w:hAnsi="宋体" w:eastAsia="宋体"/>
          <w:kern w:val="0"/>
          <w:szCs w:val="24"/>
          <w:highlight w:val="none"/>
        </w:rPr>
        <w:t>供应商应保证所提供的所有服务涉及到的知识产权是合法取得,并享有完整的知识产权，不会因为采购人的使用而被责令停止使用、追偿或要求赔偿损失如出现此情况，一切经济和法律责任均由供应商承担。基于本项目实施所产生的所有知识产权均归采购人所有。</w:t>
      </w:r>
    </w:p>
    <w:p w14:paraId="14679B40">
      <w:pPr>
        <w:pStyle w:val="4"/>
        <w:spacing w:before="0" w:after="0" w:line="360" w:lineRule="auto"/>
        <w:ind w:firstLine="482" w:firstLineChars="200"/>
        <w:rPr>
          <w:rFonts w:ascii="宋体" w:hAnsi="宋体" w:cs="宋体"/>
          <w:sz w:val="24"/>
          <w:szCs w:val="24"/>
          <w:highlight w:val="none"/>
        </w:rPr>
      </w:pPr>
      <w:bookmarkStart w:id="175" w:name="_Toc7933"/>
      <w:r>
        <w:rPr>
          <w:rFonts w:hint="eastAsia" w:ascii="宋体" w:hAnsi="宋体" w:cs="宋体"/>
          <w:sz w:val="24"/>
          <w:szCs w:val="24"/>
          <w:highlight w:val="none"/>
        </w:rPr>
        <w:t>5.2.保密责任</w:t>
      </w:r>
      <w:bookmarkEnd w:id="175"/>
    </w:p>
    <w:p w14:paraId="65BBB167">
      <w:pPr>
        <w:pStyle w:val="45"/>
        <w:ind w:firstLine="420"/>
        <w:rPr>
          <w:rFonts w:ascii="宋体" w:hAnsi="宋体" w:eastAsia="宋体"/>
          <w:kern w:val="0"/>
          <w:szCs w:val="24"/>
          <w:highlight w:val="none"/>
        </w:rPr>
      </w:pPr>
      <w:r>
        <w:rPr>
          <w:rFonts w:hint="eastAsia" w:ascii="宋体" w:hAnsi="宋体" w:eastAsia="宋体"/>
          <w:kern w:val="0"/>
          <w:szCs w:val="24"/>
          <w:highlight w:val="none"/>
        </w:rPr>
        <w:t>供应商因本合同履行而知悉或取得的资料和信息(包括但不限于国家机密、商业秘密、个人隐私等)，应视作保密信息，供应商应尽到充分的保密义务，除非法律要求或有管辖权的法院、仲裁庭、行政主管机关明确要求或事先取得另一方的书面许可，不得将其披露给任何第三方，或用于其他用途；服务正常终止或提前终止时，供应商仍应对本合同约定的保密事项负有继续保密之义务。</w:t>
      </w:r>
    </w:p>
    <w:p w14:paraId="6C919D5F">
      <w:pPr>
        <w:pStyle w:val="4"/>
        <w:spacing w:before="0" w:after="0" w:line="360" w:lineRule="auto"/>
        <w:ind w:firstLine="482" w:firstLineChars="200"/>
        <w:rPr>
          <w:rFonts w:ascii="宋体" w:hAnsi="宋体" w:cs="宋体"/>
          <w:sz w:val="24"/>
          <w:szCs w:val="24"/>
          <w:highlight w:val="none"/>
        </w:rPr>
      </w:pPr>
      <w:bookmarkStart w:id="176" w:name="_Toc19214"/>
      <w:r>
        <w:rPr>
          <w:rFonts w:hint="eastAsia" w:ascii="宋体" w:hAnsi="宋体" w:cs="宋体"/>
          <w:sz w:val="24"/>
          <w:szCs w:val="24"/>
          <w:highlight w:val="none"/>
        </w:rPr>
        <w:t>5.3.售后服务要求</w:t>
      </w:r>
      <w:bookmarkEnd w:id="176"/>
    </w:p>
    <w:p w14:paraId="294F475D">
      <w:pPr>
        <w:pStyle w:val="45"/>
        <w:ind w:firstLine="420"/>
        <w:rPr>
          <w:rFonts w:ascii="宋体" w:hAnsi="宋体" w:eastAsia="宋体"/>
          <w:kern w:val="0"/>
          <w:szCs w:val="24"/>
          <w:highlight w:val="none"/>
        </w:rPr>
      </w:pPr>
      <w:r>
        <w:rPr>
          <w:rFonts w:hint="eastAsia" w:ascii="宋体" w:hAnsi="宋体" w:eastAsia="宋体"/>
          <w:kern w:val="0"/>
          <w:szCs w:val="24"/>
          <w:highlight w:val="none"/>
        </w:rPr>
        <w:t>在项目交付验收后，供应商须为本项目提供90天的免费售后服务，服务内容主要是协助运营人员对交付物进行理解，可以针对内容进行一对一的解答，以便运营人员后续的工作。</w:t>
      </w:r>
    </w:p>
    <w:p w14:paraId="61718C61">
      <w:pPr>
        <w:rPr>
          <w:rFonts w:ascii="宋体" w:hAnsi="宋体"/>
          <w:kern w:val="0"/>
          <w:szCs w:val="24"/>
          <w:highlight w:val="none"/>
        </w:rPr>
      </w:pPr>
      <w:r>
        <w:rPr>
          <w:rFonts w:hint="eastAsia" w:ascii="宋体" w:hAnsi="宋体"/>
          <w:kern w:val="0"/>
          <w:szCs w:val="24"/>
          <w:highlight w:val="none"/>
        </w:rPr>
        <w:br w:type="page"/>
      </w:r>
    </w:p>
    <w:p w14:paraId="5C235E05">
      <w:pPr>
        <w:pStyle w:val="2"/>
        <w:spacing w:before="0" w:line="520" w:lineRule="exact"/>
        <w:ind w:right="754"/>
        <w:jc w:val="center"/>
        <w:rPr>
          <w:sz w:val="32"/>
          <w:szCs w:val="32"/>
          <w:highlight w:val="none"/>
        </w:rPr>
      </w:pPr>
      <w:bookmarkStart w:id="177" w:name="_Toc31917"/>
      <w:bookmarkStart w:id="178" w:name="_Toc392862508"/>
      <w:r>
        <w:rPr>
          <w:rFonts w:hint="eastAsia"/>
          <w:sz w:val="32"/>
          <w:szCs w:val="32"/>
          <w:highlight w:val="none"/>
        </w:rPr>
        <w:t>第三章 比选申请文件</w:t>
      </w:r>
      <w:bookmarkEnd w:id="177"/>
    </w:p>
    <w:p w14:paraId="53DADE86">
      <w:pPr>
        <w:spacing w:after="330" w:line="520" w:lineRule="exact"/>
        <w:ind w:right="754"/>
        <w:jc w:val="center"/>
        <w:rPr>
          <w:sz w:val="32"/>
          <w:szCs w:val="32"/>
          <w:highlight w:val="none"/>
        </w:rPr>
      </w:pPr>
      <w:r>
        <w:rPr>
          <w:rFonts w:hint="eastAsia"/>
          <w:sz w:val="32"/>
          <w:szCs w:val="32"/>
          <w:highlight w:val="none"/>
        </w:rPr>
        <w:t>（封面格式）</w:t>
      </w:r>
      <w:bookmarkStart w:id="179" w:name="_Toc114052391"/>
      <w:bookmarkEnd w:id="179"/>
    </w:p>
    <w:p w14:paraId="0E97AC6D">
      <w:pPr>
        <w:spacing w:after="120"/>
        <w:jc w:val="center"/>
        <w:rPr>
          <w:rFonts w:ascii="宋体" w:hAnsi="宋体" w:cs="宋体"/>
          <w:b/>
          <w:sz w:val="36"/>
          <w:szCs w:val="36"/>
          <w:highlight w:val="none"/>
        </w:rPr>
      </w:pPr>
      <w:bookmarkStart w:id="180" w:name="_Toc1582"/>
      <w:bookmarkEnd w:id="180"/>
      <w:bookmarkStart w:id="181" w:name="_Toc461525323"/>
      <w:bookmarkEnd w:id="181"/>
      <w:bookmarkStart w:id="182" w:name="_Toc29347"/>
      <w:bookmarkEnd w:id="182"/>
      <w:bookmarkStart w:id="183" w:name="_Toc32325"/>
      <w:bookmarkEnd w:id="183"/>
      <w:bookmarkStart w:id="184" w:name="_Toc18804"/>
      <w:bookmarkEnd w:id="184"/>
      <w:bookmarkStart w:id="185" w:name="_Toc19937"/>
      <w:bookmarkEnd w:id="185"/>
      <w:bookmarkStart w:id="186" w:name="_Toc29504"/>
      <w:bookmarkEnd w:id="186"/>
      <w:bookmarkStart w:id="187" w:name="_Toc30157"/>
      <w:bookmarkEnd w:id="187"/>
      <w:bookmarkStart w:id="188" w:name="_Toc14714"/>
      <w:bookmarkEnd w:id="188"/>
      <w:bookmarkStart w:id="189" w:name="_Toc1509"/>
      <w:bookmarkEnd w:id="189"/>
      <w:bookmarkStart w:id="190" w:name="_Toc16428"/>
      <w:bookmarkEnd w:id="190"/>
      <w:bookmarkStart w:id="191" w:name="_Toc461525324"/>
      <w:bookmarkEnd w:id="191"/>
      <w:bookmarkStart w:id="192" w:name="_Toc28967"/>
      <w:bookmarkEnd w:id="192"/>
      <w:bookmarkStart w:id="193" w:name="_Toc26924"/>
      <w:bookmarkEnd w:id="193"/>
      <w:bookmarkStart w:id="194" w:name="_Toc13042"/>
      <w:bookmarkEnd w:id="194"/>
      <w:bookmarkStart w:id="195" w:name="_Toc6045"/>
      <w:bookmarkEnd w:id="195"/>
      <w:bookmarkStart w:id="196" w:name="_Toc3498"/>
      <w:bookmarkEnd w:id="196"/>
      <w:bookmarkStart w:id="197" w:name="_Toc17531"/>
      <w:bookmarkEnd w:id="197"/>
      <w:bookmarkStart w:id="198" w:name="_Toc29655"/>
      <w:bookmarkEnd w:id="198"/>
      <w:bookmarkStart w:id="199" w:name="_Toc32075"/>
      <w:bookmarkEnd w:id="199"/>
      <w:bookmarkStart w:id="200" w:name="_Toc15465"/>
      <w:bookmarkEnd w:id="200"/>
      <w:bookmarkStart w:id="201" w:name="_Toc750"/>
      <w:bookmarkEnd w:id="201"/>
      <w:bookmarkStart w:id="202" w:name="_Toc7514"/>
      <w:bookmarkEnd w:id="202"/>
      <w:bookmarkStart w:id="203" w:name="_Toc461525322"/>
      <w:bookmarkEnd w:id="203"/>
      <w:bookmarkStart w:id="204" w:name="_Toc24727"/>
      <w:bookmarkEnd w:id="204"/>
      <w:bookmarkStart w:id="205" w:name="_Toc26749"/>
      <w:bookmarkEnd w:id="205"/>
      <w:bookmarkStart w:id="206" w:name="_Toc24466"/>
      <w:bookmarkEnd w:id="206"/>
      <w:bookmarkStart w:id="207" w:name="_Toc27423"/>
      <w:bookmarkEnd w:id="207"/>
      <w:bookmarkStart w:id="208" w:name="_Toc880"/>
      <w:bookmarkEnd w:id="208"/>
      <w:bookmarkStart w:id="209" w:name="_Toc31417"/>
      <w:bookmarkEnd w:id="209"/>
      <w:bookmarkStart w:id="210" w:name="_Toc18479"/>
      <w:bookmarkEnd w:id="210"/>
      <w:bookmarkStart w:id="211" w:name="_Toc17090"/>
      <w:bookmarkEnd w:id="211"/>
      <w:bookmarkStart w:id="212" w:name="_Toc7849"/>
      <w:bookmarkEnd w:id="212"/>
      <w:bookmarkStart w:id="213" w:name="_Toc18503"/>
      <w:bookmarkEnd w:id="213"/>
      <w:bookmarkStart w:id="214" w:name="_Toc11434"/>
      <w:bookmarkEnd w:id="214"/>
      <w:bookmarkStart w:id="215" w:name="_Toc471482370"/>
      <w:bookmarkEnd w:id="215"/>
      <w:bookmarkStart w:id="216" w:name="_Toc2475"/>
      <w:bookmarkEnd w:id="216"/>
      <w:bookmarkStart w:id="217" w:name="_Toc15071"/>
      <w:bookmarkEnd w:id="217"/>
      <w:bookmarkStart w:id="218" w:name="_Toc25670"/>
      <w:bookmarkEnd w:id="218"/>
      <w:bookmarkStart w:id="219" w:name="_Toc28436"/>
      <w:bookmarkEnd w:id="219"/>
      <w:bookmarkStart w:id="220" w:name="_Toc24695"/>
      <w:bookmarkEnd w:id="220"/>
      <w:bookmarkStart w:id="221" w:name="_Toc12677"/>
      <w:bookmarkEnd w:id="221"/>
      <w:bookmarkStart w:id="222" w:name="_Toc461525329"/>
      <w:bookmarkEnd w:id="222"/>
      <w:bookmarkStart w:id="223" w:name="_Toc22529"/>
      <w:bookmarkEnd w:id="223"/>
      <w:bookmarkStart w:id="224" w:name="_Toc7760"/>
      <w:bookmarkEnd w:id="224"/>
      <w:bookmarkStart w:id="225" w:name="_Toc10669"/>
      <w:bookmarkEnd w:id="225"/>
      <w:bookmarkStart w:id="226" w:name="_Toc30136"/>
      <w:bookmarkEnd w:id="226"/>
      <w:bookmarkStart w:id="227" w:name="_Toc16191"/>
      <w:bookmarkEnd w:id="227"/>
      <w:bookmarkStart w:id="228" w:name="_Toc7031"/>
      <w:bookmarkEnd w:id="228"/>
      <w:bookmarkStart w:id="229" w:name="_Toc6606"/>
      <w:bookmarkEnd w:id="229"/>
      <w:bookmarkStart w:id="230" w:name="_Toc29495"/>
      <w:bookmarkEnd w:id="230"/>
      <w:bookmarkStart w:id="231" w:name="_Toc16756"/>
      <w:bookmarkEnd w:id="231"/>
      <w:r>
        <w:rPr>
          <w:rFonts w:hint="eastAsia" w:ascii="宋体" w:hAnsi="宋体" w:cs="宋体"/>
          <w:b/>
          <w:sz w:val="36"/>
          <w:szCs w:val="36"/>
          <w:highlight w:val="none"/>
        </w:rPr>
        <w:t>南宁轨道数智科技有限公司</w:t>
      </w:r>
    </w:p>
    <w:p w14:paraId="6BBE7ABB">
      <w:pPr>
        <w:spacing w:after="120"/>
        <w:jc w:val="center"/>
        <w:rPr>
          <w:rFonts w:ascii="宋体" w:hAnsi="宋体" w:cs="宋体"/>
          <w:b/>
          <w:sz w:val="36"/>
          <w:szCs w:val="36"/>
          <w:highlight w:val="none"/>
        </w:rPr>
      </w:pPr>
      <w:r>
        <w:rPr>
          <w:rFonts w:hint="eastAsia" w:ascii="宋体" w:hAnsi="宋体" w:cs="宋体"/>
          <w:b/>
          <w:sz w:val="36"/>
          <w:szCs w:val="36"/>
          <w:highlight w:val="none"/>
        </w:rPr>
        <w:t>南宁轨道交通对客服务平台大会员系统建设咨询服务项目比选申请文件</w:t>
      </w:r>
    </w:p>
    <w:p w14:paraId="05774D6D">
      <w:pPr>
        <w:pStyle w:val="3"/>
        <w:spacing w:before="312" w:beforeLines="100" w:after="312" w:afterLines="100" w:line="360" w:lineRule="auto"/>
        <w:ind w:right="754"/>
        <w:jc w:val="center"/>
        <w:rPr>
          <w:rFonts w:ascii="宋体" w:hAnsi="宋体" w:eastAsia="宋体" w:cs="宋体"/>
          <w:sz w:val="36"/>
          <w:szCs w:val="36"/>
          <w:highlight w:val="none"/>
        </w:rPr>
      </w:pPr>
      <w:bookmarkStart w:id="232" w:name="_Toc21765"/>
      <w:r>
        <w:rPr>
          <w:rFonts w:hint="eastAsia" w:ascii="宋体" w:hAnsi="宋体" w:eastAsia="宋体" w:cs="宋体"/>
          <w:sz w:val="36"/>
          <w:szCs w:val="36"/>
          <w:highlight w:val="none"/>
        </w:rPr>
        <w:t>资格审查部分</w:t>
      </w:r>
      <w:bookmarkEnd w:id="232"/>
    </w:p>
    <w:p w14:paraId="4CE1FAE1">
      <w:pPr>
        <w:spacing w:line="520" w:lineRule="exact"/>
        <w:ind w:right="753"/>
        <w:jc w:val="center"/>
        <w:rPr>
          <w:rFonts w:ascii="宋体" w:hAnsi="宋体" w:cs="宋体"/>
          <w:sz w:val="32"/>
          <w:szCs w:val="32"/>
          <w:highlight w:val="none"/>
        </w:rPr>
      </w:pPr>
    </w:p>
    <w:p w14:paraId="146270FE">
      <w:pPr>
        <w:spacing w:line="520" w:lineRule="exact"/>
        <w:ind w:right="753"/>
        <w:jc w:val="center"/>
        <w:rPr>
          <w:rFonts w:ascii="宋体" w:hAnsi="宋体" w:cs="宋体"/>
          <w:sz w:val="32"/>
          <w:szCs w:val="32"/>
          <w:highlight w:val="none"/>
        </w:rPr>
      </w:pPr>
      <w:r>
        <w:rPr>
          <w:rFonts w:hint="eastAsia" w:ascii="宋体" w:hAnsi="宋体" w:cs="宋体"/>
          <w:sz w:val="32"/>
          <w:szCs w:val="32"/>
          <w:highlight w:val="none"/>
        </w:rPr>
        <w:t>（正本/副本）</w:t>
      </w:r>
    </w:p>
    <w:p w14:paraId="1F957F4A">
      <w:pPr>
        <w:spacing w:line="520" w:lineRule="exact"/>
        <w:ind w:right="753"/>
        <w:rPr>
          <w:rFonts w:ascii="宋体" w:hAnsi="宋体" w:cs="宋体"/>
          <w:szCs w:val="28"/>
          <w:highlight w:val="none"/>
        </w:rPr>
      </w:pPr>
    </w:p>
    <w:p w14:paraId="45410A81">
      <w:pPr>
        <w:spacing w:line="520" w:lineRule="exact"/>
        <w:ind w:right="753"/>
        <w:rPr>
          <w:rFonts w:ascii="宋体" w:hAnsi="宋体" w:cs="宋体"/>
          <w:szCs w:val="28"/>
          <w:highlight w:val="none"/>
        </w:rPr>
      </w:pPr>
    </w:p>
    <w:p w14:paraId="6B3CE1C9">
      <w:pPr>
        <w:spacing w:line="520" w:lineRule="exact"/>
        <w:ind w:right="753"/>
        <w:rPr>
          <w:rFonts w:ascii="宋体" w:hAnsi="宋体" w:cs="宋体"/>
          <w:szCs w:val="28"/>
          <w:highlight w:val="none"/>
        </w:rPr>
      </w:pPr>
    </w:p>
    <w:p w14:paraId="19AEBD94">
      <w:pPr>
        <w:spacing w:line="520" w:lineRule="exact"/>
        <w:ind w:right="753"/>
        <w:rPr>
          <w:rFonts w:ascii="宋体" w:hAnsi="宋体" w:cs="宋体"/>
          <w:szCs w:val="28"/>
          <w:highlight w:val="none"/>
        </w:rPr>
      </w:pPr>
    </w:p>
    <w:p w14:paraId="5FAB9D6C">
      <w:pPr>
        <w:spacing w:line="520" w:lineRule="exact"/>
        <w:ind w:right="753"/>
        <w:rPr>
          <w:rFonts w:ascii="宋体" w:hAnsi="宋体" w:cs="宋体"/>
          <w:sz w:val="28"/>
          <w:szCs w:val="28"/>
          <w:highlight w:val="none"/>
        </w:rPr>
      </w:pPr>
      <w:r>
        <w:rPr>
          <w:rFonts w:hint="eastAsia" w:ascii="宋体" w:hAnsi="宋体" w:cs="宋体"/>
          <w:sz w:val="28"/>
          <w:szCs w:val="28"/>
          <w:highlight w:val="none"/>
        </w:rPr>
        <w:t xml:space="preserve">比选申请人（盖章）：                             </w:t>
      </w:r>
    </w:p>
    <w:p w14:paraId="55C31D16">
      <w:pPr>
        <w:spacing w:line="520" w:lineRule="exact"/>
        <w:ind w:right="753"/>
        <w:rPr>
          <w:rFonts w:ascii="宋体" w:hAnsi="宋体" w:cs="宋体"/>
          <w:sz w:val="28"/>
          <w:szCs w:val="28"/>
          <w:highlight w:val="none"/>
        </w:rPr>
      </w:pPr>
      <w:r>
        <w:rPr>
          <w:rFonts w:hint="eastAsia" w:ascii="宋体" w:hAnsi="宋体" w:cs="宋体"/>
          <w:sz w:val="28"/>
          <w:szCs w:val="28"/>
          <w:highlight w:val="none"/>
        </w:rPr>
        <w:t>负责人或委托代理人（签字或盖章）：</w:t>
      </w:r>
    </w:p>
    <w:p w14:paraId="393FC190">
      <w:pPr>
        <w:spacing w:line="520" w:lineRule="exact"/>
        <w:ind w:right="753"/>
        <w:rPr>
          <w:rFonts w:ascii="宋体" w:hAnsi="宋体" w:cs="宋体"/>
          <w:sz w:val="28"/>
          <w:szCs w:val="28"/>
          <w:highlight w:val="none"/>
        </w:rPr>
      </w:pPr>
      <w:r>
        <w:rPr>
          <w:rFonts w:hint="eastAsia" w:ascii="宋体" w:hAnsi="宋体" w:cs="宋体"/>
          <w:sz w:val="28"/>
          <w:szCs w:val="28"/>
          <w:highlight w:val="none"/>
        </w:rPr>
        <w:t>电话/传真：</w:t>
      </w:r>
    </w:p>
    <w:p w14:paraId="5DF192B8">
      <w:pPr>
        <w:spacing w:line="520" w:lineRule="exact"/>
        <w:ind w:right="753"/>
        <w:rPr>
          <w:rFonts w:ascii="宋体" w:hAnsi="宋体" w:cs="宋体"/>
          <w:sz w:val="28"/>
          <w:szCs w:val="28"/>
          <w:highlight w:val="none"/>
        </w:rPr>
      </w:pPr>
      <w:r>
        <w:rPr>
          <w:rFonts w:hint="eastAsia" w:ascii="宋体" w:hAnsi="宋体" w:cs="宋体"/>
          <w:sz w:val="28"/>
          <w:szCs w:val="28"/>
          <w:highlight w:val="none"/>
        </w:rPr>
        <w:t>地址：</w:t>
      </w:r>
    </w:p>
    <w:p w14:paraId="17967BC8">
      <w:pPr>
        <w:spacing w:line="520" w:lineRule="exact"/>
        <w:ind w:right="753"/>
        <w:rPr>
          <w:rFonts w:ascii="宋体" w:hAnsi="宋体" w:cs="宋体"/>
          <w:sz w:val="28"/>
          <w:szCs w:val="28"/>
          <w:highlight w:val="none"/>
        </w:rPr>
      </w:pPr>
    </w:p>
    <w:p w14:paraId="03176075">
      <w:pPr>
        <w:spacing w:line="520" w:lineRule="exact"/>
        <w:ind w:right="753"/>
        <w:rPr>
          <w:rFonts w:ascii="宋体" w:hAnsi="宋体" w:cs="宋体"/>
          <w:sz w:val="28"/>
          <w:szCs w:val="28"/>
          <w:highlight w:val="none"/>
        </w:rPr>
      </w:pPr>
    </w:p>
    <w:p w14:paraId="32DC0FD8">
      <w:pPr>
        <w:spacing w:line="520" w:lineRule="exact"/>
        <w:ind w:right="753"/>
        <w:rPr>
          <w:rFonts w:ascii="宋体" w:hAnsi="宋体" w:cs="宋体"/>
          <w:sz w:val="28"/>
          <w:szCs w:val="28"/>
          <w:highlight w:val="none"/>
        </w:rPr>
      </w:pPr>
    </w:p>
    <w:p w14:paraId="3F5892CF">
      <w:pPr>
        <w:spacing w:line="520" w:lineRule="exact"/>
        <w:ind w:right="753"/>
        <w:rPr>
          <w:rFonts w:ascii="宋体" w:hAnsi="宋体" w:cs="宋体"/>
          <w:sz w:val="28"/>
          <w:szCs w:val="28"/>
          <w:highlight w:val="none"/>
        </w:rPr>
      </w:pPr>
    </w:p>
    <w:p w14:paraId="4404E8AA">
      <w:pPr>
        <w:spacing w:line="520" w:lineRule="exact"/>
        <w:ind w:right="753"/>
        <w:jc w:val="center"/>
        <w:rPr>
          <w:rFonts w:ascii="宋体" w:hAnsi="宋体" w:cs="宋体"/>
          <w:sz w:val="28"/>
          <w:szCs w:val="28"/>
          <w:highlight w:val="none"/>
        </w:rPr>
      </w:pPr>
      <w:r>
        <w:rPr>
          <w:rFonts w:hint="eastAsia" w:ascii="宋体" w:hAnsi="宋体" w:cs="宋体"/>
          <w:sz w:val="28"/>
          <w:szCs w:val="28"/>
          <w:highlight w:val="none"/>
        </w:rPr>
        <w:t>年    月    日</w:t>
      </w:r>
    </w:p>
    <w:p w14:paraId="0B5E96F4">
      <w:pPr>
        <w:spacing w:line="520" w:lineRule="exact"/>
        <w:rPr>
          <w:rFonts w:ascii="宋体" w:hAnsi="宋体"/>
          <w:highlight w:val="none"/>
        </w:rPr>
      </w:pPr>
      <w:r>
        <w:rPr>
          <w:rFonts w:ascii="宋体" w:hAnsi="宋体"/>
          <w:highlight w:val="none"/>
        </w:rPr>
        <w:br w:type="page"/>
      </w:r>
    </w:p>
    <w:p w14:paraId="46D1D646">
      <w:pPr>
        <w:pStyle w:val="4"/>
        <w:ind w:left="630"/>
        <w:jc w:val="center"/>
        <w:rPr>
          <w:highlight w:val="none"/>
        </w:rPr>
      </w:pPr>
      <w:bookmarkStart w:id="233" w:name="_Toc6226"/>
      <w:r>
        <w:rPr>
          <w:rFonts w:hint="eastAsia"/>
          <w:highlight w:val="none"/>
        </w:rPr>
        <w:t>目录</w:t>
      </w:r>
      <w:bookmarkEnd w:id="233"/>
    </w:p>
    <w:p w14:paraId="7B1607C7">
      <w:pPr>
        <w:rPr>
          <w:highlight w:val="none"/>
        </w:rPr>
      </w:pPr>
    </w:p>
    <w:p w14:paraId="17356105">
      <w:pPr>
        <w:numPr>
          <w:ilvl w:val="0"/>
          <w:numId w:val="8"/>
        </w:numPr>
        <w:ind w:firstLine="412" w:firstLineChars="200"/>
        <w:rPr>
          <w:rFonts w:ascii="宋体" w:hAnsi="宋体"/>
          <w:color w:val="000000"/>
          <w:spacing w:val="-2"/>
          <w:szCs w:val="21"/>
          <w:highlight w:val="none"/>
        </w:rPr>
      </w:pPr>
      <w:r>
        <w:rPr>
          <w:rFonts w:hint="eastAsia" w:ascii="宋体" w:hAnsi="宋体"/>
          <w:color w:val="000000"/>
          <w:spacing w:val="-2"/>
          <w:szCs w:val="21"/>
          <w:highlight w:val="none"/>
        </w:rPr>
        <w:t>诚信声明</w:t>
      </w:r>
    </w:p>
    <w:p w14:paraId="75D7BCE1">
      <w:pPr>
        <w:numPr>
          <w:ilvl w:val="0"/>
          <w:numId w:val="8"/>
        </w:numPr>
        <w:ind w:firstLine="412" w:firstLineChars="200"/>
        <w:rPr>
          <w:rFonts w:ascii="宋体" w:hAnsi="宋体"/>
          <w:color w:val="000000"/>
          <w:spacing w:val="-2"/>
          <w:szCs w:val="21"/>
          <w:highlight w:val="none"/>
        </w:rPr>
      </w:pPr>
      <w:r>
        <w:rPr>
          <w:rFonts w:hint="eastAsia" w:ascii="宋体" w:hAnsi="宋体"/>
          <w:color w:val="000000"/>
          <w:spacing w:val="-2"/>
          <w:szCs w:val="21"/>
          <w:highlight w:val="none"/>
        </w:rPr>
        <w:t>法定代表人资格证明书</w:t>
      </w:r>
    </w:p>
    <w:p w14:paraId="7075E930">
      <w:pPr>
        <w:numPr>
          <w:ilvl w:val="0"/>
          <w:numId w:val="8"/>
        </w:numPr>
        <w:ind w:firstLine="412" w:firstLineChars="200"/>
        <w:rPr>
          <w:rFonts w:ascii="宋体" w:hAnsi="宋体"/>
          <w:color w:val="000000"/>
          <w:spacing w:val="-2"/>
          <w:szCs w:val="21"/>
          <w:highlight w:val="none"/>
        </w:rPr>
      </w:pPr>
      <w:r>
        <w:rPr>
          <w:rFonts w:hint="eastAsia" w:ascii="宋体" w:hAnsi="宋体"/>
          <w:color w:val="000000"/>
          <w:spacing w:val="-2"/>
          <w:szCs w:val="21"/>
          <w:highlight w:val="none"/>
        </w:rPr>
        <w:t>法定代表人身份证明文件（</w:t>
      </w:r>
      <w:r>
        <w:rPr>
          <w:rFonts w:hint="eastAsia" w:ascii="宋体" w:hAnsi="宋体" w:cs="宋体"/>
          <w:color w:val="000000"/>
          <w:kern w:val="0"/>
          <w:szCs w:val="21"/>
          <w:highlight w:val="none"/>
        </w:rPr>
        <w:t>原件</w:t>
      </w:r>
      <w:r>
        <w:rPr>
          <w:rFonts w:hint="eastAsia" w:ascii="宋体" w:hAnsi="宋体"/>
          <w:color w:val="000000"/>
          <w:spacing w:val="-2"/>
          <w:szCs w:val="21"/>
          <w:highlight w:val="none"/>
        </w:rPr>
        <w:t>扫描件加盖公章）</w:t>
      </w:r>
    </w:p>
    <w:p w14:paraId="767FD48A">
      <w:pPr>
        <w:numPr>
          <w:ilvl w:val="0"/>
          <w:numId w:val="8"/>
        </w:numPr>
        <w:ind w:firstLine="412" w:firstLineChars="200"/>
        <w:rPr>
          <w:rFonts w:ascii="宋体" w:hAnsi="宋体"/>
          <w:color w:val="000000"/>
          <w:spacing w:val="-2"/>
          <w:szCs w:val="21"/>
          <w:highlight w:val="none"/>
        </w:rPr>
      </w:pPr>
      <w:r>
        <w:rPr>
          <w:rFonts w:hint="eastAsia" w:ascii="宋体" w:hAnsi="宋体"/>
          <w:color w:val="000000"/>
          <w:spacing w:val="-2"/>
          <w:szCs w:val="21"/>
          <w:highlight w:val="none"/>
        </w:rPr>
        <w:t>授权委托书</w:t>
      </w:r>
    </w:p>
    <w:p w14:paraId="2109A6F3">
      <w:pPr>
        <w:numPr>
          <w:ilvl w:val="0"/>
          <w:numId w:val="8"/>
        </w:numPr>
        <w:ind w:firstLine="412" w:firstLineChars="200"/>
        <w:rPr>
          <w:rFonts w:ascii="宋体" w:hAnsi="宋体"/>
          <w:color w:val="000000"/>
          <w:spacing w:val="-2"/>
          <w:szCs w:val="21"/>
          <w:highlight w:val="none"/>
        </w:rPr>
      </w:pPr>
      <w:r>
        <w:rPr>
          <w:rFonts w:hint="eastAsia" w:ascii="宋体" w:hAnsi="宋体"/>
          <w:color w:val="000000"/>
          <w:spacing w:val="-2"/>
          <w:szCs w:val="21"/>
          <w:highlight w:val="none"/>
        </w:rPr>
        <w:t>授权代理人身份证明文件（</w:t>
      </w:r>
      <w:r>
        <w:rPr>
          <w:rFonts w:hint="eastAsia" w:ascii="宋体" w:hAnsi="宋体" w:cs="宋体"/>
          <w:color w:val="000000"/>
          <w:kern w:val="0"/>
          <w:szCs w:val="21"/>
          <w:highlight w:val="none"/>
        </w:rPr>
        <w:t>原件</w:t>
      </w:r>
      <w:r>
        <w:rPr>
          <w:rFonts w:hint="eastAsia" w:ascii="宋体" w:hAnsi="宋体"/>
          <w:color w:val="000000"/>
          <w:spacing w:val="-2"/>
          <w:szCs w:val="21"/>
          <w:highlight w:val="none"/>
        </w:rPr>
        <w:t>扫描件加盖公章）</w:t>
      </w:r>
    </w:p>
    <w:p w14:paraId="0A5672A6">
      <w:pPr>
        <w:numPr>
          <w:ilvl w:val="0"/>
          <w:numId w:val="8"/>
        </w:numPr>
        <w:ind w:firstLine="412" w:firstLineChars="200"/>
        <w:rPr>
          <w:rFonts w:ascii="宋体" w:hAnsi="宋体"/>
          <w:color w:val="000000"/>
          <w:spacing w:val="-2"/>
          <w:szCs w:val="21"/>
          <w:highlight w:val="none"/>
        </w:rPr>
      </w:pPr>
      <w:r>
        <w:rPr>
          <w:rFonts w:hint="eastAsia" w:ascii="宋体" w:hAnsi="宋体"/>
          <w:color w:val="000000"/>
          <w:spacing w:val="-2"/>
          <w:szCs w:val="21"/>
          <w:highlight w:val="none"/>
        </w:rPr>
        <w:t>营业执照副本（</w:t>
      </w:r>
      <w:r>
        <w:rPr>
          <w:rFonts w:hint="eastAsia" w:ascii="宋体" w:hAnsi="宋体" w:cs="宋体"/>
          <w:color w:val="000000"/>
          <w:kern w:val="0"/>
          <w:szCs w:val="21"/>
          <w:highlight w:val="none"/>
        </w:rPr>
        <w:t>原件</w:t>
      </w:r>
      <w:r>
        <w:rPr>
          <w:rFonts w:hint="eastAsia" w:ascii="宋体" w:hAnsi="宋体"/>
          <w:color w:val="000000"/>
          <w:spacing w:val="-2"/>
          <w:szCs w:val="21"/>
          <w:highlight w:val="none"/>
        </w:rPr>
        <w:t>扫描件加盖公章）</w:t>
      </w:r>
    </w:p>
    <w:p w14:paraId="317910E3">
      <w:pPr>
        <w:numPr>
          <w:ilvl w:val="0"/>
          <w:numId w:val="8"/>
        </w:numPr>
        <w:ind w:firstLine="412" w:firstLineChars="200"/>
        <w:rPr>
          <w:rFonts w:ascii="宋体" w:hAnsi="宋体"/>
          <w:color w:val="000000"/>
          <w:spacing w:val="-2"/>
          <w:szCs w:val="21"/>
          <w:highlight w:val="none"/>
        </w:rPr>
      </w:pPr>
      <w:r>
        <w:rPr>
          <w:rFonts w:hint="eastAsia" w:ascii="宋体" w:hAnsi="宋体"/>
          <w:color w:val="000000"/>
          <w:spacing w:val="-2"/>
          <w:szCs w:val="21"/>
          <w:highlight w:val="none"/>
        </w:rPr>
        <w:t>税务登记证、组织机构代码证（提供</w:t>
      </w:r>
      <w:r>
        <w:rPr>
          <w:rFonts w:hint="eastAsia" w:ascii="宋体" w:hAnsi="宋体" w:cs="宋体"/>
          <w:color w:val="000000"/>
          <w:kern w:val="0"/>
          <w:szCs w:val="21"/>
          <w:highlight w:val="none"/>
        </w:rPr>
        <w:t>原件扫描件</w:t>
      </w:r>
      <w:r>
        <w:rPr>
          <w:rFonts w:hint="eastAsia" w:ascii="宋体" w:hAnsi="宋体"/>
          <w:color w:val="000000"/>
          <w:spacing w:val="-2"/>
          <w:szCs w:val="21"/>
          <w:highlight w:val="none"/>
        </w:rPr>
        <w:t>加盖公章, 如已办理三证合一则不需提供）</w:t>
      </w:r>
    </w:p>
    <w:p w14:paraId="0C89B25A">
      <w:pPr>
        <w:numPr>
          <w:ilvl w:val="0"/>
          <w:numId w:val="8"/>
        </w:numPr>
        <w:ind w:firstLine="472" w:firstLineChars="200"/>
        <w:rPr>
          <w:rFonts w:ascii="宋体" w:hAnsi="宋体"/>
          <w:szCs w:val="24"/>
          <w:highlight w:val="none"/>
        </w:rPr>
      </w:pPr>
      <w:r>
        <w:rPr>
          <w:rFonts w:hint="eastAsia" w:ascii="宋体" w:hAnsi="宋体"/>
          <w:color w:val="000000"/>
          <w:spacing w:val="-2"/>
          <w:sz w:val="24"/>
          <w:szCs w:val="24"/>
          <w:highlight w:val="none"/>
        </w:rPr>
        <w:t>项目负责人相关证明材料。</w:t>
      </w:r>
    </w:p>
    <w:p w14:paraId="198BF107">
      <w:pPr>
        <w:numPr>
          <w:ilvl w:val="0"/>
          <w:numId w:val="8"/>
        </w:numPr>
        <w:ind w:firstLine="420" w:firstLineChars="200"/>
        <w:rPr>
          <w:rFonts w:ascii="宋体" w:hAnsi="宋体"/>
          <w:szCs w:val="24"/>
          <w:highlight w:val="none"/>
        </w:rPr>
      </w:pPr>
      <w:r>
        <w:rPr>
          <w:rFonts w:hint="eastAsia" w:ascii="宋体" w:hAnsi="宋体"/>
          <w:szCs w:val="24"/>
          <w:highlight w:val="none"/>
        </w:rPr>
        <w:t>联合体协议书（如有）。</w:t>
      </w:r>
    </w:p>
    <w:p w14:paraId="28AA5437">
      <w:pPr>
        <w:pStyle w:val="16"/>
        <w:spacing w:line="360" w:lineRule="auto"/>
        <w:ind w:firstLine="420" w:firstLineChars="200"/>
        <w:rPr>
          <w:highlight w:val="none"/>
        </w:rPr>
      </w:pPr>
    </w:p>
    <w:p w14:paraId="296D7E13">
      <w:pPr>
        <w:autoSpaceDE w:val="0"/>
        <w:autoSpaceDN w:val="0"/>
        <w:adjustRightInd w:val="0"/>
        <w:ind w:firstLine="420" w:firstLineChars="200"/>
        <w:rPr>
          <w:highlight w:val="none"/>
        </w:rPr>
      </w:pPr>
      <w:r>
        <w:rPr>
          <w:rFonts w:hint="eastAsia" w:ascii="宋体" w:hAnsi="宋体"/>
          <w:highlight w:val="none"/>
        </w:rPr>
        <w:t>备注：以上材料均需加盖单位公章，并按照目录顺序编排，标注页码。</w:t>
      </w:r>
      <w:r>
        <w:rPr>
          <w:rFonts w:hint="eastAsia" w:ascii="宋体" w:hAnsi="宋体"/>
          <w:bCs/>
          <w:kern w:val="0"/>
          <w:szCs w:val="21"/>
          <w:highlight w:val="none"/>
        </w:rPr>
        <w:t>如为联合体投标，以上1至7项资料联合体各方均须提供。</w:t>
      </w:r>
    </w:p>
    <w:p w14:paraId="688A6C4D">
      <w:pPr>
        <w:spacing w:line="520" w:lineRule="exact"/>
        <w:ind w:firstLine="420" w:firstLineChars="200"/>
        <w:rPr>
          <w:rFonts w:ascii="宋体" w:hAnsi="宋体"/>
          <w:highlight w:val="none"/>
        </w:rPr>
      </w:pPr>
    </w:p>
    <w:p w14:paraId="2169B82A">
      <w:pPr>
        <w:spacing w:line="520" w:lineRule="exact"/>
        <w:rPr>
          <w:rFonts w:ascii="宋体" w:hAnsi="宋体"/>
          <w:highlight w:val="none"/>
        </w:rPr>
      </w:pPr>
    </w:p>
    <w:p w14:paraId="6FCAF633">
      <w:pPr>
        <w:spacing w:line="520" w:lineRule="exact"/>
        <w:rPr>
          <w:rFonts w:ascii="宋体" w:hAnsi="宋体"/>
          <w:highlight w:val="none"/>
        </w:rPr>
      </w:pPr>
    </w:p>
    <w:p w14:paraId="585405A7">
      <w:pPr>
        <w:spacing w:line="520" w:lineRule="exact"/>
        <w:rPr>
          <w:rFonts w:ascii="宋体" w:hAnsi="宋体"/>
          <w:highlight w:val="none"/>
        </w:rPr>
      </w:pPr>
    </w:p>
    <w:p w14:paraId="2A69ACB7">
      <w:pPr>
        <w:pStyle w:val="5"/>
        <w:rPr>
          <w:highlight w:val="none"/>
        </w:rPr>
        <w:sectPr>
          <w:footerReference r:id="rId11" w:type="default"/>
          <w:pgSz w:w="11906" w:h="16838"/>
          <w:pgMar w:top="1134" w:right="1418" w:bottom="1134" w:left="1418" w:header="851" w:footer="567" w:gutter="0"/>
          <w:pgNumType w:fmt="decimal"/>
          <w:cols w:space="720" w:num="1"/>
          <w:docGrid w:type="lines" w:linePitch="312" w:charSpace="0"/>
        </w:sectPr>
      </w:pPr>
    </w:p>
    <w:p w14:paraId="3313A22D">
      <w:pPr>
        <w:pStyle w:val="5"/>
        <w:rPr>
          <w:highlight w:val="none"/>
        </w:rPr>
      </w:pPr>
      <w:r>
        <w:rPr>
          <w:highlight w:val="none"/>
        </w:rPr>
        <w:t>1.诚信声明</w:t>
      </w:r>
    </w:p>
    <w:p w14:paraId="13416CF2">
      <w:pPr>
        <w:spacing w:line="520" w:lineRule="exact"/>
        <w:ind w:firstLine="480" w:firstLineChars="200"/>
        <w:rPr>
          <w:rFonts w:ascii="宋体" w:hAnsi="宋体"/>
          <w:color w:val="000000"/>
          <w:sz w:val="24"/>
          <w:szCs w:val="24"/>
          <w:highlight w:val="none"/>
        </w:rPr>
      </w:pPr>
    </w:p>
    <w:p w14:paraId="4FFD3629">
      <w:pPr>
        <w:ind w:firstLine="480" w:firstLineChars="200"/>
        <w:rPr>
          <w:rFonts w:ascii="宋体" w:hAnsi="宋体"/>
          <w:color w:val="000000"/>
          <w:sz w:val="24"/>
          <w:szCs w:val="24"/>
          <w:highlight w:val="none"/>
        </w:rPr>
      </w:pPr>
      <w:r>
        <w:rPr>
          <w:rFonts w:hint="eastAsia" w:ascii="宋体" w:hAnsi="宋体"/>
          <w:color w:val="000000"/>
          <w:sz w:val="24"/>
          <w:szCs w:val="24"/>
          <w:highlight w:val="none"/>
        </w:rPr>
        <w:t>本人</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（身份证号码</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）郑重声明：</w:t>
      </w:r>
    </w:p>
    <w:p w14:paraId="4013B037">
      <w:pPr>
        <w:ind w:firstLine="480" w:firstLineChars="200"/>
        <w:rPr>
          <w:rFonts w:ascii="宋体" w:hAnsi="宋体"/>
          <w:color w:val="000000"/>
          <w:sz w:val="24"/>
          <w:szCs w:val="24"/>
          <w:highlight w:val="none"/>
        </w:rPr>
      </w:pPr>
      <w:r>
        <w:rPr>
          <w:rFonts w:ascii="宋体" w:hAnsi="宋体"/>
          <w:color w:val="000000"/>
          <w:sz w:val="24"/>
          <w:szCs w:val="24"/>
          <w:highlight w:val="none"/>
        </w:rPr>
        <w:t>1.本单位参加</w:t>
      </w:r>
      <w:r>
        <w:rPr>
          <w:rFonts w:hint="eastAsia" w:ascii="宋体" w:hAnsi="宋体" w:cs="宋体"/>
          <w:b/>
          <w:bCs/>
          <w:color w:val="000000"/>
          <w:sz w:val="24"/>
          <w:szCs w:val="24"/>
          <w:highlight w:val="none"/>
          <w:u w:val="single"/>
        </w:rPr>
        <w:t>南宁轨道数智科技有限公司《南宁轨道交通对客服务平台大会员系统建设咨询服务项目》</w:t>
      </w:r>
      <w:r>
        <w:rPr>
          <w:rFonts w:hint="eastAsia" w:ascii="宋体" w:hAnsi="宋体"/>
          <w:color w:val="000000"/>
          <w:sz w:val="24"/>
          <w:szCs w:val="24"/>
          <w:highlight w:val="none"/>
        </w:rPr>
        <w:t>采购比选活动所提交的所有资料、填写数据及所包含的附件资料内容是真实的、合法的、有效的；</w:t>
      </w:r>
    </w:p>
    <w:p w14:paraId="4E5C0858">
      <w:pPr>
        <w:ind w:firstLine="480" w:firstLineChars="200"/>
        <w:rPr>
          <w:rFonts w:ascii="宋体" w:hAnsi="宋体"/>
          <w:color w:val="000000"/>
          <w:sz w:val="24"/>
          <w:szCs w:val="24"/>
          <w:highlight w:val="none"/>
        </w:rPr>
      </w:pPr>
      <w:r>
        <w:rPr>
          <w:rFonts w:ascii="宋体" w:hAnsi="宋体"/>
          <w:color w:val="000000"/>
          <w:sz w:val="24"/>
          <w:szCs w:val="24"/>
          <w:highlight w:val="none"/>
        </w:rPr>
        <w:t>2.本单位未被国家、广西壮族自治区、南宁市相关行政主管部门通报停止投标活动，无犯罪行贿记录；</w:t>
      </w:r>
    </w:p>
    <w:p w14:paraId="3BB8F40E">
      <w:pPr>
        <w:ind w:firstLine="480" w:firstLineChars="200"/>
        <w:rPr>
          <w:rFonts w:ascii="宋体" w:hAnsi="宋体"/>
          <w:color w:val="000000"/>
          <w:sz w:val="24"/>
          <w:szCs w:val="24"/>
          <w:highlight w:val="none"/>
        </w:rPr>
      </w:pPr>
      <w:r>
        <w:rPr>
          <w:rFonts w:ascii="宋体" w:hAnsi="宋体"/>
          <w:color w:val="000000"/>
          <w:sz w:val="24"/>
          <w:szCs w:val="24"/>
          <w:highlight w:val="none"/>
        </w:rPr>
        <w:t>3.同时，我在此所作的声明也是真实有效的，并愿意对在比选过程中有关部门的调查结果承担责任；</w:t>
      </w:r>
    </w:p>
    <w:p w14:paraId="41779FFE">
      <w:pPr>
        <w:ind w:firstLine="480" w:firstLineChars="200"/>
        <w:rPr>
          <w:rFonts w:ascii="宋体" w:hAnsi="宋体"/>
          <w:color w:val="000000"/>
          <w:sz w:val="24"/>
          <w:szCs w:val="24"/>
          <w:highlight w:val="none"/>
        </w:rPr>
      </w:pPr>
      <w:r>
        <w:rPr>
          <w:rFonts w:ascii="宋体" w:hAnsi="宋体"/>
          <w:color w:val="000000"/>
          <w:sz w:val="24"/>
          <w:szCs w:val="24"/>
          <w:highlight w:val="none"/>
        </w:rPr>
        <w:t>4.本单位提交的所有比选申请资料如有不实，愿接受相关部门依据有关法律法规给予的处罚。</w:t>
      </w:r>
    </w:p>
    <w:p w14:paraId="2541A41F">
      <w:pPr>
        <w:ind w:firstLine="480" w:firstLineChars="200"/>
        <w:rPr>
          <w:rFonts w:ascii="宋体" w:hAnsi="宋体"/>
          <w:color w:val="000000"/>
          <w:sz w:val="24"/>
          <w:szCs w:val="24"/>
          <w:highlight w:val="none"/>
        </w:rPr>
      </w:pPr>
      <w:r>
        <w:rPr>
          <w:rFonts w:ascii="宋体" w:hAnsi="宋体"/>
          <w:color w:val="000000"/>
          <w:sz w:val="24"/>
          <w:szCs w:val="24"/>
          <w:highlight w:val="none"/>
        </w:rPr>
        <w:t>5.本单位提供的服务不存在知识产权或专利纠纷，保证甲方能正常使用本单位所提供的服务。</w:t>
      </w:r>
    </w:p>
    <w:p w14:paraId="624212B9">
      <w:pPr>
        <w:ind w:firstLine="480" w:firstLineChars="200"/>
        <w:rPr>
          <w:rStyle w:val="36"/>
          <w:rFonts w:cs="Arial"/>
          <w:b w:val="0"/>
          <w:color w:val="000000"/>
          <w:sz w:val="24"/>
          <w:szCs w:val="24"/>
          <w:highlight w:val="none"/>
        </w:rPr>
      </w:pPr>
      <w:r>
        <w:rPr>
          <w:rFonts w:ascii="宋体" w:hAnsi="宋体"/>
          <w:iCs/>
          <w:color w:val="000000"/>
          <w:sz w:val="24"/>
          <w:szCs w:val="24"/>
          <w:highlight w:val="none"/>
        </w:rPr>
        <w:t>6.本</w:t>
      </w:r>
      <w:r>
        <w:rPr>
          <w:rFonts w:hint="eastAsia" w:ascii="宋体" w:hAnsi="宋体"/>
          <w:color w:val="000000"/>
          <w:sz w:val="24"/>
          <w:szCs w:val="24"/>
          <w:highlight w:val="none"/>
        </w:rPr>
        <w:t>单位</w:t>
      </w:r>
      <w:r>
        <w:rPr>
          <w:rFonts w:hint="eastAsia" w:ascii="宋体" w:hAnsi="宋体"/>
          <w:iCs/>
          <w:color w:val="000000"/>
          <w:sz w:val="24"/>
          <w:szCs w:val="24"/>
          <w:highlight w:val="none"/>
        </w:rPr>
        <w:t>在</w:t>
      </w:r>
      <w:r>
        <w:rPr>
          <w:rStyle w:val="36"/>
          <w:rFonts w:hint="eastAsia" w:cs="Arial"/>
          <w:b w:val="0"/>
          <w:color w:val="000000"/>
          <w:sz w:val="24"/>
          <w:szCs w:val="24"/>
          <w:highlight w:val="none"/>
        </w:rPr>
        <w:t>参加本次项目前三年内，在经营活动中无违反政府采购法和其他法律法规被处罚的记录，在以往类似项目中没有负面记录、不良社会报道及法律纠纷。</w:t>
      </w:r>
    </w:p>
    <w:p w14:paraId="1BD53EC4">
      <w:pPr>
        <w:ind w:firstLine="480" w:firstLineChars="200"/>
        <w:rPr>
          <w:rFonts w:ascii="宋体" w:hAnsi="宋体" w:cs="Arial"/>
          <w:bCs/>
          <w:color w:val="000000"/>
          <w:sz w:val="24"/>
          <w:szCs w:val="24"/>
          <w:highlight w:val="none"/>
        </w:rPr>
      </w:pPr>
      <w:r>
        <w:rPr>
          <w:rStyle w:val="36"/>
          <w:rFonts w:ascii="宋体" w:hAnsi="宋体" w:cs="Arial"/>
          <w:b w:val="0"/>
          <w:color w:val="000000"/>
          <w:sz w:val="24"/>
          <w:szCs w:val="24"/>
          <w:highlight w:val="none"/>
        </w:rPr>
        <w:t>7.</w:t>
      </w:r>
      <w:r>
        <w:rPr>
          <w:rFonts w:hint="eastAsia" w:ascii="宋体" w:hAnsi="宋体"/>
          <w:iCs/>
          <w:color w:val="000000"/>
          <w:sz w:val="24"/>
          <w:szCs w:val="24"/>
          <w:highlight w:val="none"/>
        </w:rPr>
        <w:t>本</w:t>
      </w:r>
      <w:r>
        <w:rPr>
          <w:rFonts w:hint="eastAsia" w:ascii="宋体" w:hAnsi="宋体"/>
          <w:color w:val="000000"/>
          <w:sz w:val="24"/>
          <w:szCs w:val="24"/>
          <w:highlight w:val="none"/>
        </w:rPr>
        <w:t>单位具有较好的公司财务状况，具有良好的银行资信和商业信誉，没有处于被责令停业、财产被接管、冻结、破产状态，最近三年没有受到外部监管机构或行业协会的行政处罚。</w:t>
      </w:r>
    </w:p>
    <w:p w14:paraId="5ED5ACD5">
      <w:pPr>
        <w:spacing w:line="520" w:lineRule="exact"/>
        <w:ind w:firstLine="470"/>
        <w:rPr>
          <w:rFonts w:ascii="宋体" w:hAnsi="宋体"/>
          <w:color w:val="000000"/>
          <w:sz w:val="24"/>
          <w:szCs w:val="24"/>
          <w:highlight w:val="none"/>
        </w:rPr>
      </w:pPr>
    </w:p>
    <w:p w14:paraId="46545A18">
      <w:pPr>
        <w:spacing w:line="520" w:lineRule="exact"/>
        <w:ind w:firstLine="470" w:firstLineChars="196"/>
        <w:rPr>
          <w:rFonts w:ascii="宋体" w:hAnsi="宋体"/>
          <w:color w:val="000000"/>
          <w:sz w:val="24"/>
          <w:szCs w:val="24"/>
          <w:highlight w:val="none"/>
        </w:rPr>
      </w:pPr>
      <w:r>
        <w:rPr>
          <w:rFonts w:hint="eastAsia" w:ascii="宋体" w:hAnsi="宋体"/>
          <w:color w:val="000000"/>
          <w:sz w:val="24"/>
          <w:szCs w:val="24"/>
          <w:highlight w:val="none"/>
        </w:rPr>
        <w:t>（公章）</w:t>
      </w:r>
    </w:p>
    <w:p w14:paraId="2D112815">
      <w:pPr>
        <w:spacing w:line="520" w:lineRule="exact"/>
        <w:ind w:firstLine="470" w:firstLineChars="196"/>
        <w:rPr>
          <w:rFonts w:ascii="宋体" w:hAnsi="宋体"/>
          <w:color w:val="000000"/>
          <w:sz w:val="24"/>
          <w:szCs w:val="24"/>
          <w:highlight w:val="none"/>
        </w:rPr>
      </w:pPr>
    </w:p>
    <w:p w14:paraId="063B6D8C">
      <w:pPr>
        <w:spacing w:line="520" w:lineRule="exact"/>
        <w:ind w:firstLine="470" w:firstLineChars="196"/>
        <w:rPr>
          <w:rFonts w:ascii="宋体" w:hAnsi="宋体"/>
          <w:color w:val="000000"/>
          <w:sz w:val="24"/>
          <w:szCs w:val="24"/>
          <w:highlight w:val="none"/>
        </w:rPr>
      </w:pPr>
      <w:r>
        <w:rPr>
          <w:rFonts w:hint="eastAsia" w:ascii="宋体" w:hAnsi="宋体"/>
          <w:color w:val="000000"/>
          <w:sz w:val="24"/>
          <w:szCs w:val="24"/>
          <w:highlight w:val="none"/>
        </w:rPr>
        <w:t>法定代表人：</w:t>
      </w:r>
    </w:p>
    <w:p w14:paraId="30E64503">
      <w:pPr>
        <w:spacing w:line="520" w:lineRule="exact"/>
        <w:ind w:firstLine="470" w:firstLineChars="196"/>
        <w:rPr>
          <w:rFonts w:ascii="宋体" w:hAnsi="宋体"/>
          <w:color w:val="000000"/>
          <w:sz w:val="24"/>
          <w:szCs w:val="24"/>
          <w:highlight w:val="none"/>
        </w:rPr>
      </w:pPr>
    </w:p>
    <w:p w14:paraId="0CF263ED">
      <w:pPr>
        <w:spacing w:line="520" w:lineRule="exact"/>
        <w:ind w:firstLine="470" w:firstLineChars="196"/>
        <w:rPr>
          <w:color w:val="000000"/>
          <w:sz w:val="24"/>
          <w:szCs w:val="24"/>
          <w:highlight w:val="none"/>
        </w:rPr>
      </w:pPr>
      <w:r>
        <w:rPr>
          <w:rFonts w:hint="eastAsia" w:ascii="宋体" w:hAnsi="宋体"/>
          <w:color w:val="000000"/>
          <w:sz w:val="24"/>
          <w:szCs w:val="24"/>
          <w:highlight w:val="none"/>
        </w:rPr>
        <w:t xml:space="preserve">日期： </w:t>
      </w:r>
      <w:r>
        <w:rPr>
          <w:rFonts w:ascii="宋体" w:hAnsi="宋体"/>
          <w:color w:val="000000"/>
          <w:sz w:val="24"/>
          <w:szCs w:val="24"/>
          <w:highlight w:val="none"/>
        </w:rPr>
        <w:t xml:space="preserve">   </w:t>
      </w:r>
      <w:r>
        <w:rPr>
          <w:rFonts w:hint="eastAsia" w:ascii="宋体" w:hAnsi="宋体"/>
          <w:color w:val="000000"/>
          <w:sz w:val="24"/>
          <w:szCs w:val="24"/>
          <w:highlight w:val="none"/>
        </w:rPr>
        <w:t>年</w:t>
      </w:r>
      <w:r>
        <w:rPr>
          <w:rFonts w:ascii="宋体" w:hAnsi="宋体"/>
          <w:color w:val="000000"/>
          <w:sz w:val="24"/>
          <w:szCs w:val="24"/>
          <w:highlight w:val="none"/>
        </w:rPr>
        <w:t xml:space="preserve">   </w:t>
      </w:r>
      <w:r>
        <w:rPr>
          <w:rFonts w:hint="eastAsia" w:ascii="宋体" w:hAnsi="宋体"/>
          <w:color w:val="000000"/>
          <w:sz w:val="24"/>
          <w:szCs w:val="24"/>
          <w:highlight w:val="none"/>
        </w:rPr>
        <w:t>月</w:t>
      </w:r>
      <w:r>
        <w:rPr>
          <w:rFonts w:ascii="宋体" w:hAnsi="宋体"/>
          <w:color w:val="000000"/>
          <w:sz w:val="24"/>
          <w:szCs w:val="24"/>
          <w:highlight w:val="none"/>
        </w:rPr>
        <w:t xml:space="preserve">    </w:t>
      </w:r>
      <w:r>
        <w:rPr>
          <w:rFonts w:hint="eastAsia" w:ascii="宋体" w:hAnsi="宋体"/>
          <w:color w:val="000000"/>
          <w:sz w:val="24"/>
          <w:szCs w:val="24"/>
          <w:highlight w:val="none"/>
        </w:rPr>
        <w:t>日</w:t>
      </w:r>
    </w:p>
    <w:p w14:paraId="49F03AC9">
      <w:pPr>
        <w:pStyle w:val="5"/>
        <w:rPr>
          <w:highlight w:val="none"/>
        </w:rPr>
        <w:sectPr>
          <w:footerReference r:id="rId12" w:type="default"/>
          <w:pgSz w:w="11906" w:h="16838"/>
          <w:pgMar w:top="1134" w:right="1418" w:bottom="1134" w:left="1418" w:header="851" w:footer="567" w:gutter="0"/>
          <w:pgNumType w:fmt="decimal"/>
          <w:cols w:space="720" w:num="1"/>
          <w:docGrid w:type="lines" w:linePitch="312" w:charSpace="0"/>
        </w:sectPr>
      </w:pPr>
    </w:p>
    <w:p w14:paraId="200C19FF">
      <w:pPr>
        <w:pStyle w:val="5"/>
        <w:rPr>
          <w:highlight w:val="none"/>
        </w:rPr>
      </w:pPr>
      <w:r>
        <w:rPr>
          <w:highlight w:val="none"/>
        </w:rPr>
        <w:t>2.法定代表人资格证明书</w:t>
      </w:r>
    </w:p>
    <w:p w14:paraId="0B4E1179">
      <w:pPr>
        <w:rPr>
          <w:rFonts w:ascii="宋体" w:hAnsi="宋体"/>
          <w:b/>
          <w:color w:val="000000"/>
          <w:sz w:val="36"/>
          <w:highlight w:val="none"/>
        </w:rPr>
      </w:pPr>
    </w:p>
    <w:p w14:paraId="4D010D86">
      <w:pPr>
        <w:rPr>
          <w:rFonts w:ascii="宋体" w:hAnsi="宋体"/>
          <w:b/>
          <w:color w:val="000000"/>
          <w:highlight w:val="none"/>
        </w:rPr>
      </w:pPr>
    </w:p>
    <w:p w14:paraId="3C709ADB">
      <w:pPr>
        <w:spacing w:line="520" w:lineRule="atLeast"/>
        <w:rPr>
          <w:rFonts w:ascii="宋体" w:hAnsi="宋体"/>
          <w:color w:val="000000"/>
          <w:sz w:val="24"/>
          <w:szCs w:val="24"/>
          <w:highlight w:val="none"/>
        </w:rPr>
      </w:pPr>
      <w:r>
        <w:rPr>
          <w:rFonts w:hint="eastAsia" w:ascii="宋体" w:hAnsi="宋体"/>
          <w:color w:val="000000"/>
          <w:sz w:val="24"/>
          <w:szCs w:val="24"/>
          <w:highlight w:val="none"/>
        </w:rPr>
        <w:t>单位名称：</w:t>
      </w:r>
      <w:r>
        <w:rPr>
          <w:rFonts w:ascii="宋体" w:hAnsi="宋体"/>
          <w:color w:val="000000"/>
          <w:sz w:val="24"/>
          <w:szCs w:val="24"/>
          <w:highlight w:val="none"/>
          <w:u w:val="single"/>
        </w:rPr>
        <w:tab/>
      </w:r>
      <w:r>
        <w:rPr>
          <w:rFonts w:ascii="宋体" w:hAnsi="宋体"/>
          <w:color w:val="000000"/>
          <w:sz w:val="24"/>
          <w:szCs w:val="24"/>
          <w:highlight w:val="none"/>
          <w:u w:val="single"/>
        </w:rPr>
        <w:tab/>
      </w:r>
      <w:r>
        <w:rPr>
          <w:rFonts w:ascii="宋体" w:hAnsi="宋体"/>
          <w:color w:val="000000"/>
          <w:sz w:val="24"/>
          <w:szCs w:val="24"/>
          <w:highlight w:val="none"/>
          <w:u w:val="single"/>
        </w:rPr>
        <w:tab/>
      </w:r>
      <w:r>
        <w:rPr>
          <w:rFonts w:ascii="宋体" w:hAnsi="宋体"/>
          <w:color w:val="000000"/>
          <w:sz w:val="24"/>
          <w:szCs w:val="24"/>
          <w:highlight w:val="none"/>
          <w:u w:val="single"/>
        </w:rPr>
        <w:tab/>
      </w:r>
      <w:r>
        <w:rPr>
          <w:rFonts w:ascii="宋体" w:hAnsi="宋体"/>
          <w:color w:val="000000"/>
          <w:sz w:val="24"/>
          <w:szCs w:val="24"/>
          <w:highlight w:val="none"/>
          <w:u w:val="single"/>
        </w:rPr>
        <w:tab/>
      </w:r>
      <w:r>
        <w:rPr>
          <w:rFonts w:ascii="宋体" w:hAnsi="宋体"/>
          <w:color w:val="000000"/>
          <w:sz w:val="24"/>
          <w:szCs w:val="24"/>
          <w:highlight w:val="none"/>
          <w:u w:val="single"/>
        </w:rPr>
        <w:tab/>
      </w:r>
      <w:r>
        <w:rPr>
          <w:rFonts w:ascii="宋体" w:hAnsi="宋体"/>
          <w:color w:val="000000"/>
          <w:sz w:val="24"/>
          <w:szCs w:val="24"/>
          <w:highlight w:val="none"/>
          <w:u w:val="single"/>
        </w:rPr>
        <w:tab/>
      </w:r>
      <w:r>
        <w:rPr>
          <w:rFonts w:ascii="宋体" w:hAnsi="宋体"/>
          <w:color w:val="000000"/>
          <w:sz w:val="24"/>
          <w:szCs w:val="24"/>
          <w:highlight w:val="none"/>
          <w:u w:val="single"/>
        </w:rPr>
        <w:tab/>
      </w:r>
      <w:r>
        <w:rPr>
          <w:rFonts w:ascii="宋体" w:hAnsi="宋体"/>
          <w:color w:val="000000"/>
          <w:sz w:val="24"/>
          <w:szCs w:val="24"/>
          <w:highlight w:val="none"/>
          <w:u w:val="single"/>
        </w:rPr>
        <w:tab/>
      </w:r>
      <w:r>
        <w:rPr>
          <w:rFonts w:ascii="宋体" w:hAnsi="宋体"/>
          <w:color w:val="000000"/>
          <w:sz w:val="24"/>
          <w:szCs w:val="24"/>
          <w:highlight w:val="none"/>
          <w:u w:val="single"/>
        </w:rPr>
        <w:tab/>
      </w:r>
    </w:p>
    <w:p w14:paraId="46F1A0D8">
      <w:pPr>
        <w:spacing w:line="520" w:lineRule="atLeast"/>
        <w:ind w:firstLine="612"/>
        <w:rPr>
          <w:rFonts w:ascii="宋体" w:hAnsi="宋体"/>
          <w:color w:val="000000"/>
          <w:sz w:val="24"/>
          <w:szCs w:val="24"/>
          <w:highlight w:val="none"/>
        </w:rPr>
      </w:pPr>
    </w:p>
    <w:p w14:paraId="3EB45DC7">
      <w:pPr>
        <w:spacing w:line="520" w:lineRule="atLeast"/>
        <w:rPr>
          <w:rFonts w:ascii="宋体" w:hAnsi="宋体"/>
          <w:color w:val="000000"/>
          <w:sz w:val="24"/>
          <w:szCs w:val="24"/>
          <w:highlight w:val="none"/>
          <w:u w:val="single"/>
        </w:rPr>
      </w:pPr>
      <w:r>
        <w:rPr>
          <w:rFonts w:hint="eastAsia" w:ascii="宋体" w:hAnsi="宋体"/>
          <w:color w:val="000000"/>
          <w:sz w:val="24"/>
          <w:szCs w:val="24"/>
          <w:highlight w:val="none"/>
        </w:rPr>
        <w:t>单位性质：</w:t>
      </w:r>
      <w:r>
        <w:rPr>
          <w:rFonts w:ascii="宋体" w:hAnsi="宋体"/>
          <w:color w:val="000000"/>
          <w:sz w:val="24"/>
          <w:szCs w:val="24"/>
          <w:highlight w:val="none"/>
          <w:u w:val="single"/>
        </w:rPr>
        <w:tab/>
      </w:r>
      <w:r>
        <w:rPr>
          <w:rFonts w:ascii="宋体" w:hAnsi="宋体"/>
          <w:color w:val="000000"/>
          <w:sz w:val="24"/>
          <w:szCs w:val="24"/>
          <w:highlight w:val="none"/>
          <w:u w:val="single"/>
        </w:rPr>
        <w:tab/>
      </w:r>
      <w:r>
        <w:rPr>
          <w:rFonts w:ascii="宋体" w:hAnsi="宋体"/>
          <w:color w:val="000000"/>
          <w:sz w:val="24"/>
          <w:szCs w:val="24"/>
          <w:highlight w:val="none"/>
          <w:u w:val="single"/>
        </w:rPr>
        <w:tab/>
      </w:r>
      <w:r>
        <w:rPr>
          <w:rFonts w:ascii="宋体" w:hAnsi="宋体"/>
          <w:color w:val="000000"/>
          <w:sz w:val="24"/>
          <w:szCs w:val="24"/>
          <w:highlight w:val="none"/>
          <w:u w:val="single"/>
        </w:rPr>
        <w:tab/>
      </w:r>
      <w:r>
        <w:rPr>
          <w:rFonts w:ascii="宋体" w:hAnsi="宋体"/>
          <w:color w:val="000000"/>
          <w:sz w:val="24"/>
          <w:szCs w:val="24"/>
          <w:highlight w:val="none"/>
          <w:u w:val="single"/>
        </w:rPr>
        <w:tab/>
      </w:r>
      <w:r>
        <w:rPr>
          <w:rFonts w:ascii="宋体" w:hAnsi="宋体"/>
          <w:color w:val="000000"/>
          <w:sz w:val="24"/>
          <w:szCs w:val="24"/>
          <w:highlight w:val="none"/>
          <w:u w:val="single"/>
        </w:rPr>
        <w:tab/>
      </w:r>
      <w:r>
        <w:rPr>
          <w:rFonts w:ascii="宋体" w:hAnsi="宋体"/>
          <w:color w:val="000000"/>
          <w:sz w:val="24"/>
          <w:szCs w:val="24"/>
          <w:highlight w:val="none"/>
          <w:u w:val="single"/>
        </w:rPr>
        <w:tab/>
      </w:r>
      <w:r>
        <w:rPr>
          <w:rFonts w:ascii="宋体" w:hAnsi="宋体"/>
          <w:color w:val="000000"/>
          <w:sz w:val="24"/>
          <w:szCs w:val="24"/>
          <w:highlight w:val="none"/>
          <w:u w:val="single"/>
        </w:rPr>
        <w:tab/>
      </w:r>
      <w:r>
        <w:rPr>
          <w:rFonts w:ascii="宋体" w:hAnsi="宋体"/>
          <w:color w:val="000000"/>
          <w:sz w:val="24"/>
          <w:szCs w:val="24"/>
          <w:highlight w:val="none"/>
          <w:u w:val="single"/>
        </w:rPr>
        <w:tab/>
      </w:r>
      <w:r>
        <w:rPr>
          <w:rFonts w:ascii="宋体" w:hAnsi="宋体"/>
          <w:color w:val="000000"/>
          <w:sz w:val="24"/>
          <w:szCs w:val="24"/>
          <w:highlight w:val="none"/>
          <w:u w:val="single"/>
        </w:rPr>
        <w:tab/>
      </w:r>
    </w:p>
    <w:p w14:paraId="287E76EF">
      <w:pPr>
        <w:spacing w:line="520" w:lineRule="atLeast"/>
        <w:ind w:firstLine="610"/>
        <w:rPr>
          <w:rFonts w:ascii="宋体" w:hAnsi="宋体"/>
          <w:color w:val="000000"/>
          <w:sz w:val="24"/>
          <w:szCs w:val="24"/>
          <w:highlight w:val="none"/>
        </w:rPr>
      </w:pPr>
    </w:p>
    <w:p w14:paraId="16A567EC">
      <w:pPr>
        <w:spacing w:line="520" w:lineRule="atLeast"/>
        <w:rPr>
          <w:rFonts w:ascii="宋体" w:hAnsi="宋体"/>
          <w:color w:val="000000"/>
          <w:sz w:val="24"/>
          <w:szCs w:val="24"/>
          <w:highlight w:val="none"/>
          <w:u w:val="single"/>
        </w:rPr>
      </w:pPr>
      <w:r>
        <w:rPr>
          <w:rFonts w:hint="eastAsia" w:ascii="宋体" w:hAnsi="宋体"/>
          <w:color w:val="000000"/>
          <w:sz w:val="24"/>
          <w:szCs w:val="24"/>
          <w:highlight w:val="none"/>
        </w:rPr>
        <w:t>地</w:t>
      </w:r>
      <w:r>
        <w:rPr>
          <w:rFonts w:ascii="宋体" w:hAnsi="宋体"/>
          <w:color w:val="000000"/>
          <w:sz w:val="24"/>
          <w:szCs w:val="24"/>
          <w:highlight w:val="none"/>
        </w:rPr>
        <w:t xml:space="preserve">    </w:t>
      </w:r>
      <w:r>
        <w:rPr>
          <w:rFonts w:hint="eastAsia" w:ascii="宋体" w:hAnsi="宋体"/>
          <w:color w:val="000000"/>
          <w:sz w:val="24"/>
          <w:szCs w:val="24"/>
          <w:highlight w:val="none"/>
        </w:rPr>
        <w:t>址：</w:t>
      </w:r>
      <w:r>
        <w:rPr>
          <w:rFonts w:ascii="宋体" w:hAnsi="宋体"/>
          <w:color w:val="000000"/>
          <w:sz w:val="24"/>
          <w:szCs w:val="24"/>
          <w:highlight w:val="none"/>
          <w:u w:val="single"/>
        </w:rPr>
        <w:tab/>
      </w:r>
      <w:r>
        <w:rPr>
          <w:rFonts w:ascii="宋体" w:hAnsi="宋体"/>
          <w:color w:val="000000"/>
          <w:sz w:val="24"/>
          <w:szCs w:val="24"/>
          <w:highlight w:val="none"/>
          <w:u w:val="single"/>
        </w:rPr>
        <w:tab/>
      </w:r>
      <w:r>
        <w:rPr>
          <w:rFonts w:ascii="宋体" w:hAnsi="宋体"/>
          <w:color w:val="000000"/>
          <w:sz w:val="24"/>
          <w:szCs w:val="24"/>
          <w:highlight w:val="none"/>
          <w:u w:val="single"/>
        </w:rPr>
        <w:tab/>
      </w:r>
      <w:r>
        <w:rPr>
          <w:rFonts w:ascii="宋体" w:hAnsi="宋体"/>
          <w:color w:val="000000"/>
          <w:sz w:val="24"/>
          <w:szCs w:val="24"/>
          <w:highlight w:val="none"/>
          <w:u w:val="single"/>
        </w:rPr>
        <w:tab/>
      </w:r>
      <w:r>
        <w:rPr>
          <w:rFonts w:ascii="宋体" w:hAnsi="宋体"/>
          <w:color w:val="000000"/>
          <w:sz w:val="24"/>
          <w:szCs w:val="24"/>
          <w:highlight w:val="none"/>
          <w:u w:val="single"/>
        </w:rPr>
        <w:tab/>
      </w:r>
      <w:r>
        <w:rPr>
          <w:rFonts w:ascii="宋体" w:hAnsi="宋体"/>
          <w:color w:val="000000"/>
          <w:sz w:val="24"/>
          <w:szCs w:val="24"/>
          <w:highlight w:val="none"/>
          <w:u w:val="single"/>
        </w:rPr>
        <w:tab/>
      </w:r>
      <w:r>
        <w:rPr>
          <w:rFonts w:ascii="宋体" w:hAnsi="宋体"/>
          <w:color w:val="000000"/>
          <w:sz w:val="24"/>
          <w:szCs w:val="24"/>
          <w:highlight w:val="none"/>
          <w:u w:val="single"/>
        </w:rPr>
        <w:tab/>
      </w:r>
      <w:r>
        <w:rPr>
          <w:rFonts w:ascii="宋体" w:hAnsi="宋体"/>
          <w:color w:val="000000"/>
          <w:sz w:val="24"/>
          <w:szCs w:val="24"/>
          <w:highlight w:val="none"/>
          <w:u w:val="single"/>
        </w:rPr>
        <w:tab/>
      </w:r>
      <w:r>
        <w:rPr>
          <w:rFonts w:ascii="宋体" w:hAnsi="宋体"/>
          <w:color w:val="000000"/>
          <w:sz w:val="24"/>
          <w:szCs w:val="24"/>
          <w:highlight w:val="none"/>
          <w:u w:val="single"/>
        </w:rPr>
        <w:tab/>
      </w:r>
    </w:p>
    <w:p w14:paraId="62908BF1">
      <w:pPr>
        <w:spacing w:line="520" w:lineRule="atLeast"/>
        <w:ind w:firstLine="610"/>
        <w:rPr>
          <w:rFonts w:ascii="宋体" w:hAnsi="宋体"/>
          <w:color w:val="000000"/>
          <w:sz w:val="24"/>
          <w:szCs w:val="24"/>
          <w:highlight w:val="none"/>
        </w:rPr>
      </w:pPr>
    </w:p>
    <w:p w14:paraId="5E559A21">
      <w:pPr>
        <w:spacing w:line="520" w:lineRule="atLeast"/>
        <w:rPr>
          <w:rFonts w:ascii="宋体" w:hAnsi="宋体"/>
          <w:color w:val="000000"/>
          <w:sz w:val="24"/>
          <w:szCs w:val="24"/>
          <w:highlight w:val="none"/>
        </w:rPr>
      </w:pPr>
      <w:r>
        <w:rPr>
          <w:rFonts w:hint="eastAsia" w:ascii="宋体" w:hAnsi="宋体"/>
          <w:color w:val="000000"/>
          <w:sz w:val="24"/>
          <w:szCs w:val="24"/>
          <w:highlight w:val="none"/>
        </w:rPr>
        <w:t>成立时间：年月日</w:t>
      </w:r>
    </w:p>
    <w:p w14:paraId="1506CE51">
      <w:pPr>
        <w:spacing w:line="520" w:lineRule="atLeast"/>
        <w:ind w:firstLine="610"/>
        <w:rPr>
          <w:rFonts w:ascii="宋体" w:hAnsi="宋体"/>
          <w:color w:val="000000"/>
          <w:sz w:val="24"/>
          <w:szCs w:val="24"/>
          <w:highlight w:val="none"/>
        </w:rPr>
      </w:pPr>
    </w:p>
    <w:p w14:paraId="4125A33C">
      <w:pPr>
        <w:spacing w:line="520" w:lineRule="atLeast"/>
        <w:rPr>
          <w:rFonts w:ascii="宋体" w:hAnsi="宋体"/>
          <w:color w:val="000000"/>
          <w:sz w:val="24"/>
          <w:szCs w:val="24"/>
          <w:highlight w:val="none"/>
          <w:u w:val="single"/>
        </w:rPr>
      </w:pPr>
      <w:r>
        <w:rPr>
          <w:rFonts w:hint="eastAsia" w:ascii="宋体" w:hAnsi="宋体"/>
          <w:color w:val="000000"/>
          <w:sz w:val="24"/>
          <w:szCs w:val="24"/>
          <w:highlight w:val="none"/>
        </w:rPr>
        <w:t>经营期限：</w:t>
      </w:r>
      <w:r>
        <w:rPr>
          <w:rFonts w:ascii="宋体" w:hAnsi="宋体"/>
          <w:color w:val="000000"/>
          <w:sz w:val="24"/>
          <w:szCs w:val="24"/>
          <w:highlight w:val="none"/>
          <w:u w:val="single"/>
        </w:rPr>
        <w:tab/>
      </w:r>
      <w:r>
        <w:rPr>
          <w:rFonts w:ascii="宋体" w:hAnsi="宋体"/>
          <w:color w:val="000000"/>
          <w:sz w:val="24"/>
          <w:szCs w:val="24"/>
          <w:highlight w:val="none"/>
          <w:u w:val="single"/>
        </w:rPr>
        <w:tab/>
      </w:r>
    </w:p>
    <w:p w14:paraId="5BF41C45">
      <w:pPr>
        <w:spacing w:line="520" w:lineRule="atLeast"/>
        <w:ind w:firstLine="610"/>
        <w:rPr>
          <w:rFonts w:ascii="宋体" w:hAnsi="宋体"/>
          <w:color w:val="000000"/>
          <w:sz w:val="24"/>
          <w:szCs w:val="24"/>
          <w:highlight w:val="none"/>
        </w:rPr>
      </w:pPr>
    </w:p>
    <w:p w14:paraId="3EED7D5A">
      <w:pPr>
        <w:spacing w:line="520" w:lineRule="atLeast"/>
        <w:rPr>
          <w:rFonts w:ascii="宋体" w:hAnsi="宋体"/>
          <w:color w:val="000000"/>
          <w:sz w:val="24"/>
          <w:szCs w:val="24"/>
          <w:highlight w:val="none"/>
          <w:u w:val="single"/>
        </w:rPr>
      </w:pPr>
      <w:r>
        <w:rPr>
          <w:rFonts w:hint="eastAsia" w:ascii="宋体" w:hAnsi="宋体"/>
          <w:color w:val="000000"/>
          <w:sz w:val="24"/>
          <w:szCs w:val="24"/>
          <w:highlight w:val="none"/>
        </w:rPr>
        <w:t>姓名：</w:t>
      </w:r>
      <w:r>
        <w:rPr>
          <w:rFonts w:ascii="宋体" w:hAnsi="宋体"/>
          <w:color w:val="000000"/>
          <w:sz w:val="24"/>
          <w:szCs w:val="24"/>
          <w:highlight w:val="none"/>
        </w:rPr>
        <w:t xml:space="preserve">       </w:t>
      </w:r>
      <w:r>
        <w:rPr>
          <w:rFonts w:hint="eastAsia" w:ascii="宋体" w:hAnsi="宋体"/>
          <w:color w:val="000000"/>
          <w:sz w:val="24"/>
          <w:szCs w:val="24"/>
          <w:highlight w:val="none"/>
        </w:rPr>
        <w:t>性别：</w:t>
      </w:r>
      <w:r>
        <w:rPr>
          <w:rFonts w:ascii="宋体" w:hAnsi="宋体"/>
          <w:color w:val="000000"/>
          <w:sz w:val="24"/>
          <w:szCs w:val="24"/>
          <w:highlight w:val="none"/>
        </w:rPr>
        <w:t xml:space="preserve">       </w:t>
      </w:r>
      <w:r>
        <w:rPr>
          <w:rFonts w:hint="eastAsia" w:ascii="宋体" w:hAnsi="宋体"/>
          <w:color w:val="000000"/>
          <w:sz w:val="24"/>
          <w:szCs w:val="24"/>
          <w:highlight w:val="none"/>
        </w:rPr>
        <w:t>年龄：</w:t>
      </w:r>
      <w:r>
        <w:rPr>
          <w:rFonts w:ascii="宋体" w:hAnsi="宋体"/>
          <w:color w:val="000000"/>
          <w:sz w:val="24"/>
          <w:szCs w:val="24"/>
          <w:highlight w:val="none"/>
        </w:rPr>
        <w:t xml:space="preserve">       </w:t>
      </w:r>
      <w:r>
        <w:rPr>
          <w:rFonts w:hint="eastAsia" w:ascii="宋体" w:hAnsi="宋体"/>
          <w:color w:val="000000"/>
          <w:sz w:val="24"/>
          <w:szCs w:val="24"/>
          <w:highlight w:val="none"/>
        </w:rPr>
        <w:t>职务：</w:t>
      </w:r>
    </w:p>
    <w:p w14:paraId="37EEA9F5">
      <w:pPr>
        <w:spacing w:line="520" w:lineRule="atLeast"/>
        <w:ind w:firstLine="610"/>
        <w:rPr>
          <w:rFonts w:ascii="宋体" w:hAnsi="宋体"/>
          <w:color w:val="000000"/>
          <w:sz w:val="24"/>
          <w:szCs w:val="24"/>
          <w:highlight w:val="none"/>
        </w:rPr>
      </w:pPr>
    </w:p>
    <w:p w14:paraId="59FAE1B0">
      <w:pPr>
        <w:spacing w:line="520" w:lineRule="atLeast"/>
        <w:rPr>
          <w:rFonts w:ascii="宋体" w:hAnsi="宋体"/>
          <w:color w:val="000000"/>
          <w:sz w:val="24"/>
          <w:szCs w:val="24"/>
          <w:highlight w:val="none"/>
        </w:rPr>
      </w:pPr>
      <w:r>
        <w:rPr>
          <w:rFonts w:hint="eastAsia" w:ascii="宋体" w:hAnsi="宋体"/>
          <w:color w:val="000000"/>
          <w:sz w:val="24"/>
          <w:szCs w:val="24"/>
          <w:highlight w:val="none"/>
        </w:rPr>
        <w:t>系</w:t>
      </w:r>
      <w:r>
        <w:rPr>
          <w:rFonts w:ascii="宋体" w:hAnsi="宋体"/>
          <w:color w:val="000000"/>
          <w:sz w:val="24"/>
          <w:szCs w:val="24"/>
          <w:highlight w:val="none"/>
          <w:u w:val="single"/>
        </w:rPr>
        <w:t xml:space="preserve">          （比选申请人单位名称）         </w:t>
      </w:r>
      <w:r>
        <w:rPr>
          <w:rFonts w:hint="eastAsia" w:ascii="宋体" w:hAnsi="宋体"/>
          <w:color w:val="000000"/>
          <w:sz w:val="24"/>
          <w:szCs w:val="24"/>
          <w:highlight w:val="none"/>
        </w:rPr>
        <w:t>的法定代表人。</w:t>
      </w:r>
    </w:p>
    <w:p w14:paraId="08B0F3EF">
      <w:pPr>
        <w:spacing w:line="520" w:lineRule="atLeast"/>
        <w:ind w:firstLine="610"/>
        <w:rPr>
          <w:rFonts w:ascii="宋体" w:hAnsi="宋体"/>
          <w:color w:val="000000"/>
          <w:sz w:val="24"/>
          <w:szCs w:val="24"/>
          <w:highlight w:val="none"/>
        </w:rPr>
      </w:pPr>
    </w:p>
    <w:p w14:paraId="078AC6E2">
      <w:pPr>
        <w:spacing w:line="520" w:lineRule="atLeast"/>
        <w:rPr>
          <w:rFonts w:ascii="宋体" w:hAnsi="宋体"/>
          <w:color w:val="000000"/>
          <w:sz w:val="24"/>
          <w:szCs w:val="24"/>
          <w:highlight w:val="none"/>
        </w:rPr>
      </w:pPr>
      <w:r>
        <w:rPr>
          <w:rFonts w:hint="eastAsia" w:ascii="宋体" w:hAnsi="宋体"/>
          <w:color w:val="000000"/>
          <w:sz w:val="24"/>
          <w:szCs w:val="24"/>
          <w:highlight w:val="none"/>
        </w:rPr>
        <w:t>特此证明。</w:t>
      </w:r>
    </w:p>
    <w:p w14:paraId="71FC8246">
      <w:pPr>
        <w:tabs>
          <w:tab w:val="left" w:pos="720"/>
          <w:tab w:val="left" w:pos="900"/>
        </w:tabs>
        <w:spacing w:line="520" w:lineRule="atLeast"/>
        <w:rPr>
          <w:rFonts w:ascii="宋体" w:hAnsi="宋体"/>
          <w:color w:val="000000"/>
          <w:sz w:val="24"/>
          <w:szCs w:val="24"/>
          <w:highlight w:val="none"/>
        </w:rPr>
      </w:pPr>
    </w:p>
    <w:p w14:paraId="7F1E9DC7">
      <w:pPr>
        <w:tabs>
          <w:tab w:val="left" w:pos="720"/>
          <w:tab w:val="left" w:pos="900"/>
        </w:tabs>
        <w:spacing w:line="520" w:lineRule="atLeast"/>
        <w:jc w:val="center"/>
        <w:rPr>
          <w:rFonts w:ascii="宋体" w:hAnsi="宋体"/>
          <w:color w:val="000000"/>
          <w:sz w:val="24"/>
          <w:szCs w:val="24"/>
          <w:highlight w:val="none"/>
        </w:rPr>
      </w:pPr>
      <w:r>
        <w:rPr>
          <w:rFonts w:ascii="宋体" w:hAnsi="宋体"/>
          <w:color w:val="000000"/>
          <w:sz w:val="24"/>
          <w:szCs w:val="24"/>
          <w:highlight w:val="none"/>
        </w:rPr>
        <w:t xml:space="preserve">                           比选申请人：</w:t>
      </w:r>
      <w:r>
        <w:rPr>
          <w:rFonts w:ascii="宋体" w:hAnsi="宋体"/>
          <w:color w:val="000000"/>
          <w:sz w:val="24"/>
          <w:szCs w:val="24"/>
          <w:highlight w:val="none"/>
          <w:u w:val="single"/>
        </w:rPr>
        <w:t xml:space="preserve">     （盖公章）        </w:t>
      </w:r>
    </w:p>
    <w:p w14:paraId="5497E04A">
      <w:pPr>
        <w:spacing w:line="520" w:lineRule="atLeast"/>
        <w:jc w:val="center"/>
        <w:rPr>
          <w:rFonts w:ascii="宋体" w:hAnsi="宋体"/>
          <w:color w:val="000000"/>
          <w:sz w:val="24"/>
          <w:highlight w:val="none"/>
        </w:rPr>
      </w:pPr>
      <w:r>
        <w:rPr>
          <w:rFonts w:ascii="宋体" w:hAnsi="宋体"/>
          <w:color w:val="000000"/>
          <w:sz w:val="24"/>
          <w:szCs w:val="24"/>
          <w:highlight w:val="none"/>
        </w:rPr>
        <w:t xml:space="preserve">                                  日  期：        年  月  日</w:t>
      </w:r>
    </w:p>
    <w:p w14:paraId="6184609B">
      <w:pPr>
        <w:spacing w:line="520" w:lineRule="exact"/>
        <w:ind w:left="360"/>
        <w:rPr>
          <w:rFonts w:ascii="宋体" w:hAnsi="宋体"/>
          <w:highlight w:val="none"/>
        </w:rPr>
      </w:pPr>
    </w:p>
    <w:p w14:paraId="2E7AFF77">
      <w:pPr>
        <w:spacing w:line="520" w:lineRule="exact"/>
        <w:ind w:left="360"/>
        <w:rPr>
          <w:rFonts w:ascii="宋体" w:hAnsi="宋体"/>
          <w:highlight w:val="none"/>
        </w:rPr>
      </w:pPr>
    </w:p>
    <w:p w14:paraId="3FA733F3">
      <w:pPr>
        <w:spacing w:line="520" w:lineRule="exact"/>
        <w:ind w:left="360"/>
        <w:rPr>
          <w:rFonts w:ascii="宋体" w:hAnsi="宋体"/>
          <w:highlight w:val="none"/>
        </w:rPr>
      </w:pPr>
      <w:r>
        <w:rPr>
          <w:rFonts w:ascii="宋体" w:hAnsi="宋体"/>
          <w:highlight w:val="none"/>
        </w:rPr>
        <w:br w:type="page"/>
      </w:r>
    </w:p>
    <w:p w14:paraId="0C80C234">
      <w:pPr>
        <w:pStyle w:val="5"/>
        <w:rPr>
          <w:highlight w:val="none"/>
        </w:rPr>
      </w:pPr>
      <w:r>
        <w:rPr>
          <w:rFonts w:hint="eastAsia"/>
          <w:highlight w:val="none"/>
        </w:rPr>
        <w:t>3.</w:t>
      </w:r>
      <w:r>
        <w:rPr>
          <w:highlight w:val="none"/>
        </w:rPr>
        <w:t>法定代表人身份证明文件（</w:t>
      </w:r>
      <w:r>
        <w:rPr>
          <w:rFonts w:hint="eastAsia" w:ascii="宋体" w:hAnsi="宋体"/>
          <w:szCs w:val="24"/>
          <w:highlight w:val="none"/>
        </w:rPr>
        <w:t>原件扫描件加盖公章</w:t>
      </w:r>
      <w:r>
        <w:rPr>
          <w:highlight w:val="none"/>
        </w:rPr>
        <w:t>）</w:t>
      </w:r>
    </w:p>
    <w:p w14:paraId="42A6FEF6">
      <w:pPr>
        <w:spacing w:line="520" w:lineRule="exact"/>
        <w:ind w:left="360"/>
        <w:rPr>
          <w:rFonts w:ascii="宋体" w:hAnsi="宋体"/>
          <w:highlight w:val="none"/>
        </w:rPr>
      </w:pPr>
    </w:p>
    <w:p w14:paraId="1B8FF471">
      <w:pPr>
        <w:spacing w:line="520" w:lineRule="exact"/>
        <w:ind w:left="360"/>
        <w:rPr>
          <w:rFonts w:ascii="宋体" w:hAnsi="宋体"/>
          <w:highlight w:val="none"/>
        </w:rPr>
      </w:pPr>
    </w:p>
    <w:p w14:paraId="7CA15B0E">
      <w:pPr>
        <w:spacing w:line="520" w:lineRule="exact"/>
        <w:ind w:left="360"/>
        <w:rPr>
          <w:rFonts w:ascii="宋体" w:hAnsi="宋体"/>
          <w:highlight w:val="none"/>
        </w:rPr>
      </w:pPr>
    </w:p>
    <w:p w14:paraId="552F1747">
      <w:pPr>
        <w:spacing w:line="520" w:lineRule="exact"/>
        <w:ind w:left="360"/>
        <w:rPr>
          <w:rFonts w:ascii="宋体" w:hAnsi="宋体"/>
          <w:highlight w:val="none"/>
        </w:rPr>
      </w:pPr>
      <w:r>
        <w:rPr>
          <w:rFonts w:ascii="宋体" w:hAnsi="宋体"/>
          <w:highlight w:val="none"/>
        </w:rPr>
        <w:br w:type="page"/>
      </w:r>
    </w:p>
    <w:p w14:paraId="0A9CEDEA">
      <w:pPr>
        <w:pStyle w:val="5"/>
        <w:rPr>
          <w:highlight w:val="none"/>
        </w:rPr>
      </w:pPr>
      <w:r>
        <w:rPr>
          <w:rFonts w:hint="eastAsia"/>
          <w:highlight w:val="none"/>
        </w:rPr>
        <w:t>4.</w:t>
      </w:r>
      <w:r>
        <w:rPr>
          <w:rFonts w:ascii="Times New Roman" w:hAnsi="Times New Roman"/>
          <w:kern w:val="0"/>
          <w:szCs w:val="20"/>
          <w:highlight w:val="none"/>
        </w:rPr>
        <w:t>授权委托书</w:t>
      </w:r>
    </w:p>
    <w:p w14:paraId="415FEBCC">
      <w:pPr>
        <w:spacing w:line="520" w:lineRule="exact"/>
        <w:ind w:firstLine="614" w:firstLineChars="256"/>
        <w:rPr>
          <w:rFonts w:ascii="宋体" w:hAnsi="宋体"/>
          <w:color w:val="000000"/>
          <w:sz w:val="24"/>
          <w:szCs w:val="24"/>
          <w:highlight w:val="none"/>
        </w:rPr>
      </w:pPr>
    </w:p>
    <w:p w14:paraId="17E5B705">
      <w:pPr>
        <w:ind w:right="753" w:firstLine="560" w:firstLineChars="200"/>
        <w:rPr>
          <w:rFonts w:ascii="宋体" w:hAnsi="宋体" w:cs="宋体"/>
          <w:sz w:val="28"/>
          <w:szCs w:val="28"/>
          <w:highlight w:val="none"/>
        </w:rPr>
      </w:pPr>
      <w:r>
        <w:rPr>
          <w:rFonts w:hint="eastAsia" w:ascii="宋体" w:hAnsi="宋体" w:cs="宋体"/>
          <w:sz w:val="28"/>
          <w:szCs w:val="28"/>
          <w:highlight w:val="none"/>
        </w:rPr>
        <w:t xml:space="preserve">本授权委托书声明：我        系                  </w:t>
      </w:r>
    </w:p>
    <w:p w14:paraId="62AB0059">
      <w:pPr>
        <w:ind w:right="753"/>
        <w:rPr>
          <w:rFonts w:ascii="宋体" w:hAnsi="宋体" w:cs="宋体"/>
          <w:sz w:val="28"/>
          <w:szCs w:val="28"/>
          <w:highlight w:val="none"/>
        </w:rPr>
      </w:pPr>
      <w:r>
        <w:rPr>
          <w:rFonts w:hint="eastAsia" w:ascii="宋体" w:hAnsi="宋体" w:cs="宋体"/>
          <w:sz w:val="28"/>
          <w:szCs w:val="28"/>
          <w:highlight w:val="none"/>
        </w:rPr>
        <w:t xml:space="preserve">                      的法定代表人，现授权委托</w:t>
      </w:r>
    </w:p>
    <w:p w14:paraId="553945C0">
      <w:pPr>
        <w:ind w:right="753"/>
        <w:rPr>
          <w:rFonts w:ascii="宋体" w:hAnsi="宋体" w:cs="宋体"/>
          <w:sz w:val="28"/>
          <w:szCs w:val="28"/>
          <w:highlight w:val="none"/>
        </w:rPr>
      </w:pPr>
      <w:r>
        <w:rPr>
          <w:rFonts w:hint="eastAsia" w:ascii="宋体" w:hAnsi="宋体" w:cs="宋体"/>
          <w:sz w:val="28"/>
          <w:szCs w:val="28"/>
          <w:highlight w:val="none"/>
        </w:rPr>
        <w:t xml:space="preserve">                          的         为我公司代理人，以本公司名义参加                             项目的比选活动。代理人在评审、评比、合</w:t>
      </w:r>
      <w:bookmarkStart w:id="234" w:name="_Toc114052397"/>
      <w:r>
        <w:rPr>
          <w:rFonts w:hint="eastAsia" w:ascii="宋体" w:hAnsi="宋体" w:cs="宋体"/>
          <w:sz w:val="28"/>
          <w:szCs w:val="28"/>
          <w:highlight w:val="none"/>
        </w:rPr>
        <w:t>同谈判过程中所签署的一切文</w:t>
      </w:r>
      <w:bookmarkEnd w:id="234"/>
      <w:r>
        <w:rPr>
          <w:rFonts w:hint="eastAsia" w:ascii="宋体" w:hAnsi="宋体" w:cs="宋体"/>
          <w:sz w:val="28"/>
          <w:szCs w:val="28"/>
          <w:highlight w:val="none"/>
        </w:rPr>
        <w:t>件和处理与之有关的一切事务，我均予以确认。</w:t>
      </w:r>
    </w:p>
    <w:p w14:paraId="1135B46A">
      <w:pPr>
        <w:ind w:right="753"/>
        <w:rPr>
          <w:rFonts w:ascii="宋体" w:hAnsi="宋体" w:cs="宋体"/>
          <w:sz w:val="28"/>
          <w:szCs w:val="28"/>
          <w:highlight w:val="none"/>
        </w:rPr>
      </w:pPr>
    </w:p>
    <w:p w14:paraId="5456FBEE">
      <w:pPr>
        <w:ind w:right="753"/>
        <w:rPr>
          <w:rFonts w:ascii="宋体" w:hAnsi="宋体" w:cs="宋体"/>
          <w:sz w:val="28"/>
          <w:szCs w:val="28"/>
          <w:highlight w:val="none"/>
        </w:rPr>
      </w:pPr>
      <w:r>
        <w:rPr>
          <w:rFonts w:hint="eastAsia" w:ascii="宋体" w:hAnsi="宋体" w:cs="宋体"/>
          <w:sz w:val="28"/>
          <w:szCs w:val="28"/>
          <w:highlight w:val="none"/>
        </w:rPr>
        <w:t>代理人无转委权。特此委托。</w:t>
      </w:r>
    </w:p>
    <w:p w14:paraId="280BC6DC">
      <w:pPr>
        <w:ind w:right="753"/>
        <w:rPr>
          <w:rFonts w:ascii="宋体" w:hAnsi="宋体" w:cs="宋体"/>
          <w:sz w:val="28"/>
          <w:szCs w:val="28"/>
          <w:highlight w:val="none"/>
        </w:rPr>
      </w:pPr>
    </w:p>
    <w:p w14:paraId="66D8A0E3">
      <w:pPr>
        <w:ind w:right="753"/>
        <w:rPr>
          <w:rFonts w:ascii="宋体" w:hAnsi="宋体" w:cs="宋体"/>
          <w:sz w:val="28"/>
          <w:szCs w:val="28"/>
          <w:highlight w:val="none"/>
        </w:rPr>
      </w:pPr>
    </w:p>
    <w:p w14:paraId="1FA122CC">
      <w:pPr>
        <w:ind w:right="753"/>
        <w:rPr>
          <w:rFonts w:ascii="宋体" w:hAnsi="宋体" w:cs="宋体"/>
          <w:sz w:val="28"/>
          <w:szCs w:val="28"/>
          <w:highlight w:val="none"/>
        </w:rPr>
      </w:pPr>
      <w:r>
        <w:rPr>
          <w:rFonts w:hint="eastAsia" w:ascii="宋体" w:hAnsi="宋体" w:cs="宋体"/>
          <w:sz w:val="28"/>
          <w:szCs w:val="28"/>
          <w:highlight w:val="none"/>
        </w:rPr>
        <w:t>代理人：             性别：           年龄：</w:t>
      </w:r>
    </w:p>
    <w:p w14:paraId="03C0A908">
      <w:pPr>
        <w:ind w:right="753"/>
        <w:rPr>
          <w:rFonts w:ascii="宋体" w:hAnsi="宋体" w:cs="宋体"/>
          <w:sz w:val="28"/>
          <w:szCs w:val="28"/>
          <w:highlight w:val="none"/>
        </w:rPr>
      </w:pPr>
      <w:r>
        <w:rPr>
          <w:rFonts w:hint="eastAsia" w:ascii="宋体" w:hAnsi="宋体" w:cs="宋体"/>
          <w:sz w:val="28"/>
          <w:szCs w:val="28"/>
          <w:highlight w:val="none"/>
        </w:rPr>
        <w:t xml:space="preserve">单  </w:t>
      </w:r>
      <w:bookmarkStart w:id="235" w:name="_Toc114052398"/>
      <w:r>
        <w:rPr>
          <w:rFonts w:hint="eastAsia" w:ascii="宋体" w:hAnsi="宋体" w:cs="宋体"/>
          <w:sz w:val="28"/>
          <w:szCs w:val="28"/>
          <w:highlight w:val="none"/>
        </w:rPr>
        <w:t xml:space="preserve">位：          </w:t>
      </w:r>
      <w:bookmarkEnd w:id="235"/>
      <w:bookmarkStart w:id="236" w:name="_Toc114052399"/>
      <w:r>
        <w:rPr>
          <w:rFonts w:hint="eastAsia" w:ascii="宋体" w:hAnsi="宋体" w:cs="宋体"/>
          <w:sz w:val="28"/>
          <w:szCs w:val="28"/>
          <w:highlight w:val="none"/>
        </w:rPr>
        <w:t xml:space="preserve">   部门：       </w:t>
      </w:r>
      <w:bookmarkEnd w:id="236"/>
      <w:r>
        <w:rPr>
          <w:rFonts w:hint="eastAsia" w:ascii="宋体" w:hAnsi="宋体" w:cs="宋体"/>
          <w:sz w:val="28"/>
          <w:szCs w:val="28"/>
          <w:highlight w:val="none"/>
        </w:rPr>
        <w:t xml:space="preserve">    职务：</w:t>
      </w:r>
    </w:p>
    <w:p w14:paraId="11213EDF">
      <w:pPr>
        <w:ind w:right="753"/>
        <w:rPr>
          <w:rFonts w:ascii="宋体" w:hAnsi="宋体" w:cs="宋体"/>
          <w:sz w:val="28"/>
          <w:szCs w:val="28"/>
          <w:highlight w:val="none"/>
        </w:rPr>
      </w:pPr>
    </w:p>
    <w:p w14:paraId="4375B5DF">
      <w:pPr>
        <w:ind w:right="753"/>
        <w:rPr>
          <w:rFonts w:ascii="宋体" w:hAnsi="宋体" w:cs="宋体"/>
          <w:sz w:val="28"/>
          <w:szCs w:val="28"/>
          <w:highlight w:val="none"/>
        </w:rPr>
      </w:pPr>
    </w:p>
    <w:p w14:paraId="15CF0315">
      <w:pPr>
        <w:ind w:right="753"/>
        <w:rPr>
          <w:rFonts w:ascii="宋体" w:hAnsi="宋体" w:cs="宋体"/>
          <w:sz w:val="28"/>
          <w:szCs w:val="28"/>
          <w:highlight w:val="none"/>
        </w:rPr>
      </w:pPr>
    </w:p>
    <w:p w14:paraId="41B5F2A7">
      <w:pPr>
        <w:ind w:right="753"/>
        <w:rPr>
          <w:rFonts w:ascii="宋体" w:hAnsi="宋体" w:cs="宋体"/>
          <w:sz w:val="28"/>
          <w:szCs w:val="28"/>
          <w:highlight w:val="none"/>
        </w:rPr>
      </w:pPr>
      <w:r>
        <w:rPr>
          <w:rFonts w:hint="eastAsia" w:ascii="宋体" w:hAnsi="宋体" w:cs="宋体"/>
          <w:sz w:val="28"/>
          <w:szCs w:val="28"/>
          <w:highlight w:val="none"/>
        </w:rPr>
        <w:t>比选申请人：（盖章）</w:t>
      </w:r>
    </w:p>
    <w:p w14:paraId="7C2AC914">
      <w:pPr>
        <w:ind w:right="753"/>
        <w:rPr>
          <w:rFonts w:ascii="宋体" w:hAnsi="宋体" w:cs="宋体"/>
          <w:sz w:val="28"/>
          <w:szCs w:val="28"/>
          <w:highlight w:val="none"/>
        </w:rPr>
      </w:pPr>
    </w:p>
    <w:p w14:paraId="1071115C">
      <w:pPr>
        <w:ind w:right="753"/>
        <w:rPr>
          <w:rFonts w:ascii="宋体" w:hAnsi="宋体" w:cs="宋体"/>
          <w:sz w:val="28"/>
          <w:szCs w:val="28"/>
          <w:highlight w:val="none"/>
        </w:rPr>
      </w:pPr>
      <w:r>
        <w:rPr>
          <w:rFonts w:hint="eastAsia" w:ascii="宋体" w:hAnsi="宋体" w:cs="宋体"/>
          <w:sz w:val="28"/>
          <w:szCs w:val="28"/>
          <w:highlight w:val="none"/>
        </w:rPr>
        <w:t>法定代表人：（签字、盖章）</w:t>
      </w:r>
    </w:p>
    <w:p w14:paraId="5CB3AB18">
      <w:pPr>
        <w:ind w:right="753"/>
        <w:rPr>
          <w:rFonts w:ascii="宋体" w:hAnsi="宋体" w:cs="宋体"/>
          <w:sz w:val="28"/>
          <w:szCs w:val="28"/>
          <w:highlight w:val="none"/>
        </w:rPr>
      </w:pPr>
      <w:r>
        <w:rPr>
          <w:rFonts w:hint="eastAsia" w:ascii="宋体" w:hAnsi="宋体" w:cs="宋体"/>
          <w:sz w:val="28"/>
          <w:szCs w:val="28"/>
          <w:highlight w:val="none"/>
        </w:rPr>
        <w:t xml:space="preserve">日期： </w:t>
      </w:r>
      <w:bookmarkStart w:id="237" w:name="_Toc6110"/>
      <w:bookmarkStart w:id="238" w:name="_Toc333307132"/>
      <w:r>
        <w:rPr>
          <w:rFonts w:hint="eastAsia" w:ascii="宋体" w:hAnsi="宋体" w:cs="宋体"/>
          <w:sz w:val="28"/>
          <w:szCs w:val="28"/>
          <w:highlight w:val="none"/>
        </w:rPr>
        <w:t xml:space="preserve">   年</w:t>
      </w:r>
      <w:bookmarkEnd w:id="237"/>
      <w:bookmarkEnd w:id="238"/>
      <w:r>
        <w:rPr>
          <w:rFonts w:hint="eastAsia" w:ascii="宋体" w:hAnsi="宋体" w:cs="宋体"/>
          <w:sz w:val="28"/>
          <w:szCs w:val="28"/>
          <w:highlight w:val="none"/>
        </w:rPr>
        <w:t xml:space="preserve">    月    日</w:t>
      </w:r>
    </w:p>
    <w:p w14:paraId="73B7AC28">
      <w:pPr>
        <w:rPr>
          <w:rFonts w:ascii="宋体" w:hAnsi="宋体" w:cs="宋体"/>
          <w:szCs w:val="28"/>
          <w:highlight w:val="none"/>
        </w:rPr>
      </w:pPr>
    </w:p>
    <w:p w14:paraId="68545EB5">
      <w:pPr>
        <w:spacing w:line="520" w:lineRule="exact"/>
        <w:ind w:left="360"/>
        <w:rPr>
          <w:rFonts w:ascii="宋体" w:hAnsi="宋体"/>
          <w:highlight w:val="none"/>
        </w:rPr>
      </w:pPr>
      <w:r>
        <w:rPr>
          <w:rFonts w:ascii="宋体" w:hAnsi="宋体"/>
          <w:highlight w:val="none"/>
        </w:rPr>
        <w:br w:type="page"/>
      </w:r>
    </w:p>
    <w:p w14:paraId="07C2406A">
      <w:pPr>
        <w:pStyle w:val="5"/>
        <w:rPr>
          <w:highlight w:val="none"/>
        </w:rPr>
      </w:pPr>
      <w:r>
        <w:rPr>
          <w:highlight w:val="none"/>
        </w:rPr>
        <w:t>5.</w:t>
      </w:r>
      <w:r>
        <w:rPr>
          <w:rFonts w:hint="eastAsia"/>
          <w:highlight w:val="none"/>
        </w:rPr>
        <w:t>授权代理人身份证明文件（</w:t>
      </w:r>
      <w:r>
        <w:rPr>
          <w:rFonts w:hint="eastAsia" w:ascii="宋体" w:hAnsi="宋体"/>
          <w:szCs w:val="24"/>
          <w:highlight w:val="none"/>
        </w:rPr>
        <w:t>原件扫描件加盖公章</w:t>
      </w:r>
      <w:r>
        <w:rPr>
          <w:rFonts w:hint="eastAsia"/>
          <w:highlight w:val="none"/>
        </w:rPr>
        <w:t>）</w:t>
      </w:r>
    </w:p>
    <w:p w14:paraId="422DE33F">
      <w:pPr>
        <w:spacing w:line="520" w:lineRule="exact"/>
        <w:ind w:left="360"/>
        <w:rPr>
          <w:rFonts w:ascii="宋体" w:hAnsi="宋体"/>
          <w:highlight w:val="none"/>
        </w:rPr>
      </w:pPr>
    </w:p>
    <w:p w14:paraId="7573BF53">
      <w:pPr>
        <w:spacing w:line="520" w:lineRule="exact"/>
        <w:ind w:left="360"/>
        <w:rPr>
          <w:rFonts w:ascii="宋体" w:hAnsi="宋体"/>
          <w:highlight w:val="none"/>
        </w:rPr>
      </w:pPr>
    </w:p>
    <w:p w14:paraId="747FD261">
      <w:pPr>
        <w:spacing w:line="520" w:lineRule="exact"/>
        <w:ind w:left="360"/>
        <w:rPr>
          <w:rFonts w:ascii="宋体" w:hAnsi="宋体"/>
          <w:highlight w:val="none"/>
        </w:rPr>
      </w:pPr>
    </w:p>
    <w:p w14:paraId="66B6BD8F">
      <w:pPr>
        <w:spacing w:line="520" w:lineRule="exact"/>
        <w:ind w:left="360"/>
        <w:rPr>
          <w:rFonts w:ascii="宋体" w:hAnsi="宋体"/>
          <w:highlight w:val="none"/>
        </w:rPr>
      </w:pPr>
      <w:r>
        <w:rPr>
          <w:rFonts w:ascii="宋体" w:hAnsi="宋体"/>
          <w:highlight w:val="none"/>
        </w:rPr>
        <w:br w:type="page"/>
      </w:r>
    </w:p>
    <w:p w14:paraId="0B930D90">
      <w:pPr>
        <w:pStyle w:val="5"/>
        <w:rPr>
          <w:highlight w:val="none"/>
        </w:rPr>
      </w:pPr>
      <w:r>
        <w:rPr>
          <w:rFonts w:hint="eastAsia"/>
          <w:highlight w:val="none"/>
        </w:rPr>
        <w:t>6.营业执照副本（</w:t>
      </w:r>
      <w:r>
        <w:rPr>
          <w:rFonts w:hint="eastAsia" w:ascii="宋体" w:hAnsi="宋体"/>
          <w:szCs w:val="24"/>
          <w:highlight w:val="none"/>
        </w:rPr>
        <w:t>原件扫描件加盖公章</w:t>
      </w:r>
      <w:r>
        <w:rPr>
          <w:rFonts w:hint="eastAsia"/>
          <w:highlight w:val="none"/>
        </w:rPr>
        <w:t>）</w:t>
      </w:r>
    </w:p>
    <w:p w14:paraId="237C1565">
      <w:pPr>
        <w:spacing w:line="520" w:lineRule="exact"/>
        <w:ind w:left="360"/>
        <w:rPr>
          <w:rFonts w:ascii="宋体" w:hAnsi="宋体"/>
          <w:highlight w:val="none"/>
        </w:rPr>
      </w:pPr>
    </w:p>
    <w:p w14:paraId="6A4D937D">
      <w:pPr>
        <w:spacing w:line="520" w:lineRule="exact"/>
        <w:ind w:left="360"/>
        <w:rPr>
          <w:rFonts w:ascii="宋体" w:hAnsi="宋体"/>
          <w:highlight w:val="none"/>
        </w:rPr>
      </w:pPr>
    </w:p>
    <w:p w14:paraId="3D200D69">
      <w:pPr>
        <w:spacing w:line="520" w:lineRule="exact"/>
        <w:ind w:left="360"/>
        <w:rPr>
          <w:rFonts w:ascii="宋体" w:hAnsi="宋体"/>
          <w:highlight w:val="none"/>
        </w:rPr>
      </w:pPr>
    </w:p>
    <w:p w14:paraId="11AF374F">
      <w:pPr>
        <w:spacing w:line="520" w:lineRule="exact"/>
        <w:ind w:left="360"/>
        <w:rPr>
          <w:rFonts w:ascii="宋体" w:hAnsi="宋体"/>
          <w:highlight w:val="none"/>
        </w:rPr>
      </w:pPr>
      <w:r>
        <w:rPr>
          <w:rFonts w:ascii="宋体" w:hAnsi="宋体"/>
          <w:highlight w:val="none"/>
        </w:rPr>
        <w:br w:type="page"/>
      </w:r>
    </w:p>
    <w:p w14:paraId="09E99417">
      <w:pPr>
        <w:pStyle w:val="5"/>
        <w:rPr>
          <w:highlight w:val="none"/>
        </w:rPr>
      </w:pPr>
      <w:r>
        <w:rPr>
          <w:highlight w:val="none"/>
        </w:rPr>
        <w:t>7.税务登记证</w:t>
      </w:r>
      <w:r>
        <w:rPr>
          <w:rFonts w:hint="eastAsia"/>
          <w:highlight w:val="none"/>
        </w:rPr>
        <w:t>、组织机构代码证</w:t>
      </w:r>
      <w:r>
        <w:rPr>
          <w:highlight w:val="none"/>
        </w:rPr>
        <w:t>（</w:t>
      </w:r>
      <w:r>
        <w:rPr>
          <w:rFonts w:hint="eastAsia" w:ascii="宋体" w:hAnsi="宋体"/>
          <w:szCs w:val="24"/>
          <w:highlight w:val="none"/>
        </w:rPr>
        <w:t>原件扫描件加盖公章</w:t>
      </w:r>
      <w:r>
        <w:rPr>
          <w:rFonts w:hint="eastAsia" w:ascii="Times New Roman" w:hAnsi="Times New Roman"/>
          <w:kern w:val="0"/>
          <w:szCs w:val="20"/>
          <w:highlight w:val="none"/>
        </w:rPr>
        <w:t>, 如已办理三证合一则不需提供</w:t>
      </w:r>
      <w:r>
        <w:rPr>
          <w:highlight w:val="none"/>
        </w:rPr>
        <w:t>）</w:t>
      </w:r>
    </w:p>
    <w:p w14:paraId="60E2E748">
      <w:pPr>
        <w:spacing w:line="520" w:lineRule="exact"/>
        <w:ind w:right="753"/>
        <w:rPr>
          <w:rFonts w:ascii="宋体" w:hAnsi="宋体" w:cs="宋体"/>
          <w:b/>
          <w:sz w:val="32"/>
          <w:szCs w:val="32"/>
          <w:highlight w:val="none"/>
        </w:rPr>
      </w:pPr>
    </w:p>
    <w:p w14:paraId="7BCFA672">
      <w:pPr>
        <w:spacing w:line="520" w:lineRule="exact"/>
        <w:ind w:right="753"/>
        <w:rPr>
          <w:rFonts w:ascii="宋体" w:hAnsi="宋体" w:cs="宋体"/>
          <w:b/>
          <w:sz w:val="32"/>
          <w:szCs w:val="32"/>
          <w:highlight w:val="none"/>
        </w:rPr>
      </w:pPr>
    </w:p>
    <w:p w14:paraId="683155D4">
      <w:pPr>
        <w:spacing w:line="520" w:lineRule="exact"/>
        <w:ind w:right="753"/>
        <w:rPr>
          <w:rFonts w:ascii="宋体" w:hAnsi="宋体" w:cs="宋体"/>
          <w:b/>
          <w:sz w:val="32"/>
          <w:szCs w:val="32"/>
          <w:highlight w:val="none"/>
        </w:rPr>
      </w:pPr>
    </w:p>
    <w:p w14:paraId="47B68DF1">
      <w:pPr>
        <w:spacing w:line="520" w:lineRule="exact"/>
        <w:ind w:right="753"/>
        <w:rPr>
          <w:rFonts w:ascii="宋体" w:hAnsi="宋体" w:cs="宋体"/>
          <w:b/>
          <w:sz w:val="32"/>
          <w:szCs w:val="32"/>
          <w:highlight w:val="none"/>
        </w:rPr>
      </w:pPr>
      <w:r>
        <w:rPr>
          <w:rFonts w:ascii="宋体" w:hAnsi="宋体" w:cs="宋体"/>
          <w:b/>
          <w:sz w:val="32"/>
          <w:szCs w:val="32"/>
          <w:highlight w:val="none"/>
        </w:rPr>
        <w:br w:type="page"/>
      </w:r>
    </w:p>
    <w:p w14:paraId="41702DEB">
      <w:pPr>
        <w:pStyle w:val="5"/>
        <w:numPr>
          <w:ilvl w:val="0"/>
          <w:numId w:val="9"/>
        </w:numPr>
        <w:rPr>
          <w:highlight w:val="none"/>
        </w:rPr>
      </w:pPr>
      <w:bookmarkStart w:id="239" w:name="_Toc86155551"/>
      <w:r>
        <w:rPr>
          <w:rFonts w:hint="eastAsia"/>
          <w:highlight w:val="none"/>
        </w:rPr>
        <w:t>项目负责人相关证明材料</w:t>
      </w:r>
      <w:bookmarkEnd w:id="239"/>
    </w:p>
    <w:p w14:paraId="079E6246">
      <w:pPr>
        <w:rPr>
          <w:highlight w:val="none"/>
        </w:rPr>
      </w:pPr>
    </w:p>
    <w:p w14:paraId="622CB8FF">
      <w:pPr>
        <w:rPr>
          <w:highlight w:val="none"/>
        </w:rPr>
      </w:pPr>
    </w:p>
    <w:p w14:paraId="68C1F6DC">
      <w:pPr>
        <w:rPr>
          <w:highlight w:val="none"/>
        </w:rPr>
      </w:pPr>
    </w:p>
    <w:p w14:paraId="74284929">
      <w:pPr>
        <w:rPr>
          <w:highlight w:val="none"/>
        </w:rPr>
      </w:pPr>
    </w:p>
    <w:p w14:paraId="488B91AC">
      <w:pPr>
        <w:rPr>
          <w:highlight w:val="none"/>
        </w:rPr>
      </w:pPr>
    </w:p>
    <w:p w14:paraId="2D603CFE">
      <w:pPr>
        <w:rPr>
          <w:highlight w:val="none"/>
        </w:rPr>
      </w:pPr>
    </w:p>
    <w:p w14:paraId="60109704">
      <w:pPr>
        <w:rPr>
          <w:highlight w:val="none"/>
        </w:rPr>
      </w:pPr>
    </w:p>
    <w:p w14:paraId="777E5DE0">
      <w:pPr>
        <w:rPr>
          <w:highlight w:val="none"/>
        </w:rPr>
      </w:pPr>
    </w:p>
    <w:p w14:paraId="45E44A05">
      <w:pPr>
        <w:rPr>
          <w:highlight w:val="none"/>
        </w:rPr>
      </w:pPr>
    </w:p>
    <w:p w14:paraId="61F86E2B">
      <w:pPr>
        <w:rPr>
          <w:highlight w:val="none"/>
        </w:rPr>
      </w:pPr>
    </w:p>
    <w:p w14:paraId="12A744FC">
      <w:pPr>
        <w:rPr>
          <w:highlight w:val="none"/>
        </w:rPr>
      </w:pPr>
    </w:p>
    <w:p w14:paraId="360E3776">
      <w:pPr>
        <w:rPr>
          <w:highlight w:val="none"/>
        </w:rPr>
      </w:pPr>
    </w:p>
    <w:p w14:paraId="5A728162">
      <w:pPr>
        <w:rPr>
          <w:highlight w:val="none"/>
        </w:rPr>
      </w:pPr>
    </w:p>
    <w:p w14:paraId="75DA6C6F">
      <w:pPr>
        <w:rPr>
          <w:highlight w:val="none"/>
        </w:rPr>
      </w:pPr>
    </w:p>
    <w:p w14:paraId="577EC460">
      <w:pPr>
        <w:rPr>
          <w:highlight w:val="none"/>
        </w:rPr>
      </w:pPr>
    </w:p>
    <w:p w14:paraId="35408000">
      <w:pPr>
        <w:spacing w:line="520" w:lineRule="exact"/>
        <w:ind w:right="753"/>
        <w:rPr>
          <w:rFonts w:ascii="Times New Roman" w:hAnsi="Times New Roman"/>
          <w:kern w:val="0"/>
          <w:sz w:val="28"/>
          <w:szCs w:val="20"/>
          <w:highlight w:val="none"/>
        </w:rPr>
      </w:pPr>
    </w:p>
    <w:p w14:paraId="067B53C6">
      <w:pPr>
        <w:spacing w:line="520" w:lineRule="exact"/>
        <w:ind w:right="753"/>
        <w:rPr>
          <w:rFonts w:ascii="Times New Roman" w:hAnsi="Times New Roman"/>
          <w:kern w:val="0"/>
          <w:sz w:val="28"/>
          <w:szCs w:val="20"/>
          <w:highlight w:val="none"/>
        </w:rPr>
      </w:pPr>
    </w:p>
    <w:p w14:paraId="44498941">
      <w:pPr>
        <w:spacing w:line="520" w:lineRule="exact"/>
        <w:ind w:right="753"/>
        <w:rPr>
          <w:rFonts w:ascii="Times New Roman" w:hAnsi="Times New Roman"/>
          <w:kern w:val="0"/>
          <w:sz w:val="28"/>
          <w:szCs w:val="20"/>
          <w:highlight w:val="none"/>
        </w:rPr>
      </w:pPr>
    </w:p>
    <w:p w14:paraId="5423508A">
      <w:pPr>
        <w:spacing w:line="520" w:lineRule="exact"/>
        <w:ind w:right="753"/>
        <w:rPr>
          <w:rFonts w:ascii="Times New Roman" w:hAnsi="Times New Roman"/>
          <w:kern w:val="0"/>
          <w:sz w:val="28"/>
          <w:szCs w:val="20"/>
          <w:highlight w:val="none"/>
        </w:rPr>
      </w:pPr>
    </w:p>
    <w:p w14:paraId="69D59460">
      <w:pPr>
        <w:spacing w:line="520" w:lineRule="exact"/>
        <w:ind w:right="753"/>
        <w:rPr>
          <w:rFonts w:ascii="Times New Roman" w:hAnsi="Times New Roman"/>
          <w:kern w:val="0"/>
          <w:sz w:val="28"/>
          <w:szCs w:val="20"/>
          <w:highlight w:val="none"/>
        </w:rPr>
      </w:pPr>
    </w:p>
    <w:p w14:paraId="41AA0356">
      <w:pPr>
        <w:spacing w:line="520" w:lineRule="exact"/>
        <w:ind w:right="753"/>
        <w:rPr>
          <w:rFonts w:ascii="Times New Roman" w:hAnsi="Times New Roman"/>
          <w:kern w:val="0"/>
          <w:sz w:val="28"/>
          <w:szCs w:val="20"/>
          <w:highlight w:val="none"/>
        </w:rPr>
      </w:pPr>
    </w:p>
    <w:p w14:paraId="324ED9A1">
      <w:pPr>
        <w:spacing w:line="520" w:lineRule="exact"/>
        <w:ind w:right="753"/>
        <w:rPr>
          <w:rFonts w:ascii="Times New Roman" w:hAnsi="Times New Roman"/>
          <w:kern w:val="0"/>
          <w:sz w:val="28"/>
          <w:szCs w:val="20"/>
          <w:highlight w:val="none"/>
        </w:rPr>
      </w:pPr>
    </w:p>
    <w:p w14:paraId="15FFB1BC">
      <w:pPr>
        <w:spacing w:line="520" w:lineRule="exact"/>
        <w:ind w:right="753"/>
        <w:rPr>
          <w:rFonts w:ascii="Times New Roman" w:hAnsi="Times New Roman"/>
          <w:kern w:val="0"/>
          <w:sz w:val="28"/>
          <w:szCs w:val="20"/>
          <w:highlight w:val="none"/>
        </w:rPr>
      </w:pPr>
    </w:p>
    <w:p w14:paraId="0D522E46">
      <w:pPr>
        <w:spacing w:line="520" w:lineRule="exact"/>
        <w:ind w:right="753"/>
        <w:rPr>
          <w:rFonts w:ascii="Times New Roman" w:hAnsi="Times New Roman"/>
          <w:kern w:val="0"/>
          <w:sz w:val="28"/>
          <w:szCs w:val="20"/>
          <w:highlight w:val="none"/>
        </w:rPr>
      </w:pPr>
    </w:p>
    <w:p w14:paraId="24C5F704">
      <w:pPr>
        <w:spacing w:line="520" w:lineRule="exact"/>
        <w:ind w:right="753"/>
        <w:rPr>
          <w:rFonts w:ascii="Times New Roman" w:hAnsi="Times New Roman"/>
          <w:kern w:val="0"/>
          <w:sz w:val="28"/>
          <w:szCs w:val="20"/>
          <w:highlight w:val="none"/>
        </w:rPr>
      </w:pPr>
    </w:p>
    <w:p w14:paraId="59A22826">
      <w:pPr>
        <w:spacing w:line="520" w:lineRule="exact"/>
        <w:ind w:right="753"/>
        <w:rPr>
          <w:rFonts w:ascii="Times New Roman" w:hAnsi="Times New Roman"/>
          <w:kern w:val="0"/>
          <w:sz w:val="28"/>
          <w:szCs w:val="20"/>
          <w:highlight w:val="none"/>
        </w:rPr>
      </w:pPr>
    </w:p>
    <w:p w14:paraId="3CEB0F86">
      <w:pPr>
        <w:spacing w:line="520" w:lineRule="exact"/>
        <w:ind w:right="753"/>
        <w:rPr>
          <w:rFonts w:ascii="宋体" w:hAnsi="宋体" w:cs="宋体"/>
          <w:b/>
          <w:sz w:val="32"/>
          <w:szCs w:val="32"/>
          <w:highlight w:val="none"/>
        </w:rPr>
      </w:pPr>
    </w:p>
    <w:p w14:paraId="20BF59BA">
      <w:pPr>
        <w:spacing w:line="520" w:lineRule="exact"/>
        <w:ind w:right="753"/>
        <w:rPr>
          <w:rFonts w:ascii="宋体" w:hAnsi="宋体" w:cs="宋体"/>
          <w:b/>
          <w:sz w:val="32"/>
          <w:szCs w:val="32"/>
          <w:highlight w:val="none"/>
        </w:rPr>
      </w:pPr>
    </w:p>
    <w:p w14:paraId="67E20A70">
      <w:pPr>
        <w:spacing w:line="520" w:lineRule="exact"/>
        <w:ind w:right="753"/>
        <w:jc w:val="center"/>
        <w:rPr>
          <w:rFonts w:ascii="宋体" w:hAnsi="宋体" w:cs="宋体"/>
          <w:sz w:val="32"/>
          <w:szCs w:val="32"/>
          <w:highlight w:val="none"/>
        </w:rPr>
      </w:pPr>
      <w:r>
        <w:rPr>
          <w:rFonts w:hint="eastAsia" w:ascii="宋体" w:hAnsi="宋体" w:cs="宋体"/>
          <w:sz w:val="32"/>
          <w:szCs w:val="32"/>
          <w:highlight w:val="none"/>
        </w:rPr>
        <w:t>（封面格式）</w:t>
      </w:r>
    </w:p>
    <w:p w14:paraId="65B74AAB">
      <w:pPr>
        <w:spacing w:before="312" w:beforeLines="100" w:after="312" w:afterLines="100"/>
        <w:ind w:right="754"/>
        <w:jc w:val="center"/>
        <w:rPr>
          <w:rFonts w:ascii="宋体" w:hAnsi="宋体" w:cs="宋体"/>
          <w:b/>
          <w:sz w:val="36"/>
          <w:szCs w:val="36"/>
          <w:highlight w:val="none"/>
        </w:rPr>
      </w:pPr>
      <w:r>
        <w:rPr>
          <w:rFonts w:hint="eastAsia" w:ascii="宋体" w:hAnsi="宋体" w:cs="宋体"/>
          <w:b/>
          <w:sz w:val="36"/>
          <w:szCs w:val="36"/>
          <w:highlight w:val="none"/>
        </w:rPr>
        <w:t>南宁轨道数智科技有限公司</w:t>
      </w:r>
    </w:p>
    <w:p w14:paraId="43B8761C">
      <w:pPr>
        <w:spacing w:before="312" w:beforeLines="100" w:after="312" w:afterLines="100"/>
        <w:ind w:right="754"/>
        <w:jc w:val="center"/>
        <w:rPr>
          <w:rFonts w:ascii="宋体" w:hAnsi="宋体" w:cs="宋体"/>
          <w:b/>
          <w:sz w:val="36"/>
          <w:szCs w:val="36"/>
          <w:highlight w:val="none"/>
        </w:rPr>
      </w:pPr>
      <w:r>
        <w:rPr>
          <w:rFonts w:hint="eastAsia" w:ascii="宋体" w:hAnsi="宋体" w:cs="宋体"/>
          <w:b/>
          <w:sz w:val="36"/>
          <w:szCs w:val="36"/>
          <w:highlight w:val="none"/>
        </w:rPr>
        <w:t>南宁轨道交通对客服务平台大会员系统建设咨询服务项目比选申请文件</w:t>
      </w:r>
    </w:p>
    <w:p w14:paraId="1697F0E8">
      <w:pPr>
        <w:pStyle w:val="3"/>
        <w:spacing w:before="312" w:beforeLines="100" w:after="312" w:afterLines="100" w:line="360" w:lineRule="auto"/>
        <w:ind w:right="754"/>
        <w:jc w:val="center"/>
        <w:rPr>
          <w:rFonts w:ascii="宋体" w:hAnsi="宋体" w:eastAsia="宋体" w:cs="宋体"/>
          <w:sz w:val="36"/>
          <w:szCs w:val="36"/>
          <w:highlight w:val="none"/>
        </w:rPr>
      </w:pPr>
      <w:bookmarkStart w:id="240" w:name="_Toc28066"/>
      <w:r>
        <w:rPr>
          <w:rFonts w:hint="eastAsia" w:ascii="宋体" w:hAnsi="宋体" w:eastAsia="宋体" w:cs="宋体"/>
          <w:sz w:val="36"/>
          <w:szCs w:val="36"/>
          <w:highlight w:val="none"/>
        </w:rPr>
        <w:t>技术部分</w:t>
      </w:r>
      <w:bookmarkEnd w:id="240"/>
    </w:p>
    <w:p w14:paraId="5E01BADD">
      <w:pPr>
        <w:spacing w:line="520" w:lineRule="exact"/>
        <w:ind w:firstLine="2249"/>
        <w:rPr>
          <w:rFonts w:ascii="宋体" w:hAnsi="宋体" w:cs="宋体"/>
          <w:b/>
          <w:sz w:val="32"/>
          <w:szCs w:val="32"/>
          <w:highlight w:val="none"/>
        </w:rPr>
      </w:pPr>
    </w:p>
    <w:p w14:paraId="036A8E2D">
      <w:pPr>
        <w:spacing w:line="520" w:lineRule="exact"/>
        <w:ind w:right="753"/>
        <w:jc w:val="center"/>
        <w:rPr>
          <w:rFonts w:ascii="宋体" w:hAnsi="宋体" w:cs="宋体"/>
          <w:sz w:val="32"/>
          <w:szCs w:val="32"/>
          <w:highlight w:val="none"/>
        </w:rPr>
      </w:pPr>
      <w:r>
        <w:rPr>
          <w:rFonts w:hint="eastAsia" w:ascii="宋体" w:hAnsi="宋体" w:cs="宋体"/>
          <w:sz w:val="32"/>
          <w:szCs w:val="32"/>
          <w:highlight w:val="none"/>
        </w:rPr>
        <w:t>（正本/副本）</w:t>
      </w:r>
    </w:p>
    <w:p w14:paraId="29DCF851">
      <w:pPr>
        <w:spacing w:line="520" w:lineRule="exact"/>
        <w:ind w:firstLine="2249"/>
        <w:rPr>
          <w:rFonts w:ascii="宋体" w:hAnsi="宋体" w:cs="宋体"/>
          <w:b/>
          <w:sz w:val="32"/>
          <w:szCs w:val="32"/>
          <w:highlight w:val="none"/>
        </w:rPr>
      </w:pPr>
    </w:p>
    <w:p w14:paraId="1D2EF619">
      <w:pPr>
        <w:spacing w:line="520" w:lineRule="exact"/>
        <w:rPr>
          <w:rFonts w:ascii="宋体" w:hAnsi="宋体" w:cs="宋体"/>
          <w:b/>
          <w:sz w:val="32"/>
          <w:szCs w:val="32"/>
          <w:highlight w:val="none"/>
        </w:rPr>
      </w:pPr>
    </w:p>
    <w:p w14:paraId="2DA3D92D">
      <w:pPr>
        <w:spacing w:line="520" w:lineRule="exact"/>
        <w:ind w:firstLine="2249"/>
        <w:rPr>
          <w:rFonts w:ascii="宋体" w:hAnsi="宋体" w:cs="宋体"/>
          <w:b/>
          <w:sz w:val="32"/>
          <w:szCs w:val="32"/>
          <w:highlight w:val="none"/>
        </w:rPr>
      </w:pPr>
    </w:p>
    <w:p w14:paraId="01CF60C1">
      <w:pPr>
        <w:spacing w:line="520" w:lineRule="exact"/>
        <w:ind w:right="753"/>
        <w:rPr>
          <w:rFonts w:ascii="宋体" w:hAnsi="宋体" w:cs="宋体"/>
          <w:sz w:val="28"/>
          <w:szCs w:val="28"/>
          <w:highlight w:val="none"/>
        </w:rPr>
      </w:pPr>
      <w:r>
        <w:rPr>
          <w:rFonts w:hint="eastAsia" w:ascii="宋体" w:hAnsi="宋体" w:cs="宋体"/>
          <w:sz w:val="28"/>
          <w:szCs w:val="28"/>
          <w:highlight w:val="none"/>
        </w:rPr>
        <w:t>比选申请人：                             （盖章）</w:t>
      </w:r>
    </w:p>
    <w:p w14:paraId="0BBF7195">
      <w:pPr>
        <w:spacing w:line="520" w:lineRule="exact"/>
        <w:ind w:right="753"/>
        <w:rPr>
          <w:rFonts w:ascii="宋体" w:hAnsi="宋体" w:cs="宋体"/>
          <w:sz w:val="28"/>
          <w:szCs w:val="28"/>
          <w:highlight w:val="none"/>
        </w:rPr>
      </w:pPr>
      <w:r>
        <w:rPr>
          <w:rFonts w:hint="eastAsia" w:ascii="宋体" w:hAnsi="宋体" w:cs="宋体"/>
          <w:sz w:val="28"/>
          <w:szCs w:val="28"/>
          <w:highlight w:val="none"/>
        </w:rPr>
        <w:t>负责人或委托代理人：（签字或盖章）</w:t>
      </w:r>
    </w:p>
    <w:p w14:paraId="4A750DB7">
      <w:pPr>
        <w:spacing w:line="520" w:lineRule="exact"/>
        <w:ind w:right="753"/>
        <w:rPr>
          <w:rFonts w:ascii="宋体" w:hAnsi="宋体" w:cs="宋体"/>
          <w:sz w:val="28"/>
          <w:szCs w:val="28"/>
          <w:highlight w:val="none"/>
        </w:rPr>
      </w:pPr>
      <w:r>
        <w:rPr>
          <w:rFonts w:hint="eastAsia" w:ascii="宋体" w:hAnsi="宋体" w:cs="宋体"/>
          <w:sz w:val="28"/>
          <w:szCs w:val="28"/>
          <w:highlight w:val="none"/>
        </w:rPr>
        <w:t>电话/传真：</w:t>
      </w:r>
    </w:p>
    <w:p w14:paraId="079BF2E0">
      <w:pPr>
        <w:spacing w:line="520" w:lineRule="exact"/>
        <w:ind w:right="753"/>
        <w:rPr>
          <w:rFonts w:ascii="宋体" w:hAnsi="宋体" w:cs="宋体"/>
          <w:sz w:val="28"/>
          <w:szCs w:val="28"/>
          <w:highlight w:val="none"/>
        </w:rPr>
      </w:pPr>
      <w:r>
        <w:rPr>
          <w:rFonts w:hint="eastAsia" w:ascii="宋体" w:hAnsi="宋体" w:cs="宋体"/>
          <w:sz w:val="28"/>
          <w:szCs w:val="28"/>
          <w:highlight w:val="none"/>
        </w:rPr>
        <w:t>地址：</w:t>
      </w:r>
    </w:p>
    <w:p w14:paraId="04C137EC">
      <w:pPr>
        <w:spacing w:line="520" w:lineRule="exact"/>
        <w:ind w:right="753"/>
        <w:rPr>
          <w:rFonts w:ascii="宋体" w:hAnsi="宋体" w:cs="宋体"/>
          <w:sz w:val="28"/>
          <w:szCs w:val="28"/>
          <w:highlight w:val="none"/>
        </w:rPr>
      </w:pPr>
    </w:p>
    <w:p w14:paraId="038B0339">
      <w:pPr>
        <w:spacing w:line="520" w:lineRule="exact"/>
        <w:ind w:right="753"/>
        <w:rPr>
          <w:rFonts w:ascii="宋体" w:hAnsi="宋体" w:cs="宋体"/>
          <w:sz w:val="28"/>
          <w:szCs w:val="28"/>
          <w:highlight w:val="none"/>
        </w:rPr>
      </w:pPr>
    </w:p>
    <w:p w14:paraId="070754D0">
      <w:pPr>
        <w:spacing w:line="520" w:lineRule="exact"/>
        <w:ind w:right="753"/>
        <w:rPr>
          <w:rFonts w:ascii="宋体" w:hAnsi="宋体" w:cs="宋体"/>
          <w:sz w:val="28"/>
          <w:szCs w:val="28"/>
          <w:highlight w:val="none"/>
        </w:rPr>
      </w:pPr>
    </w:p>
    <w:p w14:paraId="3F4D5E65">
      <w:pPr>
        <w:spacing w:line="520" w:lineRule="exact"/>
        <w:ind w:right="753"/>
        <w:rPr>
          <w:rFonts w:ascii="宋体" w:hAnsi="宋体" w:cs="宋体"/>
          <w:sz w:val="28"/>
          <w:szCs w:val="28"/>
          <w:highlight w:val="none"/>
        </w:rPr>
      </w:pPr>
    </w:p>
    <w:p w14:paraId="162B1053">
      <w:pPr>
        <w:spacing w:line="520" w:lineRule="exact"/>
        <w:ind w:right="753"/>
        <w:rPr>
          <w:rFonts w:ascii="宋体" w:hAnsi="宋体" w:cs="宋体"/>
          <w:sz w:val="28"/>
          <w:szCs w:val="28"/>
          <w:highlight w:val="none"/>
        </w:rPr>
      </w:pPr>
    </w:p>
    <w:p w14:paraId="0D1E0C82">
      <w:pPr>
        <w:spacing w:line="520" w:lineRule="exact"/>
        <w:ind w:right="753"/>
        <w:jc w:val="center"/>
        <w:rPr>
          <w:rFonts w:ascii="宋体" w:hAnsi="宋体" w:cs="宋体"/>
          <w:sz w:val="28"/>
          <w:szCs w:val="28"/>
          <w:highlight w:val="none"/>
        </w:rPr>
      </w:pPr>
      <w:r>
        <w:rPr>
          <w:rFonts w:hint="eastAsia" w:ascii="宋体" w:hAnsi="宋体" w:cs="宋体"/>
          <w:sz w:val="28"/>
          <w:szCs w:val="28"/>
          <w:highlight w:val="none"/>
        </w:rPr>
        <w:t>年    月    日</w:t>
      </w:r>
    </w:p>
    <w:p w14:paraId="54D28E39">
      <w:pPr>
        <w:adjustRightInd w:val="0"/>
        <w:snapToGrid w:val="0"/>
        <w:spacing w:line="520" w:lineRule="exact"/>
        <w:jc w:val="center"/>
        <w:rPr>
          <w:rFonts w:ascii="Cambria" w:hAnsi="Cambria"/>
          <w:b/>
          <w:bCs/>
          <w:color w:val="000000"/>
          <w:sz w:val="32"/>
          <w:szCs w:val="32"/>
          <w:highlight w:val="none"/>
        </w:rPr>
      </w:pPr>
    </w:p>
    <w:p w14:paraId="2CA706FC">
      <w:pPr>
        <w:adjustRightInd w:val="0"/>
        <w:snapToGrid w:val="0"/>
        <w:spacing w:line="520" w:lineRule="exact"/>
        <w:jc w:val="center"/>
        <w:rPr>
          <w:rFonts w:ascii="Cambria" w:hAnsi="Cambria"/>
          <w:b/>
          <w:bCs/>
          <w:color w:val="000000"/>
          <w:sz w:val="32"/>
          <w:szCs w:val="32"/>
          <w:highlight w:val="none"/>
        </w:rPr>
      </w:pPr>
    </w:p>
    <w:p w14:paraId="1EC3C911">
      <w:pPr>
        <w:adjustRightInd w:val="0"/>
        <w:snapToGrid w:val="0"/>
        <w:spacing w:line="520" w:lineRule="exact"/>
        <w:jc w:val="center"/>
        <w:rPr>
          <w:rFonts w:ascii="Cambria" w:hAnsi="Cambria"/>
          <w:b/>
          <w:bCs/>
          <w:color w:val="000000"/>
          <w:sz w:val="32"/>
          <w:szCs w:val="32"/>
          <w:highlight w:val="none"/>
        </w:rPr>
      </w:pPr>
    </w:p>
    <w:p w14:paraId="58054AA5">
      <w:pPr>
        <w:tabs>
          <w:tab w:val="left" w:pos="826"/>
        </w:tabs>
        <w:ind w:firstLine="480"/>
        <w:rPr>
          <w:rFonts w:cs="宋体"/>
          <w:b/>
          <w:color w:val="000000"/>
          <w:sz w:val="30"/>
          <w:szCs w:val="30"/>
          <w:highlight w:val="none"/>
        </w:rPr>
      </w:pPr>
      <w:r>
        <w:rPr>
          <w:highlight w:val="none"/>
        </w:rPr>
        <w:br w:type="page"/>
      </w:r>
    </w:p>
    <w:p w14:paraId="5E0D81FE">
      <w:pPr>
        <w:pStyle w:val="4"/>
        <w:jc w:val="center"/>
        <w:rPr>
          <w:rFonts w:ascii="宋体" w:hAnsi="宋体"/>
          <w:sz w:val="28"/>
          <w:szCs w:val="28"/>
          <w:highlight w:val="none"/>
        </w:rPr>
      </w:pPr>
      <w:bookmarkStart w:id="241" w:name="_Toc17280"/>
      <w:r>
        <w:rPr>
          <w:rFonts w:hint="eastAsia" w:ascii="宋体" w:hAnsi="宋体"/>
          <w:sz w:val="28"/>
          <w:szCs w:val="28"/>
          <w:highlight w:val="none"/>
        </w:rPr>
        <w:t>目录</w:t>
      </w:r>
      <w:bookmarkEnd w:id="241"/>
    </w:p>
    <w:p w14:paraId="4740D63F">
      <w:pPr>
        <w:pStyle w:val="4"/>
        <w:jc w:val="center"/>
        <w:rPr>
          <w:rFonts w:ascii="宋体" w:hAnsi="宋体"/>
          <w:sz w:val="28"/>
          <w:szCs w:val="28"/>
          <w:highlight w:val="none"/>
        </w:rPr>
      </w:pPr>
    </w:p>
    <w:p w14:paraId="1D681B16">
      <w:pPr>
        <w:ind w:firstLine="420" w:firstLineChars="200"/>
        <w:rPr>
          <w:rFonts w:ascii="宋体" w:hAnsi="宋体" w:cs="宋体"/>
          <w:szCs w:val="21"/>
          <w:highlight w:val="none"/>
        </w:rPr>
      </w:pPr>
      <w:r>
        <w:rPr>
          <w:rFonts w:hint="eastAsia" w:ascii="宋体" w:hAnsi="宋体" w:cs="宋体"/>
          <w:szCs w:val="21"/>
          <w:highlight w:val="none"/>
        </w:rPr>
        <w:t>1.比选申请人业绩清单（附合同关键页原件扫描件加盖公章）</w:t>
      </w:r>
    </w:p>
    <w:p w14:paraId="3DE3D98F">
      <w:pPr>
        <w:ind w:firstLine="420" w:firstLineChars="200"/>
        <w:rPr>
          <w:rFonts w:ascii="宋体" w:hAnsi="宋体" w:cs="宋体"/>
          <w:szCs w:val="21"/>
          <w:highlight w:val="none"/>
        </w:rPr>
      </w:pPr>
      <w:r>
        <w:rPr>
          <w:rFonts w:hint="eastAsia" w:ascii="宋体" w:hAnsi="宋体" w:cs="宋体"/>
          <w:szCs w:val="21"/>
          <w:highlight w:val="none"/>
        </w:rPr>
        <w:t>2.本项目拟投入人员组成表</w:t>
      </w:r>
    </w:p>
    <w:p w14:paraId="691E1020">
      <w:pPr>
        <w:ind w:firstLine="420" w:firstLineChars="200"/>
        <w:rPr>
          <w:rFonts w:ascii="宋体" w:hAnsi="宋体" w:cs="宋体"/>
          <w:szCs w:val="21"/>
          <w:highlight w:val="none"/>
        </w:rPr>
      </w:pPr>
      <w:r>
        <w:rPr>
          <w:rFonts w:hint="eastAsia" w:ascii="宋体" w:hAnsi="宋体" w:cs="宋体"/>
          <w:szCs w:val="21"/>
          <w:highlight w:val="none"/>
        </w:rPr>
        <w:t>3.本项目工作的技术方案（由比选申请人自行编写）</w:t>
      </w:r>
    </w:p>
    <w:p w14:paraId="415D78E9">
      <w:pPr>
        <w:ind w:firstLine="420" w:firstLineChars="200"/>
        <w:rPr>
          <w:rFonts w:ascii="宋体" w:hAnsi="宋体" w:cs="宋体"/>
          <w:szCs w:val="21"/>
          <w:highlight w:val="none"/>
        </w:rPr>
      </w:pPr>
      <w:r>
        <w:rPr>
          <w:rFonts w:hint="eastAsia" w:ascii="宋体" w:hAnsi="宋体" w:cs="宋体"/>
          <w:szCs w:val="21"/>
          <w:highlight w:val="none"/>
        </w:rPr>
        <w:t>4.售后服务</w:t>
      </w:r>
    </w:p>
    <w:p w14:paraId="39F461F4">
      <w:pPr>
        <w:ind w:firstLine="420" w:firstLineChars="200"/>
        <w:rPr>
          <w:rFonts w:ascii="宋体" w:hAnsi="宋体" w:cs="宋体"/>
          <w:szCs w:val="21"/>
          <w:highlight w:val="none"/>
        </w:rPr>
      </w:pPr>
      <w:r>
        <w:rPr>
          <w:rFonts w:hint="eastAsia" w:ascii="宋体" w:hAnsi="宋体" w:cs="宋体"/>
          <w:szCs w:val="21"/>
          <w:highlight w:val="none"/>
        </w:rPr>
        <w:t>5.比选申请人认为有必要提供的其他材料</w:t>
      </w:r>
    </w:p>
    <w:p w14:paraId="6F5EA946">
      <w:pPr>
        <w:ind w:firstLine="560" w:firstLineChars="200"/>
        <w:rPr>
          <w:rFonts w:ascii="宋体" w:hAnsi="宋体" w:cs="宋体"/>
          <w:sz w:val="28"/>
          <w:szCs w:val="28"/>
          <w:highlight w:val="none"/>
        </w:rPr>
      </w:pPr>
    </w:p>
    <w:p w14:paraId="1D90E841">
      <w:pPr>
        <w:rPr>
          <w:rFonts w:ascii="宋体" w:hAnsi="宋体" w:cs="宋体"/>
          <w:sz w:val="28"/>
          <w:szCs w:val="28"/>
          <w:highlight w:val="none"/>
        </w:rPr>
      </w:pPr>
    </w:p>
    <w:p w14:paraId="5B2AC8F9">
      <w:pPr>
        <w:rPr>
          <w:rFonts w:ascii="宋体" w:hAnsi="宋体" w:cs="宋体"/>
          <w:sz w:val="28"/>
          <w:szCs w:val="28"/>
          <w:highlight w:val="none"/>
        </w:rPr>
      </w:pPr>
    </w:p>
    <w:p w14:paraId="136CDD9D">
      <w:pPr>
        <w:rPr>
          <w:rFonts w:ascii="宋体" w:hAnsi="宋体" w:cs="宋体"/>
          <w:sz w:val="28"/>
          <w:szCs w:val="28"/>
          <w:highlight w:val="none"/>
        </w:rPr>
      </w:pPr>
    </w:p>
    <w:p w14:paraId="527E8BC1">
      <w:pPr>
        <w:rPr>
          <w:rFonts w:ascii="宋体" w:hAnsi="宋体" w:cs="宋体"/>
          <w:sz w:val="28"/>
          <w:szCs w:val="28"/>
          <w:highlight w:val="none"/>
        </w:rPr>
      </w:pPr>
    </w:p>
    <w:p w14:paraId="5BC43C09">
      <w:pPr>
        <w:rPr>
          <w:rFonts w:ascii="宋体" w:hAnsi="宋体" w:cs="宋体"/>
          <w:sz w:val="28"/>
          <w:szCs w:val="28"/>
          <w:highlight w:val="none"/>
        </w:rPr>
      </w:pPr>
    </w:p>
    <w:p w14:paraId="124005B5">
      <w:pPr>
        <w:rPr>
          <w:rFonts w:ascii="宋体" w:hAnsi="宋体" w:cs="宋体"/>
          <w:sz w:val="28"/>
          <w:szCs w:val="28"/>
          <w:highlight w:val="none"/>
        </w:rPr>
      </w:pPr>
    </w:p>
    <w:p w14:paraId="3D279B77">
      <w:pPr>
        <w:rPr>
          <w:rFonts w:ascii="宋体" w:hAnsi="宋体" w:cs="宋体"/>
          <w:sz w:val="28"/>
          <w:szCs w:val="28"/>
          <w:highlight w:val="none"/>
        </w:rPr>
      </w:pPr>
    </w:p>
    <w:p w14:paraId="3383EC3D">
      <w:pPr>
        <w:rPr>
          <w:rFonts w:ascii="宋体" w:hAnsi="宋体" w:cs="宋体"/>
          <w:sz w:val="28"/>
          <w:szCs w:val="28"/>
          <w:highlight w:val="none"/>
        </w:rPr>
      </w:pPr>
    </w:p>
    <w:p w14:paraId="670AA8FD">
      <w:pPr>
        <w:rPr>
          <w:rFonts w:ascii="宋体" w:hAnsi="宋体" w:cs="宋体"/>
          <w:sz w:val="28"/>
          <w:szCs w:val="28"/>
          <w:highlight w:val="none"/>
        </w:rPr>
      </w:pPr>
    </w:p>
    <w:p w14:paraId="1F01E108">
      <w:pPr>
        <w:rPr>
          <w:rFonts w:ascii="宋体" w:hAnsi="宋体" w:cs="宋体"/>
          <w:sz w:val="28"/>
          <w:szCs w:val="28"/>
          <w:highlight w:val="none"/>
        </w:rPr>
      </w:pPr>
    </w:p>
    <w:p w14:paraId="2622B1B2">
      <w:pPr>
        <w:rPr>
          <w:rFonts w:ascii="宋体" w:hAnsi="宋体" w:cs="宋体"/>
          <w:sz w:val="28"/>
          <w:szCs w:val="28"/>
          <w:highlight w:val="none"/>
        </w:rPr>
      </w:pPr>
    </w:p>
    <w:p w14:paraId="1C07BF93">
      <w:pPr>
        <w:rPr>
          <w:rFonts w:ascii="宋体" w:hAnsi="宋体" w:cs="宋体"/>
          <w:sz w:val="28"/>
          <w:szCs w:val="28"/>
          <w:highlight w:val="none"/>
        </w:rPr>
      </w:pPr>
    </w:p>
    <w:p w14:paraId="704D2FEF">
      <w:pPr>
        <w:rPr>
          <w:rFonts w:ascii="宋体" w:hAnsi="宋体" w:cs="宋体"/>
          <w:sz w:val="28"/>
          <w:szCs w:val="28"/>
          <w:highlight w:val="none"/>
        </w:rPr>
      </w:pPr>
    </w:p>
    <w:p w14:paraId="5C34D33E">
      <w:pPr>
        <w:pStyle w:val="5"/>
        <w:rPr>
          <w:highlight w:val="none"/>
        </w:rPr>
      </w:pPr>
      <w:r>
        <w:rPr>
          <w:rFonts w:hint="eastAsia"/>
          <w:highlight w:val="none"/>
        </w:rPr>
        <w:t>1.比选申请人业绩清单</w:t>
      </w:r>
      <w:r>
        <w:rPr>
          <w:rFonts w:hint="eastAsia" w:ascii="宋体" w:hAnsi="宋体" w:cs="宋体"/>
          <w:highlight w:val="none"/>
        </w:rPr>
        <w:t>（附合同关键页原件扫描件加盖公章）</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081"/>
        <w:gridCol w:w="1782"/>
        <w:gridCol w:w="1837"/>
        <w:gridCol w:w="1850"/>
      </w:tblGrid>
      <w:tr w14:paraId="4EBC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2" w:hRule="atLeast"/>
          <w:jc w:val="center"/>
        </w:trPr>
        <w:tc>
          <w:tcPr>
            <w:tcW w:w="984" w:type="dxa"/>
            <w:vAlign w:val="center"/>
          </w:tcPr>
          <w:p w14:paraId="7198CF42">
            <w:pPr>
              <w:jc w:val="center"/>
              <w:rPr>
                <w:rFonts w:ascii="宋体" w:hAnsi="宋体" w:cs="宋体"/>
                <w:szCs w:val="21"/>
                <w:highlight w:val="none"/>
              </w:rPr>
            </w:pPr>
            <w:r>
              <w:rPr>
                <w:rFonts w:hint="eastAsia" w:ascii="宋体" w:hAnsi="宋体" w:cs="宋体"/>
                <w:szCs w:val="21"/>
                <w:highlight w:val="none"/>
              </w:rPr>
              <w:t>序号</w:t>
            </w:r>
          </w:p>
        </w:tc>
        <w:tc>
          <w:tcPr>
            <w:tcW w:w="2081" w:type="dxa"/>
            <w:vAlign w:val="center"/>
          </w:tcPr>
          <w:p w14:paraId="0E53F9BC">
            <w:pPr>
              <w:jc w:val="center"/>
              <w:rPr>
                <w:rFonts w:ascii="宋体" w:hAnsi="宋体" w:cs="宋体"/>
                <w:szCs w:val="21"/>
                <w:highlight w:val="none"/>
              </w:rPr>
            </w:pPr>
            <w:r>
              <w:rPr>
                <w:rFonts w:hint="eastAsia" w:ascii="宋体" w:hAnsi="宋体" w:cs="宋体"/>
                <w:szCs w:val="21"/>
                <w:highlight w:val="none"/>
              </w:rPr>
              <w:t>项目名称及建设地点</w:t>
            </w:r>
          </w:p>
        </w:tc>
        <w:tc>
          <w:tcPr>
            <w:tcW w:w="1782" w:type="dxa"/>
            <w:vAlign w:val="center"/>
          </w:tcPr>
          <w:p w14:paraId="46A0645C">
            <w:pPr>
              <w:jc w:val="center"/>
              <w:rPr>
                <w:rFonts w:ascii="宋体" w:hAnsi="宋体" w:cs="宋体"/>
                <w:szCs w:val="21"/>
                <w:highlight w:val="none"/>
              </w:rPr>
            </w:pPr>
            <w:r>
              <w:rPr>
                <w:rFonts w:hint="eastAsia" w:ascii="宋体" w:hAnsi="宋体" w:cs="宋体"/>
                <w:szCs w:val="21"/>
                <w:highlight w:val="none"/>
              </w:rPr>
              <w:t>项目开始—完成时间</w:t>
            </w:r>
          </w:p>
        </w:tc>
        <w:tc>
          <w:tcPr>
            <w:tcW w:w="1837" w:type="dxa"/>
            <w:vAlign w:val="center"/>
          </w:tcPr>
          <w:p w14:paraId="1236E6B4">
            <w:pPr>
              <w:jc w:val="center"/>
              <w:rPr>
                <w:rFonts w:ascii="宋体" w:hAnsi="宋体" w:cs="宋体"/>
                <w:szCs w:val="21"/>
                <w:highlight w:val="none"/>
              </w:rPr>
            </w:pPr>
            <w:r>
              <w:rPr>
                <w:rFonts w:hint="eastAsia" w:ascii="宋体" w:hAnsi="宋体" w:cs="宋体"/>
                <w:szCs w:val="21"/>
                <w:highlight w:val="none"/>
              </w:rPr>
              <w:t>项目完成质量描述</w:t>
            </w:r>
          </w:p>
        </w:tc>
        <w:tc>
          <w:tcPr>
            <w:tcW w:w="1850" w:type="dxa"/>
            <w:vAlign w:val="center"/>
          </w:tcPr>
          <w:p w14:paraId="5F3D5397">
            <w:pPr>
              <w:jc w:val="center"/>
              <w:rPr>
                <w:rFonts w:ascii="宋体" w:hAnsi="宋体" w:cs="宋体"/>
                <w:szCs w:val="21"/>
                <w:highlight w:val="none"/>
              </w:rPr>
            </w:pPr>
            <w:r>
              <w:rPr>
                <w:rFonts w:hint="eastAsia" w:ascii="宋体" w:hAnsi="宋体" w:cs="宋体"/>
                <w:szCs w:val="21"/>
                <w:highlight w:val="none"/>
              </w:rPr>
              <w:t>项目是否通过专家审查</w:t>
            </w:r>
          </w:p>
        </w:tc>
      </w:tr>
      <w:tr w14:paraId="4E55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84" w:type="dxa"/>
          </w:tcPr>
          <w:p w14:paraId="39C42B19">
            <w:pPr>
              <w:ind w:right="565" w:rightChars="269"/>
              <w:rPr>
                <w:rFonts w:ascii="宋体" w:hAnsi="宋体" w:cs="宋体"/>
                <w:sz w:val="28"/>
                <w:szCs w:val="28"/>
                <w:highlight w:val="none"/>
              </w:rPr>
            </w:pPr>
          </w:p>
        </w:tc>
        <w:tc>
          <w:tcPr>
            <w:tcW w:w="2081" w:type="dxa"/>
          </w:tcPr>
          <w:p w14:paraId="35B634DA">
            <w:pPr>
              <w:ind w:right="565" w:rightChars="269"/>
              <w:rPr>
                <w:rFonts w:ascii="宋体" w:hAnsi="宋体" w:cs="宋体"/>
                <w:sz w:val="28"/>
                <w:szCs w:val="28"/>
                <w:highlight w:val="none"/>
              </w:rPr>
            </w:pPr>
          </w:p>
        </w:tc>
        <w:tc>
          <w:tcPr>
            <w:tcW w:w="1782" w:type="dxa"/>
          </w:tcPr>
          <w:p w14:paraId="2A164FB6">
            <w:pPr>
              <w:ind w:right="565" w:rightChars="269"/>
              <w:rPr>
                <w:rFonts w:ascii="宋体" w:hAnsi="宋体" w:cs="宋体"/>
                <w:sz w:val="28"/>
                <w:szCs w:val="28"/>
                <w:highlight w:val="none"/>
              </w:rPr>
            </w:pPr>
          </w:p>
        </w:tc>
        <w:tc>
          <w:tcPr>
            <w:tcW w:w="1837" w:type="dxa"/>
          </w:tcPr>
          <w:p w14:paraId="34FCBBA8">
            <w:pPr>
              <w:ind w:right="565" w:rightChars="269"/>
              <w:rPr>
                <w:rFonts w:ascii="宋体" w:hAnsi="宋体" w:cs="宋体"/>
                <w:sz w:val="28"/>
                <w:szCs w:val="28"/>
                <w:highlight w:val="none"/>
              </w:rPr>
            </w:pPr>
          </w:p>
        </w:tc>
        <w:tc>
          <w:tcPr>
            <w:tcW w:w="1850" w:type="dxa"/>
          </w:tcPr>
          <w:p w14:paraId="5EB7DAE5">
            <w:pPr>
              <w:ind w:right="565" w:rightChars="269"/>
              <w:rPr>
                <w:rFonts w:ascii="宋体" w:hAnsi="宋体" w:cs="宋体"/>
                <w:sz w:val="28"/>
                <w:szCs w:val="28"/>
                <w:highlight w:val="none"/>
              </w:rPr>
            </w:pPr>
          </w:p>
        </w:tc>
      </w:tr>
      <w:tr w14:paraId="7C5B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84" w:type="dxa"/>
          </w:tcPr>
          <w:p w14:paraId="3E265353">
            <w:pPr>
              <w:ind w:right="565" w:rightChars="269"/>
              <w:rPr>
                <w:rFonts w:ascii="宋体" w:hAnsi="宋体" w:cs="宋体"/>
                <w:sz w:val="28"/>
                <w:szCs w:val="28"/>
                <w:highlight w:val="none"/>
              </w:rPr>
            </w:pPr>
          </w:p>
        </w:tc>
        <w:tc>
          <w:tcPr>
            <w:tcW w:w="2081" w:type="dxa"/>
          </w:tcPr>
          <w:p w14:paraId="5F5777F5">
            <w:pPr>
              <w:ind w:right="565" w:rightChars="269"/>
              <w:rPr>
                <w:rFonts w:ascii="宋体" w:hAnsi="宋体" w:cs="宋体"/>
                <w:sz w:val="28"/>
                <w:szCs w:val="28"/>
                <w:highlight w:val="none"/>
              </w:rPr>
            </w:pPr>
          </w:p>
        </w:tc>
        <w:tc>
          <w:tcPr>
            <w:tcW w:w="1782" w:type="dxa"/>
          </w:tcPr>
          <w:p w14:paraId="39A1E5EB">
            <w:pPr>
              <w:ind w:right="565" w:rightChars="269"/>
              <w:rPr>
                <w:rFonts w:ascii="宋体" w:hAnsi="宋体" w:cs="宋体"/>
                <w:sz w:val="28"/>
                <w:szCs w:val="28"/>
                <w:highlight w:val="none"/>
              </w:rPr>
            </w:pPr>
          </w:p>
        </w:tc>
        <w:tc>
          <w:tcPr>
            <w:tcW w:w="1837" w:type="dxa"/>
          </w:tcPr>
          <w:p w14:paraId="12FE4223">
            <w:pPr>
              <w:ind w:right="565" w:rightChars="269"/>
              <w:rPr>
                <w:rFonts w:ascii="宋体" w:hAnsi="宋体" w:cs="宋体"/>
                <w:sz w:val="28"/>
                <w:szCs w:val="28"/>
                <w:highlight w:val="none"/>
              </w:rPr>
            </w:pPr>
          </w:p>
        </w:tc>
        <w:tc>
          <w:tcPr>
            <w:tcW w:w="1850" w:type="dxa"/>
          </w:tcPr>
          <w:p w14:paraId="3F3C036B">
            <w:pPr>
              <w:ind w:right="565" w:rightChars="269"/>
              <w:rPr>
                <w:rFonts w:ascii="宋体" w:hAnsi="宋体" w:cs="宋体"/>
                <w:sz w:val="28"/>
                <w:szCs w:val="28"/>
                <w:highlight w:val="none"/>
              </w:rPr>
            </w:pPr>
          </w:p>
        </w:tc>
      </w:tr>
      <w:tr w14:paraId="6826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84" w:type="dxa"/>
          </w:tcPr>
          <w:p w14:paraId="70146673">
            <w:pPr>
              <w:ind w:right="565" w:rightChars="269"/>
              <w:rPr>
                <w:rFonts w:ascii="宋体" w:hAnsi="宋体" w:cs="宋体"/>
                <w:sz w:val="28"/>
                <w:szCs w:val="28"/>
                <w:highlight w:val="none"/>
              </w:rPr>
            </w:pPr>
          </w:p>
        </w:tc>
        <w:tc>
          <w:tcPr>
            <w:tcW w:w="2081" w:type="dxa"/>
          </w:tcPr>
          <w:p w14:paraId="59AB3F7D">
            <w:pPr>
              <w:ind w:right="565" w:rightChars="269"/>
              <w:rPr>
                <w:rFonts w:ascii="宋体" w:hAnsi="宋体" w:cs="宋体"/>
                <w:sz w:val="28"/>
                <w:szCs w:val="28"/>
                <w:highlight w:val="none"/>
              </w:rPr>
            </w:pPr>
          </w:p>
        </w:tc>
        <w:tc>
          <w:tcPr>
            <w:tcW w:w="1782" w:type="dxa"/>
          </w:tcPr>
          <w:p w14:paraId="19AF860A">
            <w:pPr>
              <w:ind w:right="565" w:rightChars="269"/>
              <w:rPr>
                <w:rFonts w:ascii="宋体" w:hAnsi="宋体" w:cs="宋体"/>
                <w:sz w:val="28"/>
                <w:szCs w:val="28"/>
                <w:highlight w:val="none"/>
              </w:rPr>
            </w:pPr>
          </w:p>
        </w:tc>
        <w:tc>
          <w:tcPr>
            <w:tcW w:w="1837" w:type="dxa"/>
          </w:tcPr>
          <w:p w14:paraId="7DB5E91F">
            <w:pPr>
              <w:ind w:right="565" w:rightChars="269"/>
              <w:rPr>
                <w:rFonts w:ascii="宋体" w:hAnsi="宋体" w:cs="宋体"/>
                <w:sz w:val="28"/>
                <w:szCs w:val="28"/>
                <w:highlight w:val="none"/>
              </w:rPr>
            </w:pPr>
          </w:p>
        </w:tc>
        <w:tc>
          <w:tcPr>
            <w:tcW w:w="1850" w:type="dxa"/>
          </w:tcPr>
          <w:p w14:paraId="46BD5301">
            <w:pPr>
              <w:ind w:right="565" w:rightChars="269"/>
              <w:rPr>
                <w:rFonts w:ascii="宋体" w:hAnsi="宋体" w:cs="宋体"/>
                <w:sz w:val="28"/>
                <w:szCs w:val="28"/>
                <w:highlight w:val="none"/>
              </w:rPr>
            </w:pPr>
          </w:p>
        </w:tc>
      </w:tr>
      <w:tr w14:paraId="208E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84" w:type="dxa"/>
          </w:tcPr>
          <w:p w14:paraId="1D94E6B7">
            <w:pPr>
              <w:ind w:right="565" w:rightChars="269"/>
              <w:rPr>
                <w:rFonts w:ascii="宋体" w:hAnsi="宋体" w:cs="宋体"/>
                <w:sz w:val="28"/>
                <w:szCs w:val="28"/>
                <w:highlight w:val="none"/>
              </w:rPr>
            </w:pPr>
          </w:p>
        </w:tc>
        <w:tc>
          <w:tcPr>
            <w:tcW w:w="2081" w:type="dxa"/>
          </w:tcPr>
          <w:p w14:paraId="7463C8ED">
            <w:pPr>
              <w:ind w:right="565" w:rightChars="269"/>
              <w:rPr>
                <w:rFonts w:ascii="宋体" w:hAnsi="宋体" w:cs="宋体"/>
                <w:sz w:val="28"/>
                <w:szCs w:val="28"/>
                <w:highlight w:val="none"/>
              </w:rPr>
            </w:pPr>
          </w:p>
        </w:tc>
        <w:tc>
          <w:tcPr>
            <w:tcW w:w="1782" w:type="dxa"/>
          </w:tcPr>
          <w:p w14:paraId="3320331F">
            <w:pPr>
              <w:ind w:right="565" w:rightChars="269"/>
              <w:rPr>
                <w:rFonts w:ascii="宋体" w:hAnsi="宋体" w:cs="宋体"/>
                <w:sz w:val="28"/>
                <w:szCs w:val="28"/>
                <w:highlight w:val="none"/>
              </w:rPr>
            </w:pPr>
          </w:p>
        </w:tc>
        <w:tc>
          <w:tcPr>
            <w:tcW w:w="1837" w:type="dxa"/>
          </w:tcPr>
          <w:p w14:paraId="7555EC06">
            <w:pPr>
              <w:ind w:right="565" w:rightChars="269"/>
              <w:rPr>
                <w:rFonts w:ascii="宋体" w:hAnsi="宋体" w:cs="宋体"/>
                <w:sz w:val="28"/>
                <w:szCs w:val="28"/>
                <w:highlight w:val="none"/>
              </w:rPr>
            </w:pPr>
          </w:p>
        </w:tc>
        <w:tc>
          <w:tcPr>
            <w:tcW w:w="1850" w:type="dxa"/>
          </w:tcPr>
          <w:p w14:paraId="7C4C921F">
            <w:pPr>
              <w:ind w:right="565" w:rightChars="269"/>
              <w:rPr>
                <w:rFonts w:ascii="宋体" w:hAnsi="宋体" w:cs="宋体"/>
                <w:sz w:val="28"/>
                <w:szCs w:val="28"/>
                <w:highlight w:val="none"/>
              </w:rPr>
            </w:pPr>
          </w:p>
        </w:tc>
      </w:tr>
      <w:tr w14:paraId="339B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84" w:type="dxa"/>
          </w:tcPr>
          <w:p w14:paraId="1956635D">
            <w:pPr>
              <w:ind w:right="565" w:rightChars="269"/>
              <w:rPr>
                <w:rFonts w:ascii="宋体" w:hAnsi="宋体" w:cs="宋体"/>
                <w:sz w:val="28"/>
                <w:szCs w:val="28"/>
                <w:highlight w:val="none"/>
              </w:rPr>
            </w:pPr>
          </w:p>
        </w:tc>
        <w:tc>
          <w:tcPr>
            <w:tcW w:w="2081" w:type="dxa"/>
          </w:tcPr>
          <w:p w14:paraId="222EAF2B">
            <w:pPr>
              <w:ind w:right="565" w:rightChars="269"/>
              <w:rPr>
                <w:rFonts w:ascii="宋体" w:hAnsi="宋体" w:cs="宋体"/>
                <w:sz w:val="28"/>
                <w:szCs w:val="28"/>
                <w:highlight w:val="none"/>
              </w:rPr>
            </w:pPr>
          </w:p>
        </w:tc>
        <w:tc>
          <w:tcPr>
            <w:tcW w:w="1782" w:type="dxa"/>
          </w:tcPr>
          <w:p w14:paraId="7402C9ED">
            <w:pPr>
              <w:ind w:right="565" w:rightChars="269"/>
              <w:rPr>
                <w:rFonts w:ascii="宋体" w:hAnsi="宋体" w:cs="宋体"/>
                <w:sz w:val="28"/>
                <w:szCs w:val="28"/>
                <w:highlight w:val="none"/>
              </w:rPr>
            </w:pPr>
          </w:p>
        </w:tc>
        <w:tc>
          <w:tcPr>
            <w:tcW w:w="1837" w:type="dxa"/>
          </w:tcPr>
          <w:p w14:paraId="2A0989FA">
            <w:pPr>
              <w:ind w:right="565" w:rightChars="269"/>
              <w:rPr>
                <w:rFonts w:ascii="宋体" w:hAnsi="宋体" w:cs="宋体"/>
                <w:sz w:val="28"/>
                <w:szCs w:val="28"/>
                <w:highlight w:val="none"/>
              </w:rPr>
            </w:pPr>
          </w:p>
        </w:tc>
        <w:tc>
          <w:tcPr>
            <w:tcW w:w="1850" w:type="dxa"/>
          </w:tcPr>
          <w:p w14:paraId="4AFEFF7B">
            <w:pPr>
              <w:ind w:right="565" w:rightChars="269"/>
              <w:rPr>
                <w:rFonts w:ascii="宋体" w:hAnsi="宋体" w:cs="宋体"/>
                <w:sz w:val="28"/>
                <w:szCs w:val="28"/>
                <w:highlight w:val="none"/>
              </w:rPr>
            </w:pPr>
          </w:p>
        </w:tc>
      </w:tr>
      <w:tr w14:paraId="53EC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84" w:type="dxa"/>
          </w:tcPr>
          <w:p w14:paraId="7FC6E3ED">
            <w:pPr>
              <w:ind w:right="565" w:rightChars="269"/>
              <w:rPr>
                <w:rFonts w:ascii="宋体" w:hAnsi="宋体" w:cs="宋体"/>
                <w:sz w:val="28"/>
                <w:szCs w:val="28"/>
                <w:highlight w:val="none"/>
              </w:rPr>
            </w:pPr>
          </w:p>
        </w:tc>
        <w:tc>
          <w:tcPr>
            <w:tcW w:w="2081" w:type="dxa"/>
          </w:tcPr>
          <w:p w14:paraId="0C22F3E3">
            <w:pPr>
              <w:ind w:right="565" w:rightChars="269"/>
              <w:rPr>
                <w:rFonts w:ascii="宋体" w:hAnsi="宋体" w:cs="宋体"/>
                <w:sz w:val="28"/>
                <w:szCs w:val="28"/>
                <w:highlight w:val="none"/>
              </w:rPr>
            </w:pPr>
          </w:p>
        </w:tc>
        <w:tc>
          <w:tcPr>
            <w:tcW w:w="1782" w:type="dxa"/>
          </w:tcPr>
          <w:p w14:paraId="33F2F773">
            <w:pPr>
              <w:ind w:right="565" w:rightChars="269"/>
              <w:rPr>
                <w:rFonts w:ascii="宋体" w:hAnsi="宋体" w:cs="宋体"/>
                <w:sz w:val="28"/>
                <w:szCs w:val="28"/>
                <w:highlight w:val="none"/>
              </w:rPr>
            </w:pPr>
          </w:p>
        </w:tc>
        <w:tc>
          <w:tcPr>
            <w:tcW w:w="1837" w:type="dxa"/>
          </w:tcPr>
          <w:p w14:paraId="0B0BC229">
            <w:pPr>
              <w:ind w:right="565" w:rightChars="269"/>
              <w:rPr>
                <w:rFonts w:ascii="宋体" w:hAnsi="宋体" w:cs="宋体"/>
                <w:sz w:val="28"/>
                <w:szCs w:val="28"/>
                <w:highlight w:val="none"/>
              </w:rPr>
            </w:pPr>
          </w:p>
        </w:tc>
        <w:tc>
          <w:tcPr>
            <w:tcW w:w="1850" w:type="dxa"/>
          </w:tcPr>
          <w:p w14:paraId="5D244807">
            <w:pPr>
              <w:ind w:right="565" w:rightChars="269"/>
              <w:rPr>
                <w:rFonts w:ascii="宋体" w:hAnsi="宋体" w:cs="宋体"/>
                <w:sz w:val="28"/>
                <w:szCs w:val="28"/>
                <w:highlight w:val="none"/>
              </w:rPr>
            </w:pPr>
          </w:p>
        </w:tc>
      </w:tr>
      <w:tr w14:paraId="2363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84" w:type="dxa"/>
          </w:tcPr>
          <w:p w14:paraId="2615478E">
            <w:pPr>
              <w:ind w:right="565" w:rightChars="269"/>
              <w:rPr>
                <w:rFonts w:ascii="宋体" w:hAnsi="宋体" w:cs="宋体"/>
                <w:sz w:val="28"/>
                <w:szCs w:val="28"/>
                <w:highlight w:val="none"/>
              </w:rPr>
            </w:pPr>
          </w:p>
        </w:tc>
        <w:tc>
          <w:tcPr>
            <w:tcW w:w="2081" w:type="dxa"/>
          </w:tcPr>
          <w:p w14:paraId="1966D37A">
            <w:pPr>
              <w:ind w:right="565" w:rightChars="269"/>
              <w:rPr>
                <w:rFonts w:ascii="宋体" w:hAnsi="宋体" w:cs="宋体"/>
                <w:sz w:val="28"/>
                <w:szCs w:val="28"/>
                <w:highlight w:val="none"/>
              </w:rPr>
            </w:pPr>
          </w:p>
        </w:tc>
        <w:tc>
          <w:tcPr>
            <w:tcW w:w="1782" w:type="dxa"/>
          </w:tcPr>
          <w:p w14:paraId="18CBAE56">
            <w:pPr>
              <w:ind w:right="565" w:rightChars="269"/>
              <w:rPr>
                <w:rFonts w:ascii="宋体" w:hAnsi="宋体" w:cs="宋体"/>
                <w:sz w:val="28"/>
                <w:szCs w:val="28"/>
                <w:highlight w:val="none"/>
              </w:rPr>
            </w:pPr>
          </w:p>
        </w:tc>
        <w:tc>
          <w:tcPr>
            <w:tcW w:w="1837" w:type="dxa"/>
          </w:tcPr>
          <w:p w14:paraId="58EBE9DD">
            <w:pPr>
              <w:ind w:right="565" w:rightChars="269"/>
              <w:rPr>
                <w:rFonts w:ascii="宋体" w:hAnsi="宋体" w:cs="宋体"/>
                <w:sz w:val="28"/>
                <w:szCs w:val="28"/>
                <w:highlight w:val="none"/>
              </w:rPr>
            </w:pPr>
          </w:p>
        </w:tc>
        <w:tc>
          <w:tcPr>
            <w:tcW w:w="1850" w:type="dxa"/>
          </w:tcPr>
          <w:p w14:paraId="6D77AE35">
            <w:pPr>
              <w:ind w:right="565" w:rightChars="269"/>
              <w:rPr>
                <w:rFonts w:ascii="宋体" w:hAnsi="宋体" w:cs="宋体"/>
                <w:sz w:val="28"/>
                <w:szCs w:val="28"/>
                <w:highlight w:val="none"/>
              </w:rPr>
            </w:pPr>
          </w:p>
        </w:tc>
      </w:tr>
    </w:tbl>
    <w:p w14:paraId="2955DA39">
      <w:pPr>
        <w:spacing w:before="156" w:beforeLines="50"/>
        <w:rPr>
          <w:rFonts w:ascii="宋体" w:hAnsi="宋体"/>
          <w:color w:val="000000"/>
          <w:szCs w:val="21"/>
          <w:highlight w:val="none"/>
        </w:rPr>
      </w:pPr>
      <w:r>
        <w:rPr>
          <w:rFonts w:hint="eastAsia" w:ascii="宋体" w:hAnsi="宋体"/>
          <w:color w:val="000000"/>
          <w:szCs w:val="21"/>
          <w:highlight w:val="none"/>
        </w:rPr>
        <w:t>备注：</w:t>
      </w:r>
    </w:p>
    <w:p w14:paraId="5DA17B32">
      <w:pPr>
        <w:numPr>
          <w:ilvl w:val="0"/>
          <w:numId w:val="10"/>
        </w:numPr>
        <w:ind w:firstLine="420" w:firstLineChars="200"/>
        <w:rPr>
          <w:rFonts w:ascii="宋体" w:hAnsi="宋体"/>
          <w:color w:val="000000"/>
          <w:szCs w:val="21"/>
          <w:highlight w:val="none"/>
        </w:rPr>
      </w:pPr>
      <w:r>
        <w:rPr>
          <w:rFonts w:hint="eastAsia" w:ascii="宋体" w:hAnsi="宋体"/>
          <w:color w:val="000000"/>
          <w:szCs w:val="21"/>
          <w:highlight w:val="none"/>
        </w:rPr>
        <w:t>业绩表只需提供近三年（</w:t>
      </w:r>
      <w:r>
        <w:rPr>
          <w:rFonts w:ascii="宋体" w:hAnsi="宋体"/>
          <w:color w:val="000000"/>
          <w:szCs w:val="21"/>
          <w:highlight w:val="none"/>
        </w:rPr>
        <w:t>20</w:t>
      </w:r>
      <w:r>
        <w:rPr>
          <w:rFonts w:hint="eastAsia" w:ascii="宋体" w:hAnsi="宋体"/>
          <w:color w:val="000000"/>
          <w:szCs w:val="21"/>
          <w:highlight w:val="none"/>
        </w:rPr>
        <w:t>22年</w:t>
      </w:r>
      <w:r>
        <w:rPr>
          <w:rFonts w:ascii="宋体" w:hAnsi="宋体"/>
          <w:color w:val="000000"/>
          <w:szCs w:val="21"/>
          <w:highlight w:val="none"/>
        </w:rPr>
        <w:t>1</w:t>
      </w:r>
      <w:r>
        <w:rPr>
          <w:rFonts w:hint="eastAsia" w:ascii="宋体" w:hAnsi="宋体"/>
          <w:color w:val="000000"/>
          <w:szCs w:val="21"/>
          <w:highlight w:val="none"/>
        </w:rPr>
        <w:t>月</w:t>
      </w:r>
      <w:r>
        <w:rPr>
          <w:rFonts w:ascii="宋体" w:hAnsi="宋体"/>
          <w:color w:val="000000"/>
          <w:szCs w:val="21"/>
          <w:highlight w:val="none"/>
        </w:rPr>
        <w:t>1</w:t>
      </w:r>
      <w:r>
        <w:rPr>
          <w:rFonts w:hint="eastAsia" w:ascii="宋体" w:hAnsi="宋体"/>
          <w:color w:val="000000"/>
          <w:szCs w:val="21"/>
          <w:highlight w:val="none"/>
        </w:rPr>
        <w:t>日至今）类似项目业绩，类似项目是指在中华人民共和国境内（不含香港、澳门及台湾地区）公共交通行业设计、研究、咨询服务项目，且单个项目金额≥30万的项目合同。</w:t>
      </w:r>
    </w:p>
    <w:p w14:paraId="170019BD">
      <w:pPr>
        <w:ind w:firstLine="420" w:firstLineChars="200"/>
        <w:rPr>
          <w:rFonts w:ascii="宋体" w:hAnsi="宋体"/>
          <w:color w:val="000000"/>
          <w:szCs w:val="21"/>
          <w:highlight w:val="none"/>
        </w:rPr>
      </w:pPr>
      <w:r>
        <w:rPr>
          <w:rFonts w:hint="eastAsia" w:ascii="宋体" w:hAnsi="宋体"/>
          <w:color w:val="000000"/>
          <w:szCs w:val="21"/>
          <w:highlight w:val="none"/>
        </w:rPr>
        <w:t>2.此表须附相应合同复印件（项目必须体现</w:t>
      </w:r>
      <w:r>
        <w:rPr>
          <w:rFonts w:hint="eastAsia" w:ascii="宋体" w:hAnsi="宋体" w:cs="宋体"/>
          <w:color w:val="000000"/>
          <w:szCs w:val="21"/>
          <w:highlight w:val="none"/>
        </w:rPr>
        <w:t>合同双方名称、签订日期、合同金额、合同服务内容，除此外，涉及到商业秘密的内容可以隐去</w:t>
      </w:r>
      <w:r>
        <w:rPr>
          <w:rFonts w:hint="eastAsia" w:ascii="宋体" w:hAnsi="宋体"/>
          <w:color w:val="000000"/>
          <w:szCs w:val="21"/>
          <w:highlight w:val="none"/>
        </w:rPr>
        <w:t>）证明材料。未附有效证明材料的业绩视为无效。</w:t>
      </w:r>
    </w:p>
    <w:p w14:paraId="79E822B3">
      <w:pPr>
        <w:rPr>
          <w:color w:val="000000"/>
          <w:sz w:val="24"/>
          <w:szCs w:val="24"/>
          <w:highlight w:val="none"/>
        </w:rPr>
      </w:pPr>
      <w:r>
        <w:rPr>
          <w:color w:val="000000"/>
          <w:sz w:val="24"/>
          <w:szCs w:val="24"/>
          <w:highlight w:val="none"/>
        </w:rPr>
        <w:br w:type="page"/>
      </w:r>
    </w:p>
    <w:p w14:paraId="59883253">
      <w:pPr>
        <w:pStyle w:val="5"/>
        <w:rPr>
          <w:highlight w:val="none"/>
        </w:rPr>
      </w:pPr>
      <w:r>
        <w:rPr>
          <w:rFonts w:hint="eastAsia"/>
          <w:highlight w:val="none"/>
        </w:rPr>
        <w:t>2.</w:t>
      </w:r>
      <w:r>
        <w:rPr>
          <w:rFonts w:ascii="Times New Roman" w:hAnsi="Times New Roman"/>
          <w:kern w:val="0"/>
          <w:szCs w:val="20"/>
          <w:highlight w:val="none"/>
        </w:rPr>
        <w:t>本项目</w:t>
      </w:r>
      <w:r>
        <w:rPr>
          <w:rFonts w:hint="eastAsia" w:ascii="Times New Roman" w:hAnsi="Times New Roman"/>
          <w:kern w:val="0"/>
          <w:szCs w:val="20"/>
          <w:highlight w:val="none"/>
        </w:rPr>
        <w:t>拟投入</w:t>
      </w:r>
      <w:r>
        <w:rPr>
          <w:rFonts w:ascii="Times New Roman" w:hAnsi="Times New Roman"/>
          <w:kern w:val="0"/>
          <w:szCs w:val="20"/>
          <w:highlight w:val="none"/>
        </w:rPr>
        <w:t>人员组成表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1544"/>
        <w:gridCol w:w="2989"/>
        <w:gridCol w:w="2267"/>
      </w:tblGrid>
      <w:tr w14:paraId="5BE0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2" w:type="dxa"/>
            <w:gridSpan w:val="4"/>
            <w:tcBorders>
              <w:top w:val="single" w:color="auto" w:sz="4" w:space="0"/>
              <w:left w:val="single" w:color="auto" w:sz="4" w:space="0"/>
              <w:bottom w:val="single" w:color="auto" w:sz="4" w:space="0"/>
              <w:right w:val="single" w:color="auto" w:sz="4" w:space="0"/>
            </w:tcBorders>
            <w:vAlign w:val="center"/>
          </w:tcPr>
          <w:p w14:paraId="58FF7963">
            <w:pPr>
              <w:pStyle w:val="66"/>
              <w:spacing w:line="360" w:lineRule="exact"/>
              <w:rPr>
                <w:color w:val="000000"/>
                <w:highlight w:val="none"/>
              </w:rPr>
            </w:pPr>
            <w:r>
              <w:rPr>
                <w:color w:val="000000"/>
                <w:highlight w:val="none"/>
              </w:rPr>
              <w:t>1</w:t>
            </w:r>
            <w:r>
              <w:rPr>
                <w:rFonts w:hint="eastAsia"/>
                <w:color w:val="000000"/>
                <w:highlight w:val="none"/>
              </w:rPr>
              <w:t>．公司人员</w:t>
            </w:r>
          </w:p>
        </w:tc>
      </w:tr>
      <w:tr w14:paraId="3C89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2" w:type="dxa"/>
            <w:tcBorders>
              <w:top w:val="single" w:color="auto" w:sz="4" w:space="0"/>
              <w:left w:val="single" w:color="auto" w:sz="4" w:space="0"/>
              <w:bottom w:val="single" w:color="auto" w:sz="4" w:space="0"/>
              <w:right w:val="single" w:color="auto" w:sz="4" w:space="0"/>
            </w:tcBorders>
            <w:vAlign w:val="center"/>
          </w:tcPr>
          <w:p w14:paraId="5358ED6E">
            <w:pPr>
              <w:pStyle w:val="66"/>
              <w:spacing w:line="360" w:lineRule="exact"/>
              <w:rPr>
                <w:color w:val="000000"/>
                <w:highlight w:val="none"/>
              </w:rPr>
            </w:pPr>
            <w:r>
              <w:rPr>
                <w:rFonts w:hint="eastAsia"/>
                <w:color w:val="000000"/>
                <w:highlight w:val="none"/>
              </w:rPr>
              <w:t>总</w:t>
            </w:r>
            <w:r>
              <w:rPr>
                <w:color w:val="000000"/>
                <w:highlight w:val="none"/>
              </w:rPr>
              <w:t xml:space="preserve">  </w:t>
            </w:r>
            <w:r>
              <w:rPr>
                <w:rFonts w:hint="eastAsia"/>
                <w:color w:val="000000"/>
                <w:highlight w:val="none"/>
              </w:rPr>
              <w:t>数</w:t>
            </w:r>
          </w:p>
        </w:tc>
        <w:tc>
          <w:tcPr>
            <w:tcW w:w="6800" w:type="dxa"/>
            <w:gridSpan w:val="3"/>
            <w:tcBorders>
              <w:top w:val="single" w:color="auto" w:sz="4" w:space="0"/>
              <w:left w:val="single" w:color="auto" w:sz="4" w:space="0"/>
              <w:bottom w:val="single" w:color="auto" w:sz="4" w:space="0"/>
              <w:right w:val="single" w:color="auto" w:sz="4" w:space="0"/>
            </w:tcBorders>
            <w:vAlign w:val="center"/>
          </w:tcPr>
          <w:p w14:paraId="15997E2A">
            <w:pPr>
              <w:pStyle w:val="66"/>
              <w:spacing w:line="360" w:lineRule="exact"/>
              <w:rPr>
                <w:color w:val="000000"/>
                <w:highlight w:val="none"/>
              </w:rPr>
            </w:pPr>
            <w:r>
              <w:rPr>
                <w:rFonts w:hint="eastAsia"/>
                <w:color w:val="000000"/>
                <w:highlight w:val="none"/>
              </w:rPr>
              <w:t>人</w:t>
            </w:r>
          </w:p>
        </w:tc>
      </w:tr>
      <w:tr w14:paraId="5FFF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272" w:type="dxa"/>
            <w:tcBorders>
              <w:top w:val="single" w:color="auto" w:sz="4" w:space="0"/>
              <w:left w:val="single" w:color="auto" w:sz="4" w:space="0"/>
              <w:bottom w:val="single" w:color="auto" w:sz="4" w:space="0"/>
              <w:right w:val="single" w:color="auto" w:sz="4" w:space="0"/>
            </w:tcBorders>
            <w:vAlign w:val="center"/>
          </w:tcPr>
          <w:p w14:paraId="0C6FB06C">
            <w:pPr>
              <w:pStyle w:val="66"/>
              <w:spacing w:line="360" w:lineRule="exact"/>
              <w:rPr>
                <w:color w:val="000000"/>
                <w:highlight w:val="none"/>
              </w:rPr>
            </w:pPr>
            <w:r>
              <w:rPr>
                <w:rFonts w:hint="eastAsia"/>
                <w:color w:val="000000"/>
                <w:highlight w:val="none"/>
              </w:rPr>
              <w:t>拟为本项目提供的</w:t>
            </w:r>
          </w:p>
          <w:p w14:paraId="33CFC72C">
            <w:pPr>
              <w:pStyle w:val="66"/>
              <w:spacing w:line="360" w:lineRule="exact"/>
              <w:rPr>
                <w:color w:val="000000"/>
                <w:highlight w:val="none"/>
              </w:rPr>
            </w:pPr>
            <w:r>
              <w:rPr>
                <w:rFonts w:hint="eastAsia"/>
                <w:color w:val="000000"/>
                <w:highlight w:val="none"/>
              </w:rPr>
              <w:t>人员总数</w:t>
            </w:r>
          </w:p>
        </w:tc>
        <w:tc>
          <w:tcPr>
            <w:tcW w:w="6800" w:type="dxa"/>
            <w:gridSpan w:val="3"/>
            <w:tcBorders>
              <w:top w:val="single" w:color="auto" w:sz="4" w:space="0"/>
              <w:left w:val="single" w:color="auto" w:sz="4" w:space="0"/>
              <w:bottom w:val="single" w:color="auto" w:sz="4" w:space="0"/>
              <w:right w:val="single" w:color="auto" w:sz="4" w:space="0"/>
            </w:tcBorders>
            <w:vAlign w:val="center"/>
          </w:tcPr>
          <w:p w14:paraId="4518B5B5">
            <w:pPr>
              <w:pStyle w:val="66"/>
              <w:spacing w:line="360" w:lineRule="exact"/>
              <w:rPr>
                <w:color w:val="000000"/>
                <w:highlight w:val="none"/>
              </w:rPr>
            </w:pPr>
            <w:r>
              <w:rPr>
                <w:rFonts w:hint="eastAsia"/>
                <w:color w:val="000000"/>
                <w:highlight w:val="none"/>
              </w:rPr>
              <w:t>人</w:t>
            </w:r>
          </w:p>
        </w:tc>
      </w:tr>
      <w:tr w14:paraId="4FC5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072" w:type="dxa"/>
            <w:gridSpan w:val="4"/>
            <w:tcBorders>
              <w:top w:val="single" w:color="auto" w:sz="4" w:space="0"/>
              <w:left w:val="single" w:color="auto" w:sz="4" w:space="0"/>
              <w:bottom w:val="single" w:color="auto" w:sz="4" w:space="0"/>
              <w:right w:val="single" w:color="auto" w:sz="4" w:space="0"/>
            </w:tcBorders>
            <w:vAlign w:val="center"/>
          </w:tcPr>
          <w:p w14:paraId="6DF449ED">
            <w:pPr>
              <w:pStyle w:val="66"/>
              <w:spacing w:line="360" w:lineRule="exact"/>
              <w:rPr>
                <w:color w:val="000000"/>
                <w:highlight w:val="none"/>
              </w:rPr>
            </w:pPr>
            <w:r>
              <w:rPr>
                <w:color w:val="000000"/>
                <w:highlight w:val="none"/>
              </w:rPr>
              <w:t>2.</w:t>
            </w:r>
            <w:r>
              <w:rPr>
                <w:rFonts w:hint="eastAsia"/>
                <w:color w:val="000000"/>
                <w:highlight w:val="none"/>
              </w:rPr>
              <w:t>拟投入本项目的主要人员</w:t>
            </w:r>
          </w:p>
        </w:tc>
      </w:tr>
      <w:tr w14:paraId="4B76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272" w:type="dxa"/>
            <w:tcBorders>
              <w:top w:val="single" w:color="auto" w:sz="4" w:space="0"/>
              <w:left w:val="single" w:color="auto" w:sz="4" w:space="0"/>
              <w:bottom w:val="single" w:color="auto" w:sz="4" w:space="0"/>
              <w:right w:val="single" w:color="auto" w:sz="4" w:space="0"/>
            </w:tcBorders>
            <w:vAlign w:val="center"/>
          </w:tcPr>
          <w:p w14:paraId="53AF6FFB">
            <w:pPr>
              <w:pStyle w:val="66"/>
              <w:spacing w:line="360" w:lineRule="exact"/>
              <w:rPr>
                <w:color w:val="000000"/>
                <w:highlight w:val="none"/>
              </w:rPr>
            </w:pPr>
            <w:r>
              <w:rPr>
                <w:rFonts w:hint="eastAsia"/>
                <w:color w:val="000000"/>
                <w:highlight w:val="none"/>
              </w:rPr>
              <w:t>姓  名</w:t>
            </w:r>
          </w:p>
        </w:tc>
        <w:tc>
          <w:tcPr>
            <w:tcW w:w="1544" w:type="dxa"/>
            <w:tcBorders>
              <w:top w:val="single" w:color="auto" w:sz="4" w:space="0"/>
              <w:left w:val="single" w:color="auto" w:sz="4" w:space="0"/>
              <w:bottom w:val="single" w:color="auto" w:sz="4" w:space="0"/>
              <w:right w:val="single" w:color="auto" w:sz="4" w:space="0"/>
            </w:tcBorders>
            <w:vAlign w:val="center"/>
          </w:tcPr>
          <w:p w14:paraId="0C67C41B">
            <w:pPr>
              <w:pStyle w:val="66"/>
              <w:spacing w:line="360" w:lineRule="exact"/>
              <w:rPr>
                <w:color w:val="000000"/>
                <w:highlight w:val="none"/>
              </w:rPr>
            </w:pPr>
            <w:r>
              <w:rPr>
                <w:rFonts w:hint="eastAsia"/>
                <w:color w:val="000000"/>
                <w:highlight w:val="none"/>
              </w:rPr>
              <w:t>学历</w:t>
            </w:r>
          </w:p>
        </w:tc>
        <w:tc>
          <w:tcPr>
            <w:tcW w:w="2989" w:type="dxa"/>
            <w:tcBorders>
              <w:top w:val="single" w:color="auto" w:sz="4" w:space="0"/>
              <w:left w:val="single" w:color="auto" w:sz="4" w:space="0"/>
              <w:bottom w:val="single" w:color="auto" w:sz="4" w:space="0"/>
              <w:right w:val="single" w:color="auto" w:sz="4" w:space="0"/>
            </w:tcBorders>
            <w:vAlign w:val="center"/>
          </w:tcPr>
          <w:p w14:paraId="03DB0413">
            <w:pPr>
              <w:pStyle w:val="66"/>
              <w:spacing w:line="360" w:lineRule="exact"/>
              <w:rPr>
                <w:color w:val="000000"/>
                <w:highlight w:val="none"/>
              </w:rPr>
            </w:pPr>
            <w:r>
              <w:rPr>
                <w:rFonts w:hint="eastAsia"/>
                <w:color w:val="000000"/>
                <w:highlight w:val="none"/>
              </w:rPr>
              <w:t>职称/在本项目中担任的</w:t>
            </w:r>
          </w:p>
          <w:p w14:paraId="0437EC3A">
            <w:pPr>
              <w:pStyle w:val="66"/>
              <w:spacing w:line="360" w:lineRule="exact"/>
              <w:ind w:firstLine="1050" w:firstLineChars="500"/>
              <w:jc w:val="both"/>
              <w:rPr>
                <w:color w:val="000000"/>
                <w:highlight w:val="none"/>
              </w:rPr>
            </w:pPr>
            <w:r>
              <w:rPr>
                <w:rFonts w:hint="eastAsia"/>
                <w:color w:val="000000"/>
                <w:highlight w:val="none"/>
              </w:rPr>
              <w:t>职务</w:t>
            </w:r>
          </w:p>
        </w:tc>
        <w:tc>
          <w:tcPr>
            <w:tcW w:w="2267" w:type="dxa"/>
            <w:tcBorders>
              <w:top w:val="single" w:color="auto" w:sz="4" w:space="0"/>
              <w:left w:val="single" w:color="auto" w:sz="4" w:space="0"/>
              <w:bottom w:val="single" w:color="auto" w:sz="4" w:space="0"/>
              <w:right w:val="single" w:color="auto" w:sz="4" w:space="0"/>
            </w:tcBorders>
            <w:vAlign w:val="center"/>
          </w:tcPr>
          <w:p w14:paraId="706E1DB2">
            <w:pPr>
              <w:pStyle w:val="66"/>
              <w:spacing w:line="360" w:lineRule="exact"/>
              <w:rPr>
                <w:color w:val="000000"/>
                <w:highlight w:val="none"/>
              </w:rPr>
            </w:pPr>
            <w:r>
              <w:rPr>
                <w:rFonts w:hint="eastAsia"/>
                <w:color w:val="000000"/>
                <w:highlight w:val="none"/>
              </w:rPr>
              <w:t>相关工作业绩、资历及能力</w:t>
            </w:r>
          </w:p>
        </w:tc>
      </w:tr>
      <w:tr w14:paraId="54B0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2" w:type="dxa"/>
            <w:tcBorders>
              <w:top w:val="single" w:color="auto" w:sz="4" w:space="0"/>
              <w:left w:val="single" w:color="auto" w:sz="4" w:space="0"/>
              <w:bottom w:val="single" w:color="auto" w:sz="4" w:space="0"/>
              <w:right w:val="single" w:color="auto" w:sz="4" w:space="0"/>
            </w:tcBorders>
            <w:vAlign w:val="center"/>
          </w:tcPr>
          <w:p w14:paraId="1053BEF4">
            <w:pPr>
              <w:pStyle w:val="66"/>
              <w:spacing w:line="360" w:lineRule="auto"/>
              <w:rPr>
                <w:color w:val="000000"/>
                <w:highlight w:val="none"/>
              </w:rPr>
            </w:pPr>
          </w:p>
        </w:tc>
        <w:tc>
          <w:tcPr>
            <w:tcW w:w="1544" w:type="dxa"/>
            <w:tcBorders>
              <w:top w:val="single" w:color="auto" w:sz="4" w:space="0"/>
              <w:left w:val="single" w:color="auto" w:sz="4" w:space="0"/>
              <w:bottom w:val="single" w:color="auto" w:sz="4" w:space="0"/>
              <w:right w:val="single" w:color="auto" w:sz="4" w:space="0"/>
            </w:tcBorders>
            <w:vAlign w:val="center"/>
          </w:tcPr>
          <w:p w14:paraId="77D156A0">
            <w:pPr>
              <w:pStyle w:val="66"/>
              <w:spacing w:line="360" w:lineRule="auto"/>
              <w:rPr>
                <w:color w:val="000000"/>
                <w:highlight w:val="none"/>
              </w:rPr>
            </w:pPr>
          </w:p>
        </w:tc>
        <w:tc>
          <w:tcPr>
            <w:tcW w:w="2989" w:type="dxa"/>
            <w:tcBorders>
              <w:top w:val="single" w:color="auto" w:sz="4" w:space="0"/>
              <w:left w:val="single" w:color="auto" w:sz="4" w:space="0"/>
              <w:bottom w:val="single" w:color="auto" w:sz="4" w:space="0"/>
              <w:right w:val="single" w:color="auto" w:sz="4" w:space="0"/>
            </w:tcBorders>
            <w:vAlign w:val="center"/>
          </w:tcPr>
          <w:p w14:paraId="34F53CF9">
            <w:pPr>
              <w:pStyle w:val="66"/>
              <w:spacing w:line="360" w:lineRule="auto"/>
              <w:rPr>
                <w:color w:val="000000"/>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3F30F83F">
            <w:pPr>
              <w:pStyle w:val="66"/>
              <w:spacing w:line="360" w:lineRule="auto"/>
              <w:rPr>
                <w:color w:val="000000"/>
                <w:highlight w:val="none"/>
              </w:rPr>
            </w:pPr>
          </w:p>
        </w:tc>
      </w:tr>
      <w:tr w14:paraId="2550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2" w:type="dxa"/>
            <w:tcBorders>
              <w:top w:val="single" w:color="auto" w:sz="4" w:space="0"/>
              <w:left w:val="single" w:color="auto" w:sz="4" w:space="0"/>
              <w:bottom w:val="single" w:color="auto" w:sz="4" w:space="0"/>
              <w:right w:val="single" w:color="auto" w:sz="4" w:space="0"/>
            </w:tcBorders>
            <w:vAlign w:val="center"/>
          </w:tcPr>
          <w:p w14:paraId="0AF6CBB5">
            <w:pPr>
              <w:pStyle w:val="66"/>
              <w:spacing w:line="360" w:lineRule="auto"/>
              <w:rPr>
                <w:color w:val="000000"/>
                <w:highlight w:val="none"/>
              </w:rPr>
            </w:pPr>
          </w:p>
        </w:tc>
        <w:tc>
          <w:tcPr>
            <w:tcW w:w="1544" w:type="dxa"/>
            <w:tcBorders>
              <w:top w:val="single" w:color="auto" w:sz="4" w:space="0"/>
              <w:left w:val="single" w:color="auto" w:sz="4" w:space="0"/>
              <w:bottom w:val="single" w:color="auto" w:sz="4" w:space="0"/>
              <w:right w:val="single" w:color="auto" w:sz="4" w:space="0"/>
            </w:tcBorders>
            <w:vAlign w:val="center"/>
          </w:tcPr>
          <w:p w14:paraId="38F1905B">
            <w:pPr>
              <w:pStyle w:val="66"/>
              <w:spacing w:line="360" w:lineRule="auto"/>
              <w:rPr>
                <w:color w:val="000000"/>
                <w:highlight w:val="none"/>
              </w:rPr>
            </w:pPr>
          </w:p>
        </w:tc>
        <w:tc>
          <w:tcPr>
            <w:tcW w:w="2989" w:type="dxa"/>
            <w:tcBorders>
              <w:top w:val="single" w:color="auto" w:sz="4" w:space="0"/>
              <w:left w:val="single" w:color="auto" w:sz="4" w:space="0"/>
              <w:bottom w:val="single" w:color="auto" w:sz="4" w:space="0"/>
              <w:right w:val="single" w:color="auto" w:sz="4" w:space="0"/>
            </w:tcBorders>
            <w:vAlign w:val="center"/>
          </w:tcPr>
          <w:p w14:paraId="263BD657">
            <w:pPr>
              <w:pStyle w:val="66"/>
              <w:spacing w:line="360" w:lineRule="auto"/>
              <w:rPr>
                <w:color w:val="000000"/>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609A94EE">
            <w:pPr>
              <w:pStyle w:val="66"/>
              <w:spacing w:line="360" w:lineRule="auto"/>
              <w:rPr>
                <w:color w:val="000000"/>
                <w:highlight w:val="none"/>
              </w:rPr>
            </w:pPr>
          </w:p>
        </w:tc>
      </w:tr>
      <w:tr w14:paraId="2BCA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2" w:type="dxa"/>
            <w:tcBorders>
              <w:top w:val="single" w:color="auto" w:sz="4" w:space="0"/>
              <w:left w:val="single" w:color="auto" w:sz="4" w:space="0"/>
              <w:bottom w:val="single" w:color="auto" w:sz="4" w:space="0"/>
              <w:right w:val="single" w:color="auto" w:sz="4" w:space="0"/>
            </w:tcBorders>
            <w:vAlign w:val="center"/>
          </w:tcPr>
          <w:p w14:paraId="168D65A5">
            <w:pPr>
              <w:pStyle w:val="66"/>
              <w:spacing w:line="360" w:lineRule="auto"/>
              <w:rPr>
                <w:color w:val="000000"/>
                <w:sz w:val="24"/>
                <w:szCs w:val="24"/>
                <w:highlight w:val="none"/>
              </w:rPr>
            </w:pPr>
          </w:p>
        </w:tc>
        <w:tc>
          <w:tcPr>
            <w:tcW w:w="1544" w:type="dxa"/>
            <w:tcBorders>
              <w:top w:val="single" w:color="auto" w:sz="4" w:space="0"/>
              <w:left w:val="single" w:color="auto" w:sz="4" w:space="0"/>
              <w:bottom w:val="single" w:color="auto" w:sz="4" w:space="0"/>
              <w:right w:val="single" w:color="auto" w:sz="4" w:space="0"/>
            </w:tcBorders>
            <w:vAlign w:val="center"/>
          </w:tcPr>
          <w:p w14:paraId="498120F7">
            <w:pPr>
              <w:pStyle w:val="66"/>
              <w:spacing w:line="360" w:lineRule="auto"/>
              <w:rPr>
                <w:color w:val="000000"/>
                <w:sz w:val="24"/>
                <w:szCs w:val="24"/>
                <w:highlight w:val="none"/>
              </w:rPr>
            </w:pPr>
          </w:p>
        </w:tc>
        <w:tc>
          <w:tcPr>
            <w:tcW w:w="2989" w:type="dxa"/>
            <w:tcBorders>
              <w:top w:val="single" w:color="auto" w:sz="4" w:space="0"/>
              <w:left w:val="single" w:color="auto" w:sz="4" w:space="0"/>
              <w:bottom w:val="single" w:color="auto" w:sz="4" w:space="0"/>
              <w:right w:val="single" w:color="auto" w:sz="4" w:space="0"/>
            </w:tcBorders>
            <w:vAlign w:val="center"/>
          </w:tcPr>
          <w:p w14:paraId="79DA7C25">
            <w:pPr>
              <w:pStyle w:val="66"/>
              <w:spacing w:line="360" w:lineRule="auto"/>
              <w:rPr>
                <w:color w:val="000000"/>
                <w:sz w:val="24"/>
                <w:szCs w:val="24"/>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4DD97E2B">
            <w:pPr>
              <w:pStyle w:val="66"/>
              <w:spacing w:line="360" w:lineRule="auto"/>
              <w:rPr>
                <w:color w:val="000000"/>
                <w:sz w:val="24"/>
                <w:szCs w:val="24"/>
                <w:highlight w:val="none"/>
              </w:rPr>
            </w:pPr>
          </w:p>
        </w:tc>
      </w:tr>
      <w:tr w14:paraId="2A4B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2" w:type="dxa"/>
            <w:tcBorders>
              <w:top w:val="single" w:color="auto" w:sz="4" w:space="0"/>
              <w:left w:val="single" w:color="auto" w:sz="4" w:space="0"/>
              <w:bottom w:val="single" w:color="auto" w:sz="4" w:space="0"/>
              <w:right w:val="single" w:color="auto" w:sz="4" w:space="0"/>
            </w:tcBorders>
            <w:vAlign w:val="center"/>
          </w:tcPr>
          <w:p w14:paraId="023AAB79">
            <w:pPr>
              <w:pStyle w:val="66"/>
              <w:spacing w:line="360" w:lineRule="auto"/>
              <w:rPr>
                <w:color w:val="000000"/>
                <w:sz w:val="24"/>
                <w:szCs w:val="24"/>
                <w:highlight w:val="none"/>
              </w:rPr>
            </w:pPr>
          </w:p>
        </w:tc>
        <w:tc>
          <w:tcPr>
            <w:tcW w:w="1544" w:type="dxa"/>
            <w:tcBorders>
              <w:top w:val="single" w:color="auto" w:sz="4" w:space="0"/>
              <w:left w:val="single" w:color="auto" w:sz="4" w:space="0"/>
              <w:bottom w:val="single" w:color="auto" w:sz="4" w:space="0"/>
              <w:right w:val="single" w:color="auto" w:sz="4" w:space="0"/>
            </w:tcBorders>
            <w:vAlign w:val="center"/>
          </w:tcPr>
          <w:p w14:paraId="1FD0FEC6">
            <w:pPr>
              <w:pStyle w:val="66"/>
              <w:spacing w:line="360" w:lineRule="auto"/>
              <w:rPr>
                <w:color w:val="000000"/>
                <w:sz w:val="24"/>
                <w:szCs w:val="24"/>
                <w:highlight w:val="none"/>
              </w:rPr>
            </w:pPr>
          </w:p>
        </w:tc>
        <w:tc>
          <w:tcPr>
            <w:tcW w:w="2989" w:type="dxa"/>
            <w:tcBorders>
              <w:top w:val="single" w:color="auto" w:sz="4" w:space="0"/>
              <w:left w:val="single" w:color="auto" w:sz="4" w:space="0"/>
              <w:bottom w:val="single" w:color="auto" w:sz="4" w:space="0"/>
              <w:right w:val="single" w:color="auto" w:sz="4" w:space="0"/>
            </w:tcBorders>
            <w:vAlign w:val="center"/>
          </w:tcPr>
          <w:p w14:paraId="2FCAC627">
            <w:pPr>
              <w:pStyle w:val="66"/>
              <w:spacing w:line="360" w:lineRule="auto"/>
              <w:rPr>
                <w:color w:val="000000"/>
                <w:sz w:val="24"/>
                <w:szCs w:val="24"/>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112096F2">
            <w:pPr>
              <w:pStyle w:val="66"/>
              <w:spacing w:line="360" w:lineRule="auto"/>
              <w:rPr>
                <w:color w:val="000000"/>
                <w:sz w:val="24"/>
                <w:szCs w:val="24"/>
                <w:highlight w:val="none"/>
              </w:rPr>
            </w:pPr>
          </w:p>
        </w:tc>
      </w:tr>
      <w:tr w14:paraId="663F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2" w:type="dxa"/>
            <w:tcBorders>
              <w:top w:val="single" w:color="auto" w:sz="4" w:space="0"/>
              <w:left w:val="single" w:color="auto" w:sz="4" w:space="0"/>
              <w:bottom w:val="single" w:color="auto" w:sz="4" w:space="0"/>
              <w:right w:val="single" w:color="auto" w:sz="4" w:space="0"/>
            </w:tcBorders>
            <w:vAlign w:val="center"/>
          </w:tcPr>
          <w:p w14:paraId="2AC99BAD">
            <w:pPr>
              <w:pStyle w:val="66"/>
              <w:spacing w:line="360" w:lineRule="auto"/>
              <w:rPr>
                <w:color w:val="000000"/>
                <w:sz w:val="24"/>
                <w:szCs w:val="24"/>
                <w:highlight w:val="none"/>
              </w:rPr>
            </w:pPr>
            <w:r>
              <w:rPr>
                <w:rFonts w:hint="eastAsia"/>
                <w:color w:val="000000"/>
                <w:sz w:val="24"/>
                <w:szCs w:val="24"/>
                <w:highlight w:val="none"/>
              </w:rPr>
              <w:t>……</w:t>
            </w:r>
          </w:p>
        </w:tc>
        <w:tc>
          <w:tcPr>
            <w:tcW w:w="1544" w:type="dxa"/>
            <w:tcBorders>
              <w:top w:val="single" w:color="auto" w:sz="4" w:space="0"/>
              <w:left w:val="single" w:color="auto" w:sz="4" w:space="0"/>
              <w:bottom w:val="single" w:color="auto" w:sz="4" w:space="0"/>
              <w:right w:val="single" w:color="auto" w:sz="4" w:space="0"/>
            </w:tcBorders>
            <w:vAlign w:val="center"/>
          </w:tcPr>
          <w:p w14:paraId="1366031C">
            <w:pPr>
              <w:pStyle w:val="66"/>
              <w:spacing w:line="360" w:lineRule="auto"/>
              <w:rPr>
                <w:color w:val="000000"/>
                <w:sz w:val="24"/>
                <w:szCs w:val="24"/>
                <w:highlight w:val="none"/>
              </w:rPr>
            </w:pPr>
          </w:p>
        </w:tc>
        <w:tc>
          <w:tcPr>
            <w:tcW w:w="2989" w:type="dxa"/>
            <w:tcBorders>
              <w:top w:val="single" w:color="auto" w:sz="4" w:space="0"/>
              <w:left w:val="single" w:color="auto" w:sz="4" w:space="0"/>
              <w:bottom w:val="single" w:color="auto" w:sz="4" w:space="0"/>
              <w:right w:val="single" w:color="auto" w:sz="4" w:space="0"/>
            </w:tcBorders>
            <w:vAlign w:val="center"/>
          </w:tcPr>
          <w:p w14:paraId="4B91F2AF">
            <w:pPr>
              <w:pStyle w:val="66"/>
              <w:spacing w:line="360" w:lineRule="auto"/>
              <w:rPr>
                <w:color w:val="000000"/>
                <w:sz w:val="24"/>
                <w:szCs w:val="24"/>
                <w:highlight w:val="none"/>
              </w:rPr>
            </w:pPr>
          </w:p>
        </w:tc>
        <w:tc>
          <w:tcPr>
            <w:tcW w:w="2267" w:type="dxa"/>
            <w:tcBorders>
              <w:top w:val="single" w:color="auto" w:sz="4" w:space="0"/>
              <w:left w:val="single" w:color="auto" w:sz="4" w:space="0"/>
              <w:bottom w:val="single" w:color="auto" w:sz="4" w:space="0"/>
              <w:right w:val="single" w:color="auto" w:sz="4" w:space="0"/>
            </w:tcBorders>
            <w:vAlign w:val="center"/>
          </w:tcPr>
          <w:p w14:paraId="3917EF2D">
            <w:pPr>
              <w:pStyle w:val="66"/>
              <w:spacing w:line="360" w:lineRule="auto"/>
              <w:rPr>
                <w:color w:val="000000"/>
                <w:sz w:val="24"/>
                <w:szCs w:val="24"/>
                <w:highlight w:val="none"/>
              </w:rPr>
            </w:pPr>
          </w:p>
        </w:tc>
      </w:tr>
    </w:tbl>
    <w:p w14:paraId="2B952FE0">
      <w:pPr>
        <w:spacing w:before="120"/>
        <w:rPr>
          <w:rFonts w:ascii="宋体" w:hAnsi="宋体"/>
          <w:color w:val="000000"/>
          <w:sz w:val="24"/>
          <w:szCs w:val="24"/>
          <w:highlight w:val="none"/>
        </w:rPr>
      </w:pPr>
    </w:p>
    <w:p w14:paraId="155A7826">
      <w:pPr>
        <w:spacing w:before="120"/>
        <w:ind w:left="3150" w:leftChars="1500" w:firstLine="879" w:firstLineChars="419"/>
        <w:rPr>
          <w:color w:val="000000"/>
          <w:szCs w:val="21"/>
          <w:highlight w:val="none"/>
          <w:u w:val="single"/>
        </w:rPr>
      </w:pPr>
      <w:r>
        <w:rPr>
          <w:rFonts w:hint="eastAsia"/>
          <w:color w:val="000000"/>
          <w:szCs w:val="21"/>
          <w:highlight w:val="none"/>
        </w:rPr>
        <w:t>投标人：</w:t>
      </w:r>
      <w:r>
        <w:rPr>
          <w:color w:val="000000"/>
          <w:szCs w:val="21"/>
          <w:highlight w:val="none"/>
          <w:u w:val="single"/>
        </w:rPr>
        <w:t xml:space="preserve">                              </w:t>
      </w:r>
      <w:r>
        <w:rPr>
          <w:rFonts w:hint="eastAsia"/>
          <w:color w:val="000000"/>
          <w:szCs w:val="21"/>
          <w:highlight w:val="none"/>
          <w:u w:val="single"/>
        </w:rPr>
        <w:t>（盖公章）</w:t>
      </w:r>
    </w:p>
    <w:p w14:paraId="4AC00021">
      <w:pPr>
        <w:spacing w:before="120"/>
        <w:ind w:left="3150" w:leftChars="1500" w:firstLine="879" w:firstLineChars="419"/>
        <w:rPr>
          <w:color w:val="000000"/>
          <w:szCs w:val="21"/>
          <w:highlight w:val="none"/>
        </w:rPr>
      </w:pPr>
      <w:r>
        <w:rPr>
          <w:rFonts w:hint="eastAsia"/>
          <w:color w:val="000000"/>
          <w:szCs w:val="21"/>
          <w:highlight w:val="none"/>
        </w:rPr>
        <w:t>法定代表人或</w:t>
      </w:r>
    </w:p>
    <w:p w14:paraId="42D1BFEA">
      <w:pPr>
        <w:spacing w:before="120"/>
        <w:ind w:firstLine="3990" w:firstLineChars="1900"/>
        <w:rPr>
          <w:color w:val="000000"/>
          <w:szCs w:val="21"/>
          <w:highlight w:val="none"/>
          <w:u w:val="single"/>
        </w:rPr>
      </w:pPr>
      <w:r>
        <w:rPr>
          <w:rFonts w:hint="eastAsia"/>
          <w:color w:val="000000"/>
          <w:szCs w:val="21"/>
          <w:highlight w:val="none"/>
        </w:rPr>
        <w:t>其授权委托代理人：</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rFonts w:hint="eastAsia"/>
          <w:color w:val="000000"/>
          <w:szCs w:val="21"/>
          <w:highlight w:val="none"/>
          <w:u w:val="single"/>
        </w:rPr>
        <w:t>（签字或盖章）</w:t>
      </w:r>
    </w:p>
    <w:p w14:paraId="03BC4A41">
      <w:pPr>
        <w:spacing w:before="120"/>
        <w:ind w:firstLine="3990" w:firstLineChars="1900"/>
        <w:rPr>
          <w:color w:val="000000"/>
          <w:szCs w:val="21"/>
          <w:highlight w:val="none"/>
          <w:u w:val="single"/>
        </w:rPr>
      </w:pPr>
      <w:r>
        <w:rPr>
          <w:rFonts w:hint="eastAsia"/>
          <w:color w:val="000000"/>
          <w:szCs w:val="21"/>
          <w:highlight w:val="none"/>
        </w:rPr>
        <w:t>日</w:t>
      </w:r>
      <w:r>
        <w:rPr>
          <w:color w:val="000000"/>
          <w:szCs w:val="21"/>
          <w:highlight w:val="none"/>
        </w:rPr>
        <w:t xml:space="preserve">    </w:t>
      </w:r>
      <w:r>
        <w:rPr>
          <w:rFonts w:hint="eastAsia"/>
          <w:color w:val="000000"/>
          <w:szCs w:val="21"/>
          <w:highlight w:val="none"/>
        </w:rPr>
        <w:t>期：</w:t>
      </w:r>
      <w:r>
        <w:rPr>
          <w:color w:val="000000"/>
          <w:szCs w:val="21"/>
          <w:highlight w:val="none"/>
          <w:u w:val="single"/>
        </w:rPr>
        <w:t xml:space="preserve">        </w:t>
      </w:r>
      <w:r>
        <w:rPr>
          <w:rFonts w:hint="eastAsia"/>
          <w:color w:val="000000"/>
          <w:szCs w:val="21"/>
          <w:highlight w:val="none"/>
          <w:u w:val="single"/>
        </w:rPr>
        <w:t>年</w:t>
      </w:r>
      <w:r>
        <w:rPr>
          <w:color w:val="000000"/>
          <w:szCs w:val="21"/>
          <w:highlight w:val="none"/>
          <w:u w:val="single"/>
        </w:rPr>
        <w:t xml:space="preserve">       </w:t>
      </w:r>
      <w:r>
        <w:rPr>
          <w:rFonts w:hint="eastAsia"/>
          <w:color w:val="000000"/>
          <w:szCs w:val="21"/>
          <w:highlight w:val="none"/>
          <w:u w:val="single"/>
        </w:rPr>
        <w:t>月</w:t>
      </w:r>
      <w:r>
        <w:rPr>
          <w:color w:val="000000"/>
          <w:szCs w:val="21"/>
          <w:highlight w:val="none"/>
          <w:u w:val="single"/>
        </w:rPr>
        <w:t xml:space="preserve">       </w:t>
      </w:r>
      <w:r>
        <w:rPr>
          <w:rFonts w:hint="eastAsia"/>
          <w:color w:val="000000"/>
          <w:szCs w:val="21"/>
          <w:highlight w:val="none"/>
          <w:u w:val="single"/>
        </w:rPr>
        <w:t>日</w:t>
      </w:r>
    </w:p>
    <w:p w14:paraId="697955B6">
      <w:pPr>
        <w:spacing w:before="120"/>
        <w:rPr>
          <w:rFonts w:ascii="宋体" w:hAnsi="宋体"/>
          <w:color w:val="000000"/>
          <w:sz w:val="24"/>
          <w:szCs w:val="24"/>
          <w:highlight w:val="none"/>
        </w:rPr>
      </w:pPr>
    </w:p>
    <w:p w14:paraId="6EDA0680">
      <w:pPr>
        <w:spacing w:before="120"/>
        <w:rPr>
          <w:rFonts w:ascii="宋体" w:hAnsi="宋体"/>
          <w:color w:val="000000"/>
          <w:sz w:val="24"/>
          <w:szCs w:val="24"/>
          <w:highlight w:val="none"/>
        </w:rPr>
      </w:pPr>
    </w:p>
    <w:p w14:paraId="3D383F1B">
      <w:pPr>
        <w:ind w:right="753"/>
        <w:rPr>
          <w:rFonts w:ascii="宋体" w:hAnsi="宋体" w:cs="宋体"/>
          <w:szCs w:val="21"/>
          <w:highlight w:val="none"/>
        </w:rPr>
      </w:pPr>
      <w:r>
        <w:rPr>
          <w:rFonts w:hint="eastAsia" w:ascii="宋体" w:hAnsi="宋体" w:cs="宋体"/>
          <w:szCs w:val="21"/>
          <w:highlight w:val="none"/>
        </w:rPr>
        <w:t>注：1、</w:t>
      </w:r>
      <w:r>
        <w:rPr>
          <w:rFonts w:hint="eastAsia" w:ascii="Times New Roman" w:hAnsi="Times New Roman"/>
          <w:szCs w:val="21"/>
          <w:highlight w:val="none"/>
        </w:rPr>
        <w:t>本表根据需要可扩展</w:t>
      </w:r>
    </w:p>
    <w:p w14:paraId="31D9CA26">
      <w:pPr>
        <w:ind w:right="753" w:firstLine="420" w:firstLineChars="200"/>
        <w:rPr>
          <w:rFonts w:ascii="宋体" w:hAnsi="宋体" w:cs="宋体"/>
          <w:szCs w:val="21"/>
          <w:highlight w:val="none"/>
        </w:rPr>
      </w:pPr>
      <w:r>
        <w:rPr>
          <w:rFonts w:hint="eastAsia" w:ascii="宋体" w:hAnsi="宋体" w:cs="宋体"/>
          <w:szCs w:val="21"/>
          <w:highlight w:val="none"/>
        </w:rPr>
        <w:t>2、后面需附项目人员的身份证、技术职称证书、学历学位证书、社保证明等相关证件（复印件）</w:t>
      </w:r>
    </w:p>
    <w:p w14:paraId="0B2CD765">
      <w:pPr>
        <w:adjustRightInd w:val="0"/>
        <w:snapToGrid w:val="0"/>
        <w:spacing w:line="520" w:lineRule="exact"/>
        <w:rPr>
          <w:rFonts w:cs="宋体"/>
          <w:b/>
          <w:color w:val="000000"/>
          <w:kern w:val="1"/>
          <w:sz w:val="24"/>
          <w:szCs w:val="24"/>
          <w:highlight w:val="none"/>
        </w:rPr>
      </w:pPr>
      <w:r>
        <w:rPr>
          <w:rFonts w:ascii="宋体" w:hAnsi="宋体" w:cs="宋体"/>
          <w:b/>
          <w:szCs w:val="21"/>
          <w:highlight w:val="none"/>
        </w:rPr>
        <w:br w:type="page"/>
      </w:r>
    </w:p>
    <w:p w14:paraId="524FEB06">
      <w:pPr>
        <w:pStyle w:val="5"/>
        <w:rPr>
          <w:highlight w:val="none"/>
        </w:rPr>
      </w:pPr>
      <w:r>
        <w:rPr>
          <w:rFonts w:hint="eastAsia"/>
          <w:highlight w:val="none"/>
        </w:rPr>
        <w:t>3.本项目工作的技术方案</w:t>
      </w:r>
    </w:p>
    <w:p w14:paraId="5EF81AE5">
      <w:pPr>
        <w:rPr>
          <w:highlight w:val="none"/>
        </w:rPr>
      </w:pPr>
      <w:r>
        <w:rPr>
          <w:rFonts w:hint="eastAsia" w:ascii="宋体" w:hAnsi="宋体" w:cs="宋体"/>
          <w:sz w:val="28"/>
          <w:szCs w:val="28"/>
          <w:highlight w:val="none"/>
        </w:rPr>
        <w:t xml:space="preserve"> </w:t>
      </w:r>
    </w:p>
    <w:p w14:paraId="6F2CBB99">
      <w:pPr>
        <w:spacing w:line="520" w:lineRule="exact"/>
        <w:ind w:firstLine="2249"/>
        <w:rPr>
          <w:rFonts w:ascii="宋体" w:hAnsi="宋体" w:cs="宋体"/>
          <w:b/>
          <w:sz w:val="32"/>
          <w:szCs w:val="32"/>
          <w:highlight w:val="none"/>
        </w:rPr>
      </w:pPr>
    </w:p>
    <w:p w14:paraId="2225D8D1">
      <w:pPr>
        <w:spacing w:line="520" w:lineRule="exact"/>
        <w:ind w:firstLine="2249"/>
        <w:rPr>
          <w:rFonts w:ascii="宋体" w:hAnsi="宋体" w:cs="宋体"/>
          <w:b/>
          <w:sz w:val="32"/>
          <w:szCs w:val="32"/>
          <w:highlight w:val="none"/>
        </w:rPr>
      </w:pPr>
    </w:p>
    <w:p w14:paraId="20FB83B3">
      <w:pPr>
        <w:spacing w:line="520" w:lineRule="exact"/>
        <w:ind w:firstLine="2249"/>
        <w:rPr>
          <w:rFonts w:ascii="宋体" w:hAnsi="宋体" w:cs="宋体"/>
          <w:b/>
          <w:sz w:val="32"/>
          <w:szCs w:val="32"/>
          <w:highlight w:val="none"/>
        </w:rPr>
      </w:pPr>
    </w:p>
    <w:p w14:paraId="6BF81F39">
      <w:pPr>
        <w:spacing w:line="520" w:lineRule="exact"/>
        <w:ind w:firstLine="2249"/>
        <w:rPr>
          <w:rFonts w:ascii="宋体" w:hAnsi="宋体" w:cs="宋体"/>
          <w:b/>
          <w:sz w:val="32"/>
          <w:szCs w:val="32"/>
          <w:highlight w:val="none"/>
        </w:rPr>
      </w:pPr>
    </w:p>
    <w:p w14:paraId="28D2CC90">
      <w:pPr>
        <w:spacing w:line="520" w:lineRule="exact"/>
        <w:ind w:firstLine="2249"/>
        <w:rPr>
          <w:rFonts w:ascii="宋体" w:hAnsi="宋体" w:cs="宋体"/>
          <w:b/>
          <w:sz w:val="32"/>
          <w:szCs w:val="32"/>
          <w:highlight w:val="none"/>
        </w:rPr>
      </w:pPr>
    </w:p>
    <w:p w14:paraId="39FE77B8">
      <w:pPr>
        <w:spacing w:line="520" w:lineRule="exact"/>
        <w:ind w:firstLine="2249"/>
        <w:rPr>
          <w:rFonts w:ascii="宋体" w:hAnsi="宋体" w:cs="宋体"/>
          <w:b/>
          <w:sz w:val="32"/>
          <w:szCs w:val="32"/>
          <w:highlight w:val="none"/>
        </w:rPr>
      </w:pPr>
    </w:p>
    <w:p w14:paraId="7243ABA7">
      <w:pPr>
        <w:spacing w:line="520" w:lineRule="exact"/>
        <w:ind w:firstLine="2249"/>
        <w:rPr>
          <w:rFonts w:ascii="宋体" w:hAnsi="宋体" w:cs="宋体"/>
          <w:b/>
          <w:sz w:val="32"/>
          <w:szCs w:val="32"/>
          <w:highlight w:val="none"/>
        </w:rPr>
      </w:pPr>
    </w:p>
    <w:p w14:paraId="291D0F65">
      <w:pPr>
        <w:spacing w:line="520" w:lineRule="exact"/>
        <w:ind w:firstLine="2249"/>
        <w:rPr>
          <w:rFonts w:ascii="宋体" w:hAnsi="宋体" w:cs="宋体"/>
          <w:b/>
          <w:sz w:val="32"/>
          <w:szCs w:val="32"/>
          <w:highlight w:val="none"/>
        </w:rPr>
      </w:pPr>
    </w:p>
    <w:p w14:paraId="5AE4548E">
      <w:pPr>
        <w:spacing w:line="520" w:lineRule="exact"/>
        <w:ind w:firstLine="2249"/>
        <w:rPr>
          <w:rFonts w:ascii="宋体" w:hAnsi="宋体" w:cs="宋体"/>
          <w:b/>
          <w:sz w:val="32"/>
          <w:szCs w:val="32"/>
          <w:highlight w:val="none"/>
        </w:rPr>
      </w:pPr>
    </w:p>
    <w:p w14:paraId="048CB4A4">
      <w:pPr>
        <w:spacing w:line="520" w:lineRule="exact"/>
        <w:ind w:firstLine="2249"/>
        <w:rPr>
          <w:rFonts w:ascii="宋体" w:hAnsi="宋体" w:cs="宋体"/>
          <w:b/>
          <w:sz w:val="32"/>
          <w:szCs w:val="32"/>
          <w:highlight w:val="none"/>
        </w:rPr>
      </w:pPr>
    </w:p>
    <w:p w14:paraId="24FA9E05">
      <w:pPr>
        <w:spacing w:line="520" w:lineRule="exact"/>
        <w:ind w:firstLine="2249"/>
        <w:rPr>
          <w:rFonts w:ascii="宋体" w:hAnsi="宋体" w:cs="宋体"/>
          <w:b/>
          <w:sz w:val="32"/>
          <w:szCs w:val="32"/>
          <w:highlight w:val="none"/>
        </w:rPr>
      </w:pPr>
    </w:p>
    <w:p w14:paraId="3D8CE043">
      <w:pPr>
        <w:spacing w:line="520" w:lineRule="exact"/>
        <w:ind w:firstLine="2249"/>
        <w:rPr>
          <w:rFonts w:ascii="宋体" w:hAnsi="宋体" w:cs="宋体"/>
          <w:b/>
          <w:sz w:val="32"/>
          <w:szCs w:val="32"/>
          <w:highlight w:val="none"/>
        </w:rPr>
      </w:pPr>
    </w:p>
    <w:p w14:paraId="608437E4">
      <w:pPr>
        <w:spacing w:line="520" w:lineRule="exact"/>
        <w:rPr>
          <w:rFonts w:ascii="宋体" w:hAnsi="宋体" w:cs="宋体"/>
          <w:b/>
          <w:sz w:val="32"/>
          <w:szCs w:val="32"/>
          <w:highlight w:val="none"/>
        </w:rPr>
      </w:pPr>
    </w:p>
    <w:p w14:paraId="4B60FF98">
      <w:pPr>
        <w:spacing w:line="520" w:lineRule="exact"/>
        <w:ind w:firstLine="2249"/>
        <w:rPr>
          <w:rFonts w:ascii="宋体" w:hAnsi="宋体" w:cs="宋体"/>
          <w:b/>
          <w:sz w:val="32"/>
          <w:szCs w:val="32"/>
          <w:highlight w:val="none"/>
        </w:rPr>
      </w:pPr>
    </w:p>
    <w:p w14:paraId="633A34EC">
      <w:pPr>
        <w:spacing w:line="520" w:lineRule="exact"/>
        <w:ind w:firstLine="2249"/>
        <w:rPr>
          <w:rFonts w:ascii="宋体" w:hAnsi="宋体" w:cs="宋体"/>
          <w:b/>
          <w:sz w:val="32"/>
          <w:szCs w:val="32"/>
          <w:highlight w:val="none"/>
        </w:rPr>
      </w:pPr>
    </w:p>
    <w:p w14:paraId="4B0D1F3F">
      <w:pPr>
        <w:spacing w:line="520" w:lineRule="exact"/>
        <w:ind w:firstLine="2249"/>
        <w:rPr>
          <w:rFonts w:ascii="宋体" w:hAnsi="宋体" w:cs="宋体"/>
          <w:b/>
          <w:sz w:val="32"/>
          <w:szCs w:val="32"/>
          <w:highlight w:val="none"/>
        </w:rPr>
      </w:pPr>
    </w:p>
    <w:p w14:paraId="517481BD">
      <w:pPr>
        <w:spacing w:line="520" w:lineRule="exact"/>
        <w:ind w:firstLine="2249"/>
        <w:rPr>
          <w:rFonts w:ascii="宋体" w:hAnsi="宋体" w:cs="宋体"/>
          <w:b/>
          <w:sz w:val="32"/>
          <w:szCs w:val="32"/>
          <w:highlight w:val="none"/>
        </w:rPr>
      </w:pPr>
    </w:p>
    <w:p w14:paraId="7DA1FEEE">
      <w:pPr>
        <w:spacing w:line="520" w:lineRule="exact"/>
        <w:rPr>
          <w:rFonts w:ascii="宋体" w:hAnsi="宋体" w:cs="宋体"/>
          <w:b/>
          <w:sz w:val="32"/>
          <w:szCs w:val="32"/>
          <w:highlight w:val="none"/>
        </w:rPr>
      </w:pPr>
    </w:p>
    <w:p w14:paraId="4ABDF768">
      <w:pPr>
        <w:spacing w:line="520" w:lineRule="exact"/>
        <w:rPr>
          <w:rFonts w:ascii="宋体" w:hAnsi="宋体" w:cs="宋体"/>
          <w:b/>
          <w:sz w:val="32"/>
          <w:szCs w:val="32"/>
          <w:highlight w:val="none"/>
        </w:rPr>
      </w:pPr>
    </w:p>
    <w:p w14:paraId="74C92FDD">
      <w:pPr>
        <w:spacing w:line="520" w:lineRule="exact"/>
        <w:rPr>
          <w:rFonts w:ascii="宋体" w:hAnsi="宋体" w:cs="宋体"/>
          <w:b/>
          <w:sz w:val="32"/>
          <w:szCs w:val="32"/>
          <w:highlight w:val="none"/>
        </w:rPr>
      </w:pPr>
    </w:p>
    <w:p w14:paraId="653E1E61">
      <w:pPr>
        <w:spacing w:line="520" w:lineRule="exact"/>
        <w:rPr>
          <w:rFonts w:ascii="宋体" w:hAnsi="宋体" w:cs="宋体"/>
          <w:b/>
          <w:sz w:val="32"/>
          <w:szCs w:val="32"/>
          <w:highlight w:val="none"/>
        </w:rPr>
      </w:pPr>
    </w:p>
    <w:p w14:paraId="1B205B10">
      <w:pPr>
        <w:spacing w:line="520" w:lineRule="exact"/>
        <w:rPr>
          <w:rFonts w:ascii="宋体" w:hAnsi="宋体" w:cs="宋体"/>
          <w:b/>
          <w:sz w:val="32"/>
          <w:szCs w:val="32"/>
          <w:highlight w:val="none"/>
        </w:rPr>
      </w:pPr>
    </w:p>
    <w:p w14:paraId="435236E6">
      <w:pPr>
        <w:spacing w:line="520" w:lineRule="exact"/>
        <w:rPr>
          <w:rFonts w:ascii="宋体" w:hAnsi="宋体" w:cs="宋体"/>
          <w:b/>
          <w:sz w:val="32"/>
          <w:szCs w:val="32"/>
          <w:highlight w:val="none"/>
        </w:rPr>
      </w:pPr>
    </w:p>
    <w:p w14:paraId="4410F756">
      <w:pPr>
        <w:pStyle w:val="44"/>
        <w:rPr>
          <w:highlight w:val="none"/>
        </w:rPr>
      </w:pPr>
    </w:p>
    <w:p w14:paraId="59ED79A7">
      <w:pPr>
        <w:pStyle w:val="5"/>
        <w:rPr>
          <w:highlight w:val="none"/>
        </w:rPr>
      </w:pPr>
      <w:r>
        <w:rPr>
          <w:rFonts w:hint="eastAsia"/>
          <w:highlight w:val="none"/>
        </w:rPr>
        <w:t>4.售后服务</w:t>
      </w:r>
    </w:p>
    <w:p w14:paraId="0660EC97">
      <w:pPr>
        <w:ind w:right="753" w:firstLine="420" w:firstLineChars="200"/>
        <w:rPr>
          <w:rFonts w:ascii="宋体" w:hAnsi="宋体" w:cs="宋体"/>
          <w:szCs w:val="21"/>
          <w:highlight w:val="none"/>
        </w:rPr>
      </w:pPr>
      <w:r>
        <w:rPr>
          <w:rFonts w:hint="eastAsia" w:ascii="宋体" w:hAnsi="宋体" w:cs="宋体"/>
          <w:szCs w:val="21"/>
          <w:highlight w:val="none"/>
        </w:rPr>
        <w:t>售后服务指在提交工作成果后，配合开展项目的过程中，重点为协助甲方开展相关研究工作，及</w:t>
      </w:r>
      <w:r>
        <w:rPr>
          <w:rFonts w:hint="eastAsia" w:ascii="宋体" w:hAnsi="宋体" w:cs="宋体"/>
          <w:szCs w:val="21"/>
          <w:highlight w:val="none"/>
          <w:lang w:val="en-US" w:eastAsia="zh-CN"/>
        </w:rPr>
        <w:t>时</w:t>
      </w:r>
      <w:r>
        <w:rPr>
          <w:rFonts w:hint="eastAsia" w:ascii="宋体" w:hAnsi="宋体" w:cs="宋体"/>
          <w:szCs w:val="21"/>
          <w:highlight w:val="none"/>
        </w:rPr>
        <w:t>为甲方做好相关解释说明工作。请分析自身在售后服务方面的优势，</w:t>
      </w:r>
      <w:bookmarkStart w:id="242" w:name="_Toc27596"/>
      <w:r>
        <w:rPr>
          <w:rFonts w:hint="eastAsia" w:ascii="宋体" w:hAnsi="宋体" w:cs="宋体"/>
          <w:szCs w:val="21"/>
          <w:highlight w:val="none"/>
        </w:rPr>
        <w:t>并结合自身情况</w:t>
      </w:r>
      <w:bookmarkEnd w:id="242"/>
      <w:r>
        <w:rPr>
          <w:rFonts w:hint="eastAsia" w:ascii="宋体" w:hAnsi="宋体" w:cs="宋体"/>
          <w:szCs w:val="21"/>
          <w:highlight w:val="none"/>
        </w:rPr>
        <w:t>提出售后服务措施并作出承诺。</w:t>
      </w:r>
    </w:p>
    <w:p w14:paraId="4F610611">
      <w:pPr>
        <w:ind w:right="753" w:firstLine="420" w:firstLineChars="200"/>
        <w:rPr>
          <w:rFonts w:ascii="宋体" w:hAnsi="宋体" w:cs="宋体"/>
          <w:szCs w:val="21"/>
          <w:highlight w:val="none"/>
        </w:rPr>
      </w:pPr>
      <w:r>
        <w:rPr>
          <w:rFonts w:hint="eastAsia" w:ascii="宋体" w:hAnsi="宋体" w:cs="宋体"/>
          <w:szCs w:val="21"/>
          <w:highlight w:val="none"/>
        </w:rPr>
        <w:t>格式不限，内容尽可能详尽。</w:t>
      </w:r>
    </w:p>
    <w:p w14:paraId="58329044">
      <w:pPr>
        <w:rPr>
          <w:highlight w:val="none"/>
        </w:rPr>
      </w:pPr>
    </w:p>
    <w:p w14:paraId="26D57598">
      <w:pPr>
        <w:rPr>
          <w:highlight w:val="none"/>
        </w:rPr>
      </w:pPr>
    </w:p>
    <w:p w14:paraId="660D097B">
      <w:pPr>
        <w:rPr>
          <w:highlight w:val="none"/>
        </w:rPr>
      </w:pPr>
    </w:p>
    <w:p w14:paraId="1D31958B">
      <w:pPr>
        <w:rPr>
          <w:highlight w:val="none"/>
        </w:rPr>
      </w:pPr>
    </w:p>
    <w:p w14:paraId="1242B184">
      <w:pPr>
        <w:rPr>
          <w:highlight w:val="none"/>
        </w:rPr>
      </w:pPr>
    </w:p>
    <w:p w14:paraId="23A0DB63">
      <w:pPr>
        <w:rPr>
          <w:highlight w:val="none"/>
        </w:rPr>
      </w:pPr>
    </w:p>
    <w:p w14:paraId="6D0D34E9">
      <w:pPr>
        <w:rPr>
          <w:highlight w:val="none"/>
        </w:rPr>
      </w:pPr>
    </w:p>
    <w:p w14:paraId="2EB3C795">
      <w:pPr>
        <w:rPr>
          <w:highlight w:val="none"/>
        </w:rPr>
      </w:pPr>
    </w:p>
    <w:p w14:paraId="41FC5933">
      <w:pPr>
        <w:rPr>
          <w:highlight w:val="none"/>
        </w:rPr>
      </w:pPr>
    </w:p>
    <w:p w14:paraId="08F6CA9A">
      <w:pPr>
        <w:rPr>
          <w:highlight w:val="none"/>
        </w:rPr>
      </w:pPr>
    </w:p>
    <w:p w14:paraId="7EC73DF3">
      <w:pPr>
        <w:rPr>
          <w:highlight w:val="none"/>
        </w:rPr>
      </w:pPr>
    </w:p>
    <w:p w14:paraId="3CA08279">
      <w:pPr>
        <w:rPr>
          <w:highlight w:val="none"/>
        </w:rPr>
      </w:pPr>
    </w:p>
    <w:p w14:paraId="74BA24B6">
      <w:pPr>
        <w:rPr>
          <w:highlight w:val="none"/>
        </w:rPr>
      </w:pPr>
    </w:p>
    <w:p w14:paraId="241F4245">
      <w:pPr>
        <w:rPr>
          <w:highlight w:val="none"/>
        </w:rPr>
      </w:pPr>
    </w:p>
    <w:p w14:paraId="5E3E171F">
      <w:pPr>
        <w:rPr>
          <w:highlight w:val="none"/>
        </w:rPr>
      </w:pPr>
    </w:p>
    <w:p w14:paraId="0F09FA19">
      <w:pPr>
        <w:rPr>
          <w:highlight w:val="none"/>
        </w:rPr>
      </w:pPr>
    </w:p>
    <w:p w14:paraId="0CCC51E6">
      <w:pPr>
        <w:rPr>
          <w:highlight w:val="none"/>
        </w:rPr>
      </w:pPr>
    </w:p>
    <w:p w14:paraId="156E9C9B">
      <w:pPr>
        <w:rPr>
          <w:highlight w:val="none"/>
        </w:rPr>
      </w:pPr>
    </w:p>
    <w:p w14:paraId="4F7A94B0">
      <w:pPr>
        <w:rPr>
          <w:highlight w:val="none"/>
        </w:rPr>
      </w:pPr>
    </w:p>
    <w:p w14:paraId="2CA70E7D">
      <w:pPr>
        <w:rPr>
          <w:highlight w:val="none"/>
        </w:rPr>
      </w:pPr>
    </w:p>
    <w:p w14:paraId="1FE39021">
      <w:pPr>
        <w:rPr>
          <w:highlight w:val="none"/>
        </w:rPr>
      </w:pPr>
    </w:p>
    <w:p w14:paraId="781CF6BC">
      <w:pPr>
        <w:adjustRightInd w:val="0"/>
        <w:spacing w:line="276" w:lineRule="auto"/>
        <w:jc w:val="both"/>
        <w:textAlignment w:val="baseline"/>
        <w:rPr>
          <w:b/>
          <w:sz w:val="28"/>
          <w:szCs w:val="28"/>
          <w:highlight w:val="none"/>
        </w:rPr>
      </w:pPr>
    </w:p>
    <w:p w14:paraId="0A3285B5">
      <w:pPr>
        <w:rPr>
          <w:highlight w:val="none"/>
        </w:rPr>
      </w:pPr>
      <w:bookmarkStart w:id="243" w:name="_Toc436771497"/>
      <w:r>
        <w:rPr>
          <w:rFonts w:hint="eastAsia"/>
          <w:highlight w:val="none"/>
        </w:rPr>
        <w:br w:type="page"/>
      </w:r>
    </w:p>
    <w:bookmarkEnd w:id="243"/>
    <w:p w14:paraId="4F402A86">
      <w:pPr>
        <w:pStyle w:val="5"/>
        <w:rPr>
          <w:highlight w:val="none"/>
        </w:rPr>
      </w:pPr>
      <w:r>
        <w:rPr>
          <w:rFonts w:hint="eastAsia"/>
          <w:highlight w:val="none"/>
        </w:rPr>
        <w:t>5.比选申请人认为有必要提供的其他材料</w:t>
      </w:r>
    </w:p>
    <w:p w14:paraId="6BAC323D">
      <w:pPr>
        <w:spacing w:line="520" w:lineRule="exact"/>
        <w:jc w:val="center"/>
        <w:rPr>
          <w:rFonts w:ascii="宋体" w:hAnsi="宋体" w:cs="宋体"/>
          <w:b/>
          <w:sz w:val="32"/>
          <w:szCs w:val="32"/>
          <w:highlight w:val="none"/>
        </w:rPr>
      </w:pPr>
    </w:p>
    <w:p w14:paraId="48104D03">
      <w:pPr>
        <w:spacing w:line="520" w:lineRule="exact"/>
        <w:jc w:val="center"/>
        <w:rPr>
          <w:rFonts w:ascii="宋体" w:hAnsi="宋体" w:cs="宋体"/>
          <w:sz w:val="32"/>
          <w:szCs w:val="32"/>
          <w:highlight w:val="none"/>
        </w:rPr>
      </w:pPr>
      <w:r>
        <w:rPr>
          <w:rFonts w:ascii="宋体" w:hAnsi="宋体" w:cs="宋体"/>
          <w:b/>
          <w:sz w:val="32"/>
          <w:szCs w:val="32"/>
          <w:highlight w:val="none"/>
        </w:rPr>
        <w:br w:type="page"/>
      </w:r>
    </w:p>
    <w:p w14:paraId="346759DC">
      <w:pPr>
        <w:spacing w:line="520" w:lineRule="exact"/>
        <w:jc w:val="center"/>
        <w:rPr>
          <w:rFonts w:ascii="宋体" w:hAnsi="宋体" w:cs="宋体"/>
          <w:sz w:val="32"/>
          <w:szCs w:val="32"/>
          <w:highlight w:val="none"/>
        </w:rPr>
      </w:pPr>
    </w:p>
    <w:p w14:paraId="7BEF2ABB">
      <w:pPr>
        <w:spacing w:line="520" w:lineRule="exact"/>
        <w:jc w:val="center"/>
        <w:rPr>
          <w:rFonts w:ascii="宋体" w:hAnsi="宋体" w:cs="宋体"/>
          <w:sz w:val="32"/>
          <w:szCs w:val="32"/>
          <w:highlight w:val="none"/>
        </w:rPr>
      </w:pPr>
    </w:p>
    <w:p w14:paraId="214731A9">
      <w:pPr>
        <w:spacing w:line="520" w:lineRule="exact"/>
        <w:ind w:right="754"/>
        <w:jc w:val="center"/>
        <w:rPr>
          <w:rFonts w:ascii="宋体" w:hAnsi="宋体" w:cs="宋体"/>
          <w:sz w:val="32"/>
          <w:szCs w:val="32"/>
          <w:highlight w:val="none"/>
        </w:rPr>
      </w:pPr>
      <w:r>
        <w:rPr>
          <w:rFonts w:hint="eastAsia" w:ascii="宋体" w:hAnsi="宋体" w:cs="宋体"/>
          <w:sz w:val="32"/>
          <w:szCs w:val="32"/>
          <w:highlight w:val="none"/>
        </w:rPr>
        <w:t>（封面格式）</w:t>
      </w:r>
    </w:p>
    <w:p w14:paraId="4348DF42">
      <w:pPr>
        <w:spacing w:before="312" w:beforeLines="100" w:after="312" w:afterLines="100"/>
        <w:ind w:right="754"/>
        <w:jc w:val="center"/>
        <w:rPr>
          <w:rFonts w:ascii="宋体" w:hAnsi="宋体" w:cs="宋体"/>
          <w:b/>
          <w:sz w:val="36"/>
          <w:szCs w:val="36"/>
          <w:highlight w:val="none"/>
        </w:rPr>
      </w:pPr>
      <w:r>
        <w:rPr>
          <w:rFonts w:hint="eastAsia" w:ascii="宋体" w:hAnsi="宋体" w:cs="宋体"/>
          <w:b/>
          <w:sz w:val="36"/>
          <w:szCs w:val="36"/>
          <w:highlight w:val="none"/>
        </w:rPr>
        <w:t>南宁轨道数智科技有限公司</w:t>
      </w:r>
    </w:p>
    <w:p w14:paraId="5DA9D006">
      <w:pPr>
        <w:spacing w:before="312" w:beforeLines="100" w:after="312" w:afterLines="100"/>
        <w:ind w:right="754"/>
        <w:jc w:val="center"/>
        <w:rPr>
          <w:rFonts w:ascii="宋体" w:hAnsi="宋体" w:cs="宋体"/>
          <w:b/>
          <w:sz w:val="36"/>
          <w:szCs w:val="36"/>
          <w:highlight w:val="none"/>
        </w:rPr>
      </w:pPr>
      <w:r>
        <w:rPr>
          <w:rFonts w:hint="eastAsia" w:ascii="宋体" w:hAnsi="宋体" w:cs="宋体"/>
          <w:b/>
          <w:sz w:val="36"/>
          <w:szCs w:val="36"/>
          <w:highlight w:val="none"/>
        </w:rPr>
        <w:t>南宁轨道交通对客服务平台大会员系统建设咨询服务项目比选申请文件</w:t>
      </w:r>
    </w:p>
    <w:p w14:paraId="569E6958">
      <w:pPr>
        <w:pStyle w:val="3"/>
        <w:spacing w:before="312" w:beforeLines="100" w:after="312" w:afterLines="100" w:line="360" w:lineRule="auto"/>
        <w:ind w:right="754"/>
        <w:jc w:val="center"/>
        <w:rPr>
          <w:rFonts w:ascii="宋体" w:hAnsi="宋体" w:eastAsia="宋体" w:cs="宋体"/>
          <w:sz w:val="36"/>
          <w:szCs w:val="36"/>
          <w:highlight w:val="none"/>
        </w:rPr>
      </w:pPr>
      <w:bookmarkStart w:id="244" w:name="_Toc26156"/>
      <w:r>
        <w:rPr>
          <w:rFonts w:hint="eastAsia" w:ascii="宋体" w:hAnsi="宋体" w:eastAsia="宋体" w:cs="宋体"/>
          <w:sz w:val="36"/>
          <w:szCs w:val="36"/>
          <w:highlight w:val="none"/>
        </w:rPr>
        <w:t>价格部分</w:t>
      </w:r>
      <w:bookmarkEnd w:id="244"/>
    </w:p>
    <w:p w14:paraId="163C35C7">
      <w:pPr>
        <w:spacing w:line="520" w:lineRule="exact"/>
        <w:rPr>
          <w:rFonts w:ascii="宋体" w:hAnsi="宋体"/>
          <w:highlight w:val="none"/>
        </w:rPr>
      </w:pPr>
    </w:p>
    <w:p w14:paraId="1EE7E0D9">
      <w:pPr>
        <w:spacing w:line="520" w:lineRule="exact"/>
        <w:ind w:right="753"/>
        <w:jc w:val="center"/>
        <w:rPr>
          <w:rFonts w:ascii="宋体" w:hAnsi="宋体" w:cs="宋体"/>
          <w:sz w:val="32"/>
          <w:szCs w:val="32"/>
          <w:highlight w:val="none"/>
        </w:rPr>
      </w:pPr>
      <w:r>
        <w:rPr>
          <w:rFonts w:hint="eastAsia" w:ascii="宋体" w:hAnsi="宋体" w:cs="宋体"/>
          <w:sz w:val="32"/>
          <w:szCs w:val="32"/>
          <w:highlight w:val="none"/>
        </w:rPr>
        <w:t>（正本/副本）</w:t>
      </w:r>
    </w:p>
    <w:p w14:paraId="40A9983C">
      <w:pPr>
        <w:spacing w:line="520" w:lineRule="exact"/>
        <w:rPr>
          <w:rFonts w:ascii="宋体" w:hAnsi="宋体"/>
          <w:highlight w:val="none"/>
        </w:rPr>
      </w:pPr>
    </w:p>
    <w:p w14:paraId="45420080">
      <w:pPr>
        <w:spacing w:line="520" w:lineRule="exact"/>
        <w:rPr>
          <w:rFonts w:ascii="宋体" w:hAnsi="宋体"/>
          <w:highlight w:val="none"/>
        </w:rPr>
      </w:pPr>
    </w:p>
    <w:p w14:paraId="101A0C04">
      <w:pPr>
        <w:spacing w:line="520" w:lineRule="exact"/>
        <w:rPr>
          <w:rFonts w:ascii="宋体" w:hAnsi="宋体"/>
          <w:highlight w:val="none"/>
        </w:rPr>
      </w:pPr>
    </w:p>
    <w:p w14:paraId="524B9CF1">
      <w:pPr>
        <w:spacing w:line="520" w:lineRule="exact"/>
        <w:rPr>
          <w:rFonts w:ascii="宋体" w:hAnsi="宋体"/>
          <w:highlight w:val="none"/>
        </w:rPr>
      </w:pPr>
    </w:p>
    <w:p w14:paraId="39D098D3">
      <w:pPr>
        <w:spacing w:line="520" w:lineRule="exact"/>
        <w:rPr>
          <w:rFonts w:ascii="宋体" w:hAnsi="宋体"/>
          <w:highlight w:val="none"/>
        </w:rPr>
      </w:pPr>
    </w:p>
    <w:p w14:paraId="1283B73D">
      <w:pPr>
        <w:spacing w:line="520" w:lineRule="exact"/>
        <w:ind w:right="753"/>
        <w:rPr>
          <w:rFonts w:ascii="宋体" w:hAnsi="宋体" w:cs="宋体"/>
          <w:sz w:val="28"/>
          <w:szCs w:val="28"/>
          <w:highlight w:val="none"/>
        </w:rPr>
      </w:pPr>
      <w:r>
        <w:rPr>
          <w:rFonts w:hint="eastAsia" w:ascii="宋体" w:hAnsi="宋体" w:cs="宋体"/>
          <w:sz w:val="28"/>
          <w:szCs w:val="28"/>
          <w:highlight w:val="none"/>
        </w:rPr>
        <w:t>比选申请人：                             （盖章）</w:t>
      </w:r>
    </w:p>
    <w:p w14:paraId="621957CE">
      <w:pPr>
        <w:spacing w:line="520" w:lineRule="exact"/>
        <w:ind w:right="753"/>
        <w:rPr>
          <w:rFonts w:ascii="宋体" w:hAnsi="宋体" w:cs="宋体"/>
          <w:sz w:val="28"/>
          <w:szCs w:val="28"/>
          <w:highlight w:val="none"/>
        </w:rPr>
      </w:pPr>
      <w:r>
        <w:rPr>
          <w:rFonts w:hint="eastAsia" w:ascii="宋体" w:hAnsi="宋体" w:cs="宋体"/>
          <w:sz w:val="28"/>
          <w:szCs w:val="28"/>
          <w:highlight w:val="none"/>
        </w:rPr>
        <w:t>负责人或委托代理人：（签字或盖章）</w:t>
      </w:r>
    </w:p>
    <w:p w14:paraId="014A5FF8">
      <w:pPr>
        <w:spacing w:line="520" w:lineRule="exact"/>
        <w:ind w:right="753"/>
        <w:rPr>
          <w:rFonts w:ascii="宋体" w:hAnsi="宋体" w:cs="宋体"/>
          <w:sz w:val="28"/>
          <w:szCs w:val="28"/>
          <w:highlight w:val="none"/>
        </w:rPr>
      </w:pPr>
      <w:r>
        <w:rPr>
          <w:rFonts w:hint="eastAsia" w:ascii="宋体" w:hAnsi="宋体" w:cs="宋体"/>
          <w:sz w:val="28"/>
          <w:szCs w:val="28"/>
          <w:highlight w:val="none"/>
        </w:rPr>
        <w:t>电话/传真：</w:t>
      </w:r>
    </w:p>
    <w:p w14:paraId="1D505050">
      <w:pPr>
        <w:spacing w:line="520" w:lineRule="exact"/>
        <w:ind w:right="753"/>
        <w:rPr>
          <w:rFonts w:ascii="宋体" w:hAnsi="宋体" w:cs="宋体"/>
          <w:sz w:val="28"/>
          <w:szCs w:val="28"/>
          <w:highlight w:val="none"/>
        </w:rPr>
      </w:pPr>
      <w:r>
        <w:rPr>
          <w:rFonts w:hint="eastAsia" w:ascii="宋体" w:hAnsi="宋体" w:cs="宋体"/>
          <w:sz w:val="28"/>
          <w:szCs w:val="28"/>
          <w:highlight w:val="none"/>
        </w:rPr>
        <w:t>地址：</w:t>
      </w:r>
    </w:p>
    <w:p w14:paraId="2D25CEC7">
      <w:pPr>
        <w:spacing w:line="520" w:lineRule="exact"/>
        <w:ind w:right="753"/>
        <w:rPr>
          <w:rFonts w:ascii="宋体" w:hAnsi="宋体" w:cs="宋体"/>
          <w:sz w:val="28"/>
          <w:szCs w:val="28"/>
          <w:highlight w:val="none"/>
        </w:rPr>
      </w:pPr>
      <w:r>
        <w:rPr>
          <w:rFonts w:hint="eastAsia" w:ascii="宋体" w:hAnsi="宋体" w:cs="宋体"/>
          <w:sz w:val="28"/>
          <w:szCs w:val="28"/>
          <w:highlight w:val="none"/>
        </w:rPr>
        <w:t xml:space="preserve">      年    月    日</w:t>
      </w:r>
    </w:p>
    <w:p w14:paraId="1E7A72BD">
      <w:pPr>
        <w:spacing w:line="520" w:lineRule="exact"/>
        <w:rPr>
          <w:rFonts w:ascii="宋体" w:hAnsi="宋体"/>
          <w:highlight w:val="none"/>
        </w:rPr>
      </w:pPr>
    </w:p>
    <w:p w14:paraId="5A906E99">
      <w:pPr>
        <w:spacing w:line="520" w:lineRule="exact"/>
        <w:rPr>
          <w:rFonts w:ascii="宋体" w:hAnsi="宋体"/>
          <w:highlight w:val="none"/>
        </w:rPr>
      </w:pPr>
    </w:p>
    <w:p w14:paraId="71EFD309">
      <w:pPr>
        <w:pStyle w:val="4"/>
        <w:rPr>
          <w:highlight w:val="none"/>
        </w:rPr>
      </w:pPr>
      <w:r>
        <w:rPr>
          <w:rFonts w:ascii="宋体" w:hAnsi="宋体"/>
          <w:highlight w:val="none"/>
        </w:rPr>
        <w:br w:type="page"/>
      </w:r>
      <w:bookmarkStart w:id="245" w:name="_Toc9604"/>
      <w:bookmarkEnd w:id="245"/>
      <w:bookmarkStart w:id="246" w:name="_Toc15573"/>
      <w:bookmarkEnd w:id="246"/>
      <w:bookmarkStart w:id="247" w:name="_Toc19216"/>
      <w:bookmarkEnd w:id="247"/>
      <w:bookmarkStart w:id="248" w:name="_Toc471482372"/>
      <w:bookmarkEnd w:id="248"/>
      <w:bookmarkStart w:id="249" w:name="_Toc5616"/>
      <w:bookmarkEnd w:id="249"/>
      <w:bookmarkStart w:id="250" w:name="_Toc31867"/>
      <w:bookmarkEnd w:id="250"/>
      <w:bookmarkStart w:id="251" w:name="_Toc333307135"/>
      <w:bookmarkEnd w:id="251"/>
      <w:bookmarkStart w:id="252" w:name="_Toc5471"/>
      <w:bookmarkEnd w:id="252"/>
      <w:bookmarkStart w:id="253" w:name="_Toc333307133"/>
      <w:bookmarkEnd w:id="253"/>
      <w:bookmarkStart w:id="254" w:name="_Toc32624"/>
      <w:bookmarkEnd w:id="254"/>
      <w:bookmarkStart w:id="255" w:name="_Toc24524"/>
      <w:bookmarkEnd w:id="255"/>
      <w:bookmarkStart w:id="256" w:name="_Toc6881"/>
      <w:bookmarkEnd w:id="256"/>
      <w:bookmarkStart w:id="257" w:name="_Toc461525328"/>
      <w:bookmarkEnd w:id="257"/>
      <w:bookmarkStart w:id="258" w:name="_Toc19445"/>
      <w:bookmarkEnd w:id="258"/>
      <w:bookmarkStart w:id="259" w:name="_Toc21426"/>
      <w:bookmarkEnd w:id="259"/>
      <w:bookmarkStart w:id="260" w:name="_Toc24135"/>
      <w:bookmarkEnd w:id="260"/>
      <w:bookmarkStart w:id="261" w:name="_Toc2010"/>
      <w:bookmarkEnd w:id="261"/>
      <w:bookmarkStart w:id="262" w:name="_Toc14359"/>
      <w:bookmarkEnd w:id="262"/>
      <w:bookmarkStart w:id="263" w:name="_Toc196"/>
      <w:bookmarkEnd w:id="263"/>
      <w:bookmarkStart w:id="264" w:name="_Toc333307134"/>
      <w:bookmarkEnd w:id="264"/>
      <w:bookmarkStart w:id="265" w:name="_Toc30879"/>
      <w:bookmarkEnd w:id="265"/>
      <w:bookmarkStart w:id="266" w:name="_Toc6862"/>
      <w:bookmarkEnd w:id="266"/>
      <w:bookmarkStart w:id="267" w:name="_Toc3587"/>
      <w:bookmarkEnd w:id="267"/>
      <w:bookmarkStart w:id="268" w:name="_Toc10925"/>
      <w:bookmarkEnd w:id="268"/>
      <w:bookmarkStart w:id="269" w:name="_Toc25382"/>
      <w:bookmarkEnd w:id="269"/>
      <w:bookmarkStart w:id="270" w:name="_Toc11015"/>
      <w:bookmarkEnd w:id="270"/>
      <w:bookmarkStart w:id="271" w:name="_Toc20460"/>
      <w:bookmarkEnd w:id="271"/>
      <w:bookmarkStart w:id="272" w:name="_Toc24408"/>
      <w:bookmarkEnd w:id="272"/>
      <w:bookmarkStart w:id="273" w:name="_Toc28309"/>
      <w:bookmarkEnd w:id="273"/>
      <w:bookmarkStart w:id="274" w:name="_Toc30501"/>
      <w:bookmarkEnd w:id="274"/>
      <w:bookmarkStart w:id="275" w:name="_Toc30796"/>
      <w:bookmarkEnd w:id="275"/>
      <w:bookmarkStart w:id="276" w:name="_Toc461525327"/>
      <w:bookmarkEnd w:id="276"/>
      <w:bookmarkStart w:id="277" w:name="_Toc7127"/>
      <w:bookmarkEnd w:id="277"/>
      <w:bookmarkStart w:id="278" w:name="_Toc3278"/>
      <w:bookmarkEnd w:id="278"/>
      <w:bookmarkStart w:id="279" w:name="_Toc27059"/>
      <w:bookmarkEnd w:id="279"/>
      <w:bookmarkStart w:id="280" w:name="_Toc461525332"/>
      <w:bookmarkEnd w:id="280"/>
      <w:bookmarkStart w:id="281" w:name="_Toc7527"/>
      <w:bookmarkEnd w:id="281"/>
      <w:bookmarkStart w:id="282" w:name="_Toc10356"/>
      <w:bookmarkEnd w:id="282"/>
      <w:bookmarkStart w:id="283" w:name="_Toc17346"/>
      <w:bookmarkEnd w:id="283"/>
      <w:bookmarkStart w:id="284" w:name="_Toc12801"/>
      <w:bookmarkEnd w:id="284"/>
      <w:bookmarkStart w:id="285" w:name="_Toc21835"/>
      <w:bookmarkEnd w:id="285"/>
      <w:bookmarkStart w:id="286" w:name="_Toc21287"/>
      <w:bookmarkEnd w:id="286"/>
      <w:bookmarkStart w:id="287" w:name="_Toc27864"/>
      <w:bookmarkEnd w:id="287"/>
      <w:bookmarkStart w:id="288" w:name="_Toc4901"/>
      <w:bookmarkEnd w:id="288"/>
      <w:bookmarkStart w:id="289" w:name="_Toc16542"/>
      <w:bookmarkEnd w:id="289"/>
      <w:bookmarkStart w:id="290" w:name="_Toc24439"/>
      <w:bookmarkEnd w:id="290"/>
      <w:bookmarkStart w:id="291" w:name="_Toc24641"/>
      <w:r>
        <w:rPr>
          <w:highlight w:val="none"/>
        </w:rPr>
        <w:t>目录</w:t>
      </w:r>
      <w:bookmarkEnd w:id="291"/>
    </w:p>
    <w:p w14:paraId="187FF490">
      <w:pPr>
        <w:pStyle w:val="5"/>
        <w:numPr>
          <w:ilvl w:val="0"/>
          <w:numId w:val="11"/>
        </w:numPr>
        <w:rPr>
          <w:b w:val="0"/>
          <w:bCs w:val="0"/>
          <w:sz w:val="21"/>
          <w:szCs w:val="21"/>
          <w:highlight w:val="none"/>
        </w:rPr>
      </w:pPr>
      <w:r>
        <w:rPr>
          <w:rFonts w:hint="eastAsia"/>
          <w:b w:val="0"/>
          <w:bCs w:val="0"/>
          <w:sz w:val="21"/>
          <w:szCs w:val="21"/>
          <w:highlight w:val="none"/>
        </w:rPr>
        <w:t>比选函</w:t>
      </w:r>
    </w:p>
    <w:p w14:paraId="7FD5E830">
      <w:pPr>
        <w:pStyle w:val="5"/>
        <w:numPr>
          <w:ilvl w:val="0"/>
          <w:numId w:val="11"/>
        </w:numPr>
        <w:rPr>
          <w:b w:val="0"/>
          <w:bCs w:val="0"/>
          <w:sz w:val="21"/>
          <w:szCs w:val="21"/>
          <w:highlight w:val="none"/>
        </w:rPr>
      </w:pPr>
      <w:r>
        <w:rPr>
          <w:rFonts w:hint="eastAsia"/>
          <w:b w:val="0"/>
          <w:bCs w:val="0"/>
          <w:sz w:val="21"/>
          <w:szCs w:val="21"/>
          <w:highlight w:val="none"/>
        </w:rPr>
        <w:t>报价表</w:t>
      </w:r>
    </w:p>
    <w:p w14:paraId="4C397C43">
      <w:pPr>
        <w:rPr>
          <w:highlight w:val="none"/>
        </w:rPr>
      </w:pPr>
    </w:p>
    <w:p w14:paraId="5460F5DF">
      <w:pPr>
        <w:rPr>
          <w:highlight w:val="none"/>
        </w:rPr>
      </w:pPr>
    </w:p>
    <w:p w14:paraId="26C55C8E">
      <w:pPr>
        <w:rPr>
          <w:highlight w:val="none"/>
        </w:rPr>
      </w:pPr>
    </w:p>
    <w:p w14:paraId="7C7C86AE">
      <w:pPr>
        <w:rPr>
          <w:highlight w:val="none"/>
        </w:rPr>
      </w:pPr>
    </w:p>
    <w:p w14:paraId="5047ABE8">
      <w:pPr>
        <w:rPr>
          <w:highlight w:val="none"/>
        </w:rPr>
      </w:pPr>
    </w:p>
    <w:p w14:paraId="689AD64B">
      <w:pPr>
        <w:rPr>
          <w:highlight w:val="none"/>
        </w:rPr>
      </w:pPr>
    </w:p>
    <w:p w14:paraId="171BF47C">
      <w:pPr>
        <w:rPr>
          <w:highlight w:val="none"/>
        </w:rPr>
      </w:pPr>
    </w:p>
    <w:p w14:paraId="267EE87A">
      <w:pPr>
        <w:rPr>
          <w:highlight w:val="none"/>
        </w:rPr>
      </w:pPr>
    </w:p>
    <w:p w14:paraId="6DA96955">
      <w:pPr>
        <w:rPr>
          <w:highlight w:val="none"/>
        </w:rPr>
      </w:pPr>
    </w:p>
    <w:p w14:paraId="173AD9FE">
      <w:pPr>
        <w:rPr>
          <w:highlight w:val="none"/>
        </w:rPr>
      </w:pPr>
    </w:p>
    <w:p w14:paraId="47C99F58">
      <w:pPr>
        <w:rPr>
          <w:highlight w:val="none"/>
        </w:rPr>
      </w:pPr>
    </w:p>
    <w:p w14:paraId="1CF2C40B">
      <w:pPr>
        <w:rPr>
          <w:highlight w:val="none"/>
        </w:rPr>
      </w:pPr>
    </w:p>
    <w:p w14:paraId="2857A201">
      <w:pPr>
        <w:rPr>
          <w:highlight w:val="none"/>
        </w:rPr>
      </w:pPr>
    </w:p>
    <w:p w14:paraId="44EEC932">
      <w:pPr>
        <w:rPr>
          <w:highlight w:val="none"/>
        </w:rPr>
      </w:pPr>
    </w:p>
    <w:p w14:paraId="17A94BEC">
      <w:pPr>
        <w:rPr>
          <w:highlight w:val="none"/>
        </w:rPr>
      </w:pPr>
    </w:p>
    <w:p w14:paraId="54D25E85">
      <w:pPr>
        <w:rPr>
          <w:highlight w:val="none"/>
        </w:rPr>
      </w:pPr>
    </w:p>
    <w:p w14:paraId="25810097">
      <w:pPr>
        <w:rPr>
          <w:highlight w:val="none"/>
        </w:rPr>
      </w:pPr>
    </w:p>
    <w:p w14:paraId="61006663">
      <w:pPr>
        <w:rPr>
          <w:highlight w:val="none"/>
        </w:rPr>
      </w:pPr>
    </w:p>
    <w:p w14:paraId="6764D362">
      <w:pPr>
        <w:rPr>
          <w:highlight w:val="none"/>
        </w:rPr>
      </w:pPr>
    </w:p>
    <w:p w14:paraId="220E3444">
      <w:pPr>
        <w:rPr>
          <w:highlight w:val="none"/>
        </w:rPr>
      </w:pPr>
    </w:p>
    <w:p w14:paraId="15F7CA21">
      <w:pPr>
        <w:rPr>
          <w:highlight w:val="none"/>
        </w:rPr>
      </w:pPr>
    </w:p>
    <w:p w14:paraId="5E121B05">
      <w:pPr>
        <w:rPr>
          <w:highlight w:val="none"/>
        </w:rPr>
      </w:pPr>
    </w:p>
    <w:p w14:paraId="77A37025">
      <w:pPr>
        <w:rPr>
          <w:highlight w:val="none"/>
        </w:rPr>
      </w:pPr>
    </w:p>
    <w:p w14:paraId="541239C5">
      <w:pPr>
        <w:rPr>
          <w:highlight w:val="none"/>
        </w:rPr>
      </w:pPr>
    </w:p>
    <w:p w14:paraId="5A3F1DFF">
      <w:pPr>
        <w:pStyle w:val="4"/>
        <w:jc w:val="center"/>
        <w:rPr>
          <w:rFonts w:ascii="宋体" w:hAnsi="宋体" w:cs="宋体"/>
          <w:szCs w:val="28"/>
          <w:highlight w:val="none"/>
        </w:rPr>
      </w:pPr>
      <w:bookmarkStart w:id="292" w:name="_Toc7906"/>
      <w:bookmarkStart w:id="293" w:name="_Toc86155561"/>
      <w:r>
        <w:rPr>
          <w:rFonts w:hint="eastAsia" w:ascii="宋体" w:hAnsi="宋体" w:cs="宋体"/>
          <w:szCs w:val="28"/>
          <w:highlight w:val="none"/>
        </w:rPr>
        <w:t>（1）比选函（格式）</w:t>
      </w:r>
      <w:bookmarkEnd w:id="292"/>
      <w:bookmarkEnd w:id="293"/>
    </w:p>
    <w:p w14:paraId="426E9AE6">
      <w:pPr>
        <w:ind w:right="753"/>
        <w:rPr>
          <w:rFonts w:ascii="宋体" w:hAnsi="宋体" w:cs="宋体"/>
          <w:sz w:val="28"/>
          <w:szCs w:val="28"/>
          <w:highlight w:val="none"/>
        </w:rPr>
      </w:pPr>
    </w:p>
    <w:p w14:paraId="28394C89">
      <w:pPr>
        <w:ind w:right="753"/>
        <w:rPr>
          <w:rFonts w:ascii="宋体" w:hAnsi="宋体" w:cs="宋体"/>
          <w:szCs w:val="21"/>
          <w:highlight w:val="none"/>
        </w:rPr>
      </w:pPr>
      <w:r>
        <w:rPr>
          <w:rFonts w:hint="eastAsia" w:ascii="宋体" w:hAnsi="宋体" w:cs="宋体"/>
          <w:szCs w:val="21"/>
          <w:highlight w:val="none"/>
        </w:rPr>
        <w:t xml:space="preserve">致：南宁轨道数智科技有限公司 </w:t>
      </w:r>
    </w:p>
    <w:p w14:paraId="3939FB96">
      <w:pPr>
        <w:ind w:firstLine="420" w:firstLineChars="200"/>
        <w:rPr>
          <w:rFonts w:ascii="宋体" w:hAnsi="宋体" w:cs="宋体"/>
          <w:szCs w:val="21"/>
          <w:highlight w:val="none"/>
        </w:rPr>
      </w:pPr>
      <w:r>
        <w:rPr>
          <w:rFonts w:hint="eastAsia" w:ascii="宋体" w:hAnsi="宋体" w:cs="宋体"/>
          <w:szCs w:val="21"/>
          <w:highlight w:val="none"/>
        </w:rPr>
        <w:t>根据贵方提供的项目比选文件，我方正式授权下述签字人        （姓名和职务）     全权代表我方         （比选申请人全称）参加贵方组织的有关比选活动，并提交下述文件。</w:t>
      </w:r>
    </w:p>
    <w:p w14:paraId="00757ED7">
      <w:pPr>
        <w:ind w:firstLine="420" w:firstLineChars="200"/>
        <w:rPr>
          <w:rFonts w:ascii="宋体" w:hAnsi="宋体" w:cs="宋体"/>
          <w:szCs w:val="21"/>
          <w:highlight w:val="none"/>
        </w:rPr>
      </w:pPr>
      <w:r>
        <w:rPr>
          <w:rFonts w:hint="eastAsia" w:ascii="宋体" w:hAnsi="宋体" w:cs="宋体"/>
          <w:szCs w:val="21"/>
          <w:highlight w:val="none"/>
        </w:rPr>
        <w:t>一、资格审查文件正本一份，副本四份</w:t>
      </w:r>
    </w:p>
    <w:p w14:paraId="368FAD50">
      <w:pPr>
        <w:ind w:firstLine="420" w:firstLineChars="200"/>
        <w:rPr>
          <w:rFonts w:ascii="宋体" w:hAnsi="宋体" w:cs="宋体"/>
          <w:szCs w:val="21"/>
          <w:highlight w:val="none"/>
        </w:rPr>
      </w:pPr>
      <w:r>
        <w:rPr>
          <w:rFonts w:hint="eastAsia" w:ascii="宋体" w:hAnsi="宋体" w:cs="宋体"/>
          <w:szCs w:val="21"/>
          <w:highlight w:val="none"/>
        </w:rPr>
        <w:t>二、价格文件正本一份，副本四份</w:t>
      </w:r>
    </w:p>
    <w:p w14:paraId="40F89A2C">
      <w:pPr>
        <w:ind w:firstLine="420" w:firstLineChars="200"/>
        <w:rPr>
          <w:rFonts w:ascii="宋体" w:hAnsi="宋体" w:cs="宋体"/>
          <w:szCs w:val="21"/>
          <w:highlight w:val="none"/>
        </w:rPr>
      </w:pPr>
      <w:r>
        <w:rPr>
          <w:rFonts w:hint="eastAsia" w:ascii="宋体" w:hAnsi="宋体" w:cs="宋体"/>
          <w:szCs w:val="21"/>
          <w:highlight w:val="none"/>
        </w:rPr>
        <w:t>三、技术文件正本一份，副本四份</w:t>
      </w:r>
    </w:p>
    <w:p w14:paraId="1C3F7390">
      <w:pPr>
        <w:ind w:firstLine="420" w:firstLineChars="200"/>
        <w:rPr>
          <w:rFonts w:ascii="宋体" w:hAnsi="宋体" w:cs="宋体"/>
          <w:szCs w:val="21"/>
          <w:highlight w:val="none"/>
        </w:rPr>
      </w:pPr>
    </w:p>
    <w:p w14:paraId="49410C2A">
      <w:pPr>
        <w:ind w:firstLine="420" w:firstLineChars="200"/>
        <w:rPr>
          <w:rFonts w:ascii="宋体" w:hAnsi="宋体" w:cs="宋体"/>
          <w:szCs w:val="21"/>
          <w:highlight w:val="none"/>
        </w:rPr>
      </w:pPr>
      <w:r>
        <w:rPr>
          <w:rFonts w:hint="eastAsia" w:ascii="宋体" w:hAnsi="宋体" w:cs="宋体"/>
          <w:szCs w:val="21"/>
          <w:highlight w:val="none"/>
        </w:rPr>
        <w:t>据此函，签字人兹宣布同意如下：</w:t>
      </w:r>
    </w:p>
    <w:p w14:paraId="5F7C9194">
      <w:pPr>
        <w:ind w:firstLine="420" w:firstLineChars="200"/>
        <w:rPr>
          <w:rFonts w:ascii="宋体" w:hAnsi="宋体" w:cs="宋体"/>
          <w:szCs w:val="21"/>
          <w:highlight w:val="none"/>
        </w:rPr>
      </w:pPr>
      <w:r>
        <w:rPr>
          <w:rFonts w:hint="eastAsia" w:ascii="宋体" w:hAnsi="宋体" w:cs="宋体"/>
          <w:szCs w:val="21"/>
          <w:highlight w:val="none"/>
        </w:rPr>
        <w:t>1、我方同意项目比选文件中的全部内容。</w:t>
      </w:r>
    </w:p>
    <w:p w14:paraId="48E9D14D">
      <w:pPr>
        <w:ind w:firstLine="420" w:firstLineChars="200"/>
        <w:rPr>
          <w:rFonts w:ascii="宋体" w:hAnsi="宋体" w:cs="宋体"/>
          <w:szCs w:val="21"/>
          <w:highlight w:val="none"/>
        </w:rPr>
      </w:pPr>
      <w:r>
        <w:rPr>
          <w:rFonts w:hint="eastAsia" w:ascii="宋体" w:hAnsi="宋体" w:cs="宋体"/>
          <w:szCs w:val="21"/>
          <w:highlight w:val="none"/>
        </w:rPr>
        <w:t>2、我方同意在比选须知规定的提交比选申请文件截止日期起遵循本比选申请文件，并在比选须知第16条规定的比选申请文件有效期满之前均具有约束力，并有可能中选。</w:t>
      </w:r>
    </w:p>
    <w:p w14:paraId="4D0F5E73">
      <w:pPr>
        <w:ind w:firstLine="420" w:firstLineChars="200"/>
        <w:rPr>
          <w:rFonts w:ascii="宋体" w:hAnsi="宋体" w:cs="宋体"/>
          <w:szCs w:val="21"/>
          <w:highlight w:val="none"/>
        </w:rPr>
      </w:pPr>
      <w:r>
        <w:rPr>
          <w:rFonts w:hint="eastAsia" w:ascii="宋体" w:hAnsi="宋体" w:cs="宋体"/>
          <w:szCs w:val="21"/>
          <w:highlight w:val="none"/>
        </w:rPr>
        <w:t>3、我方承诺已经具备《中华人民共和国政府采购法》中规定的参加政府比选活动的比选申请人应当具备的条件：</w:t>
      </w:r>
    </w:p>
    <w:p w14:paraId="61A735B2">
      <w:pPr>
        <w:ind w:firstLine="420" w:firstLineChars="200"/>
        <w:rPr>
          <w:rFonts w:ascii="宋体" w:hAnsi="宋体" w:cs="宋体"/>
          <w:szCs w:val="21"/>
          <w:highlight w:val="none"/>
        </w:rPr>
      </w:pPr>
      <w:r>
        <w:rPr>
          <w:rFonts w:hint="eastAsia" w:ascii="宋体" w:hAnsi="宋体" w:cs="宋体"/>
          <w:szCs w:val="21"/>
          <w:highlight w:val="none"/>
        </w:rPr>
        <w:t>（1）具有独立承担民事责任的能力；</w:t>
      </w:r>
    </w:p>
    <w:p w14:paraId="66C3D849">
      <w:pPr>
        <w:ind w:firstLine="420" w:firstLineChars="200"/>
        <w:rPr>
          <w:rFonts w:ascii="宋体" w:hAnsi="宋体" w:cs="宋体"/>
          <w:szCs w:val="21"/>
          <w:highlight w:val="none"/>
        </w:rPr>
      </w:pPr>
      <w:r>
        <w:rPr>
          <w:rFonts w:hint="eastAsia" w:ascii="宋体" w:hAnsi="宋体" w:cs="宋体"/>
          <w:szCs w:val="21"/>
          <w:highlight w:val="none"/>
        </w:rPr>
        <w:t>（2）具有良好的商业信誉和健全的财务会计制度；</w:t>
      </w:r>
    </w:p>
    <w:p w14:paraId="024D5492">
      <w:pPr>
        <w:ind w:firstLine="420" w:firstLineChars="200"/>
        <w:rPr>
          <w:rFonts w:ascii="宋体" w:hAnsi="宋体" w:cs="宋体"/>
          <w:szCs w:val="21"/>
          <w:highlight w:val="none"/>
        </w:rPr>
      </w:pPr>
      <w:r>
        <w:rPr>
          <w:rFonts w:hint="eastAsia" w:ascii="宋体" w:hAnsi="宋体" w:cs="宋体"/>
          <w:szCs w:val="21"/>
          <w:highlight w:val="none"/>
        </w:rPr>
        <w:t>（3）具有履行合同所必需的设备和专业技术能力；</w:t>
      </w:r>
    </w:p>
    <w:p w14:paraId="6BB215AA">
      <w:pPr>
        <w:ind w:firstLine="420" w:firstLineChars="200"/>
        <w:rPr>
          <w:rFonts w:ascii="宋体" w:hAnsi="宋体" w:cs="宋体"/>
          <w:szCs w:val="21"/>
          <w:highlight w:val="none"/>
        </w:rPr>
      </w:pPr>
      <w:r>
        <w:rPr>
          <w:rFonts w:hint="eastAsia" w:ascii="宋体" w:hAnsi="宋体" w:cs="宋体"/>
          <w:szCs w:val="21"/>
          <w:highlight w:val="none"/>
        </w:rPr>
        <w:t>（4）有依法缴纳税收和社会保障资金的良好记录；</w:t>
      </w:r>
    </w:p>
    <w:p w14:paraId="29F6168B">
      <w:pPr>
        <w:ind w:firstLine="420" w:firstLineChars="200"/>
        <w:rPr>
          <w:rFonts w:ascii="宋体" w:hAnsi="宋体" w:cs="宋体"/>
          <w:szCs w:val="21"/>
          <w:highlight w:val="none"/>
        </w:rPr>
      </w:pPr>
      <w:r>
        <w:rPr>
          <w:rFonts w:hint="eastAsia" w:ascii="宋体" w:hAnsi="宋体" w:cs="宋体"/>
          <w:szCs w:val="21"/>
          <w:highlight w:val="none"/>
        </w:rPr>
        <w:t xml:space="preserve"> （5）参加此项比选活动前三年内，在经营活动中没有重大违法记录。</w:t>
      </w:r>
    </w:p>
    <w:p w14:paraId="60CB9FBF">
      <w:pPr>
        <w:ind w:firstLine="420" w:firstLineChars="200"/>
        <w:rPr>
          <w:rFonts w:ascii="宋体" w:hAnsi="宋体" w:cs="宋体"/>
          <w:szCs w:val="21"/>
          <w:highlight w:val="none"/>
        </w:rPr>
      </w:pPr>
      <w:r>
        <w:rPr>
          <w:rFonts w:hint="eastAsia" w:ascii="宋体" w:hAnsi="宋体" w:cs="宋体"/>
          <w:szCs w:val="21"/>
          <w:highlight w:val="none"/>
        </w:rPr>
        <w:t>4、我方根据比选文件的规定，承担完成合同的责任和义务。</w:t>
      </w:r>
    </w:p>
    <w:p w14:paraId="7EBC46A3">
      <w:pPr>
        <w:ind w:firstLine="420" w:firstLineChars="200"/>
        <w:rPr>
          <w:rFonts w:ascii="宋体" w:hAnsi="宋体" w:cs="宋体"/>
          <w:szCs w:val="21"/>
          <w:highlight w:val="none"/>
        </w:rPr>
      </w:pPr>
      <w:r>
        <w:rPr>
          <w:rFonts w:hint="eastAsia" w:ascii="宋体" w:hAnsi="宋体" w:cs="宋体"/>
          <w:szCs w:val="21"/>
          <w:highlight w:val="none"/>
        </w:rPr>
        <w:t xml:space="preserve"> 5、我方已详细对照比选文件，我方知道必须放弃提出含糊不清或误解问题的权利。</w:t>
      </w:r>
    </w:p>
    <w:p w14:paraId="17EEDCC5">
      <w:pPr>
        <w:ind w:firstLine="420" w:firstLineChars="200"/>
        <w:rPr>
          <w:rFonts w:ascii="宋体" w:hAnsi="宋体" w:cs="宋体"/>
          <w:szCs w:val="21"/>
          <w:highlight w:val="none"/>
        </w:rPr>
      </w:pPr>
      <w:r>
        <w:rPr>
          <w:rFonts w:hint="eastAsia" w:ascii="宋体" w:hAnsi="宋体" w:cs="宋体"/>
          <w:szCs w:val="21"/>
          <w:highlight w:val="none"/>
        </w:rPr>
        <w:t xml:space="preserve"> 6、同意应贵方要求提供与本比选项目有关的任何数据或资料。</w:t>
      </w:r>
    </w:p>
    <w:p w14:paraId="4198274A">
      <w:pPr>
        <w:ind w:firstLine="420" w:firstLineChars="200"/>
        <w:rPr>
          <w:rFonts w:ascii="宋体" w:hAnsi="宋体" w:cs="宋体"/>
          <w:szCs w:val="21"/>
          <w:highlight w:val="none"/>
        </w:rPr>
      </w:pPr>
      <w:r>
        <w:rPr>
          <w:rFonts w:hint="eastAsia" w:ascii="宋体" w:hAnsi="宋体" w:cs="宋体"/>
          <w:szCs w:val="21"/>
          <w:highlight w:val="none"/>
        </w:rPr>
        <w:t xml:space="preserve"> 7、我方完全理解贵方不一定要接受最低报价的比选申请人为中选人的行为。</w:t>
      </w:r>
    </w:p>
    <w:p w14:paraId="052824CB">
      <w:pPr>
        <w:ind w:firstLine="420" w:firstLineChars="200"/>
        <w:rPr>
          <w:rFonts w:ascii="宋体" w:hAnsi="宋体" w:cs="宋体"/>
          <w:szCs w:val="21"/>
          <w:highlight w:val="none"/>
        </w:rPr>
      </w:pPr>
      <w:r>
        <w:rPr>
          <w:rFonts w:hint="eastAsia" w:ascii="宋体" w:hAnsi="宋体" w:cs="宋体"/>
          <w:szCs w:val="21"/>
          <w:highlight w:val="none"/>
        </w:rPr>
        <w:t>8、若贵方需要，我方愿意提供我方作出的一切承诺的证明材料。</w:t>
      </w:r>
    </w:p>
    <w:p w14:paraId="70182A3A">
      <w:pPr>
        <w:ind w:firstLine="420" w:firstLineChars="200"/>
        <w:rPr>
          <w:rFonts w:ascii="宋体" w:hAnsi="宋体" w:cs="宋体"/>
          <w:szCs w:val="21"/>
          <w:highlight w:val="none"/>
        </w:rPr>
      </w:pPr>
      <w:r>
        <w:rPr>
          <w:rFonts w:hint="eastAsia" w:ascii="宋体" w:hAnsi="宋体" w:cs="宋体"/>
          <w:szCs w:val="21"/>
          <w:highlight w:val="none"/>
        </w:rPr>
        <w:t>9、我方将严格遵守规定，我方有下列情形之一的，将接受贵方列入不良行为记录名单、追究法律责任等处罚：</w:t>
      </w:r>
    </w:p>
    <w:p w14:paraId="6A18F2E5">
      <w:pPr>
        <w:ind w:firstLine="420" w:firstLineChars="200"/>
        <w:rPr>
          <w:rFonts w:ascii="宋体" w:hAnsi="宋体" w:cs="宋体"/>
          <w:szCs w:val="21"/>
          <w:highlight w:val="none"/>
        </w:rPr>
      </w:pPr>
      <w:r>
        <w:rPr>
          <w:rFonts w:hint="eastAsia" w:ascii="宋体" w:hAnsi="宋体" w:cs="宋体"/>
          <w:szCs w:val="21"/>
          <w:highlight w:val="none"/>
        </w:rPr>
        <w:t>（1）提供虚假材料谋取中选、成交的；</w:t>
      </w:r>
    </w:p>
    <w:p w14:paraId="5A2B36E6">
      <w:pPr>
        <w:ind w:firstLine="420" w:firstLineChars="200"/>
        <w:rPr>
          <w:rFonts w:ascii="宋体" w:hAnsi="宋体" w:cs="宋体"/>
          <w:szCs w:val="21"/>
          <w:highlight w:val="none"/>
        </w:rPr>
      </w:pPr>
      <w:r>
        <w:rPr>
          <w:rFonts w:hint="eastAsia" w:ascii="宋体" w:hAnsi="宋体" w:cs="宋体"/>
          <w:szCs w:val="21"/>
          <w:highlight w:val="none"/>
        </w:rPr>
        <w:t>（2）采取不正当手段诋毁、排挤其他比选申请人的；</w:t>
      </w:r>
    </w:p>
    <w:p w14:paraId="46E5EB1F">
      <w:pPr>
        <w:ind w:firstLine="420" w:firstLineChars="200"/>
        <w:rPr>
          <w:rFonts w:ascii="宋体" w:hAnsi="宋体" w:cs="宋体"/>
          <w:szCs w:val="21"/>
          <w:highlight w:val="none"/>
        </w:rPr>
      </w:pPr>
      <w:r>
        <w:rPr>
          <w:rFonts w:hint="eastAsia" w:ascii="宋体" w:hAnsi="宋体" w:cs="宋体"/>
          <w:szCs w:val="21"/>
          <w:highlight w:val="none"/>
        </w:rPr>
        <w:t>（3）与其他比选申请人恶意串通的；</w:t>
      </w:r>
    </w:p>
    <w:p w14:paraId="7D79EEBB">
      <w:pPr>
        <w:ind w:firstLine="420" w:firstLineChars="200"/>
        <w:rPr>
          <w:rFonts w:ascii="宋体" w:hAnsi="宋体" w:cs="宋体"/>
          <w:szCs w:val="21"/>
          <w:highlight w:val="none"/>
        </w:rPr>
      </w:pPr>
      <w:r>
        <w:rPr>
          <w:rFonts w:hint="eastAsia" w:ascii="宋体" w:hAnsi="宋体" w:cs="宋体"/>
          <w:szCs w:val="21"/>
          <w:highlight w:val="none"/>
        </w:rPr>
        <w:t xml:space="preserve">（4）向比选人行贿或者提供其他不正当利益的； </w:t>
      </w:r>
    </w:p>
    <w:p w14:paraId="49C88068">
      <w:pPr>
        <w:ind w:firstLine="420" w:firstLineChars="200"/>
        <w:rPr>
          <w:rFonts w:ascii="宋体" w:hAnsi="宋体" w:cs="宋体"/>
          <w:szCs w:val="21"/>
          <w:highlight w:val="none"/>
        </w:rPr>
      </w:pPr>
      <w:r>
        <w:rPr>
          <w:rFonts w:hint="eastAsia" w:ascii="宋体" w:hAnsi="宋体" w:cs="宋体"/>
          <w:szCs w:val="21"/>
          <w:highlight w:val="none"/>
        </w:rPr>
        <w:t xml:space="preserve"> （5）拒绝有关部门监督检查或提供虚假情况的。</w:t>
      </w:r>
    </w:p>
    <w:p w14:paraId="2BF2F504">
      <w:pPr>
        <w:ind w:right="753"/>
        <w:rPr>
          <w:rFonts w:ascii="宋体" w:hAnsi="宋体" w:cs="宋体"/>
          <w:szCs w:val="21"/>
          <w:highlight w:val="none"/>
        </w:rPr>
      </w:pPr>
    </w:p>
    <w:p w14:paraId="22AE6F20">
      <w:pPr>
        <w:ind w:right="753"/>
        <w:rPr>
          <w:rFonts w:ascii="宋体" w:hAnsi="宋体" w:cs="宋体"/>
          <w:szCs w:val="21"/>
          <w:highlight w:val="none"/>
        </w:rPr>
      </w:pPr>
      <w:r>
        <w:rPr>
          <w:rFonts w:hint="eastAsia" w:ascii="宋体" w:hAnsi="宋体" w:cs="宋体"/>
          <w:szCs w:val="21"/>
          <w:highlight w:val="none"/>
        </w:rPr>
        <w:t>与本比选活动有关的正式通讯地址为：</w:t>
      </w:r>
    </w:p>
    <w:p w14:paraId="18E9DBD8">
      <w:pPr>
        <w:ind w:right="753"/>
        <w:rPr>
          <w:rFonts w:ascii="宋体" w:hAnsi="宋体" w:cs="宋体"/>
          <w:szCs w:val="21"/>
          <w:highlight w:val="none"/>
        </w:rPr>
      </w:pPr>
      <w:r>
        <w:rPr>
          <w:rFonts w:hint="eastAsia" w:ascii="宋体" w:hAnsi="宋体" w:cs="宋体"/>
          <w:szCs w:val="21"/>
          <w:highlight w:val="none"/>
        </w:rPr>
        <w:t xml:space="preserve">地址：                                 邮政编码：             </w:t>
      </w:r>
    </w:p>
    <w:p w14:paraId="5EA3B04E">
      <w:pPr>
        <w:ind w:right="753"/>
        <w:rPr>
          <w:rFonts w:ascii="宋体" w:hAnsi="宋体" w:cs="宋体"/>
          <w:szCs w:val="21"/>
          <w:highlight w:val="none"/>
        </w:rPr>
      </w:pPr>
      <w:r>
        <w:rPr>
          <w:rFonts w:hint="eastAsia" w:ascii="宋体" w:hAnsi="宋体" w:cs="宋体"/>
          <w:szCs w:val="21"/>
          <w:highlight w:val="none"/>
        </w:rPr>
        <w:t>电话：                                      　　　　　　　　　</w:t>
      </w:r>
    </w:p>
    <w:p w14:paraId="48AF7B13">
      <w:pPr>
        <w:ind w:right="753"/>
        <w:rPr>
          <w:rFonts w:ascii="宋体" w:hAnsi="宋体" w:cs="宋体"/>
          <w:szCs w:val="21"/>
          <w:highlight w:val="none"/>
        </w:rPr>
      </w:pPr>
      <w:r>
        <w:rPr>
          <w:rFonts w:hint="eastAsia" w:ascii="宋体" w:hAnsi="宋体" w:cs="宋体"/>
          <w:szCs w:val="21"/>
          <w:highlight w:val="none"/>
        </w:rPr>
        <w:t>传真：　　　　　　　　　　　　　　　　　　　　　　　　　　　　</w:t>
      </w:r>
    </w:p>
    <w:p w14:paraId="0F116079">
      <w:pPr>
        <w:ind w:right="753"/>
        <w:rPr>
          <w:rFonts w:ascii="宋体" w:hAnsi="宋体" w:cs="宋体"/>
          <w:szCs w:val="21"/>
          <w:highlight w:val="none"/>
        </w:rPr>
      </w:pPr>
      <w:r>
        <w:rPr>
          <w:rFonts w:hint="eastAsia" w:ascii="宋体" w:hAnsi="宋体" w:cs="宋体"/>
          <w:szCs w:val="21"/>
          <w:highlight w:val="none"/>
        </w:rPr>
        <w:t xml:space="preserve">开户名称：                                                    </w:t>
      </w:r>
    </w:p>
    <w:p w14:paraId="28AEA9E5">
      <w:pPr>
        <w:ind w:right="753"/>
        <w:rPr>
          <w:rFonts w:ascii="宋体" w:hAnsi="宋体" w:cs="宋体"/>
          <w:szCs w:val="21"/>
          <w:highlight w:val="none"/>
        </w:rPr>
      </w:pPr>
      <w:r>
        <w:rPr>
          <w:rFonts w:hint="eastAsia" w:ascii="宋体" w:hAnsi="宋体" w:cs="宋体"/>
          <w:szCs w:val="21"/>
          <w:highlight w:val="none"/>
        </w:rPr>
        <w:t xml:space="preserve">开户银行：                                                    </w:t>
      </w:r>
    </w:p>
    <w:p w14:paraId="4FB888E9">
      <w:pPr>
        <w:ind w:right="753"/>
        <w:rPr>
          <w:rFonts w:ascii="宋体" w:hAnsi="宋体" w:cs="宋体"/>
          <w:szCs w:val="21"/>
          <w:highlight w:val="none"/>
        </w:rPr>
      </w:pPr>
      <w:r>
        <w:rPr>
          <w:rFonts w:hint="eastAsia" w:ascii="宋体" w:hAnsi="宋体" w:cs="宋体"/>
          <w:szCs w:val="21"/>
          <w:highlight w:val="none"/>
        </w:rPr>
        <w:t xml:space="preserve">帐    号：                                                    </w:t>
      </w:r>
    </w:p>
    <w:p w14:paraId="756940DC">
      <w:pPr>
        <w:ind w:right="753"/>
        <w:rPr>
          <w:rFonts w:ascii="宋体" w:hAnsi="宋体" w:cs="宋体"/>
          <w:szCs w:val="21"/>
          <w:highlight w:val="none"/>
        </w:rPr>
      </w:pPr>
      <w:r>
        <w:rPr>
          <w:rFonts w:hint="eastAsia" w:ascii="宋体" w:hAnsi="宋体" w:cs="宋体"/>
          <w:szCs w:val="21"/>
          <w:highlight w:val="none"/>
        </w:rPr>
        <w:t xml:space="preserve">法定代表人或其委托代理人签名（或盖章）：                      </w:t>
      </w:r>
    </w:p>
    <w:p w14:paraId="61EA3F8A">
      <w:pPr>
        <w:ind w:right="753"/>
        <w:rPr>
          <w:rFonts w:ascii="宋体" w:hAnsi="宋体" w:cs="宋体"/>
          <w:szCs w:val="21"/>
          <w:highlight w:val="none"/>
        </w:rPr>
      </w:pPr>
      <w:r>
        <w:rPr>
          <w:rFonts w:hint="eastAsia" w:ascii="宋体" w:hAnsi="宋体" w:cs="宋体"/>
          <w:szCs w:val="21"/>
          <w:highlight w:val="none"/>
        </w:rPr>
        <w:t xml:space="preserve">比选申请人盖公章：                                                </w:t>
      </w:r>
    </w:p>
    <w:p w14:paraId="729488A4">
      <w:pPr>
        <w:rPr>
          <w:rFonts w:ascii="宋体" w:hAnsi="宋体" w:cs="宋体"/>
          <w:szCs w:val="21"/>
          <w:highlight w:val="none"/>
        </w:rPr>
      </w:pPr>
      <w:r>
        <w:rPr>
          <w:rFonts w:hint="eastAsia" w:ascii="宋体" w:hAnsi="宋体" w:cs="宋体"/>
          <w:szCs w:val="21"/>
          <w:highlight w:val="none"/>
        </w:rPr>
        <w:t xml:space="preserve">      年    月     日           </w:t>
      </w:r>
    </w:p>
    <w:p w14:paraId="474AF0EA">
      <w:pPr>
        <w:rPr>
          <w:szCs w:val="21"/>
          <w:highlight w:val="none"/>
        </w:rPr>
      </w:pPr>
      <w:r>
        <w:rPr>
          <w:rFonts w:hint="eastAsia" w:ascii="宋体" w:hAnsi="宋体" w:cs="宋体"/>
          <w:szCs w:val="21"/>
          <w:highlight w:val="none"/>
        </w:rPr>
        <w:t xml:space="preserve">       </w:t>
      </w:r>
    </w:p>
    <w:p w14:paraId="21092C3B">
      <w:pPr>
        <w:ind w:right="753"/>
        <w:rPr>
          <w:rFonts w:ascii="宋体" w:hAnsi="宋体" w:cs="宋体"/>
          <w:szCs w:val="21"/>
          <w:highlight w:val="none"/>
        </w:rPr>
      </w:pPr>
      <w:r>
        <w:rPr>
          <w:rFonts w:hint="eastAsia" w:ascii="宋体" w:hAnsi="宋体" w:cs="宋体"/>
          <w:szCs w:val="21"/>
          <w:highlight w:val="none"/>
        </w:rPr>
        <w:t>注：未按照本比选函的格式要求填写比选函的，将视为不满足比选文件要求，从而导致该比选申请人竞选无效。</w:t>
      </w:r>
    </w:p>
    <w:p w14:paraId="77F2AA7F">
      <w:pPr>
        <w:rPr>
          <w:szCs w:val="21"/>
          <w:highlight w:val="none"/>
        </w:rPr>
      </w:pPr>
    </w:p>
    <w:p w14:paraId="3383CCE3">
      <w:pPr>
        <w:rPr>
          <w:highlight w:val="none"/>
        </w:rPr>
      </w:pPr>
    </w:p>
    <w:p w14:paraId="6257F8F4">
      <w:pPr>
        <w:rPr>
          <w:highlight w:val="none"/>
        </w:rPr>
      </w:pPr>
    </w:p>
    <w:p w14:paraId="63F69655">
      <w:pPr>
        <w:rPr>
          <w:highlight w:val="none"/>
        </w:rPr>
      </w:pPr>
    </w:p>
    <w:p w14:paraId="05F23817">
      <w:pPr>
        <w:rPr>
          <w:highlight w:val="none"/>
        </w:rPr>
      </w:pPr>
    </w:p>
    <w:p w14:paraId="385E6B79">
      <w:pPr>
        <w:rPr>
          <w:highlight w:val="none"/>
        </w:rPr>
      </w:pPr>
    </w:p>
    <w:p w14:paraId="194DE5BD">
      <w:pPr>
        <w:rPr>
          <w:highlight w:val="none"/>
        </w:rPr>
      </w:pPr>
    </w:p>
    <w:p w14:paraId="5C7342E6">
      <w:pPr>
        <w:rPr>
          <w:highlight w:val="none"/>
        </w:rPr>
      </w:pPr>
    </w:p>
    <w:p w14:paraId="4CDA5715">
      <w:pPr>
        <w:rPr>
          <w:highlight w:val="none"/>
        </w:rPr>
      </w:pPr>
    </w:p>
    <w:p w14:paraId="6F4B9F30">
      <w:pPr>
        <w:rPr>
          <w:highlight w:val="none"/>
        </w:rPr>
      </w:pPr>
    </w:p>
    <w:p w14:paraId="4326D71E">
      <w:pPr>
        <w:rPr>
          <w:highlight w:val="none"/>
        </w:rPr>
      </w:pPr>
    </w:p>
    <w:p w14:paraId="44177C48">
      <w:pPr>
        <w:rPr>
          <w:highlight w:val="none"/>
        </w:rPr>
      </w:pPr>
    </w:p>
    <w:p w14:paraId="54079C97">
      <w:pPr>
        <w:rPr>
          <w:highlight w:val="none"/>
        </w:rPr>
      </w:pPr>
    </w:p>
    <w:p w14:paraId="430F1CCE">
      <w:pPr>
        <w:rPr>
          <w:highlight w:val="none"/>
        </w:rPr>
      </w:pPr>
    </w:p>
    <w:p w14:paraId="35D0DD68">
      <w:pPr>
        <w:rPr>
          <w:highlight w:val="none"/>
        </w:rPr>
      </w:pPr>
    </w:p>
    <w:p w14:paraId="28CABF11">
      <w:pPr>
        <w:pStyle w:val="4"/>
        <w:rPr>
          <w:color w:val="000000"/>
          <w:kern w:val="44"/>
          <w:szCs w:val="32"/>
          <w:highlight w:val="none"/>
        </w:rPr>
      </w:pPr>
      <w:bookmarkStart w:id="294" w:name="_Toc1148"/>
      <w:bookmarkStart w:id="295" w:name="_Toc86155562"/>
      <w:bookmarkStart w:id="296" w:name="_Toc26609"/>
      <w:bookmarkStart w:id="297" w:name="_Toc8914"/>
      <w:r>
        <w:rPr>
          <w:rFonts w:hint="eastAsia" w:ascii="宋体" w:hAnsi="宋体" w:cs="宋体"/>
          <w:kern w:val="44"/>
          <w:szCs w:val="28"/>
          <w:highlight w:val="none"/>
        </w:rPr>
        <w:t>（2）</w:t>
      </w:r>
      <w:r>
        <w:rPr>
          <w:rFonts w:hint="eastAsia" w:ascii="宋体" w:hAnsi="宋体" w:cs="宋体"/>
          <w:szCs w:val="28"/>
          <w:highlight w:val="none"/>
        </w:rPr>
        <w:t>报价表</w:t>
      </w:r>
      <w:bookmarkEnd w:id="294"/>
      <w:bookmarkEnd w:id="295"/>
      <w:bookmarkEnd w:id="296"/>
      <w:bookmarkEnd w:id="297"/>
      <w:bookmarkStart w:id="298" w:name="_Toc436771495"/>
    </w:p>
    <w:bookmarkEnd w:id="298"/>
    <w:p w14:paraId="0510B251">
      <w:pPr>
        <w:ind w:right="753"/>
        <w:jc w:val="center"/>
        <w:rPr>
          <w:rFonts w:ascii="宋体" w:hAnsi="宋体" w:cs="宋体"/>
          <w:sz w:val="28"/>
          <w:szCs w:val="28"/>
          <w:highlight w:val="none"/>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2678"/>
        <w:gridCol w:w="2384"/>
        <w:gridCol w:w="2265"/>
      </w:tblGrid>
      <w:tr w14:paraId="31C0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08" w:type="dxa"/>
            <w:vAlign w:val="center"/>
          </w:tcPr>
          <w:p w14:paraId="6C95774F">
            <w:pPr>
              <w:ind w:right="753"/>
              <w:jc w:val="center"/>
              <w:rPr>
                <w:rFonts w:ascii="宋体" w:hAnsi="宋体" w:cs="宋体"/>
                <w:szCs w:val="21"/>
                <w:highlight w:val="none"/>
              </w:rPr>
            </w:pPr>
            <w:r>
              <w:rPr>
                <w:rFonts w:hint="eastAsia" w:ascii="宋体" w:hAnsi="宋体" w:cs="宋体"/>
                <w:szCs w:val="21"/>
                <w:highlight w:val="none"/>
              </w:rPr>
              <w:t>项目名称</w:t>
            </w:r>
          </w:p>
        </w:tc>
        <w:tc>
          <w:tcPr>
            <w:tcW w:w="2678" w:type="dxa"/>
            <w:vAlign w:val="center"/>
          </w:tcPr>
          <w:p w14:paraId="3D0F0025">
            <w:pPr>
              <w:ind w:right="753"/>
              <w:jc w:val="center"/>
              <w:rPr>
                <w:rFonts w:ascii="宋体" w:hAnsi="宋体" w:cs="宋体"/>
                <w:szCs w:val="21"/>
                <w:highlight w:val="none"/>
              </w:rPr>
            </w:pPr>
            <w:r>
              <w:rPr>
                <w:rFonts w:hint="eastAsia" w:ascii="宋体" w:hAnsi="宋体" w:cs="宋体"/>
                <w:szCs w:val="21"/>
                <w:highlight w:val="none"/>
              </w:rPr>
              <w:t>内容</w:t>
            </w:r>
          </w:p>
        </w:tc>
        <w:tc>
          <w:tcPr>
            <w:tcW w:w="2384" w:type="dxa"/>
            <w:vAlign w:val="center"/>
          </w:tcPr>
          <w:p w14:paraId="03855B65">
            <w:pPr>
              <w:ind w:right="753"/>
              <w:jc w:val="center"/>
              <w:rPr>
                <w:rFonts w:ascii="宋体" w:hAnsi="宋体" w:cs="宋体"/>
                <w:szCs w:val="21"/>
                <w:highlight w:val="none"/>
              </w:rPr>
            </w:pPr>
            <w:r>
              <w:rPr>
                <w:rFonts w:hint="eastAsia" w:ascii="宋体" w:hAnsi="宋体" w:cs="宋体"/>
                <w:szCs w:val="21"/>
                <w:highlight w:val="none"/>
              </w:rPr>
              <w:t>报价（万元）</w:t>
            </w:r>
          </w:p>
        </w:tc>
        <w:tc>
          <w:tcPr>
            <w:tcW w:w="2265" w:type="dxa"/>
            <w:vAlign w:val="center"/>
          </w:tcPr>
          <w:p w14:paraId="2E0FDDE7">
            <w:pPr>
              <w:ind w:right="753"/>
              <w:jc w:val="center"/>
              <w:rPr>
                <w:rFonts w:ascii="宋体" w:hAnsi="宋体" w:cs="宋体"/>
                <w:szCs w:val="21"/>
                <w:highlight w:val="none"/>
              </w:rPr>
            </w:pPr>
            <w:r>
              <w:rPr>
                <w:rFonts w:hint="eastAsia" w:ascii="宋体" w:hAnsi="宋体" w:cs="宋体"/>
                <w:szCs w:val="21"/>
                <w:highlight w:val="none"/>
              </w:rPr>
              <w:t>备注（计算方式及下浮率）</w:t>
            </w:r>
          </w:p>
        </w:tc>
      </w:tr>
      <w:tr w14:paraId="460D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2108" w:type="dxa"/>
            <w:vMerge w:val="restart"/>
            <w:vAlign w:val="center"/>
          </w:tcPr>
          <w:p w14:paraId="45E71B3E">
            <w:pPr>
              <w:ind w:right="753"/>
              <w:jc w:val="center"/>
              <w:rPr>
                <w:rFonts w:ascii="宋体" w:hAnsi="宋体" w:cs="宋体"/>
                <w:szCs w:val="21"/>
                <w:highlight w:val="none"/>
              </w:rPr>
            </w:pPr>
          </w:p>
        </w:tc>
        <w:tc>
          <w:tcPr>
            <w:tcW w:w="2678" w:type="dxa"/>
            <w:vAlign w:val="center"/>
          </w:tcPr>
          <w:p w14:paraId="4E0CE9C5">
            <w:pPr>
              <w:ind w:right="753"/>
              <w:rPr>
                <w:rFonts w:ascii="宋体" w:hAnsi="宋体" w:cs="宋体"/>
                <w:szCs w:val="21"/>
                <w:highlight w:val="none"/>
              </w:rPr>
            </w:pPr>
            <w:r>
              <w:rPr>
                <w:rFonts w:hint="eastAsia" w:ascii="宋体" w:hAnsi="宋体" w:cs="宋体"/>
                <w:szCs w:val="21"/>
                <w:highlight w:val="none"/>
              </w:rPr>
              <w:t>1.不含税报价</w:t>
            </w:r>
          </w:p>
        </w:tc>
        <w:tc>
          <w:tcPr>
            <w:tcW w:w="2384" w:type="dxa"/>
            <w:vAlign w:val="center"/>
          </w:tcPr>
          <w:p w14:paraId="60711902">
            <w:pPr>
              <w:ind w:right="753"/>
              <w:jc w:val="center"/>
              <w:rPr>
                <w:rFonts w:ascii="宋体" w:hAnsi="宋体" w:cs="宋体"/>
                <w:szCs w:val="21"/>
                <w:highlight w:val="none"/>
              </w:rPr>
            </w:pPr>
          </w:p>
        </w:tc>
        <w:tc>
          <w:tcPr>
            <w:tcW w:w="2265" w:type="dxa"/>
            <w:vAlign w:val="center"/>
          </w:tcPr>
          <w:p w14:paraId="6DD957E3">
            <w:pPr>
              <w:ind w:right="753"/>
              <w:jc w:val="center"/>
              <w:rPr>
                <w:rFonts w:ascii="宋体" w:hAnsi="宋体" w:cs="宋体"/>
                <w:szCs w:val="21"/>
                <w:highlight w:val="none"/>
              </w:rPr>
            </w:pPr>
          </w:p>
        </w:tc>
      </w:tr>
      <w:tr w14:paraId="216B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08" w:type="dxa"/>
            <w:vMerge w:val="continue"/>
            <w:vAlign w:val="center"/>
          </w:tcPr>
          <w:p w14:paraId="1085B965">
            <w:pPr>
              <w:ind w:right="753"/>
              <w:jc w:val="center"/>
              <w:rPr>
                <w:rFonts w:ascii="宋体" w:hAnsi="宋体" w:cs="宋体"/>
                <w:szCs w:val="21"/>
                <w:highlight w:val="none"/>
              </w:rPr>
            </w:pPr>
          </w:p>
        </w:tc>
        <w:tc>
          <w:tcPr>
            <w:tcW w:w="2678" w:type="dxa"/>
            <w:vAlign w:val="center"/>
          </w:tcPr>
          <w:p w14:paraId="75261A13">
            <w:pPr>
              <w:ind w:right="753"/>
              <w:rPr>
                <w:rFonts w:ascii="宋体" w:hAnsi="宋体" w:cs="宋体"/>
                <w:szCs w:val="21"/>
                <w:highlight w:val="none"/>
              </w:rPr>
            </w:pPr>
            <w:r>
              <w:rPr>
                <w:rFonts w:hint="eastAsia" w:ascii="宋体" w:hAnsi="宋体" w:cs="宋体"/>
                <w:szCs w:val="21"/>
                <w:highlight w:val="none"/>
              </w:rPr>
              <w:t>2.税金</w:t>
            </w:r>
          </w:p>
        </w:tc>
        <w:tc>
          <w:tcPr>
            <w:tcW w:w="2384" w:type="dxa"/>
            <w:vAlign w:val="center"/>
          </w:tcPr>
          <w:p w14:paraId="51C3488E">
            <w:pPr>
              <w:ind w:right="753"/>
              <w:jc w:val="center"/>
              <w:rPr>
                <w:rFonts w:ascii="宋体" w:hAnsi="宋体" w:cs="宋体"/>
                <w:szCs w:val="21"/>
                <w:highlight w:val="none"/>
              </w:rPr>
            </w:pPr>
          </w:p>
        </w:tc>
        <w:tc>
          <w:tcPr>
            <w:tcW w:w="2265" w:type="dxa"/>
            <w:vAlign w:val="center"/>
          </w:tcPr>
          <w:p w14:paraId="4BC360F4">
            <w:pPr>
              <w:ind w:right="753"/>
              <w:jc w:val="center"/>
              <w:rPr>
                <w:rFonts w:ascii="宋体" w:hAnsi="宋体" w:cs="宋体"/>
                <w:szCs w:val="21"/>
                <w:highlight w:val="none"/>
              </w:rPr>
            </w:pPr>
          </w:p>
        </w:tc>
      </w:tr>
      <w:tr w14:paraId="36A2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2108" w:type="dxa"/>
            <w:vMerge w:val="continue"/>
            <w:tcBorders>
              <w:bottom w:val="single" w:color="auto" w:sz="4" w:space="0"/>
            </w:tcBorders>
            <w:vAlign w:val="center"/>
          </w:tcPr>
          <w:p w14:paraId="2B0F8E20">
            <w:pPr>
              <w:ind w:right="753"/>
              <w:jc w:val="center"/>
              <w:rPr>
                <w:rFonts w:ascii="宋体" w:hAnsi="宋体" w:cs="宋体"/>
                <w:szCs w:val="21"/>
                <w:highlight w:val="none"/>
              </w:rPr>
            </w:pPr>
          </w:p>
        </w:tc>
        <w:tc>
          <w:tcPr>
            <w:tcW w:w="2678" w:type="dxa"/>
            <w:tcBorders>
              <w:bottom w:val="single" w:color="auto" w:sz="4" w:space="0"/>
            </w:tcBorders>
            <w:vAlign w:val="center"/>
          </w:tcPr>
          <w:p w14:paraId="0ECC3267">
            <w:pPr>
              <w:ind w:right="753"/>
              <w:rPr>
                <w:rFonts w:ascii="宋体" w:hAnsi="宋体" w:cs="宋体"/>
                <w:szCs w:val="21"/>
                <w:highlight w:val="none"/>
              </w:rPr>
            </w:pPr>
            <w:r>
              <w:rPr>
                <w:rFonts w:hint="eastAsia" w:ascii="宋体" w:hAnsi="宋体" w:cs="宋体"/>
                <w:szCs w:val="21"/>
                <w:highlight w:val="none"/>
              </w:rPr>
              <w:t>3.含税总报价（=1+2）</w:t>
            </w:r>
          </w:p>
        </w:tc>
        <w:tc>
          <w:tcPr>
            <w:tcW w:w="2384" w:type="dxa"/>
            <w:tcBorders>
              <w:bottom w:val="single" w:color="auto" w:sz="4" w:space="0"/>
            </w:tcBorders>
            <w:vAlign w:val="center"/>
          </w:tcPr>
          <w:p w14:paraId="4AB6458D">
            <w:pPr>
              <w:ind w:right="753"/>
              <w:jc w:val="center"/>
              <w:rPr>
                <w:rFonts w:ascii="宋体" w:hAnsi="宋体" w:cs="宋体"/>
                <w:szCs w:val="21"/>
                <w:highlight w:val="none"/>
              </w:rPr>
            </w:pPr>
          </w:p>
        </w:tc>
        <w:tc>
          <w:tcPr>
            <w:tcW w:w="2265" w:type="dxa"/>
            <w:tcBorders>
              <w:bottom w:val="single" w:color="auto" w:sz="4" w:space="0"/>
            </w:tcBorders>
            <w:vAlign w:val="center"/>
          </w:tcPr>
          <w:p w14:paraId="4D970B89">
            <w:pPr>
              <w:ind w:right="753"/>
              <w:jc w:val="center"/>
              <w:rPr>
                <w:rFonts w:ascii="宋体" w:hAnsi="宋体" w:cs="宋体"/>
                <w:szCs w:val="21"/>
                <w:highlight w:val="none"/>
              </w:rPr>
            </w:pPr>
          </w:p>
        </w:tc>
      </w:tr>
    </w:tbl>
    <w:p w14:paraId="1157F034">
      <w:pPr>
        <w:ind w:right="753"/>
        <w:rPr>
          <w:rFonts w:ascii="宋体" w:hAnsi="宋体" w:cs="宋体"/>
          <w:szCs w:val="21"/>
          <w:highlight w:val="none"/>
        </w:rPr>
      </w:pPr>
      <w:r>
        <w:rPr>
          <w:rFonts w:hint="eastAsia" w:ascii="宋体" w:hAnsi="宋体" w:cs="宋体"/>
          <w:szCs w:val="21"/>
          <w:highlight w:val="none"/>
        </w:rPr>
        <w:t>注：上述报价以“万元”为单位，保留到小数点后2位</w:t>
      </w:r>
    </w:p>
    <w:p w14:paraId="75A6C67E">
      <w:pPr>
        <w:rPr>
          <w:szCs w:val="21"/>
          <w:highlight w:val="none"/>
        </w:rPr>
      </w:pPr>
    </w:p>
    <w:p w14:paraId="1A19B42E">
      <w:pPr>
        <w:rPr>
          <w:szCs w:val="21"/>
          <w:highlight w:val="none"/>
        </w:rPr>
      </w:pPr>
    </w:p>
    <w:p w14:paraId="67220B78">
      <w:pPr>
        <w:rPr>
          <w:szCs w:val="21"/>
          <w:highlight w:val="none"/>
        </w:rPr>
      </w:pPr>
    </w:p>
    <w:p w14:paraId="201EF4BB">
      <w:pPr>
        <w:rPr>
          <w:szCs w:val="21"/>
          <w:highlight w:val="none"/>
        </w:rPr>
      </w:pPr>
    </w:p>
    <w:p w14:paraId="5E9F6041">
      <w:pPr>
        <w:rPr>
          <w:szCs w:val="21"/>
          <w:highlight w:val="none"/>
        </w:rPr>
      </w:pPr>
    </w:p>
    <w:p w14:paraId="233C91E7">
      <w:pPr>
        <w:ind w:right="753"/>
        <w:rPr>
          <w:rFonts w:ascii="宋体" w:hAnsi="宋体" w:cs="宋体"/>
          <w:szCs w:val="21"/>
          <w:highlight w:val="none"/>
        </w:rPr>
      </w:pPr>
      <w:r>
        <w:rPr>
          <w:rFonts w:hint="eastAsia" w:ascii="宋体" w:hAnsi="宋体" w:cs="宋体"/>
          <w:szCs w:val="21"/>
          <w:highlight w:val="none"/>
        </w:rPr>
        <w:t xml:space="preserve">比选申请人（公章）                                </w:t>
      </w:r>
    </w:p>
    <w:p w14:paraId="65B62129">
      <w:pPr>
        <w:ind w:right="753"/>
        <w:rPr>
          <w:rFonts w:ascii="宋体" w:hAnsi="宋体" w:cs="宋体"/>
          <w:szCs w:val="21"/>
          <w:highlight w:val="none"/>
        </w:rPr>
      </w:pPr>
      <w:r>
        <w:rPr>
          <w:rFonts w:hint="eastAsia" w:ascii="宋体" w:hAnsi="宋体" w:cs="宋体"/>
          <w:szCs w:val="21"/>
          <w:highlight w:val="none"/>
        </w:rPr>
        <w:t>法定代表人或其委托代理人签名（或盖章）：</w:t>
      </w:r>
    </w:p>
    <w:p w14:paraId="1722FE5C">
      <w:pPr>
        <w:rPr>
          <w:highlight w:val="none"/>
        </w:rPr>
      </w:pPr>
    </w:p>
    <w:p w14:paraId="3484C871">
      <w:pPr>
        <w:rPr>
          <w:highlight w:val="none"/>
        </w:rPr>
      </w:pPr>
    </w:p>
    <w:p w14:paraId="650A79A8">
      <w:pPr>
        <w:rPr>
          <w:highlight w:val="none"/>
        </w:rPr>
      </w:pPr>
    </w:p>
    <w:p w14:paraId="5DE9FD5E">
      <w:pPr>
        <w:rPr>
          <w:highlight w:val="none"/>
        </w:rPr>
      </w:pPr>
    </w:p>
    <w:p w14:paraId="74A9E918">
      <w:pPr>
        <w:rPr>
          <w:highlight w:val="none"/>
        </w:rPr>
      </w:pPr>
    </w:p>
    <w:p w14:paraId="356037C7">
      <w:pPr>
        <w:pStyle w:val="2"/>
        <w:jc w:val="center"/>
        <w:rPr>
          <w:szCs w:val="28"/>
          <w:highlight w:val="none"/>
        </w:rPr>
      </w:pPr>
      <w:bookmarkStart w:id="299" w:name="_Toc17464"/>
      <w:bookmarkStart w:id="300" w:name="_Toc86155563"/>
      <w:r>
        <w:rPr>
          <w:rFonts w:hint="eastAsia"/>
          <w:szCs w:val="28"/>
          <w:highlight w:val="none"/>
        </w:rPr>
        <w:t>第四章、</w:t>
      </w:r>
      <w:r>
        <w:rPr>
          <w:szCs w:val="28"/>
          <w:highlight w:val="none"/>
        </w:rPr>
        <w:t>评分办法</w:t>
      </w:r>
      <w:bookmarkEnd w:id="299"/>
      <w:bookmarkEnd w:id="300"/>
    </w:p>
    <w:p w14:paraId="4748A316">
      <w:pPr>
        <w:pStyle w:val="3"/>
        <w:rPr>
          <w:rFonts w:ascii="宋体" w:hAnsi="宋体" w:cs="宋体"/>
          <w:szCs w:val="28"/>
          <w:highlight w:val="none"/>
        </w:rPr>
      </w:pPr>
      <w:bookmarkStart w:id="301" w:name="_Toc21077"/>
      <w:bookmarkStart w:id="302" w:name="_Toc86155564"/>
      <w:r>
        <w:rPr>
          <w:rFonts w:hint="eastAsia" w:ascii="宋体" w:hAnsi="宋体" w:cs="宋体"/>
          <w:szCs w:val="28"/>
          <w:highlight w:val="none"/>
        </w:rPr>
        <w:t>一、评审方式</w:t>
      </w:r>
      <w:bookmarkEnd w:id="301"/>
      <w:bookmarkEnd w:id="302"/>
    </w:p>
    <w:p w14:paraId="48A55C02">
      <w:pPr>
        <w:ind w:firstLine="420" w:firstLineChars="200"/>
        <w:rPr>
          <w:rFonts w:ascii="宋体" w:hAnsi="宋体" w:cs="宋体"/>
          <w:szCs w:val="21"/>
          <w:highlight w:val="none"/>
        </w:rPr>
      </w:pPr>
      <w:r>
        <w:rPr>
          <w:rFonts w:hint="eastAsia" w:ascii="宋体" w:hAnsi="宋体" w:cs="宋体"/>
          <w:szCs w:val="21"/>
          <w:highlight w:val="none"/>
        </w:rPr>
        <w:t>1、资格评审：评审小组对比选申请人的资格条件、比选申请文件的完整性和有效性、比选申请文件的有效期等方面进行审查。通过资格评审的比选申请文件进入技术、报价评审。</w:t>
      </w:r>
    </w:p>
    <w:p w14:paraId="0AC78A7A">
      <w:pPr>
        <w:ind w:firstLine="420" w:firstLineChars="200"/>
        <w:rPr>
          <w:rFonts w:ascii="宋体" w:hAnsi="宋体" w:cs="宋体"/>
          <w:szCs w:val="21"/>
          <w:highlight w:val="none"/>
        </w:rPr>
      </w:pPr>
      <w:r>
        <w:rPr>
          <w:rFonts w:hint="eastAsia" w:ascii="宋体" w:hAnsi="宋体" w:cs="宋体"/>
          <w:szCs w:val="21"/>
          <w:highlight w:val="none"/>
        </w:rPr>
        <w:t>2、技术、报价评审：评审小组按照比选文件的要求，对比选申请文件的响应进行比较、打分。</w:t>
      </w:r>
    </w:p>
    <w:p w14:paraId="24182451">
      <w:pPr>
        <w:ind w:firstLine="420" w:firstLineChars="200"/>
        <w:rPr>
          <w:rFonts w:ascii="宋体" w:hAnsi="宋体" w:cs="宋体"/>
          <w:szCs w:val="21"/>
          <w:highlight w:val="none"/>
        </w:rPr>
      </w:pPr>
      <w:r>
        <w:rPr>
          <w:rFonts w:hint="eastAsia" w:ascii="宋体" w:hAnsi="宋体" w:cs="宋体"/>
          <w:szCs w:val="21"/>
          <w:highlight w:val="none"/>
        </w:rPr>
        <w:t>3、如比选申请文件中有含义不明确，对同类问题表达不一致，或有明显的文字、数字计算错误的，评审小组可要求比选申请人进行必要的澄清、说明或补正，并详细记录，但不得改变比选申请文件的实质内容。评审小组</w:t>
      </w:r>
      <w:r>
        <w:rPr>
          <w:rFonts w:ascii="宋体" w:hAnsi="宋体" w:cs="宋体"/>
          <w:szCs w:val="21"/>
          <w:highlight w:val="none"/>
        </w:rPr>
        <w:t>对</w:t>
      </w:r>
      <w:r>
        <w:rPr>
          <w:rFonts w:hint="eastAsia" w:ascii="宋体" w:hAnsi="宋体" w:cs="宋体"/>
          <w:szCs w:val="21"/>
          <w:highlight w:val="none"/>
        </w:rPr>
        <w:t>比选申请人</w:t>
      </w:r>
      <w:r>
        <w:rPr>
          <w:rFonts w:ascii="宋体" w:hAnsi="宋体" w:cs="宋体"/>
          <w:szCs w:val="21"/>
          <w:highlight w:val="none"/>
        </w:rPr>
        <w:t>提交的澄清、说明或补正有疑问的，可以要求</w:t>
      </w:r>
      <w:r>
        <w:rPr>
          <w:rFonts w:hint="eastAsia" w:ascii="宋体" w:hAnsi="宋体" w:cs="宋体"/>
          <w:szCs w:val="21"/>
          <w:highlight w:val="none"/>
        </w:rPr>
        <w:t>比选申请人</w:t>
      </w:r>
      <w:r>
        <w:rPr>
          <w:rFonts w:ascii="宋体" w:hAnsi="宋体" w:cs="宋体"/>
          <w:szCs w:val="21"/>
          <w:highlight w:val="none"/>
        </w:rPr>
        <w:t>进一步澄清、说明或补正，直至满足</w:t>
      </w:r>
      <w:r>
        <w:rPr>
          <w:rFonts w:hint="eastAsia" w:ascii="宋体" w:hAnsi="宋体" w:cs="宋体"/>
          <w:szCs w:val="21"/>
          <w:highlight w:val="none"/>
        </w:rPr>
        <w:t>评审小组</w:t>
      </w:r>
      <w:r>
        <w:rPr>
          <w:rFonts w:ascii="宋体" w:hAnsi="宋体" w:cs="宋体"/>
          <w:szCs w:val="21"/>
          <w:highlight w:val="none"/>
        </w:rPr>
        <w:t>的要求。</w:t>
      </w:r>
      <w:r>
        <w:rPr>
          <w:rFonts w:hint="eastAsia" w:ascii="宋体" w:hAnsi="宋体" w:cs="宋体"/>
          <w:szCs w:val="21"/>
          <w:highlight w:val="none"/>
        </w:rPr>
        <w:t>如</w:t>
      </w:r>
      <w:r>
        <w:rPr>
          <w:rFonts w:ascii="宋体" w:hAnsi="宋体" w:cs="宋体"/>
          <w:szCs w:val="21"/>
          <w:highlight w:val="none"/>
        </w:rPr>
        <w:t>比选申请人拒绝接受澄清、说明或补正，该</w:t>
      </w:r>
      <w:r>
        <w:rPr>
          <w:rFonts w:hint="eastAsia" w:ascii="宋体" w:hAnsi="宋体" w:cs="宋体"/>
          <w:szCs w:val="21"/>
          <w:highlight w:val="none"/>
        </w:rPr>
        <w:t>比选申请文件</w:t>
      </w:r>
      <w:r>
        <w:rPr>
          <w:rFonts w:ascii="宋体" w:hAnsi="宋体" w:cs="宋体"/>
          <w:szCs w:val="21"/>
          <w:highlight w:val="none"/>
        </w:rPr>
        <w:t>做无效处理。</w:t>
      </w:r>
    </w:p>
    <w:p w14:paraId="4D360188">
      <w:pPr>
        <w:ind w:firstLine="420" w:firstLineChars="200"/>
        <w:rPr>
          <w:rFonts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报价评审应以报价口径范围一致的</w:t>
      </w:r>
      <w:r>
        <w:rPr>
          <w:rFonts w:hint="eastAsia" w:ascii="宋体" w:hAnsi="宋体" w:cs="宋体"/>
          <w:szCs w:val="21"/>
          <w:highlight w:val="none"/>
        </w:rPr>
        <w:t>评审</w:t>
      </w:r>
      <w:r>
        <w:rPr>
          <w:rFonts w:ascii="宋体" w:hAnsi="宋体" w:cs="宋体"/>
          <w:szCs w:val="21"/>
          <w:highlight w:val="none"/>
        </w:rPr>
        <w:t>价为依据。</w:t>
      </w:r>
      <w:r>
        <w:rPr>
          <w:rFonts w:hint="eastAsia" w:ascii="宋体" w:hAnsi="宋体" w:cs="宋体"/>
          <w:szCs w:val="21"/>
          <w:highlight w:val="none"/>
        </w:rPr>
        <w:t>评审</w:t>
      </w:r>
      <w:r>
        <w:rPr>
          <w:rFonts w:ascii="宋体" w:hAnsi="宋体" w:cs="宋体"/>
          <w:szCs w:val="21"/>
          <w:highlight w:val="none"/>
        </w:rPr>
        <w:t>价应在报价的基础上，按照</w:t>
      </w:r>
      <w:r>
        <w:rPr>
          <w:rFonts w:hint="eastAsia" w:ascii="宋体" w:hAnsi="宋体" w:cs="宋体"/>
          <w:szCs w:val="21"/>
          <w:highlight w:val="none"/>
        </w:rPr>
        <w:t>下列约定的因素和方法进行计算（比选申请人如拒绝下述修正的，则属重大偏差，按无效报价处理）：</w:t>
      </w:r>
    </w:p>
    <w:p w14:paraId="2BE58A89">
      <w:pPr>
        <w:ind w:firstLine="420" w:firstLineChars="200"/>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如果数字表示的金额和用文字表示的金额不一致时，应以文字表示的金额为准；</w:t>
      </w:r>
    </w:p>
    <w:p w14:paraId="2000723A">
      <w:pPr>
        <w:ind w:firstLine="420" w:firstLineChars="200"/>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当单价与数量的乘积与合价不一致时，以合价为准，并调整单价；</w:t>
      </w:r>
    </w:p>
    <w:p w14:paraId="4C2AE759">
      <w:pPr>
        <w:ind w:firstLine="420" w:firstLineChars="200"/>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当合价与</w:t>
      </w:r>
      <w:r>
        <w:rPr>
          <w:rFonts w:hint="eastAsia" w:ascii="宋体" w:hAnsi="宋体" w:cs="宋体"/>
          <w:szCs w:val="21"/>
          <w:highlight w:val="none"/>
        </w:rPr>
        <w:t>总价</w:t>
      </w:r>
      <w:r>
        <w:rPr>
          <w:rFonts w:ascii="宋体" w:hAnsi="宋体" w:cs="宋体"/>
          <w:szCs w:val="21"/>
          <w:highlight w:val="none"/>
        </w:rPr>
        <w:t>不一致时，以总价为准，调整相关合价</w:t>
      </w:r>
      <w:r>
        <w:rPr>
          <w:rFonts w:hint="eastAsia" w:ascii="宋体" w:hAnsi="宋体" w:cs="宋体"/>
          <w:szCs w:val="21"/>
          <w:highlight w:val="none"/>
        </w:rPr>
        <w:t>；</w:t>
      </w:r>
    </w:p>
    <w:p w14:paraId="24FA17BA">
      <w:pPr>
        <w:ind w:firstLine="420" w:firstLineChars="200"/>
        <w:rPr>
          <w:rFonts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评</w:t>
      </w:r>
      <w:r>
        <w:rPr>
          <w:rFonts w:hint="eastAsia" w:ascii="宋体" w:hAnsi="宋体" w:cs="宋体"/>
          <w:szCs w:val="21"/>
          <w:highlight w:val="none"/>
        </w:rPr>
        <w:t>审</w:t>
      </w:r>
      <w:r>
        <w:rPr>
          <w:rFonts w:ascii="宋体" w:hAnsi="宋体" w:cs="宋体"/>
          <w:szCs w:val="21"/>
          <w:highlight w:val="none"/>
        </w:rPr>
        <w:t>期间不接受任何</w:t>
      </w:r>
      <w:r>
        <w:rPr>
          <w:rFonts w:hint="eastAsia" w:ascii="宋体" w:hAnsi="宋体" w:cs="宋体"/>
          <w:szCs w:val="21"/>
          <w:highlight w:val="none"/>
        </w:rPr>
        <w:t>比选申请人</w:t>
      </w:r>
      <w:r>
        <w:rPr>
          <w:rFonts w:ascii="宋体" w:hAnsi="宋体" w:cs="宋体"/>
          <w:szCs w:val="21"/>
          <w:highlight w:val="none"/>
        </w:rPr>
        <w:t>主动提出的对单价、合价</w:t>
      </w:r>
      <w:r>
        <w:rPr>
          <w:rFonts w:hint="eastAsia" w:ascii="宋体" w:hAnsi="宋体" w:cs="宋体"/>
          <w:szCs w:val="21"/>
          <w:highlight w:val="none"/>
        </w:rPr>
        <w:t>及总价</w:t>
      </w:r>
      <w:r>
        <w:rPr>
          <w:rFonts w:ascii="宋体" w:hAnsi="宋体" w:cs="宋体"/>
          <w:szCs w:val="21"/>
          <w:highlight w:val="none"/>
        </w:rPr>
        <w:t>的</w:t>
      </w:r>
      <w:r>
        <w:rPr>
          <w:rFonts w:hint="eastAsia" w:ascii="宋体" w:hAnsi="宋体" w:cs="宋体"/>
          <w:szCs w:val="21"/>
          <w:highlight w:val="none"/>
        </w:rPr>
        <w:t>调</w:t>
      </w:r>
      <w:r>
        <w:rPr>
          <w:rFonts w:ascii="宋体" w:hAnsi="宋体" w:cs="宋体"/>
          <w:szCs w:val="21"/>
          <w:highlight w:val="none"/>
        </w:rPr>
        <w:t>整</w:t>
      </w:r>
      <w:r>
        <w:rPr>
          <w:rFonts w:hint="eastAsia" w:ascii="宋体" w:hAnsi="宋体" w:cs="宋体"/>
          <w:szCs w:val="21"/>
          <w:highlight w:val="none"/>
        </w:rPr>
        <w:t>；</w:t>
      </w:r>
    </w:p>
    <w:p w14:paraId="296CFE9B">
      <w:pPr>
        <w:ind w:firstLine="420" w:firstLineChars="200"/>
        <w:rPr>
          <w:rFonts w:ascii="宋体" w:hAnsi="宋体" w:cs="宋体"/>
          <w:szCs w:val="21"/>
          <w:highlight w:val="none"/>
        </w:rPr>
      </w:pPr>
      <w:r>
        <w:rPr>
          <w:rFonts w:hint="eastAsia" w:ascii="宋体" w:hAnsi="宋体" w:cs="宋体"/>
          <w:szCs w:val="21"/>
          <w:highlight w:val="none"/>
        </w:rPr>
        <w:t>其它未尽事宜，由评审小组审议确定；如意见不一致时，以记名方式投票确定。</w:t>
      </w:r>
    </w:p>
    <w:p w14:paraId="55705773">
      <w:pPr>
        <w:pStyle w:val="3"/>
        <w:rPr>
          <w:rFonts w:ascii="宋体" w:hAnsi="宋体" w:cs="宋体"/>
          <w:szCs w:val="28"/>
          <w:highlight w:val="none"/>
        </w:rPr>
      </w:pPr>
      <w:bookmarkStart w:id="303" w:name="_Toc86155565"/>
      <w:bookmarkStart w:id="304" w:name="_Toc9025"/>
      <w:r>
        <w:rPr>
          <w:rFonts w:hint="eastAsia" w:ascii="宋体" w:hAnsi="宋体" w:cs="宋体"/>
          <w:szCs w:val="28"/>
          <w:highlight w:val="none"/>
        </w:rPr>
        <w:t>二、评比办法</w:t>
      </w:r>
      <w:bookmarkEnd w:id="303"/>
      <w:bookmarkEnd w:id="304"/>
    </w:p>
    <w:p w14:paraId="51D7BA22">
      <w:pPr>
        <w:ind w:firstLine="420" w:firstLineChars="200"/>
        <w:rPr>
          <w:rFonts w:ascii="宋体" w:hAnsi="宋体" w:cs="宋体"/>
          <w:szCs w:val="21"/>
          <w:highlight w:val="none"/>
        </w:rPr>
      </w:pPr>
      <w:r>
        <w:rPr>
          <w:rFonts w:hint="eastAsia" w:ascii="宋体" w:hAnsi="宋体" w:cs="宋体"/>
          <w:szCs w:val="21"/>
          <w:highlight w:val="none"/>
        </w:rPr>
        <w:t>依据综合评分法：评标委员会按照得分由高到低顺序排列。得分相同的，按投标报价由低到高顺序排列，得分且投标报价相同的，由评委抽签确定。如排名第一的比选候选人放弃中选、因不可抗力不能履行合同，或者被查实存在影响比选结果的违法行为等情形，不符合比选条件的，比选发起人可以按照评审委员会提出的中选候选人名单排序依次确定其他中选候选人为中选人，也可以重新比选。</w:t>
      </w:r>
    </w:p>
    <w:p w14:paraId="5C0C7EA5">
      <w:pPr>
        <w:rPr>
          <w:rFonts w:ascii="宋体" w:hAnsi="宋体" w:cs="宋体"/>
          <w:szCs w:val="21"/>
          <w:highlight w:val="none"/>
        </w:rPr>
      </w:pPr>
      <w:r>
        <w:rPr>
          <w:rFonts w:hint="eastAsia" w:ascii="宋体" w:hAnsi="宋体" w:cs="宋体"/>
          <w:szCs w:val="21"/>
          <w:highlight w:val="none"/>
        </w:rPr>
        <w:br w:type="page"/>
      </w:r>
    </w:p>
    <w:p w14:paraId="6663670A">
      <w:pPr>
        <w:pStyle w:val="3"/>
        <w:rPr>
          <w:highlight w:val="none"/>
        </w:rPr>
      </w:pPr>
      <w:bookmarkStart w:id="305" w:name="_Toc2084"/>
      <w:r>
        <w:rPr>
          <w:rFonts w:hint="eastAsia"/>
          <w:highlight w:val="none"/>
        </w:rPr>
        <w:t>三、技术部分评分细则（满分80分）</w:t>
      </w:r>
      <w:bookmarkEnd w:id="305"/>
    </w:p>
    <w:tbl>
      <w:tblPr>
        <w:tblStyle w:val="33"/>
        <w:tblW w:w="499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57" w:type="dxa"/>
          <w:bottom w:w="0" w:type="dxa"/>
          <w:right w:w="57" w:type="dxa"/>
        </w:tblCellMar>
      </w:tblPr>
      <w:tblGrid>
        <w:gridCol w:w="964"/>
        <w:gridCol w:w="1403"/>
        <w:gridCol w:w="812"/>
        <w:gridCol w:w="4296"/>
        <w:gridCol w:w="1705"/>
      </w:tblGrid>
      <w:tr w14:paraId="02BA28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700" w:hRule="atLeast"/>
        </w:trPr>
        <w:tc>
          <w:tcPr>
            <w:tcW w:w="525" w:type="pct"/>
            <w:vAlign w:val="center"/>
          </w:tcPr>
          <w:p w14:paraId="0E74E871">
            <w:pPr>
              <w:adjustRightInd w:val="0"/>
              <w:snapToGrid w:val="0"/>
              <w:spacing w:line="5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764" w:type="pct"/>
            <w:vAlign w:val="center"/>
          </w:tcPr>
          <w:p w14:paraId="3605E98E">
            <w:pPr>
              <w:adjustRightInd w:val="0"/>
              <w:snapToGrid w:val="0"/>
              <w:spacing w:line="5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评审内容</w:t>
            </w:r>
          </w:p>
        </w:tc>
        <w:tc>
          <w:tcPr>
            <w:tcW w:w="442" w:type="pct"/>
            <w:vAlign w:val="center"/>
          </w:tcPr>
          <w:p w14:paraId="1BDDB066">
            <w:pPr>
              <w:adjustRightInd w:val="0"/>
              <w:snapToGrid w:val="0"/>
              <w:spacing w:line="5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分值</w:t>
            </w:r>
          </w:p>
        </w:tc>
        <w:tc>
          <w:tcPr>
            <w:tcW w:w="2339" w:type="pct"/>
            <w:vAlign w:val="center"/>
          </w:tcPr>
          <w:p w14:paraId="22C4FB4B">
            <w:pPr>
              <w:adjustRightInd w:val="0"/>
              <w:snapToGrid w:val="0"/>
              <w:spacing w:line="5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评分标准</w:t>
            </w:r>
          </w:p>
        </w:tc>
        <w:tc>
          <w:tcPr>
            <w:tcW w:w="928" w:type="pct"/>
            <w:vAlign w:val="center"/>
          </w:tcPr>
          <w:p w14:paraId="79E93599">
            <w:pPr>
              <w:adjustRightInd w:val="0"/>
              <w:snapToGrid w:val="0"/>
              <w:spacing w:line="5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得分</w:t>
            </w:r>
          </w:p>
        </w:tc>
      </w:tr>
      <w:tr w14:paraId="6DBEB3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1732" w:hRule="atLeast"/>
        </w:trPr>
        <w:tc>
          <w:tcPr>
            <w:tcW w:w="525" w:type="pct"/>
            <w:vAlign w:val="center"/>
          </w:tcPr>
          <w:p w14:paraId="3AA1D25A">
            <w:pPr>
              <w:adjustRightInd w:val="0"/>
              <w:snapToGrid w:val="0"/>
              <w:spacing w:line="5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764" w:type="pct"/>
            <w:vAlign w:val="center"/>
          </w:tcPr>
          <w:p w14:paraId="6D0F9D2A">
            <w:pPr>
              <w:adjustRightInd w:val="0"/>
              <w:snapToGrid w:val="0"/>
              <w:spacing w:line="5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企业综合实力</w:t>
            </w:r>
          </w:p>
        </w:tc>
        <w:tc>
          <w:tcPr>
            <w:tcW w:w="442" w:type="pct"/>
            <w:vAlign w:val="center"/>
          </w:tcPr>
          <w:p w14:paraId="0B0D3644">
            <w:pPr>
              <w:adjustRightInd w:val="0"/>
              <w:snapToGrid w:val="0"/>
              <w:spacing w:line="5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2339" w:type="pct"/>
            <w:vAlign w:val="center"/>
          </w:tcPr>
          <w:p w14:paraId="14E798A9">
            <w:pPr>
              <w:adjustRightInd w:val="0"/>
              <w:snapToGrid w:val="0"/>
              <w:spacing w:line="520" w:lineRule="exact"/>
              <w:ind w:firstLine="420" w:firstLineChars="200"/>
              <w:rPr>
                <w:rFonts w:ascii="宋体" w:hAnsi="宋体" w:cs="宋体"/>
                <w:kern w:val="0"/>
                <w:szCs w:val="21"/>
                <w:highlight w:val="none"/>
              </w:rPr>
            </w:pPr>
            <w:r>
              <w:rPr>
                <w:rFonts w:hint="eastAsia" w:ascii="宋体" w:hAnsi="宋体" w:cs="宋体"/>
                <w:kern w:val="0"/>
                <w:szCs w:val="21"/>
                <w:highlight w:val="none"/>
              </w:rPr>
              <w:t>投标人同时具有环境管理体系ISO14001、职业健康安全管理体系ISO45001、信息安全管理体系ISO27001、应用安全管理体系认证ISO27034、通用个人信息保护管理体系认证ISO29151、合规管理体系认证ISO37301、软件能力成熟度CMMI5、软件企业证书、ITSS信息技术服务标准-运行维护二级及以上证书、AAA级质量服务诚信单位共10项证书的，得10分；每少一项少扣1分，扣完为止。（提供有效的证书复印件加盖投标人公章，否则不得分）。</w:t>
            </w:r>
          </w:p>
          <w:p w14:paraId="13D84997">
            <w:pPr>
              <w:pStyle w:val="16"/>
              <w:rPr>
                <w:rFonts w:hAnsi="宋体" w:cs="宋体"/>
                <w:szCs w:val="21"/>
                <w:highlight w:val="none"/>
              </w:rPr>
            </w:pPr>
          </w:p>
        </w:tc>
        <w:tc>
          <w:tcPr>
            <w:tcW w:w="928" w:type="pct"/>
            <w:vAlign w:val="center"/>
          </w:tcPr>
          <w:p w14:paraId="6B8BD030">
            <w:pPr>
              <w:adjustRightInd w:val="0"/>
              <w:snapToGrid w:val="0"/>
              <w:spacing w:line="520" w:lineRule="exact"/>
              <w:jc w:val="center"/>
              <w:rPr>
                <w:rFonts w:ascii="宋体" w:hAnsi="宋体" w:cs="宋体"/>
                <w:color w:val="000000"/>
                <w:kern w:val="0"/>
                <w:szCs w:val="21"/>
                <w:highlight w:val="none"/>
              </w:rPr>
            </w:pPr>
          </w:p>
        </w:tc>
      </w:tr>
      <w:tr w14:paraId="622E39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1732" w:hRule="atLeast"/>
        </w:trPr>
        <w:tc>
          <w:tcPr>
            <w:tcW w:w="525" w:type="pct"/>
            <w:vAlign w:val="center"/>
          </w:tcPr>
          <w:p w14:paraId="47F27AF3">
            <w:pPr>
              <w:adjustRightInd w:val="0"/>
              <w:snapToGrid w:val="0"/>
              <w:spacing w:line="5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764" w:type="pct"/>
            <w:vAlign w:val="center"/>
          </w:tcPr>
          <w:p w14:paraId="3C63A999">
            <w:pPr>
              <w:adjustRightInd w:val="0"/>
              <w:snapToGrid w:val="0"/>
              <w:spacing w:line="5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企业类似业绩</w:t>
            </w:r>
          </w:p>
          <w:p w14:paraId="566E2CF2">
            <w:pPr>
              <w:adjustRightInd w:val="0"/>
              <w:snapToGrid w:val="0"/>
              <w:spacing w:line="520" w:lineRule="exact"/>
              <w:jc w:val="center"/>
              <w:rPr>
                <w:rFonts w:ascii="宋体" w:hAnsi="宋体" w:cs="宋体"/>
                <w:color w:val="000000"/>
                <w:kern w:val="0"/>
                <w:szCs w:val="21"/>
                <w:highlight w:val="none"/>
              </w:rPr>
            </w:pPr>
          </w:p>
        </w:tc>
        <w:tc>
          <w:tcPr>
            <w:tcW w:w="442" w:type="pct"/>
            <w:vAlign w:val="center"/>
          </w:tcPr>
          <w:p w14:paraId="5BBF1C00">
            <w:pPr>
              <w:adjustRightInd w:val="0"/>
              <w:snapToGrid w:val="0"/>
              <w:spacing w:line="5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2339" w:type="pct"/>
            <w:vAlign w:val="center"/>
          </w:tcPr>
          <w:p w14:paraId="4DA20EE8">
            <w:pPr>
              <w:adjustRightInd w:val="0"/>
              <w:snapToGrid w:val="0"/>
              <w:spacing w:line="520" w:lineRule="exact"/>
              <w:ind w:firstLine="420" w:firstLineChars="200"/>
              <w:rPr>
                <w:rFonts w:ascii="宋体" w:hAnsi="宋体" w:cs="宋体"/>
                <w:kern w:val="0"/>
                <w:szCs w:val="21"/>
                <w:highlight w:val="none"/>
              </w:rPr>
            </w:pPr>
            <w:r>
              <w:rPr>
                <w:rFonts w:hint="eastAsia" w:ascii="宋体" w:hAnsi="宋体" w:cs="宋体"/>
                <w:color w:val="000000"/>
                <w:kern w:val="0"/>
                <w:szCs w:val="21"/>
                <w:highlight w:val="none"/>
              </w:rPr>
              <w:t>近三年（2022年1月1日至今）签订类似项目业绩，类似项目是指在中华人民共和国境内（不含香港、澳门及台湾地区）集团型企业会员相关咨询服务项目，</w:t>
            </w:r>
            <w:r>
              <w:rPr>
                <w:rFonts w:hint="eastAsia" w:ascii="宋体" w:hAnsi="宋体" w:cs="宋体"/>
                <w:kern w:val="0"/>
                <w:szCs w:val="21"/>
                <w:highlight w:val="none"/>
              </w:rPr>
              <w:t>且单个项目金额≥30万。</w:t>
            </w:r>
          </w:p>
          <w:p w14:paraId="5D22AB21">
            <w:pPr>
              <w:adjustRightInd w:val="0"/>
              <w:snapToGrid w:val="0"/>
              <w:spacing w:line="520" w:lineRule="exact"/>
              <w:ind w:firstLine="420" w:firstLineChars="200"/>
              <w:rPr>
                <w:rFonts w:ascii="宋体" w:hAnsi="宋体" w:cs="宋体"/>
                <w:color w:val="000000"/>
                <w:kern w:val="0"/>
                <w:szCs w:val="21"/>
                <w:highlight w:val="none"/>
              </w:rPr>
            </w:pPr>
            <w:r>
              <w:rPr>
                <w:rFonts w:hint="eastAsia" w:ascii="宋体" w:hAnsi="宋体" w:cs="宋体"/>
                <w:kern w:val="0"/>
                <w:szCs w:val="21"/>
                <w:highlight w:val="none"/>
              </w:rPr>
              <w:t>签订过1个</w:t>
            </w:r>
            <w:r>
              <w:rPr>
                <w:rFonts w:hint="eastAsia" w:ascii="宋体" w:hAnsi="宋体" w:cs="宋体"/>
                <w:color w:val="000000"/>
                <w:kern w:val="0"/>
                <w:szCs w:val="21"/>
                <w:highlight w:val="none"/>
              </w:rPr>
              <w:t>得4分；每多加一个加2分，本项最高得分10分。（提供合同复印件并加盖单位公章，合同需体现合同金额、工作内容、乙方单位名称等，保密条款可隐藏。）</w:t>
            </w:r>
          </w:p>
        </w:tc>
        <w:tc>
          <w:tcPr>
            <w:tcW w:w="928" w:type="pct"/>
            <w:vAlign w:val="center"/>
          </w:tcPr>
          <w:p w14:paraId="160BEA75">
            <w:pPr>
              <w:adjustRightInd w:val="0"/>
              <w:snapToGrid w:val="0"/>
              <w:spacing w:line="520" w:lineRule="exact"/>
              <w:jc w:val="center"/>
              <w:rPr>
                <w:rFonts w:ascii="宋体" w:hAnsi="宋体" w:cs="宋体"/>
                <w:color w:val="000000"/>
                <w:kern w:val="0"/>
                <w:szCs w:val="21"/>
                <w:highlight w:val="none"/>
              </w:rPr>
            </w:pPr>
          </w:p>
        </w:tc>
      </w:tr>
      <w:tr w14:paraId="5720DA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90" w:hRule="atLeast"/>
        </w:trPr>
        <w:tc>
          <w:tcPr>
            <w:tcW w:w="525" w:type="pct"/>
            <w:vAlign w:val="center"/>
          </w:tcPr>
          <w:p w14:paraId="225A5FE0">
            <w:pPr>
              <w:adjustRightInd w:val="0"/>
              <w:snapToGrid w:val="0"/>
              <w:spacing w:line="5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764" w:type="pct"/>
            <w:vAlign w:val="center"/>
          </w:tcPr>
          <w:p w14:paraId="001CE0BB">
            <w:pPr>
              <w:adjustRightInd w:val="0"/>
              <w:snapToGrid w:val="0"/>
              <w:spacing w:line="5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项目团队能力</w:t>
            </w:r>
          </w:p>
          <w:p w14:paraId="6EE61CEE">
            <w:pPr>
              <w:adjustRightInd w:val="0"/>
              <w:snapToGrid w:val="0"/>
              <w:spacing w:line="520" w:lineRule="exact"/>
              <w:jc w:val="center"/>
              <w:rPr>
                <w:rFonts w:ascii="宋体" w:hAnsi="宋体" w:cs="宋体"/>
                <w:color w:val="000000"/>
                <w:kern w:val="0"/>
                <w:szCs w:val="21"/>
                <w:highlight w:val="none"/>
              </w:rPr>
            </w:pPr>
          </w:p>
        </w:tc>
        <w:tc>
          <w:tcPr>
            <w:tcW w:w="442" w:type="pct"/>
            <w:vAlign w:val="center"/>
          </w:tcPr>
          <w:p w14:paraId="0CF0BCBE">
            <w:pPr>
              <w:adjustRightInd w:val="0"/>
              <w:snapToGrid w:val="0"/>
              <w:spacing w:line="5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p w14:paraId="0A8584A4">
            <w:pPr>
              <w:adjustRightInd w:val="0"/>
              <w:snapToGrid w:val="0"/>
              <w:spacing w:line="520" w:lineRule="exact"/>
              <w:jc w:val="center"/>
              <w:rPr>
                <w:rFonts w:ascii="宋体" w:hAnsi="宋体" w:cs="宋体"/>
                <w:color w:val="000000"/>
                <w:kern w:val="0"/>
                <w:szCs w:val="21"/>
                <w:highlight w:val="none"/>
              </w:rPr>
            </w:pPr>
          </w:p>
        </w:tc>
        <w:tc>
          <w:tcPr>
            <w:tcW w:w="2339" w:type="pct"/>
            <w:vAlign w:val="center"/>
          </w:tcPr>
          <w:p w14:paraId="3F3E4339">
            <w:pPr>
              <w:rPr>
                <w:rFonts w:ascii="宋体" w:hAnsi="宋体" w:cs="宋体"/>
                <w:szCs w:val="21"/>
                <w:highlight w:val="none"/>
              </w:rPr>
            </w:pPr>
            <w:r>
              <w:rPr>
                <w:rFonts w:hint="eastAsia" w:ascii="宋体" w:hAnsi="宋体" w:cs="宋体"/>
                <w:szCs w:val="21"/>
                <w:highlight w:val="none"/>
              </w:rPr>
              <w:t>1. 项目负责人：具有人力资源和社会保障部门颁发的高级信息系统项目管理师或者PMP证书，得5分，否则不得分。</w:t>
            </w:r>
          </w:p>
          <w:p w14:paraId="52A5ABA9">
            <w:pPr>
              <w:adjustRightInd w:val="0"/>
              <w:snapToGrid w:val="0"/>
              <w:spacing w:line="520" w:lineRule="exact"/>
              <w:rPr>
                <w:rFonts w:ascii="宋体" w:hAnsi="宋体" w:cs="宋体"/>
                <w:szCs w:val="21"/>
                <w:highlight w:val="none"/>
              </w:rPr>
            </w:pPr>
            <w:r>
              <w:rPr>
                <w:rFonts w:hint="eastAsia" w:ascii="宋体" w:hAnsi="宋体" w:cs="宋体"/>
                <w:szCs w:val="21"/>
                <w:highlight w:val="none"/>
              </w:rPr>
              <w:t>2. 团队成员：团队成员中应具有信息系统项目管理师证书、PMP证书、系统架构设计师、软件设计师证书、</w:t>
            </w:r>
            <w:r>
              <w:rPr>
                <w:highlight w:val="none"/>
              </w:rPr>
              <w:fldChar w:fldCharType="begin"/>
            </w:r>
            <w:r>
              <w:rPr>
                <w:highlight w:val="none"/>
              </w:rPr>
              <w:instrText xml:space="preserve"> HYPERLINK "https://baike.baidu.com/item/%E4%BF%A1%E6%81%AF%E5%AE%89%E5%85%A8%E4%BF%9D%E9%9A%9C/0?fromModule=lemma_inlink" \t "_blank" </w:instrText>
            </w:r>
            <w:r>
              <w:rPr>
                <w:highlight w:val="none"/>
              </w:rPr>
              <w:fldChar w:fldCharType="separate"/>
            </w:r>
            <w:r>
              <w:rPr>
                <w:rFonts w:hint="eastAsia" w:ascii="宋体" w:hAnsi="宋体" w:cs="宋体"/>
                <w:szCs w:val="21"/>
                <w:highlight w:val="none"/>
              </w:rPr>
              <w:t>信息安全保障</w:t>
            </w:r>
            <w:r>
              <w:rPr>
                <w:rFonts w:hint="eastAsia" w:ascii="宋体" w:hAnsi="宋体" w:cs="宋体"/>
                <w:szCs w:val="21"/>
                <w:highlight w:val="none"/>
              </w:rPr>
              <w:fldChar w:fldCharType="end"/>
            </w:r>
            <w:r>
              <w:rPr>
                <w:rFonts w:hint="eastAsia" w:ascii="宋体" w:hAnsi="宋体" w:cs="宋体"/>
                <w:szCs w:val="21"/>
                <w:highlight w:val="none"/>
              </w:rPr>
              <w:t xml:space="preserve">人员认证（CISAW），满足以上两项得5分，满足一项得3分，否则不得分。 </w:t>
            </w:r>
          </w:p>
          <w:p w14:paraId="38B756F3">
            <w:pPr>
              <w:adjustRightInd w:val="0"/>
              <w:snapToGrid w:val="0"/>
              <w:spacing w:line="520" w:lineRule="exact"/>
              <w:rPr>
                <w:rFonts w:ascii="宋体" w:hAnsi="宋体" w:cs="宋体"/>
                <w:szCs w:val="21"/>
                <w:highlight w:val="none"/>
              </w:rPr>
            </w:pPr>
            <w:r>
              <w:rPr>
                <w:rFonts w:hint="eastAsia" w:ascii="宋体" w:hAnsi="宋体" w:cs="宋体"/>
                <w:szCs w:val="21"/>
                <w:highlight w:val="none"/>
              </w:rPr>
              <w:t>注：须提供相关证明材料复印件并加盖投标人公章，证明材料至少包括资格或职称证书、毕业证书及投标人为其本人在递交投标文件截止之日前3个月内任意一个月缴纳社会保险的凭证，否则不得分。</w:t>
            </w:r>
          </w:p>
        </w:tc>
        <w:tc>
          <w:tcPr>
            <w:tcW w:w="928" w:type="pct"/>
            <w:vAlign w:val="center"/>
          </w:tcPr>
          <w:p w14:paraId="6C8F78F9">
            <w:pPr>
              <w:pStyle w:val="32"/>
              <w:ind w:firstLine="412"/>
              <w:jc w:val="center"/>
              <w:rPr>
                <w:rFonts w:ascii="宋体" w:hAnsi="宋体" w:cs="宋体"/>
                <w:sz w:val="21"/>
                <w:szCs w:val="21"/>
                <w:highlight w:val="none"/>
              </w:rPr>
            </w:pPr>
          </w:p>
        </w:tc>
      </w:tr>
      <w:tr w14:paraId="2A7D3B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1395" w:hRule="atLeast"/>
        </w:trPr>
        <w:tc>
          <w:tcPr>
            <w:tcW w:w="525" w:type="pct"/>
            <w:vAlign w:val="center"/>
          </w:tcPr>
          <w:p w14:paraId="226565C5">
            <w:pPr>
              <w:adjustRightInd w:val="0"/>
              <w:snapToGrid w:val="0"/>
              <w:spacing w:line="5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764" w:type="pct"/>
            <w:vAlign w:val="center"/>
          </w:tcPr>
          <w:p w14:paraId="26FDFD73">
            <w:pPr>
              <w:adjustRightInd w:val="0"/>
              <w:snapToGrid w:val="0"/>
              <w:spacing w:line="5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对背景理解</w:t>
            </w:r>
          </w:p>
        </w:tc>
        <w:tc>
          <w:tcPr>
            <w:tcW w:w="442" w:type="pct"/>
            <w:vAlign w:val="center"/>
          </w:tcPr>
          <w:p w14:paraId="78F0F82B">
            <w:pPr>
              <w:adjustRightInd w:val="0"/>
              <w:snapToGrid w:val="0"/>
              <w:spacing w:line="5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2339" w:type="pct"/>
            <w:vAlign w:val="center"/>
          </w:tcPr>
          <w:p w14:paraId="4F6D9031">
            <w:pPr>
              <w:adjustRightInd w:val="0"/>
              <w:snapToGrid w:val="0"/>
              <w:spacing w:line="520" w:lineRule="exact"/>
              <w:rPr>
                <w:rFonts w:ascii="宋体" w:hAnsi="宋体" w:cs="宋体"/>
                <w:kern w:val="0"/>
                <w:szCs w:val="21"/>
                <w:highlight w:val="none"/>
              </w:rPr>
            </w:pPr>
            <w:r>
              <w:rPr>
                <w:rFonts w:hint="eastAsia" w:ascii="宋体" w:hAnsi="宋体" w:cs="宋体"/>
                <w:kern w:val="0"/>
                <w:szCs w:val="21"/>
                <w:highlight w:val="none"/>
              </w:rPr>
              <w:t>1、8分＜优秀≤10分：对项目背景理解充分、透彻。</w:t>
            </w:r>
          </w:p>
          <w:p w14:paraId="39418A55">
            <w:pPr>
              <w:adjustRightInd w:val="0"/>
              <w:snapToGrid w:val="0"/>
              <w:spacing w:line="520" w:lineRule="exact"/>
              <w:rPr>
                <w:rFonts w:ascii="宋体" w:hAnsi="宋体" w:cs="宋体"/>
                <w:kern w:val="0"/>
                <w:szCs w:val="21"/>
                <w:highlight w:val="none"/>
              </w:rPr>
            </w:pPr>
            <w:r>
              <w:rPr>
                <w:rFonts w:hint="eastAsia" w:ascii="宋体" w:hAnsi="宋体" w:cs="宋体"/>
                <w:kern w:val="0"/>
                <w:szCs w:val="21"/>
                <w:highlight w:val="none"/>
              </w:rPr>
              <w:t>2、5分＜良好≤8分：对项目背景理解比较充分、透彻。</w:t>
            </w:r>
          </w:p>
          <w:p w14:paraId="2264B340">
            <w:pPr>
              <w:adjustRightInd w:val="0"/>
              <w:snapToGrid w:val="0"/>
              <w:spacing w:line="520" w:lineRule="exact"/>
              <w:rPr>
                <w:rFonts w:ascii="宋体" w:hAnsi="宋体" w:cs="宋体"/>
                <w:kern w:val="0"/>
                <w:szCs w:val="21"/>
                <w:highlight w:val="none"/>
              </w:rPr>
            </w:pPr>
            <w:r>
              <w:rPr>
                <w:rFonts w:hint="eastAsia" w:ascii="宋体" w:hAnsi="宋体" w:cs="宋体"/>
                <w:kern w:val="0"/>
                <w:szCs w:val="21"/>
                <w:highlight w:val="none"/>
              </w:rPr>
              <w:t>3、0分＜一般≤5分：对项目背景理解一般、存在一定偏差。</w:t>
            </w:r>
          </w:p>
        </w:tc>
        <w:tc>
          <w:tcPr>
            <w:tcW w:w="928" w:type="pct"/>
            <w:vAlign w:val="center"/>
          </w:tcPr>
          <w:p w14:paraId="0C3D65F6">
            <w:pPr>
              <w:adjustRightInd w:val="0"/>
              <w:snapToGrid w:val="0"/>
              <w:spacing w:line="520" w:lineRule="exact"/>
              <w:jc w:val="center"/>
              <w:rPr>
                <w:rFonts w:ascii="宋体" w:hAnsi="宋体" w:cs="宋体"/>
                <w:kern w:val="0"/>
                <w:szCs w:val="21"/>
                <w:highlight w:val="none"/>
              </w:rPr>
            </w:pPr>
          </w:p>
        </w:tc>
      </w:tr>
      <w:tr w14:paraId="1AE554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47" w:hRule="atLeast"/>
        </w:trPr>
        <w:tc>
          <w:tcPr>
            <w:tcW w:w="525" w:type="pct"/>
            <w:vAlign w:val="center"/>
          </w:tcPr>
          <w:p w14:paraId="2159B865">
            <w:pPr>
              <w:adjustRightInd w:val="0"/>
              <w:snapToGrid w:val="0"/>
              <w:spacing w:line="5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5</w:t>
            </w:r>
          </w:p>
        </w:tc>
        <w:tc>
          <w:tcPr>
            <w:tcW w:w="764" w:type="pct"/>
            <w:vAlign w:val="center"/>
          </w:tcPr>
          <w:p w14:paraId="0A03BAFC">
            <w:pPr>
              <w:adjustRightInd w:val="0"/>
              <w:snapToGrid w:val="0"/>
              <w:spacing w:line="520" w:lineRule="exact"/>
              <w:jc w:val="center"/>
              <w:rPr>
                <w:rFonts w:ascii="宋体" w:hAnsi="宋体" w:cs="宋体"/>
                <w:color w:val="000000"/>
                <w:kern w:val="0"/>
                <w:szCs w:val="21"/>
                <w:highlight w:val="none"/>
              </w:rPr>
            </w:pPr>
            <w:r>
              <w:rPr>
                <w:rFonts w:hint="eastAsia" w:ascii="宋体" w:hAnsi="宋体" w:cs="宋体"/>
                <w:color w:val="000000"/>
                <w:szCs w:val="21"/>
                <w:highlight w:val="none"/>
              </w:rPr>
              <w:t>项目编制思路和方案</w:t>
            </w:r>
          </w:p>
        </w:tc>
        <w:tc>
          <w:tcPr>
            <w:tcW w:w="442" w:type="pct"/>
            <w:vAlign w:val="center"/>
          </w:tcPr>
          <w:p w14:paraId="4C29032E">
            <w:pPr>
              <w:adjustRightInd w:val="0"/>
              <w:snapToGrid w:val="0"/>
              <w:spacing w:line="5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20</w:t>
            </w:r>
          </w:p>
        </w:tc>
        <w:tc>
          <w:tcPr>
            <w:tcW w:w="2339" w:type="pct"/>
            <w:vAlign w:val="center"/>
          </w:tcPr>
          <w:p w14:paraId="5C6BC6F0">
            <w:pPr>
              <w:adjustRightInd w:val="0"/>
              <w:snapToGrid w:val="0"/>
              <w:spacing w:line="520" w:lineRule="exact"/>
              <w:rPr>
                <w:rFonts w:ascii="宋体" w:hAnsi="宋体" w:cs="宋体"/>
                <w:color w:val="000000"/>
                <w:kern w:val="0"/>
                <w:szCs w:val="21"/>
                <w:highlight w:val="none"/>
              </w:rPr>
            </w:pPr>
            <w:r>
              <w:rPr>
                <w:rFonts w:hint="eastAsia" w:ascii="宋体" w:hAnsi="宋体" w:cs="宋体"/>
                <w:color w:val="000000"/>
                <w:kern w:val="0"/>
                <w:szCs w:val="21"/>
                <w:highlight w:val="none"/>
              </w:rPr>
              <w:t>1、15分＜优秀≤20分：项目编制思路领先、清晰明确，技术方案设计全面细致，实施方案合理实用、可行性高。</w:t>
            </w:r>
          </w:p>
          <w:p w14:paraId="2DBBCD1D">
            <w:pPr>
              <w:adjustRightInd w:val="0"/>
              <w:snapToGrid w:val="0"/>
              <w:spacing w:line="520" w:lineRule="exact"/>
              <w:rPr>
                <w:rFonts w:ascii="宋体" w:hAnsi="宋体" w:cs="宋体"/>
                <w:color w:val="000000"/>
                <w:kern w:val="0"/>
                <w:szCs w:val="21"/>
                <w:highlight w:val="none"/>
              </w:rPr>
            </w:pPr>
            <w:r>
              <w:rPr>
                <w:rFonts w:hint="eastAsia" w:ascii="宋体" w:hAnsi="宋体" w:cs="宋体"/>
                <w:color w:val="000000"/>
                <w:kern w:val="0"/>
                <w:szCs w:val="21"/>
                <w:highlight w:val="none"/>
              </w:rPr>
              <w:t>2、8分＜良好≤15分：项目编制思路合理、明确，技术方案设计普通，实施方案可行性普通。</w:t>
            </w:r>
          </w:p>
          <w:p w14:paraId="18B8A8E7">
            <w:pPr>
              <w:adjustRightInd w:val="0"/>
              <w:snapToGrid w:val="0"/>
              <w:spacing w:line="520" w:lineRule="exact"/>
              <w:rPr>
                <w:rFonts w:ascii="宋体" w:hAnsi="宋体" w:cs="宋体"/>
                <w:color w:val="000000"/>
                <w:szCs w:val="21"/>
                <w:highlight w:val="none"/>
              </w:rPr>
            </w:pPr>
            <w:r>
              <w:rPr>
                <w:rFonts w:hint="eastAsia" w:ascii="宋体" w:hAnsi="宋体" w:cs="宋体"/>
                <w:color w:val="000000"/>
                <w:kern w:val="0"/>
                <w:szCs w:val="21"/>
                <w:highlight w:val="none"/>
              </w:rPr>
              <w:t>3、0分＜一般≤8分：项目编制思路一般，技术方案设计存在遗漏，实施方案实用可行性不够完善。</w:t>
            </w:r>
          </w:p>
        </w:tc>
        <w:tc>
          <w:tcPr>
            <w:tcW w:w="928" w:type="pct"/>
            <w:vAlign w:val="center"/>
          </w:tcPr>
          <w:p w14:paraId="7F3477D0">
            <w:pPr>
              <w:adjustRightInd w:val="0"/>
              <w:snapToGrid w:val="0"/>
              <w:spacing w:line="520" w:lineRule="exact"/>
              <w:jc w:val="center"/>
              <w:rPr>
                <w:rFonts w:ascii="宋体" w:hAnsi="宋体" w:cs="宋体"/>
                <w:color w:val="000000"/>
                <w:kern w:val="0"/>
                <w:szCs w:val="21"/>
                <w:highlight w:val="none"/>
              </w:rPr>
            </w:pPr>
          </w:p>
        </w:tc>
      </w:tr>
      <w:tr w14:paraId="2F3BC1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3050" w:hRule="atLeast"/>
        </w:trPr>
        <w:tc>
          <w:tcPr>
            <w:tcW w:w="525" w:type="pct"/>
            <w:tcBorders>
              <w:bottom w:val="single" w:color="auto" w:sz="4" w:space="0"/>
            </w:tcBorders>
            <w:vAlign w:val="center"/>
          </w:tcPr>
          <w:p w14:paraId="6AF53DC8">
            <w:pPr>
              <w:adjustRightInd w:val="0"/>
              <w:snapToGrid w:val="0"/>
              <w:spacing w:line="520" w:lineRule="exact"/>
              <w:jc w:val="center"/>
              <w:rPr>
                <w:rFonts w:ascii="宋体" w:hAnsi="宋体" w:cs="宋体"/>
                <w:color w:val="000000"/>
                <w:kern w:val="0"/>
                <w:szCs w:val="21"/>
                <w:highlight w:val="none"/>
              </w:rPr>
            </w:pPr>
            <w:bookmarkStart w:id="306" w:name="OLE_LINK6" w:colFirst="1" w:colLast="1"/>
            <w:r>
              <w:rPr>
                <w:rFonts w:hint="eastAsia" w:ascii="宋体" w:hAnsi="宋体" w:cs="宋体"/>
                <w:color w:val="000000"/>
                <w:kern w:val="0"/>
                <w:szCs w:val="21"/>
                <w:highlight w:val="none"/>
              </w:rPr>
              <w:t>6</w:t>
            </w:r>
          </w:p>
        </w:tc>
        <w:tc>
          <w:tcPr>
            <w:tcW w:w="764" w:type="pct"/>
            <w:tcBorders>
              <w:bottom w:val="single" w:color="auto" w:sz="4" w:space="0"/>
            </w:tcBorders>
            <w:vAlign w:val="center"/>
          </w:tcPr>
          <w:p w14:paraId="5D5014E5">
            <w:pPr>
              <w:adjustRightInd w:val="0"/>
              <w:snapToGrid w:val="0"/>
              <w:spacing w:line="520" w:lineRule="exact"/>
              <w:jc w:val="center"/>
              <w:rPr>
                <w:rFonts w:ascii="宋体" w:hAnsi="宋体" w:cs="宋体"/>
                <w:color w:val="000000"/>
                <w:kern w:val="0"/>
                <w:szCs w:val="21"/>
                <w:highlight w:val="none"/>
              </w:rPr>
            </w:pPr>
            <w:bookmarkStart w:id="307" w:name="OLE_LINK5"/>
            <w:r>
              <w:rPr>
                <w:rFonts w:hint="eastAsia" w:ascii="宋体" w:hAnsi="宋体" w:cs="宋体"/>
                <w:color w:val="000000"/>
                <w:kern w:val="0"/>
                <w:szCs w:val="21"/>
                <w:highlight w:val="none"/>
              </w:rPr>
              <w:t>项目进度</w:t>
            </w:r>
            <w:bookmarkEnd w:id="307"/>
            <w:r>
              <w:rPr>
                <w:rFonts w:hint="eastAsia" w:ascii="宋体" w:hAnsi="宋体" w:cs="宋体"/>
                <w:color w:val="000000"/>
                <w:kern w:val="0"/>
                <w:szCs w:val="21"/>
                <w:highlight w:val="none"/>
              </w:rPr>
              <w:t>（满足用户需求书）</w:t>
            </w:r>
          </w:p>
        </w:tc>
        <w:tc>
          <w:tcPr>
            <w:tcW w:w="442" w:type="pct"/>
            <w:tcBorders>
              <w:bottom w:val="single" w:color="auto" w:sz="4" w:space="0"/>
            </w:tcBorders>
            <w:vAlign w:val="center"/>
          </w:tcPr>
          <w:p w14:paraId="643E7D1D">
            <w:pPr>
              <w:adjustRightInd w:val="0"/>
              <w:snapToGrid w:val="0"/>
              <w:spacing w:line="5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2339" w:type="pct"/>
            <w:tcBorders>
              <w:bottom w:val="single" w:color="auto" w:sz="4" w:space="0"/>
            </w:tcBorders>
            <w:vAlign w:val="center"/>
          </w:tcPr>
          <w:p w14:paraId="4C52BF44">
            <w:pPr>
              <w:adjustRightInd w:val="0"/>
              <w:snapToGrid w:val="0"/>
              <w:spacing w:line="520" w:lineRule="exact"/>
              <w:rPr>
                <w:rFonts w:ascii="宋体" w:hAnsi="宋体" w:cs="宋体"/>
                <w:kern w:val="0"/>
                <w:szCs w:val="21"/>
                <w:highlight w:val="none"/>
              </w:rPr>
            </w:pPr>
            <w:r>
              <w:rPr>
                <w:rFonts w:hint="eastAsia" w:ascii="宋体" w:hAnsi="宋体" w:cs="宋体"/>
                <w:kern w:val="0"/>
                <w:szCs w:val="21"/>
                <w:highlight w:val="none"/>
              </w:rPr>
              <w:t>1、8分＜优秀≤10分：提交的计划能最大限度的满足时间上的要求。</w:t>
            </w:r>
          </w:p>
          <w:p w14:paraId="1D80659A">
            <w:pPr>
              <w:adjustRightInd w:val="0"/>
              <w:snapToGrid w:val="0"/>
              <w:spacing w:line="520" w:lineRule="exact"/>
              <w:rPr>
                <w:rFonts w:ascii="宋体" w:hAnsi="宋体" w:cs="宋体"/>
                <w:kern w:val="0"/>
                <w:szCs w:val="21"/>
                <w:highlight w:val="none"/>
              </w:rPr>
            </w:pPr>
            <w:r>
              <w:rPr>
                <w:rFonts w:hint="eastAsia" w:ascii="宋体" w:hAnsi="宋体" w:cs="宋体"/>
                <w:kern w:val="0"/>
                <w:szCs w:val="21"/>
                <w:highlight w:val="none"/>
              </w:rPr>
              <w:t>2、5分＜良好 ≤8分：提交的计划能满足时间上的要求。</w:t>
            </w:r>
          </w:p>
          <w:p w14:paraId="61C68CE0">
            <w:pPr>
              <w:adjustRightInd w:val="0"/>
              <w:snapToGrid w:val="0"/>
              <w:spacing w:line="520" w:lineRule="exact"/>
              <w:rPr>
                <w:rFonts w:ascii="宋体" w:hAnsi="宋体" w:cs="宋体"/>
                <w:color w:val="000000"/>
                <w:kern w:val="0"/>
                <w:szCs w:val="21"/>
                <w:highlight w:val="none"/>
              </w:rPr>
            </w:pPr>
            <w:r>
              <w:rPr>
                <w:rFonts w:hint="eastAsia" w:ascii="宋体" w:hAnsi="宋体" w:cs="宋体"/>
                <w:kern w:val="0"/>
                <w:szCs w:val="21"/>
                <w:highlight w:val="none"/>
              </w:rPr>
              <w:t>3、0分＜一般≤5分：提交的计划能部分满足时间上的要求</w:t>
            </w:r>
            <w:r>
              <w:rPr>
                <w:rFonts w:hint="eastAsia" w:ascii="宋体" w:hAnsi="宋体" w:cs="宋体"/>
                <w:color w:val="000000"/>
                <w:kern w:val="0"/>
                <w:szCs w:val="21"/>
                <w:highlight w:val="none"/>
              </w:rPr>
              <w:t>。</w:t>
            </w:r>
          </w:p>
        </w:tc>
        <w:tc>
          <w:tcPr>
            <w:tcW w:w="928" w:type="pct"/>
            <w:tcBorders>
              <w:bottom w:val="single" w:color="auto" w:sz="4" w:space="0"/>
            </w:tcBorders>
            <w:vAlign w:val="center"/>
          </w:tcPr>
          <w:p w14:paraId="1917559A">
            <w:pPr>
              <w:adjustRightInd w:val="0"/>
              <w:snapToGrid w:val="0"/>
              <w:spacing w:line="520" w:lineRule="exact"/>
              <w:jc w:val="center"/>
              <w:rPr>
                <w:rFonts w:ascii="宋体" w:hAnsi="宋体" w:cs="宋体"/>
                <w:kern w:val="0"/>
                <w:szCs w:val="21"/>
                <w:highlight w:val="none"/>
              </w:rPr>
            </w:pPr>
          </w:p>
        </w:tc>
      </w:tr>
      <w:tr w14:paraId="5D3B1D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3050" w:hRule="atLeast"/>
        </w:trPr>
        <w:tc>
          <w:tcPr>
            <w:tcW w:w="525" w:type="pct"/>
            <w:tcBorders>
              <w:bottom w:val="single" w:color="auto" w:sz="4" w:space="0"/>
            </w:tcBorders>
            <w:vAlign w:val="center"/>
          </w:tcPr>
          <w:p w14:paraId="22877D11">
            <w:pPr>
              <w:adjustRightInd w:val="0"/>
              <w:snapToGrid w:val="0"/>
              <w:spacing w:line="5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7</w:t>
            </w:r>
          </w:p>
        </w:tc>
        <w:tc>
          <w:tcPr>
            <w:tcW w:w="764" w:type="pct"/>
            <w:tcBorders>
              <w:bottom w:val="single" w:color="auto" w:sz="4" w:space="0"/>
            </w:tcBorders>
            <w:vAlign w:val="center"/>
          </w:tcPr>
          <w:p w14:paraId="42D5BE9B">
            <w:pPr>
              <w:adjustRightInd w:val="0"/>
              <w:snapToGrid w:val="0"/>
              <w:spacing w:line="520" w:lineRule="exact"/>
              <w:jc w:val="center"/>
              <w:rPr>
                <w:rFonts w:ascii="宋体" w:hAnsi="宋体" w:cs="宋体"/>
                <w:color w:val="000000"/>
                <w:kern w:val="0"/>
                <w:szCs w:val="21"/>
                <w:highlight w:val="none"/>
              </w:rPr>
            </w:pPr>
            <w:r>
              <w:rPr>
                <w:rFonts w:hint="eastAsia" w:ascii="宋体" w:hAnsi="宋体" w:cs="宋体"/>
                <w:szCs w:val="21"/>
                <w:highlight w:val="none"/>
              </w:rPr>
              <w:t>质量保证和管理措施</w:t>
            </w:r>
            <w:r>
              <w:rPr>
                <w:rFonts w:hint="eastAsia" w:ascii="宋体" w:hAnsi="宋体" w:cs="宋体"/>
                <w:color w:val="000000"/>
                <w:kern w:val="0"/>
                <w:szCs w:val="21"/>
                <w:highlight w:val="none"/>
              </w:rPr>
              <w:t>（满足用户需求书）</w:t>
            </w:r>
          </w:p>
        </w:tc>
        <w:tc>
          <w:tcPr>
            <w:tcW w:w="442" w:type="pct"/>
            <w:tcBorders>
              <w:bottom w:val="single" w:color="auto" w:sz="4" w:space="0"/>
            </w:tcBorders>
            <w:vAlign w:val="center"/>
          </w:tcPr>
          <w:p w14:paraId="1CFE1A73">
            <w:pPr>
              <w:adjustRightInd w:val="0"/>
              <w:snapToGrid w:val="0"/>
              <w:spacing w:line="5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5</w:t>
            </w:r>
          </w:p>
        </w:tc>
        <w:tc>
          <w:tcPr>
            <w:tcW w:w="2339" w:type="pct"/>
            <w:tcBorders>
              <w:bottom w:val="single" w:color="auto" w:sz="4" w:space="0"/>
            </w:tcBorders>
            <w:vAlign w:val="center"/>
          </w:tcPr>
          <w:p w14:paraId="5B4974F5">
            <w:pPr>
              <w:adjustRightInd w:val="0"/>
              <w:snapToGrid w:val="0"/>
              <w:spacing w:line="520" w:lineRule="exact"/>
              <w:rPr>
                <w:rFonts w:ascii="宋体" w:hAnsi="宋体" w:cs="宋体"/>
                <w:color w:val="000000"/>
                <w:kern w:val="0"/>
                <w:szCs w:val="21"/>
                <w:highlight w:val="none"/>
              </w:rPr>
            </w:pPr>
            <w:r>
              <w:rPr>
                <w:rFonts w:hint="eastAsia" w:ascii="宋体" w:hAnsi="宋体" w:cs="宋体"/>
                <w:color w:val="000000"/>
                <w:kern w:val="0"/>
                <w:szCs w:val="21"/>
                <w:highlight w:val="none"/>
              </w:rPr>
              <w:t>1、4分＜优秀≤5分：</w:t>
            </w:r>
            <w:r>
              <w:rPr>
                <w:rFonts w:hint="eastAsia" w:ascii="宋体" w:hAnsi="宋体" w:cs="宋体"/>
                <w:kern w:val="0"/>
                <w:szCs w:val="21"/>
                <w:highlight w:val="none"/>
              </w:rPr>
              <w:t>针对本项目特点提出的质量保证措施</w:t>
            </w:r>
            <w:r>
              <w:rPr>
                <w:rFonts w:hint="eastAsia" w:ascii="宋体" w:hAnsi="宋体" w:cs="宋体"/>
                <w:szCs w:val="21"/>
                <w:highlight w:val="none"/>
              </w:rPr>
              <w:t>详细、有针对性、可行性强</w:t>
            </w:r>
            <w:r>
              <w:rPr>
                <w:rFonts w:hint="eastAsia" w:ascii="宋体" w:hAnsi="宋体" w:cs="宋体"/>
                <w:color w:val="000000"/>
                <w:kern w:val="0"/>
                <w:szCs w:val="21"/>
                <w:highlight w:val="none"/>
              </w:rPr>
              <w:t>。</w:t>
            </w:r>
          </w:p>
          <w:p w14:paraId="2C18CA46">
            <w:pPr>
              <w:adjustRightInd w:val="0"/>
              <w:snapToGrid w:val="0"/>
              <w:spacing w:line="520" w:lineRule="exact"/>
              <w:rPr>
                <w:rFonts w:ascii="宋体" w:hAnsi="宋体" w:cs="宋体"/>
                <w:color w:val="000000"/>
                <w:kern w:val="0"/>
                <w:szCs w:val="21"/>
                <w:highlight w:val="none"/>
              </w:rPr>
            </w:pPr>
            <w:r>
              <w:rPr>
                <w:rFonts w:hint="eastAsia" w:ascii="宋体" w:hAnsi="宋体" w:cs="宋体"/>
                <w:color w:val="000000"/>
                <w:kern w:val="0"/>
                <w:szCs w:val="21"/>
                <w:highlight w:val="none"/>
              </w:rPr>
              <w:t>2、2分＜良好 ≤3分：</w:t>
            </w:r>
            <w:r>
              <w:rPr>
                <w:rFonts w:hint="eastAsia" w:ascii="宋体" w:hAnsi="宋体" w:cs="宋体"/>
                <w:kern w:val="0"/>
                <w:szCs w:val="21"/>
                <w:highlight w:val="none"/>
              </w:rPr>
              <w:t>针对本项目特点提出的质量保证措施</w:t>
            </w:r>
            <w:r>
              <w:rPr>
                <w:rFonts w:hint="eastAsia" w:ascii="宋体" w:hAnsi="宋体" w:cs="宋体"/>
                <w:szCs w:val="21"/>
                <w:highlight w:val="none"/>
              </w:rPr>
              <w:t>描述一般</w:t>
            </w:r>
            <w:r>
              <w:rPr>
                <w:rFonts w:hint="eastAsia" w:ascii="宋体" w:hAnsi="宋体" w:cs="宋体"/>
                <w:color w:val="000000"/>
                <w:kern w:val="0"/>
                <w:szCs w:val="21"/>
                <w:highlight w:val="none"/>
              </w:rPr>
              <w:t>。</w:t>
            </w:r>
          </w:p>
          <w:p w14:paraId="4E14AF27">
            <w:pPr>
              <w:adjustRightInd w:val="0"/>
              <w:snapToGrid w:val="0"/>
              <w:spacing w:line="520" w:lineRule="exact"/>
              <w:rPr>
                <w:rFonts w:ascii="宋体" w:hAnsi="宋体" w:cs="宋体"/>
                <w:kern w:val="0"/>
                <w:szCs w:val="21"/>
                <w:highlight w:val="none"/>
              </w:rPr>
            </w:pPr>
            <w:r>
              <w:rPr>
                <w:rFonts w:hint="eastAsia" w:ascii="宋体" w:hAnsi="宋体" w:cs="宋体"/>
                <w:color w:val="000000"/>
                <w:kern w:val="0"/>
                <w:szCs w:val="21"/>
                <w:highlight w:val="none"/>
              </w:rPr>
              <w:t>3、0分＜一般≤1分。</w:t>
            </w:r>
            <w:r>
              <w:rPr>
                <w:rFonts w:hint="eastAsia" w:ascii="宋体" w:hAnsi="宋体" w:cs="宋体"/>
                <w:kern w:val="0"/>
                <w:szCs w:val="21"/>
                <w:highlight w:val="none"/>
              </w:rPr>
              <w:t>针对本项目特点提出的质量保证措施描述</w:t>
            </w:r>
            <w:r>
              <w:rPr>
                <w:rFonts w:hint="eastAsia" w:ascii="宋体" w:hAnsi="宋体" w:cs="宋体"/>
                <w:szCs w:val="21"/>
                <w:highlight w:val="none"/>
              </w:rPr>
              <w:t>较差</w:t>
            </w:r>
            <w:r>
              <w:rPr>
                <w:rFonts w:hint="eastAsia" w:ascii="宋体" w:hAnsi="宋体" w:cs="宋体"/>
                <w:color w:val="000000"/>
                <w:kern w:val="0"/>
                <w:szCs w:val="21"/>
                <w:highlight w:val="none"/>
              </w:rPr>
              <w:t>。</w:t>
            </w:r>
          </w:p>
        </w:tc>
        <w:tc>
          <w:tcPr>
            <w:tcW w:w="928" w:type="pct"/>
            <w:tcBorders>
              <w:bottom w:val="single" w:color="auto" w:sz="4" w:space="0"/>
            </w:tcBorders>
            <w:vAlign w:val="center"/>
          </w:tcPr>
          <w:p w14:paraId="0A904F33">
            <w:pPr>
              <w:adjustRightInd w:val="0"/>
              <w:snapToGrid w:val="0"/>
              <w:spacing w:line="520" w:lineRule="exact"/>
              <w:jc w:val="center"/>
              <w:rPr>
                <w:rFonts w:ascii="宋体" w:hAnsi="宋体" w:cs="宋体"/>
                <w:kern w:val="0"/>
                <w:szCs w:val="21"/>
                <w:highlight w:val="none"/>
              </w:rPr>
            </w:pPr>
          </w:p>
        </w:tc>
      </w:tr>
      <w:tr w14:paraId="1A1182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47" w:hRule="atLeast"/>
        </w:trPr>
        <w:tc>
          <w:tcPr>
            <w:tcW w:w="525" w:type="pct"/>
            <w:tcBorders>
              <w:top w:val="single" w:color="auto" w:sz="4" w:space="0"/>
              <w:bottom w:val="single" w:color="auto" w:sz="4" w:space="0"/>
            </w:tcBorders>
            <w:vAlign w:val="center"/>
          </w:tcPr>
          <w:p w14:paraId="3FF37693">
            <w:pPr>
              <w:adjustRightInd w:val="0"/>
              <w:snapToGrid w:val="0"/>
              <w:spacing w:line="5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8</w:t>
            </w:r>
          </w:p>
        </w:tc>
        <w:tc>
          <w:tcPr>
            <w:tcW w:w="764" w:type="pct"/>
            <w:tcBorders>
              <w:top w:val="single" w:color="auto" w:sz="4" w:space="0"/>
              <w:bottom w:val="single" w:color="auto" w:sz="4" w:space="0"/>
            </w:tcBorders>
            <w:vAlign w:val="center"/>
          </w:tcPr>
          <w:p w14:paraId="7A18C036">
            <w:pPr>
              <w:adjustRightInd w:val="0"/>
              <w:snapToGrid w:val="0"/>
              <w:spacing w:line="520" w:lineRule="exact"/>
              <w:jc w:val="center"/>
              <w:rPr>
                <w:rFonts w:ascii="宋体" w:hAnsi="宋体" w:cs="宋体"/>
                <w:color w:val="000000"/>
                <w:kern w:val="0"/>
                <w:szCs w:val="21"/>
                <w:highlight w:val="none"/>
              </w:rPr>
            </w:pPr>
            <w:r>
              <w:rPr>
                <w:rFonts w:hint="eastAsia" w:ascii="宋体" w:hAnsi="宋体" w:cs="宋体"/>
                <w:szCs w:val="21"/>
                <w:highlight w:val="none"/>
              </w:rPr>
              <w:t>售后服务</w:t>
            </w:r>
          </w:p>
        </w:tc>
        <w:tc>
          <w:tcPr>
            <w:tcW w:w="442" w:type="pct"/>
            <w:tcBorders>
              <w:top w:val="single" w:color="auto" w:sz="4" w:space="0"/>
              <w:bottom w:val="single" w:color="auto" w:sz="4" w:space="0"/>
            </w:tcBorders>
            <w:vAlign w:val="center"/>
          </w:tcPr>
          <w:p w14:paraId="2292DD84">
            <w:pPr>
              <w:adjustRightInd w:val="0"/>
              <w:snapToGrid w:val="0"/>
              <w:spacing w:line="520" w:lineRule="exact"/>
              <w:jc w:val="center"/>
              <w:rPr>
                <w:rFonts w:ascii="宋体" w:hAnsi="宋体" w:cs="宋体"/>
                <w:color w:val="000000"/>
                <w:kern w:val="0"/>
                <w:szCs w:val="21"/>
                <w:highlight w:val="none"/>
              </w:rPr>
            </w:pPr>
            <w:r>
              <w:rPr>
                <w:rFonts w:hint="eastAsia" w:ascii="宋体" w:hAnsi="宋体" w:cs="宋体"/>
                <w:color w:val="000000"/>
                <w:kern w:val="0"/>
                <w:szCs w:val="21"/>
                <w:highlight w:val="none"/>
              </w:rPr>
              <w:t>5</w:t>
            </w:r>
          </w:p>
        </w:tc>
        <w:tc>
          <w:tcPr>
            <w:tcW w:w="2339" w:type="pct"/>
            <w:tcBorders>
              <w:top w:val="single" w:color="auto" w:sz="4" w:space="0"/>
              <w:bottom w:val="single" w:color="auto" w:sz="4" w:space="0"/>
            </w:tcBorders>
            <w:vAlign w:val="center"/>
          </w:tcPr>
          <w:p w14:paraId="7748DB34">
            <w:pPr>
              <w:adjustRightInd w:val="0"/>
              <w:snapToGrid w:val="0"/>
              <w:spacing w:line="520" w:lineRule="exact"/>
              <w:rPr>
                <w:rFonts w:ascii="宋体" w:hAnsi="宋体" w:cs="宋体"/>
                <w:color w:val="000000"/>
                <w:kern w:val="0"/>
                <w:szCs w:val="21"/>
                <w:highlight w:val="none"/>
              </w:rPr>
            </w:pPr>
            <w:r>
              <w:rPr>
                <w:rFonts w:hint="eastAsia" w:ascii="宋体" w:hAnsi="宋体" w:cs="宋体"/>
                <w:color w:val="000000"/>
                <w:kern w:val="0"/>
                <w:szCs w:val="21"/>
                <w:highlight w:val="none"/>
              </w:rPr>
              <w:t>1、4分＜优秀≤5分：</w:t>
            </w:r>
            <w:r>
              <w:rPr>
                <w:rFonts w:hint="eastAsia" w:ascii="宋体" w:hAnsi="宋体" w:cs="宋体"/>
                <w:szCs w:val="21"/>
                <w:highlight w:val="none"/>
              </w:rPr>
              <w:t>售后服务方案完善，可高效支持采购方顺利完成技术审查后续流程工作</w:t>
            </w:r>
            <w:r>
              <w:rPr>
                <w:rFonts w:hint="eastAsia" w:ascii="宋体" w:hAnsi="宋体" w:cs="宋体"/>
                <w:color w:val="000000"/>
                <w:kern w:val="0"/>
                <w:szCs w:val="21"/>
                <w:highlight w:val="none"/>
              </w:rPr>
              <w:t>。</w:t>
            </w:r>
          </w:p>
          <w:p w14:paraId="410E5A51">
            <w:pPr>
              <w:adjustRightInd w:val="0"/>
              <w:snapToGrid w:val="0"/>
              <w:spacing w:line="520" w:lineRule="exact"/>
              <w:rPr>
                <w:rFonts w:ascii="宋体" w:hAnsi="宋体" w:cs="宋体"/>
                <w:color w:val="000000"/>
                <w:kern w:val="0"/>
                <w:szCs w:val="21"/>
                <w:highlight w:val="none"/>
              </w:rPr>
            </w:pPr>
            <w:r>
              <w:rPr>
                <w:rFonts w:hint="eastAsia" w:ascii="宋体" w:hAnsi="宋体" w:cs="宋体"/>
                <w:color w:val="000000"/>
                <w:kern w:val="0"/>
                <w:szCs w:val="21"/>
                <w:highlight w:val="none"/>
              </w:rPr>
              <w:t>2、2分＜良好 ≤3分：</w:t>
            </w:r>
            <w:r>
              <w:rPr>
                <w:rFonts w:hint="eastAsia" w:ascii="宋体" w:hAnsi="宋体" w:cs="宋体"/>
                <w:szCs w:val="21"/>
                <w:highlight w:val="none"/>
              </w:rPr>
              <w:t>售后服务基本完善，能支持采购方完成技术审查后续流程工作，但所提供支持力度有限</w:t>
            </w:r>
            <w:r>
              <w:rPr>
                <w:rFonts w:hint="eastAsia" w:ascii="宋体" w:hAnsi="宋体" w:cs="宋体"/>
                <w:color w:val="000000"/>
                <w:kern w:val="0"/>
                <w:szCs w:val="21"/>
                <w:highlight w:val="none"/>
              </w:rPr>
              <w:t>。</w:t>
            </w:r>
          </w:p>
          <w:p w14:paraId="5EABBC27">
            <w:pPr>
              <w:adjustRightInd w:val="0"/>
              <w:snapToGrid w:val="0"/>
              <w:spacing w:line="520" w:lineRule="exact"/>
              <w:rPr>
                <w:rFonts w:ascii="宋体" w:hAnsi="宋体" w:cs="宋体"/>
                <w:color w:val="000000"/>
                <w:kern w:val="0"/>
                <w:szCs w:val="21"/>
                <w:highlight w:val="none"/>
              </w:rPr>
            </w:pPr>
            <w:r>
              <w:rPr>
                <w:rFonts w:hint="eastAsia" w:ascii="宋体" w:hAnsi="宋体" w:cs="宋体"/>
                <w:color w:val="000000"/>
                <w:kern w:val="0"/>
                <w:szCs w:val="21"/>
                <w:highlight w:val="none"/>
              </w:rPr>
              <w:t>3、0分＜一般≤1分。</w:t>
            </w:r>
            <w:r>
              <w:rPr>
                <w:rFonts w:hint="eastAsia" w:ascii="宋体" w:hAnsi="宋体" w:cs="宋体"/>
                <w:szCs w:val="21"/>
                <w:highlight w:val="none"/>
              </w:rPr>
              <w:t>售后服务方案不完善，无法配合采购方完成技术审查后续工作流程。</w:t>
            </w:r>
          </w:p>
        </w:tc>
        <w:tc>
          <w:tcPr>
            <w:tcW w:w="928" w:type="pct"/>
            <w:tcBorders>
              <w:top w:val="single" w:color="auto" w:sz="4" w:space="0"/>
              <w:bottom w:val="single" w:color="auto" w:sz="4" w:space="0"/>
            </w:tcBorders>
            <w:vAlign w:val="center"/>
          </w:tcPr>
          <w:p w14:paraId="7D5DFF21">
            <w:pPr>
              <w:adjustRightInd w:val="0"/>
              <w:snapToGrid w:val="0"/>
              <w:spacing w:line="520" w:lineRule="exact"/>
              <w:jc w:val="center"/>
              <w:rPr>
                <w:rFonts w:ascii="宋体" w:hAnsi="宋体" w:cs="宋体"/>
                <w:color w:val="000000"/>
                <w:kern w:val="0"/>
                <w:szCs w:val="21"/>
                <w:highlight w:val="none"/>
              </w:rPr>
            </w:pPr>
          </w:p>
        </w:tc>
      </w:tr>
      <w:bookmarkEnd w:id="306"/>
    </w:tbl>
    <w:p w14:paraId="2CC6AAE1">
      <w:pPr>
        <w:adjustRightInd w:val="0"/>
        <w:snapToGrid w:val="0"/>
        <w:spacing w:line="520" w:lineRule="exact"/>
        <w:rPr>
          <w:rFonts w:ascii="宋体" w:hAnsi="宋体" w:cs="Arial"/>
          <w:color w:val="000000"/>
          <w:szCs w:val="24"/>
          <w:highlight w:val="none"/>
        </w:rPr>
      </w:pPr>
    </w:p>
    <w:p w14:paraId="5C96548D">
      <w:pPr>
        <w:adjustRightInd w:val="0"/>
        <w:snapToGrid w:val="0"/>
        <w:spacing w:line="520" w:lineRule="exact"/>
        <w:rPr>
          <w:rFonts w:ascii="宋体" w:hAnsi="宋体" w:cs="Arial"/>
          <w:color w:val="000000"/>
          <w:szCs w:val="24"/>
          <w:highlight w:val="none"/>
        </w:rPr>
      </w:pPr>
    </w:p>
    <w:p w14:paraId="0E3684C2">
      <w:pPr>
        <w:adjustRightInd w:val="0"/>
        <w:snapToGrid w:val="0"/>
        <w:spacing w:line="520" w:lineRule="exact"/>
        <w:rPr>
          <w:rFonts w:ascii="宋体" w:hAnsi="宋体" w:cs="Arial"/>
          <w:color w:val="000000"/>
          <w:szCs w:val="24"/>
          <w:highlight w:val="none"/>
        </w:rPr>
      </w:pPr>
    </w:p>
    <w:p w14:paraId="5C8FD0A7">
      <w:pPr>
        <w:adjustRightInd w:val="0"/>
        <w:snapToGrid w:val="0"/>
        <w:spacing w:line="520" w:lineRule="exact"/>
        <w:rPr>
          <w:rFonts w:ascii="宋体" w:hAnsi="宋体" w:cs="Arial"/>
          <w:color w:val="000000"/>
          <w:szCs w:val="24"/>
          <w:highlight w:val="none"/>
        </w:rPr>
      </w:pPr>
    </w:p>
    <w:p w14:paraId="14449021">
      <w:pPr>
        <w:adjustRightInd w:val="0"/>
        <w:snapToGrid w:val="0"/>
        <w:spacing w:line="520" w:lineRule="exact"/>
        <w:rPr>
          <w:rFonts w:ascii="宋体" w:hAnsi="宋体" w:cs="Arial"/>
          <w:color w:val="000000"/>
          <w:szCs w:val="24"/>
          <w:highlight w:val="none"/>
        </w:rPr>
      </w:pPr>
    </w:p>
    <w:p w14:paraId="255A0653">
      <w:pPr>
        <w:pStyle w:val="3"/>
        <w:numPr>
          <w:ilvl w:val="0"/>
          <w:numId w:val="12"/>
        </w:numPr>
        <w:rPr>
          <w:highlight w:val="none"/>
        </w:rPr>
      </w:pPr>
      <w:bookmarkStart w:id="308" w:name="_Toc13883"/>
      <w:r>
        <w:rPr>
          <w:rFonts w:hint="eastAsia"/>
          <w:highlight w:val="none"/>
        </w:rPr>
        <w:t>报价部分评分表（满分20分）</w:t>
      </w:r>
      <w:bookmarkEnd w:id="308"/>
    </w:p>
    <w:tbl>
      <w:tblPr>
        <w:tblStyle w:val="33"/>
        <w:tblW w:w="0" w:type="auto"/>
        <w:tblInd w:w="98" w:type="dxa"/>
        <w:tblLayout w:type="fixed"/>
        <w:tblCellMar>
          <w:top w:w="0" w:type="dxa"/>
          <w:left w:w="108" w:type="dxa"/>
          <w:bottom w:w="0" w:type="dxa"/>
          <w:right w:w="108" w:type="dxa"/>
        </w:tblCellMar>
      </w:tblPr>
      <w:tblGrid>
        <w:gridCol w:w="719"/>
        <w:gridCol w:w="1080"/>
        <w:gridCol w:w="905"/>
        <w:gridCol w:w="4536"/>
        <w:gridCol w:w="1720"/>
      </w:tblGrid>
      <w:tr w14:paraId="5F62FD82">
        <w:tblPrEx>
          <w:tblCellMar>
            <w:top w:w="0" w:type="dxa"/>
            <w:left w:w="108" w:type="dxa"/>
            <w:bottom w:w="0" w:type="dxa"/>
            <w:right w:w="108" w:type="dxa"/>
          </w:tblCellMar>
        </w:tblPrEx>
        <w:trPr>
          <w:trHeight w:val="285" w:hRule="atLeast"/>
        </w:trPr>
        <w:tc>
          <w:tcPr>
            <w:tcW w:w="719" w:type="dxa"/>
            <w:tcBorders>
              <w:top w:val="single" w:color="auto" w:sz="8" w:space="0"/>
              <w:left w:val="single" w:color="auto" w:sz="8" w:space="0"/>
              <w:bottom w:val="single" w:color="auto" w:sz="8" w:space="0"/>
              <w:right w:val="single" w:color="auto" w:sz="8" w:space="0"/>
            </w:tcBorders>
          </w:tcPr>
          <w:p w14:paraId="09B16ACF">
            <w:pPr>
              <w:widowControl/>
              <w:jc w:val="center"/>
              <w:rPr>
                <w:rFonts w:ascii="宋体" w:hAnsi="宋体" w:cs="宋体"/>
                <w:kern w:val="0"/>
                <w:szCs w:val="21"/>
                <w:highlight w:val="none"/>
              </w:rPr>
            </w:pPr>
            <w:r>
              <w:rPr>
                <w:rFonts w:hint="eastAsia" w:ascii="宋体" w:hAnsi="宋体" w:cs="宋体"/>
                <w:kern w:val="0"/>
                <w:szCs w:val="21"/>
                <w:highlight w:val="none"/>
              </w:rPr>
              <w:t>序号</w:t>
            </w:r>
          </w:p>
        </w:tc>
        <w:tc>
          <w:tcPr>
            <w:tcW w:w="1080" w:type="dxa"/>
            <w:tcBorders>
              <w:top w:val="single" w:color="auto" w:sz="8" w:space="0"/>
              <w:left w:val="nil"/>
              <w:bottom w:val="single" w:color="auto" w:sz="8" w:space="0"/>
              <w:right w:val="single" w:color="auto" w:sz="8" w:space="0"/>
            </w:tcBorders>
            <w:vAlign w:val="center"/>
          </w:tcPr>
          <w:p w14:paraId="765B33B4">
            <w:pPr>
              <w:widowControl/>
              <w:jc w:val="center"/>
              <w:rPr>
                <w:rFonts w:ascii="宋体" w:hAnsi="宋体" w:cs="宋体"/>
                <w:kern w:val="0"/>
                <w:szCs w:val="21"/>
                <w:highlight w:val="none"/>
              </w:rPr>
            </w:pPr>
            <w:r>
              <w:rPr>
                <w:rFonts w:hint="eastAsia" w:ascii="宋体" w:hAnsi="宋体" w:cs="宋体"/>
                <w:kern w:val="0"/>
                <w:szCs w:val="21"/>
                <w:highlight w:val="none"/>
              </w:rPr>
              <w:t>评分项目</w:t>
            </w:r>
          </w:p>
        </w:tc>
        <w:tc>
          <w:tcPr>
            <w:tcW w:w="905" w:type="dxa"/>
            <w:tcBorders>
              <w:top w:val="single" w:color="auto" w:sz="8" w:space="0"/>
              <w:left w:val="nil"/>
              <w:bottom w:val="single" w:color="auto" w:sz="8" w:space="0"/>
              <w:right w:val="single" w:color="auto" w:sz="8" w:space="0"/>
            </w:tcBorders>
            <w:vAlign w:val="center"/>
          </w:tcPr>
          <w:p w14:paraId="23DB7C8D">
            <w:pPr>
              <w:widowControl/>
              <w:jc w:val="center"/>
              <w:rPr>
                <w:rFonts w:ascii="宋体" w:hAnsi="宋体" w:cs="宋体"/>
                <w:kern w:val="0"/>
                <w:szCs w:val="21"/>
                <w:highlight w:val="none"/>
              </w:rPr>
            </w:pPr>
            <w:r>
              <w:rPr>
                <w:rFonts w:hint="eastAsia" w:ascii="宋体" w:hAnsi="宋体" w:cs="宋体"/>
                <w:kern w:val="0"/>
                <w:szCs w:val="21"/>
                <w:highlight w:val="none"/>
              </w:rPr>
              <w:t>标准分</w:t>
            </w:r>
          </w:p>
        </w:tc>
        <w:tc>
          <w:tcPr>
            <w:tcW w:w="4536" w:type="dxa"/>
            <w:tcBorders>
              <w:top w:val="single" w:color="auto" w:sz="8" w:space="0"/>
              <w:left w:val="nil"/>
              <w:bottom w:val="single" w:color="auto" w:sz="4" w:space="0"/>
              <w:right w:val="single" w:color="auto" w:sz="8" w:space="0"/>
            </w:tcBorders>
            <w:vAlign w:val="center"/>
          </w:tcPr>
          <w:p w14:paraId="3645DFF3">
            <w:pPr>
              <w:widowControl/>
              <w:jc w:val="center"/>
              <w:rPr>
                <w:rFonts w:ascii="宋体" w:hAnsi="宋体" w:cs="宋体"/>
                <w:kern w:val="0"/>
                <w:szCs w:val="21"/>
                <w:highlight w:val="none"/>
              </w:rPr>
            </w:pPr>
            <w:r>
              <w:rPr>
                <w:rFonts w:hint="eastAsia" w:ascii="宋体" w:hAnsi="宋体" w:cs="宋体"/>
                <w:kern w:val="0"/>
                <w:szCs w:val="21"/>
                <w:highlight w:val="none"/>
              </w:rPr>
              <w:t>评分标准与计分规则</w:t>
            </w:r>
          </w:p>
        </w:tc>
        <w:tc>
          <w:tcPr>
            <w:tcW w:w="1720" w:type="dxa"/>
            <w:tcBorders>
              <w:top w:val="single" w:color="auto" w:sz="8" w:space="0"/>
              <w:left w:val="nil"/>
              <w:bottom w:val="single" w:color="auto" w:sz="8" w:space="0"/>
              <w:right w:val="single" w:color="auto" w:sz="8" w:space="0"/>
            </w:tcBorders>
            <w:vAlign w:val="center"/>
          </w:tcPr>
          <w:p w14:paraId="31AD45FE">
            <w:pPr>
              <w:widowControl/>
              <w:jc w:val="center"/>
              <w:rPr>
                <w:rFonts w:ascii="宋体" w:hAnsi="宋体" w:cs="宋体"/>
                <w:kern w:val="0"/>
                <w:szCs w:val="21"/>
                <w:highlight w:val="none"/>
              </w:rPr>
            </w:pPr>
            <w:r>
              <w:rPr>
                <w:rFonts w:hint="eastAsia" w:ascii="宋体" w:hAnsi="宋体" w:cs="宋体"/>
                <w:kern w:val="0"/>
                <w:szCs w:val="21"/>
                <w:highlight w:val="none"/>
              </w:rPr>
              <w:t>分值(m)</w:t>
            </w:r>
          </w:p>
        </w:tc>
      </w:tr>
      <w:tr w14:paraId="63ECEB85">
        <w:tblPrEx>
          <w:tblCellMar>
            <w:top w:w="0" w:type="dxa"/>
            <w:left w:w="108" w:type="dxa"/>
            <w:bottom w:w="0" w:type="dxa"/>
            <w:right w:w="108" w:type="dxa"/>
          </w:tblCellMar>
        </w:tblPrEx>
        <w:trPr>
          <w:trHeight w:val="270" w:hRule="atLeast"/>
        </w:trPr>
        <w:tc>
          <w:tcPr>
            <w:tcW w:w="719" w:type="dxa"/>
            <w:vMerge w:val="restart"/>
            <w:tcBorders>
              <w:top w:val="nil"/>
              <w:left w:val="single" w:color="auto" w:sz="8" w:space="0"/>
              <w:bottom w:val="single" w:color="000000" w:sz="8" w:space="0"/>
              <w:right w:val="single" w:color="auto" w:sz="8" w:space="0"/>
            </w:tcBorders>
            <w:vAlign w:val="center"/>
          </w:tcPr>
          <w:p w14:paraId="73A45511">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1080" w:type="dxa"/>
            <w:vMerge w:val="restart"/>
            <w:tcBorders>
              <w:top w:val="nil"/>
              <w:left w:val="single" w:color="auto" w:sz="8" w:space="0"/>
              <w:bottom w:val="single" w:color="000000" w:sz="8" w:space="0"/>
              <w:right w:val="single" w:color="auto" w:sz="8" w:space="0"/>
            </w:tcBorders>
            <w:vAlign w:val="center"/>
          </w:tcPr>
          <w:p w14:paraId="02605C26">
            <w:pPr>
              <w:widowControl/>
              <w:jc w:val="center"/>
              <w:rPr>
                <w:rFonts w:ascii="宋体" w:hAnsi="宋体" w:cs="宋体"/>
                <w:kern w:val="0"/>
                <w:szCs w:val="21"/>
                <w:highlight w:val="none"/>
              </w:rPr>
            </w:pPr>
            <w:r>
              <w:rPr>
                <w:rFonts w:hint="eastAsia" w:ascii="宋体" w:hAnsi="宋体" w:cs="宋体"/>
                <w:kern w:val="0"/>
                <w:szCs w:val="21"/>
                <w:highlight w:val="none"/>
              </w:rPr>
              <w:t>比选报价</w:t>
            </w:r>
          </w:p>
        </w:tc>
        <w:tc>
          <w:tcPr>
            <w:tcW w:w="905" w:type="dxa"/>
            <w:vMerge w:val="restart"/>
            <w:tcBorders>
              <w:top w:val="nil"/>
              <w:left w:val="single" w:color="auto" w:sz="8" w:space="0"/>
              <w:bottom w:val="single" w:color="000000" w:sz="8" w:space="0"/>
              <w:right w:val="single" w:color="auto" w:sz="4" w:space="0"/>
            </w:tcBorders>
            <w:vAlign w:val="center"/>
          </w:tcPr>
          <w:p w14:paraId="45BBD1BB">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4536" w:type="dxa"/>
            <w:tcBorders>
              <w:top w:val="single" w:color="auto" w:sz="4" w:space="0"/>
              <w:left w:val="single" w:color="auto" w:sz="4" w:space="0"/>
              <w:bottom w:val="single" w:color="auto" w:sz="4" w:space="0"/>
              <w:right w:val="single" w:color="auto" w:sz="4" w:space="0"/>
            </w:tcBorders>
          </w:tcPr>
          <w:p w14:paraId="5169C80E">
            <w:pPr>
              <w:autoSpaceDN w:val="0"/>
              <w:ind w:firstLine="420" w:firstLineChars="200"/>
              <w:textAlignment w:val="center"/>
              <w:rPr>
                <w:rFonts w:ascii="宋体" w:hAnsi="宋体" w:cs="宋体"/>
                <w:color w:val="000000"/>
                <w:szCs w:val="21"/>
                <w:highlight w:val="none"/>
              </w:rPr>
            </w:pPr>
            <w:r>
              <w:rPr>
                <w:rFonts w:hint="eastAsia" w:ascii="宋体" w:hAnsi="宋体" w:cs="宋体"/>
                <w:color w:val="000000"/>
                <w:szCs w:val="21"/>
                <w:highlight w:val="none"/>
              </w:rPr>
              <w:t>1、不接受选择性报价或者具有附加条件的报价，报价超出上限控制价格视为无效报价；</w:t>
            </w:r>
          </w:p>
        </w:tc>
        <w:tc>
          <w:tcPr>
            <w:tcW w:w="1720" w:type="dxa"/>
            <w:vMerge w:val="restart"/>
            <w:tcBorders>
              <w:top w:val="nil"/>
              <w:left w:val="single" w:color="auto" w:sz="4" w:space="0"/>
              <w:bottom w:val="single" w:color="000000" w:sz="8" w:space="0"/>
              <w:right w:val="single" w:color="auto" w:sz="8" w:space="0"/>
            </w:tcBorders>
            <w:vAlign w:val="center"/>
          </w:tcPr>
          <w:p w14:paraId="622C98C0">
            <w:pPr>
              <w:widowControl/>
              <w:jc w:val="center"/>
              <w:rPr>
                <w:rFonts w:ascii="宋体" w:hAnsi="宋体" w:cs="宋体"/>
                <w:kern w:val="0"/>
                <w:szCs w:val="21"/>
                <w:highlight w:val="none"/>
              </w:rPr>
            </w:pPr>
            <w:r>
              <w:rPr>
                <w:rFonts w:hint="eastAsia" w:ascii="宋体" w:hAnsi="宋体" w:cs="宋体"/>
                <w:kern w:val="0"/>
                <w:szCs w:val="21"/>
                <w:highlight w:val="none"/>
              </w:rPr>
              <w:t>0≤m≤20</w:t>
            </w:r>
          </w:p>
        </w:tc>
      </w:tr>
      <w:tr w14:paraId="16216F15">
        <w:tblPrEx>
          <w:tblCellMar>
            <w:top w:w="0" w:type="dxa"/>
            <w:left w:w="108" w:type="dxa"/>
            <w:bottom w:w="0" w:type="dxa"/>
            <w:right w:w="108" w:type="dxa"/>
          </w:tblCellMar>
        </w:tblPrEx>
        <w:trPr>
          <w:trHeight w:val="300" w:hRule="atLeast"/>
        </w:trPr>
        <w:tc>
          <w:tcPr>
            <w:tcW w:w="719" w:type="dxa"/>
            <w:vMerge w:val="continue"/>
            <w:tcBorders>
              <w:top w:val="nil"/>
              <w:left w:val="single" w:color="auto" w:sz="8" w:space="0"/>
              <w:bottom w:val="single" w:color="000000" w:sz="8" w:space="0"/>
              <w:right w:val="single" w:color="auto" w:sz="8" w:space="0"/>
            </w:tcBorders>
            <w:vAlign w:val="center"/>
          </w:tcPr>
          <w:p w14:paraId="13142B21">
            <w:pPr>
              <w:widowControl/>
              <w:rPr>
                <w:rFonts w:ascii="宋体" w:hAnsi="宋体" w:cs="宋体"/>
                <w:kern w:val="0"/>
                <w:szCs w:val="21"/>
                <w:highlight w:val="none"/>
              </w:rPr>
            </w:pPr>
          </w:p>
        </w:tc>
        <w:tc>
          <w:tcPr>
            <w:tcW w:w="1080" w:type="dxa"/>
            <w:vMerge w:val="continue"/>
            <w:tcBorders>
              <w:top w:val="nil"/>
              <w:left w:val="single" w:color="auto" w:sz="8" w:space="0"/>
              <w:bottom w:val="single" w:color="000000" w:sz="8" w:space="0"/>
              <w:right w:val="single" w:color="auto" w:sz="8" w:space="0"/>
            </w:tcBorders>
            <w:vAlign w:val="center"/>
          </w:tcPr>
          <w:p w14:paraId="07C7545A">
            <w:pPr>
              <w:widowControl/>
              <w:rPr>
                <w:rFonts w:ascii="宋体" w:hAnsi="宋体" w:cs="宋体"/>
                <w:kern w:val="0"/>
                <w:szCs w:val="21"/>
                <w:highlight w:val="none"/>
              </w:rPr>
            </w:pPr>
          </w:p>
        </w:tc>
        <w:tc>
          <w:tcPr>
            <w:tcW w:w="905" w:type="dxa"/>
            <w:vMerge w:val="continue"/>
            <w:tcBorders>
              <w:top w:val="nil"/>
              <w:left w:val="single" w:color="auto" w:sz="8" w:space="0"/>
              <w:bottom w:val="single" w:color="000000" w:sz="8" w:space="0"/>
              <w:right w:val="single" w:color="auto" w:sz="4" w:space="0"/>
            </w:tcBorders>
            <w:vAlign w:val="center"/>
          </w:tcPr>
          <w:p w14:paraId="04FBBF7D">
            <w:pPr>
              <w:widowControl/>
              <w:rPr>
                <w:rFonts w:ascii="宋体" w:hAnsi="宋体" w:cs="宋体"/>
                <w:kern w:val="0"/>
                <w:szCs w:val="21"/>
                <w:highlight w:val="none"/>
              </w:rPr>
            </w:pPr>
          </w:p>
        </w:tc>
        <w:tc>
          <w:tcPr>
            <w:tcW w:w="4536" w:type="dxa"/>
            <w:tcBorders>
              <w:top w:val="single" w:color="auto" w:sz="4" w:space="0"/>
              <w:left w:val="single" w:color="auto" w:sz="4" w:space="0"/>
              <w:bottom w:val="single" w:color="auto" w:sz="4" w:space="0"/>
              <w:right w:val="single" w:color="auto" w:sz="4" w:space="0"/>
            </w:tcBorders>
            <w:noWrap/>
          </w:tcPr>
          <w:p w14:paraId="482E59EB">
            <w:pPr>
              <w:autoSpaceDN w:val="0"/>
              <w:ind w:firstLine="420" w:firstLineChars="200"/>
              <w:textAlignment w:val="center"/>
              <w:rPr>
                <w:rFonts w:hint="eastAsia" w:ascii="宋体" w:hAnsi="宋体" w:cs="宋体"/>
                <w:color w:val="000000"/>
                <w:szCs w:val="21"/>
                <w:highlight w:val="none"/>
              </w:rPr>
            </w:pPr>
            <w:r>
              <w:rPr>
                <w:rFonts w:hint="eastAsia" w:ascii="宋体" w:hAnsi="宋体" w:cs="宋体"/>
                <w:color w:val="000000"/>
                <w:szCs w:val="21"/>
                <w:highlight w:val="none"/>
              </w:rPr>
              <w:t>2、当比选申请人含税报价小于或者等于上控价时，资格审查合格的有效报价投标人在5家以上(不含5家)的，将去掉最高和最低有效报价后，取有效报价的算术平均值作为评审基准价；</w:t>
            </w:r>
          </w:p>
          <w:p w14:paraId="49A254F1">
            <w:pPr>
              <w:autoSpaceDN w:val="0"/>
              <w:ind w:firstLine="420" w:firstLineChars="200"/>
              <w:textAlignment w:val="center"/>
              <w:rPr>
                <w:rFonts w:hint="eastAsia" w:ascii="宋体" w:hAnsi="宋体" w:cs="宋体"/>
                <w:color w:val="000000"/>
                <w:szCs w:val="21"/>
                <w:highlight w:val="none"/>
              </w:rPr>
            </w:pPr>
            <w:r>
              <w:rPr>
                <w:rFonts w:hint="eastAsia" w:ascii="宋体" w:hAnsi="宋体" w:cs="宋体"/>
                <w:color w:val="000000"/>
                <w:szCs w:val="21"/>
                <w:highlight w:val="none"/>
              </w:rPr>
              <w:t>资格审查合格的投标人在5家以下(含5 家)的，取有效报价的算术平均值作为评审的基准价。评审时以经评审的基准价为最高分，采用内插法计算。</w:t>
            </w:r>
          </w:p>
          <w:p w14:paraId="53C09BA1">
            <w:pPr>
              <w:autoSpaceDN w:val="0"/>
              <w:ind w:firstLine="420" w:firstLineChars="200"/>
              <w:textAlignment w:val="center"/>
              <w:rPr>
                <w:rFonts w:hint="eastAsia" w:ascii="宋体" w:hAnsi="宋体" w:cs="宋体"/>
                <w:color w:val="000000"/>
                <w:szCs w:val="21"/>
                <w:highlight w:val="none"/>
              </w:rPr>
            </w:pPr>
            <w:r>
              <w:rPr>
                <w:rFonts w:hint="eastAsia" w:ascii="宋体" w:hAnsi="宋体" w:cs="宋体"/>
                <w:color w:val="000000"/>
                <w:szCs w:val="21"/>
                <w:highlight w:val="none"/>
              </w:rPr>
              <w:t>（1）当比选报价等于基准价时，比选申请人的价格得分为20分；</w:t>
            </w:r>
          </w:p>
          <w:p w14:paraId="2403BBAA">
            <w:pPr>
              <w:autoSpaceDN w:val="0"/>
              <w:ind w:firstLine="420" w:firstLineChars="200"/>
              <w:textAlignment w:val="center"/>
              <w:rPr>
                <w:rFonts w:hint="eastAsia" w:ascii="宋体" w:hAnsi="宋体" w:cs="宋体"/>
                <w:color w:val="000000"/>
                <w:szCs w:val="21"/>
                <w:highlight w:val="none"/>
              </w:rPr>
            </w:pPr>
            <w:r>
              <w:rPr>
                <w:rFonts w:hint="eastAsia" w:ascii="宋体" w:hAnsi="宋体" w:cs="宋体"/>
                <w:color w:val="000000"/>
                <w:szCs w:val="21"/>
                <w:highlight w:val="none"/>
              </w:rPr>
              <w:t>（2）当比选报价高于基准价时，每高于基准价的 1%，比选申请人的价格得分扣0.6分，中间数按内插法计算，即：比选申请人价格得分=20-(评标价-基准价)/基准价*100*0.6；</w:t>
            </w:r>
          </w:p>
          <w:p w14:paraId="5B6F8584">
            <w:pPr>
              <w:autoSpaceDN w:val="0"/>
              <w:ind w:firstLine="420" w:firstLineChars="200"/>
              <w:textAlignment w:val="center"/>
              <w:rPr>
                <w:rFonts w:hint="eastAsia" w:ascii="宋体" w:hAnsi="宋体" w:cs="宋体"/>
                <w:color w:val="000000"/>
                <w:szCs w:val="21"/>
                <w:highlight w:val="none"/>
              </w:rPr>
            </w:pPr>
            <w:r>
              <w:rPr>
                <w:rFonts w:hint="eastAsia" w:ascii="宋体" w:hAnsi="宋体" w:cs="宋体"/>
                <w:color w:val="000000"/>
                <w:szCs w:val="21"/>
                <w:highlight w:val="none"/>
              </w:rPr>
              <w:t>（3）当比选报价低于基准价时，每低于基准价的 1%，比选申请人的价格得分扣0.3分，中间数按内插法计算，即：比选申请人价格得分=20-(基准价-评标价)/基准价*100*0.3；</w:t>
            </w:r>
          </w:p>
          <w:p w14:paraId="48EDDA21">
            <w:pPr>
              <w:autoSpaceDN w:val="0"/>
              <w:ind w:firstLine="420" w:firstLineChars="200"/>
              <w:textAlignment w:val="center"/>
              <w:rPr>
                <w:rFonts w:ascii="宋体" w:hAnsi="宋体" w:cs="宋体"/>
                <w:color w:val="000000"/>
                <w:szCs w:val="21"/>
                <w:highlight w:val="none"/>
              </w:rPr>
            </w:pPr>
            <w:r>
              <w:rPr>
                <w:rFonts w:hint="eastAsia" w:ascii="宋体" w:hAnsi="宋体" w:cs="宋体"/>
                <w:color w:val="000000"/>
                <w:szCs w:val="21"/>
                <w:highlight w:val="none"/>
              </w:rPr>
              <w:t>（4）本项最低为0分。</w:t>
            </w:r>
          </w:p>
        </w:tc>
        <w:tc>
          <w:tcPr>
            <w:tcW w:w="1720" w:type="dxa"/>
            <w:vMerge w:val="continue"/>
            <w:tcBorders>
              <w:top w:val="nil"/>
              <w:left w:val="single" w:color="auto" w:sz="4" w:space="0"/>
              <w:bottom w:val="single" w:color="000000" w:sz="8" w:space="0"/>
              <w:right w:val="single" w:color="auto" w:sz="8" w:space="0"/>
            </w:tcBorders>
            <w:vAlign w:val="center"/>
          </w:tcPr>
          <w:p w14:paraId="67D5F4E9">
            <w:pPr>
              <w:widowControl/>
              <w:rPr>
                <w:rFonts w:ascii="宋体" w:hAnsi="宋体" w:cs="宋体"/>
                <w:kern w:val="0"/>
                <w:szCs w:val="21"/>
                <w:highlight w:val="none"/>
              </w:rPr>
            </w:pPr>
          </w:p>
        </w:tc>
      </w:tr>
      <w:tr w14:paraId="618BE9D1">
        <w:tblPrEx>
          <w:tblCellMar>
            <w:top w:w="0" w:type="dxa"/>
            <w:left w:w="108" w:type="dxa"/>
            <w:bottom w:w="0" w:type="dxa"/>
            <w:right w:w="108" w:type="dxa"/>
          </w:tblCellMar>
        </w:tblPrEx>
        <w:trPr>
          <w:trHeight w:val="639" w:hRule="atLeast"/>
        </w:trPr>
        <w:tc>
          <w:tcPr>
            <w:tcW w:w="719" w:type="dxa"/>
            <w:vMerge w:val="continue"/>
            <w:tcBorders>
              <w:top w:val="nil"/>
              <w:left w:val="single" w:color="auto" w:sz="8" w:space="0"/>
              <w:bottom w:val="single" w:color="000000" w:sz="8" w:space="0"/>
              <w:right w:val="single" w:color="auto" w:sz="8" w:space="0"/>
            </w:tcBorders>
            <w:vAlign w:val="center"/>
          </w:tcPr>
          <w:p w14:paraId="1BAF2357">
            <w:pPr>
              <w:widowControl/>
              <w:rPr>
                <w:rFonts w:ascii="宋体" w:hAnsi="宋体" w:cs="宋体"/>
                <w:kern w:val="0"/>
                <w:szCs w:val="21"/>
                <w:highlight w:val="none"/>
              </w:rPr>
            </w:pPr>
          </w:p>
        </w:tc>
        <w:tc>
          <w:tcPr>
            <w:tcW w:w="1080" w:type="dxa"/>
            <w:vMerge w:val="continue"/>
            <w:tcBorders>
              <w:top w:val="nil"/>
              <w:left w:val="single" w:color="auto" w:sz="8" w:space="0"/>
              <w:bottom w:val="single" w:color="000000" w:sz="8" w:space="0"/>
              <w:right w:val="single" w:color="auto" w:sz="8" w:space="0"/>
            </w:tcBorders>
            <w:vAlign w:val="center"/>
          </w:tcPr>
          <w:p w14:paraId="28EB889D">
            <w:pPr>
              <w:widowControl/>
              <w:rPr>
                <w:rFonts w:ascii="宋体" w:hAnsi="宋体" w:cs="宋体"/>
                <w:kern w:val="0"/>
                <w:szCs w:val="21"/>
                <w:highlight w:val="none"/>
              </w:rPr>
            </w:pPr>
          </w:p>
        </w:tc>
        <w:tc>
          <w:tcPr>
            <w:tcW w:w="905" w:type="dxa"/>
            <w:vMerge w:val="continue"/>
            <w:tcBorders>
              <w:top w:val="nil"/>
              <w:left w:val="single" w:color="auto" w:sz="8" w:space="0"/>
              <w:bottom w:val="single" w:color="000000" w:sz="8" w:space="0"/>
              <w:right w:val="single" w:color="auto" w:sz="4" w:space="0"/>
            </w:tcBorders>
            <w:vAlign w:val="center"/>
          </w:tcPr>
          <w:p w14:paraId="6EE4B7DD">
            <w:pPr>
              <w:widowControl/>
              <w:rPr>
                <w:rFonts w:ascii="宋体" w:hAnsi="宋体" w:cs="宋体"/>
                <w:kern w:val="0"/>
                <w:szCs w:val="21"/>
                <w:highlight w:val="none"/>
              </w:rPr>
            </w:pPr>
          </w:p>
        </w:tc>
        <w:tc>
          <w:tcPr>
            <w:tcW w:w="4536" w:type="dxa"/>
            <w:tcBorders>
              <w:top w:val="single" w:color="auto" w:sz="4" w:space="0"/>
              <w:left w:val="single" w:color="auto" w:sz="4" w:space="0"/>
              <w:bottom w:val="single" w:color="auto" w:sz="4" w:space="0"/>
              <w:right w:val="single" w:color="auto" w:sz="4" w:space="0"/>
            </w:tcBorders>
          </w:tcPr>
          <w:p w14:paraId="576E8867">
            <w:pPr>
              <w:autoSpaceDN w:val="0"/>
              <w:textAlignment w:val="center"/>
              <w:rPr>
                <w:rFonts w:ascii="宋体" w:hAnsi="宋体" w:cs="宋体"/>
                <w:color w:val="000000"/>
                <w:szCs w:val="21"/>
                <w:highlight w:val="none"/>
              </w:rPr>
            </w:pPr>
            <w:r>
              <w:rPr>
                <w:rFonts w:hint="eastAsia" w:ascii="宋体" w:hAnsi="宋体" w:cs="宋体"/>
                <w:color w:val="000000"/>
                <w:szCs w:val="21"/>
                <w:highlight w:val="none"/>
              </w:rPr>
              <w:t>注：按四舍五入取小数点后两位。</w:t>
            </w:r>
          </w:p>
        </w:tc>
        <w:tc>
          <w:tcPr>
            <w:tcW w:w="1720" w:type="dxa"/>
            <w:vMerge w:val="continue"/>
            <w:tcBorders>
              <w:top w:val="nil"/>
              <w:left w:val="single" w:color="auto" w:sz="4" w:space="0"/>
              <w:bottom w:val="single" w:color="000000" w:sz="8" w:space="0"/>
              <w:right w:val="single" w:color="auto" w:sz="8" w:space="0"/>
            </w:tcBorders>
            <w:vAlign w:val="center"/>
          </w:tcPr>
          <w:p w14:paraId="4673BFA5">
            <w:pPr>
              <w:widowControl/>
              <w:rPr>
                <w:rFonts w:ascii="宋体" w:hAnsi="宋体" w:cs="宋体"/>
                <w:kern w:val="0"/>
                <w:szCs w:val="21"/>
                <w:highlight w:val="none"/>
              </w:rPr>
            </w:pPr>
          </w:p>
        </w:tc>
      </w:tr>
      <w:tr w14:paraId="22FB1A6E">
        <w:tblPrEx>
          <w:tblCellMar>
            <w:top w:w="0" w:type="dxa"/>
            <w:left w:w="108" w:type="dxa"/>
            <w:bottom w:w="0" w:type="dxa"/>
            <w:right w:w="108" w:type="dxa"/>
          </w:tblCellMar>
        </w:tblPrEx>
        <w:trPr>
          <w:trHeight w:val="782" w:hRule="atLeast"/>
        </w:trPr>
        <w:tc>
          <w:tcPr>
            <w:tcW w:w="7240" w:type="dxa"/>
            <w:gridSpan w:val="4"/>
            <w:tcBorders>
              <w:top w:val="single" w:color="auto" w:sz="4" w:space="0"/>
              <w:left w:val="single" w:color="auto" w:sz="4" w:space="0"/>
              <w:bottom w:val="single" w:color="auto" w:sz="4" w:space="0"/>
              <w:right w:val="single" w:color="auto" w:sz="4" w:space="0"/>
            </w:tcBorders>
            <w:vAlign w:val="center"/>
          </w:tcPr>
          <w:p w14:paraId="4F95DEB3">
            <w:pPr>
              <w:autoSpaceDN w:val="0"/>
              <w:jc w:val="center"/>
              <w:textAlignment w:val="center"/>
              <w:rPr>
                <w:rFonts w:ascii="宋体" w:hAnsi="宋体" w:cs="宋体"/>
                <w:color w:val="000000"/>
                <w:szCs w:val="21"/>
                <w:highlight w:val="none"/>
              </w:rPr>
            </w:pPr>
            <w:r>
              <w:rPr>
                <w:rFonts w:hint="eastAsia" w:ascii="宋体" w:hAnsi="宋体" w:cs="宋体"/>
                <w:color w:val="000000"/>
                <w:szCs w:val="21"/>
                <w:highlight w:val="none"/>
              </w:rPr>
              <w:t>报价得分</w:t>
            </w:r>
          </w:p>
        </w:tc>
        <w:tc>
          <w:tcPr>
            <w:tcW w:w="1720" w:type="dxa"/>
            <w:tcBorders>
              <w:top w:val="single" w:color="auto" w:sz="4" w:space="0"/>
              <w:left w:val="single" w:color="auto" w:sz="4" w:space="0"/>
              <w:bottom w:val="single" w:color="auto" w:sz="4" w:space="0"/>
              <w:right w:val="single" w:color="auto" w:sz="4" w:space="0"/>
            </w:tcBorders>
            <w:vAlign w:val="center"/>
          </w:tcPr>
          <w:p w14:paraId="438D68D2">
            <w:pPr>
              <w:widowControl/>
              <w:rPr>
                <w:rFonts w:ascii="宋体" w:hAnsi="宋体" w:cs="宋体"/>
                <w:kern w:val="0"/>
                <w:szCs w:val="21"/>
                <w:highlight w:val="none"/>
              </w:rPr>
            </w:pPr>
          </w:p>
        </w:tc>
      </w:tr>
    </w:tbl>
    <w:p w14:paraId="1631B525">
      <w:pPr>
        <w:ind w:right="753" w:firstLine="570"/>
        <w:rPr>
          <w:rFonts w:ascii="宋体" w:hAnsi="宋体" w:cs="Arial"/>
          <w:szCs w:val="21"/>
          <w:highlight w:val="none"/>
        </w:rPr>
      </w:pPr>
    </w:p>
    <w:p w14:paraId="0BFF155A">
      <w:pPr>
        <w:adjustRightInd w:val="0"/>
        <w:snapToGrid w:val="0"/>
        <w:spacing w:line="520" w:lineRule="exact"/>
        <w:rPr>
          <w:rFonts w:ascii="宋体" w:hAnsi="宋体" w:cs="宋体"/>
          <w:sz w:val="28"/>
          <w:szCs w:val="28"/>
          <w:highlight w:val="none"/>
        </w:rPr>
      </w:pPr>
      <w:r>
        <w:rPr>
          <w:rFonts w:hint="eastAsia" w:ascii="宋体" w:hAnsi="宋体" w:cs="宋体"/>
          <w:szCs w:val="21"/>
          <w:highlight w:val="none"/>
        </w:rPr>
        <w:t xml:space="preserve">比选小组成员签名：                                       日期： </w:t>
      </w:r>
    </w:p>
    <w:p w14:paraId="53E2C70E">
      <w:pPr>
        <w:adjustRightInd w:val="0"/>
        <w:snapToGrid w:val="0"/>
        <w:spacing w:line="520" w:lineRule="exact"/>
        <w:rPr>
          <w:rFonts w:ascii="宋体" w:hAnsi="宋体" w:cs="宋体"/>
          <w:sz w:val="28"/>
          <w:szCs w:val="28"/>
          <w:highlight w:val="none"/>
        </w:rPr>
      </w:pPr>
    </w:p>
    <w:p w14:paraId="3DFB481E">
      <w:pPr>
        <w:pStyle w:val="3"/>
        <w:numPr>
          <w:ilvl w:val="0"/>
          <w:numId w:val="12"/>
        </w:numPr>
        <w:rPr>
          <w:highlight w:val="none"/>
        </w:rPr>
      </w:pPr>
      <w:bookmarkStart w:id="309" w:name="_Toc10914"/>
      <w:r>
        <w:rPr>
          <w:rFonts w:hint="eastAsia"/>
          <w:highlight w:val="none"/>
        </w:rPr>
        <w:t>总分</w:t>
      </w:r>
      <w:bookmarkEnd w:id="309"/>
    </w:p>
    <w:p w14:paraId="6C0A6D2E">
      <w:pPr>
        <w:ind w:firstLine="420" w:firstLineChars="200"/>
        <w:rPr>
          <w:rFonts w:ascii="宋体" w:hAnsi="宋体" w:cs="宋体"/>
          <w:szCs w:val="21"/>
          <w:highlight w:val="none"/>
        </w:rPr>
      </w:pPr>
      <w:r>
        <w:rPr>
          <w:rFonts w:hint="eastAsia" w:ascii="宋体" w:hAnsi="宋体" w:cs="宋体"/>
          <w:szCs w:val="21"/>
          <w:highlight w:val="none"/>
        </w:rPr>
        <w:t>总分即比选申请人评分综合得分，其计算公式：</w:t>
      </w:r>
    </w:p>
    <w:p w14:paraId="670B6616">
      <w:pPr>
        <w:ind w:firstLine="420" w:firstLineChars="200"/>
        <w:rPr>
          <w:rFonts w:ascii="宋体" w:hAnsi="宋体" w:cs="宋体"/>
          <w:szCs w:val="21"/>
          <w:highlight w:val="none"/>
        </w:rPr>
      </w:pPr>
      <w:r>
        <w:rPr>
          <w:rFonts w:hint="eastAsia" w:ascii="宋体" w:hAnsi="宋体" w:cs="宋体"/>
          <w:szCs w:val="21"/>
          <w:highlight w:val="none"/>
        </w:rPr>
        <w:t>总分＝技术部分得分+报价得分</w:t>
      </w:r>
    </w:p>
    <w:p w14:paraId="3B5834E1">
      <w:pPr>
        <w:ind w:firstLine="420" w:firstLineChars="200"/>
        <w:rPr>
          <w:rFonts w:ascii="宋体" w:hAnsi="宋体" w:cs="宋体"/>
          <w:szCs w:val="21"/>
          <w:highlight w:val="none"/>
        </w:rPr>
      </w:pPr>
      <w:r>
        <w:rPr>
          <w:rFonts w:hint="eastAsia" w:ascii="宋体" w:hAnsi="宋体" w:cs="宋体"/>
          <w:szCs w:val="21"/>
          <w:highlight w:val="none"/>
        </w:rPr>
        <w:t>注：各项指标的分数计算四舍五入，取小数点后两位</w:t>
      </w:r>
    </w:p>
    <w:p w14:paraId="41F1823E">
      <w:pPr>
        <w:ind w:firstLine="560"/>
        <w:rPr>
          <w:rFonts w:ascii="宋体" w:hAnsi="宋体" w:cs="Arial"/>
          <w:color w:val="000000"/>
          <w:szCs w:val="21"/>
          <w:highlight w:val="none"/>
        </w:rPr>
      </w:pPr>
    </w:p>
    <w:p w14:paraId="691E4A94">
      <w:pPr>
        <w:rPr>
          <w:rFonts w:ascii="宋体" w:hAnsi="宋体" w:cs="Arial"/>
          <w:color w:val="000000"/>
          <w:szCs w:val="24"/>
          <w:highlight w:val="none"/>
        </w:rPr>
        <w:sectPr>
          <w:footerReference r:id="rId13" w:type="default"/>
          <w:pgSz w:w="11906" w:h="16838"/>
          <w:pgMar w:top="1134" w:right="1418" w:bottom="1134" w:left="1418" w:header="851" w:footer="567" w:gutter="0"/>
          <w:pgNumType w:fmt="decimal"/>
          <w:cols w:space="720" w:num="1"/>
          <w:docGrid w:type="lines" w:linePitch="312" w:charSpace="0"/>
        </w:sectPr>
      </w:pPr>
    </w:p>
    <w:tbl>
      <w:tblPr>
        <w:tblStyle w:val="33"/>
        <w:tblW w:w="1348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5500"/>
        <w:gridCol w:w="2020"/>
        <w:gridCol w:w="1776"/>
        <w:gridCol w:w="2264"/>
        <w:gridCol w:w="1422"/>
      </w:tblGrid>
      <w:tr w14:paraId="5972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82" w:type="dxa"/>
            <w:gridSpan w:val="6"/>
            <w:shd w:val="clear" w:color="auto" w:fill="auto"/>
            <w:noWrap/>
            <w:vAlign w:val="center"/>
          </w:tcPr>
          <w:p w14:paraId="4A1D19C2">
            <w:pPr>
              <w:widowControl/>
              <w:jc w:val="center"/>
              <w:rPr>
                <w:rFonts w:ascii="宋体" w:hAnsi="宋体" w:cs="宋体"/>
                <w:b/>
                <w:bCs/>
                <w:color w:val="000000"/>
                <w:kern w:val="0"/>
                <w:sz w:val="40"/>
                <w:szCs w:val="40"/>
                <w:highlight w:val="none"/>
              </w:rPr>
            </w:pPr>
            <w:r>
              <w:rPr>
                <w:rFonts w:hint="eastAsia" w:ascii="宋体" w:hAnsi="宋体" w:cs="宋体"/>
                <w:b/>
                <w:bCs/>
                <w:color w:val="000000"/>
                <w:kern w:val="0"/>
                <w:sz w:val="40"/>
                <w:szCs w:val="40"/>
                <w:highlight w:val="none"/>
              </w:rPr>
              <w:t>资格审查表</w:t>
            </w:r>
          </w:p>
        </w:tc>
      </w:tr>
      <w:tr w14:paraId="1286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482" w:type="dxa"/>
            <w:gridSpan w:val="6"/>
            <w:shd w:val="clear" w:color="auto" w:fill="auto"/>
            <w:noWrap/>
            <w:vAlign w:val="center"/>
          </w:tcPr>
          <w:p w14:paraId="0658AA36">
            <w:pPr>
              <w:widowControl/>
              <w:rPr>
                <w:rFonts w:ascii="宋体" w:hAnsi="宋体" w:cs="宋体"/>
                <w:color w:val="000000"/>
                <w:kern w:val="0"/>
                <w:sz w:val="28"/>
                <w:szCs w:val="28"/>
                <w:highlight w:val="none"/>
              </w:rPr>
            </w:pPr>
            <w:r>
              <w:rPr>
                <w:rFonts w:hint="eastAsia" w:ascii="宋体" w:hAnsi="宋体" w:cs="宋体"/>
                <w:b/>
                <w:bCs/>
                <w:color w:val="000000"/>
                <w:kern w:val="0"/>
                <w:sz w:val="28"/>
                <w:szCs w:val="28"/>
                <w:highlight w:val="none"/>
              </w:rPr>
              <w:t>比选项目：</w:t>
            </w:r>
          </w:p>
        </w:tc>
      </w:tr>
      <w:tr w14:paraId="62EE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0" w:type="dxa"/>
            <w:vMerge w:val="restart"/>
            <w:shd w:val="clear" w:color="auto" w:fill="auto"/>
            <w:vAlign w:val="center"/>
          </w:tcPr>
          <w:p w14:paraId="5160A68D">
            <w:pPr>
              <w:widowControl/>
              <w:jc w:val="center"/>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序</w:t>
            </w:r>
            <w:r>
              <w:rPr>
                <w:rFonts w:hint="eastAsia" w:ascii="宋体" w:hAnsi="宋体" w:cs="宋体"/>
                <w:b/>
                <w:bCs/>
                <w:color w:val="000000"/>
                <w:kern w:val="0"/>
                <w:sz w:val="28"/>
                <w:szCs w:val="28"/>
                <w:highlight w:val="none"/>
              </w:rPr>
              <w:br w:type="textWrapping"/>
            </w:r>
            <w:r>
              <w:rPr>
                <w:rFonts w:hint="eastAsia" w:ascii="宋体" w:hAnsi="宋体" w:cs="宋体"/>
                <w:b/>
                <w:bCs/>
                <w:color w:val="000000"/>
                <w:kern w:val="0"/>
                <w:sz w:val="28"/>
                <w:szCs w:val="28"/>
                <w:highlight w:val="none"/>
              </w:rPr>
              <w:t>号</w:t>
            </w:r>
          </w:p>
        </w:tc>
        <w:tc>
          <w:tcPr>
            <w:tcW w:w="5500" w:type="dxa"/>
            <w:vMerge w:val="restart"/>
            <w:shd w:val="clear" w:color="auto" w:fill="auto"/>
            <w:noWrap/>
            <w:vAlign w:val="center"/>
          </w:tcPr>
          <w:p w14:paraId="03E24A57">
            <w:pPr>
              <w:widowControl/>
              <w:jc w:val="center"/>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审核项目</w:t>
            </w:r>
          </w:p>
        </w:tc>
        <w:tc>
          <w:tcPr>
            <w:tcW w:w="6060" w:type="dxa"/>
            <w:gridSpan w:val="3"/>
            <w:shd w:val="clear" w:color="auto" w:fill="auto"/>
            <w:noWrap/>
            <w:vAlign w:val="center"/>
          </w:tcPr>
          <w:p w14:paraId="1B4A9A4A">
            <w:pPr>
              <w:widowControl/>
              <w:jc w:val="center"/>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比选申请单位</w:t>
            </w:r>
          </w:p>
        </w:tc>
        <w:tc>
          <w:tcPr>
            <w:tcW w:w="1422" w:type="dxa"/>
            <w:shd w:val="clear" w:color="auto" w:fill="auto"/>
            <w:noWrap/>
            <w:vAlign w:val="center"/>
          </w:tcPr>
          <w:p w14:paraId="180DC295">
            <w:pPr>
              <w:widowControl/>
              <w:jc w:val="center"/>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备注</w:t>
            </w:r>
          </w:p>
        </w:tc>
      </w:tr>
      <w:tr w14:paraId="3257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00" w:type="dxa"/>
            <w:vMerge w:val="continue"/>
            <w:vAlign w:val="center"/>
          </w:tcPr>
          <w:p w14:paraId="7225B208">
            <w:pPr>
              <w:widowControl/>
              <w:rPr>
                <w:rFonts w:ascii="宋体" w:hAnsi="宋体" w:cs="宋体"/>
                <w:b/>
                <w:bCs/>
                <w:color w:val="000000"/>
                <w:kern w:val="0"/>
                <w:sz w:val="28"/>
                <w:szCs w:val="28"/>
                <w:highlight w:val="none"/>
              </w:rPr>
            </w:pPr>
          </w:p>
        </w:tc>
        <w:tc>
          <w:tcPr>
            <w:tcW w:w="5500" w:type="dxa"/>
            <w:vMerge w:val="continue"/>
            <w:vAlign w:val="center"/>
          </w:tcPr>
          <w:p w14:paraId="2B2BCA3A">
            <w:pPr>
              <w:widowControl/>
              <w:rPr>
                <w:rFonts w:ascii="宋体" w:hAnsi="宋体" w:cs="宋体"/>
                <w:b/>
                <w:bCs/>
                <w:color w:val="000000"/>
                <w:kern w:val="0"/>
                <w:sz w:val="28"/>
                <w:szCs w:val="28"/>
                <w:highlight w:val="none"/>
              </w:rPr>
            </w:pPr>
          </w:p>
        </w:tc>
        <w:tc>
          <w:tcPr>
            <w:tcW w:w="2020" w:type="dxa"/>
            <w:shd w:val="clear" w:color="auto" w:fill="auto"/>
            <w:vAlign w:val="center"/>
          </w:tcPr>
          <w:p w14:paraId="49F9ED82">
            <w:pPr>
              <w:widowControl/>
              <w:jc w:val="center"/>
              <w:rPr>
                <w:rFonts w:ascii="宋体" w:hAnsi="宋体" w:cs="宋体"/>
                <w:color w:val="000000"/>
                <w:kern w:val="0"/>
                <w:sz w:val="22"/>
                <w:highlight w:val="none"/>
              </w:rPr>
            </w:pPr>
          </w:p>
        </w:tc>
        <w:tc>
          <w:tcPr>
            <w:tcW w:w="1776" w:type="dxa"/>
            <w:shd w:val="clear" w:color="auto" w:fill="auto"/>
            <w:vAlign w:val="center"/>
          </w:tcPr>
          <w:p w14:paraId="14197749">
            <w:pPr>
              <w:widowControl/>
              <w:jc w:val="center"/>
              <w:rPr>
                <w:rFonts w:ascii="宋体" w:hAnsi="宋体" w:cs="宋体"/>
                <w:color w:val="000000"/>
                <w:kern w:val="0"/>
                <w:sz w:val="22"/>
                <w:highlight w:val="none"/>
              </w:rPr>
            </w:pPr>
          </w:p>
        </w:tc>
        <w:tc>
          <w:tcPr>
            <w:tcW w:w="2264" w:type="dxa"/>
            <w:shd w:val="clear" w:color="auto" w:fill="auto"/>
            <w:vAlign w:val="center"/>
          </w:tcPr>
          <w:p w14:paraId="3001E3F1">
            <w:pPr>
              <w:widowControl/>
              <w:jc w:val="center"/>
              <w:rPr>
                <w:rFonts w:ascii="宋体" w:hAnsi="宋体" w:cs="宋体"/>
                <w:color w:val="000000"/>
                <w:kern w:val="0"/>
                <w:sz w:val="22"/>
                <w:highlight w:val="none"/>
              </w:rPr>
            </w:pPr>
          </w:p>
        </w:tc>
        <w:tc>
          <w:tcPr>
            <w:tcW w:w="1422" w:type="dxa"/>
            <w:vAlign w:val="center"/>
          </w:tcPr>
          <w:p w14:paraId="539265C6">
            <w:pPr>
              <w:widowControl/>
              <w:rPr>
                <w:rFonts w:ascii="宋体" w:hAnsi="宋体" w:cs="宋体"/>
                <w:b/>
                <w:bCs/>
                <w:color w:val="000000"/>
                <w:kern w:val="0"/>
                <w:sz w:val="28"/>
                <w:szCs w:val="28"/>
                <w:highlight w:val="none"/>
              </w:rPr>
            </w:pPr>
          </w:p>
        </w:tc>
      </w:tr>
      <w:tr w14:paraId="154F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 w:type="dxa"/>
            <w:shd w:val="clear" w:color="auto" w:fill="auto"/>
            <w:noWrap/>
            <w:vAlign w:val="center"/>
          </w:tcPr>
          <w:p w14:paraId="56477BF6">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1</w:t>
            </w:r>
          </w:p>
        </w:tc>
        <w:tc>
          <w:tcPr>
            <w:tcW w:w="5500" w:type="dxa"/>
            <w:shd w:val="clear" w:color="auto" w:fill="auto"/>
            <w:vAlign w:val="center"/>
          </w:tcPr>
          <w:p w14:paraId="0F6B7C3D">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诚信声明</w:t>
            </w:r>
          </w:p>
        </w:tc>
        <w:tc>
          <w:tcPr>
            <w:tcW w:w="2020" w:type="dxa"/>
            <w:shd w:val="clear" w:color="auto" w:fill="auto"/>
            <w:noWrap/>
            <w:vAlign w:val="bottom"/>
          </w:tcPr>
          <w:p w14:paraId="2989EAE8">
            <w:pPr>
              <w:widowControl/>
              <w:rPr>
                <w:rFonts w:ascii="宋体" w:hAnsi="宋体" w:cs="宋体"/>
                <w:color w:val="000000"/>
                <w:kern w:val="0"/>
                <w:sz w:val="22"/>
                <w:highlight w:val="none"/>
              </w:rPr>
            </w:pPr>
          </w:p>
        </w:tc>
        <w:tc>
          <w:tcPr>
            <w:tcW w:w="1776" w:type="dxa"/>
            <w:shd w:val="clear" w:color="auto" w:fill="auto"/>
            <w:noWrap/>
            <w:vAlign w:val="bottom"/>
          </w:tcPr>
          <w:p w14:paraId="2B058958">
            <w:pPr>
              <w:widowControl/>
              <w:rPr>
                <w:rFonts w:ascii="宋体" w:hAnsi="宋体" w:cs="宋体"/>
                <w:color w:val="000000"/>
                <w:kern w:val="0"/>
                <w:sz w:val="22"/>
                <w:highlight w:val="none"/>
              </w:rPr>
            </w:pPr>
          </w:p>
        </w:tc>
        <w:tc>
          <w:tcPr>
            <w:tcW w:w="2264" w:type="dxa"/>
            <w:shd w:val="clear" w:color="auto" w:fill="auto"/>
            <w:noWrap/>
            <w:vAlign w:val="bottom"/>
          </w:tcPr>
          <w:p w14:paraId="0E72BE41">
            <w:pPr>
              <w:widowControl/>
              <w:rPr>
                <w:rFonts w:ascii="宋体" w:hAnsi="宋体" w:cs="宋体"/>
                <w:color w:val="000000"/>
                <w:kern w:val="0"/>
                <w:sz w:val="22"/>
                <w:highlight w:val="none"/>
              </w:rPr>
            </w:pPr>
          </w:p>
        </w:tc>
        <w:tc>
          <w:tcPr>
            <w:tcW w:w="1422" w:type="dxa"/>
            <w:shd w:val="clear" w:color="auto" w:fill="auto"/>
            <w:noWrap/>
            <w:vAlign w:val="bottom"/>
          </w:tcPr>
          <w:p w14:paraId="62F96973">
            <w:pPr>
              <w:widowControl/>
              <w:rPr>
                <w:rFonts w:ascii="宋体" w:hAnsi="宋体" w:cs="宋体"/>
                <w:color w:val="000000"/>
                <w:kern w:val="0"/>
                <w:sz w:val="22"/>
                <w:highlight w:val="none"/>
              </w:rPr>
            </w:pPr>
          </w:p>
        </w:tc>
      </w:tr>
      <w:tr w14:paraId="075D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 w:type="dxa"/>
            <w:shd w:val="clear" w:color="auto" w:fill="auto"/>
            <w:noWrap/>
            <w:vAlign w:val="center"/>
          </w:tcPr>
          <w:p w14:paraId="1FB8C0D6">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2</w:t>
            </w:r>
          </w:p>
        </w:tc>
        <w:tc>
          <w:tcPr>
            <w:tcW w:w="5500" w:type="dxa"/>
            <w:shd w:val="clear" w:color="auto" w:fill="auto"/>
            <w:vAlign w:val="center"/>
          </w:tcPr>
          <w:p w14:paraId="0DCA8226">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法定代表人资格证明书</w:t>
            </w:r>
          </w:p>
        </w:tc>
        <w:tc>
          <w:tcPr>
            <w:tcW w:w="2020" w:type="dxa"/>
            <w:shd w:val="clear" w:color="auto" w:fill="auto"/>
            <w:noWrap/>
            <w:vAlign w:val="bottom"/>
          </w:tcPr>
          <w:p w14:paraId="2CEFAC52">
            <w:pPr>
              <w:widowControl/>
              <w:rPr>
                <w:rFonts w:ascii="宋体" w:hAnsi="宋体" w:cs="宋体"/>
                <w:color w:val="000000"/>
                <w:kern w:val="0"/>
                <w:sz w:val="22"/>
                <w:highlight w:val="none"/>
              </w:rPr>
            </w:pPr>
          </w:p>
        </w:tc>
        <w:tc>
          <w:tcPr>
            <w:tcW w:w="1776" w:type="dxa"/>
            <w:shd w:val="clear" w:color="auto" w:fill="auto"/>
            <w:noWrap/>
            <w:vAlign w:val="bottom"/>
          </w:tcPr>
          <w:p w14:paraId="01B28854">
            <w:pPr>
              <w:widowControl/>
              <w:rPr>
                <w:rFonts w:ascii="宋体" w:hAnsi="宋体" w:cs="宋体"/>
                <w:color w:val="000000"/>
                <w:kern w:val="0"/>
                <w:sz w:val="22"/>
                <w:highlight w:val="none"/>
              </w:rPr>
            </w:pPr>
          </w:p>
        </w:tc>
        <w:tc>
          <w:tcPr>
            <w:tcW w:w="2264" w:type="dxa"/>
            <w:shd w:val="clear" w:color="auto" w:fill="auto"/>
            <w:noWrap/>
            <w:vAlign w:val="bottom"/>
          </w:tcPr>
          <w:p w14:paraId="3924BD62">
            <w:pPr>
              <w:widowControl/>
              <w:rPr>
                <w:rFonts w:ascii="宋体" w:hAnsi="宋体" w:cs="宋体"/>
                <w:color w:val="000000"/>
                <w:kern w:val="0"/>
                <w:sz w:val="22"/>
                <w:highlight w:val="none"/>
              </w:rPr>
            </w:pPr>
          </w:p>
        </w:tc>
        <w:tc>
          <w:tcPr>
            <w:tcW w:w="1422" w:type="dxa"/>
            <w:shd w:val="clear" w:color="auto" w:fill="auto"/>
            <w:noWrap/>
            <w:vAlign w:val="bottom"/>
          </w:tcPr>
          <w:p w14:paraId="51821B4A">
            <w:pPr>
              <w:widowControl/>
              <w:rPr>
                <w:rFonts w:ascii="宋体" w:hAnsi="宋体" w:cs="宋体"/>
                <w:color w:val="000000"/>
                <w:kern w:val="0"/>
                <w:sz w:val="22"/>
                <w:highlight w:val="none"/>
              </w:rPr>
            </w:pPr>
          </w:p>
        </w:tc>
      </w:tr>
      <w:tr w14:paraId="5F72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 w:type="dxa"/>
            <w:shd w:val="clear" w:color="auto" w:fill="auto"/>
            <w:noWrap/>
            <w:vAlign w:val="center"/>
          </w:tcPr>
          <w:p w14:paraId="340F3CAE">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3</w:t>
            </w:r>
          </w:p>
        </w:tc>
        <w:tc>
          <w:tcPr>
            <w:tcW w:w="5500" w:type="dxa"/>
            <w:shd w:val="clear" w:color="auto" w:fill="auto"/>
            <w:vAlign w:val="center"/>
          </w:tcPr>
          <w:p w14:paraId="4797AD96">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法定代表人身份证明文件（原件扫描件加盖公章）</w:t>
            </w:r>
          </w:p>
        </w:tc>
        <w:tc>
          <w:tcPr>
            <w:tcW w:w="2020" w:type="dxa"/>
            <w:shd w:val="clear" w:color="auto" w:fill="auto"/>
            <w:noWrap/>
            <w:vAlign w:val="bottom"/>
          </w:tcPr>
          <w:p w14:paraId="20EB2D2F">
            <w:pPr>
              <w:widowControl/>
              <w:rPr>
                <w:rFonts w:ascii="宋体" w:hAnsi="宋体" w:cs="宋体"/>
                <w:color w:val="000000"/>
                <w:kern w:val="0"/>
                <w:sz w:val="22"/>
                <w:highlight w:val="none"/>
              </w:rPr>
            </w:pPr>
          </w:p>
        </w:tc>
        <w:tc>
          <w:tcPr>
            <w:tcW w:w="1776" w:type="dxa"/>
            <w:shd w:val="clear" w:color="auto" w:fill="auto"/>
            <w:noWrap/>
            <w:vAlign w:val="bottom"/>
          </w:tcPr>
          <w:p w14:paraId="793127CE">
            <w:pPr>
              <w:widowControl/>
              <w:rPr>
                <w:rFonts w:ascii="宋体" w:hAnsi="宋体" w:cs="宋体"/>
                <w:color w:val="000000"/>
                <w:kern w:val="0"/>
                <w:sz w:val="22"/>
                <w:highlight w:val="none"/>
              </w:rPr>
            </w:pPr>
          </w:p>
        </w:tc>
        <w:tc>
          <w:tcPr>
            <w:tcW w:w="2264" w:type="dxa"/>
            <w:shd w:val="clear" w:color="auto" w:fill="auto"/>
            <w:noWrap/>
            <w:vAlign w:val="bottom"/>
          </w:tcPr>
          <w:p w14:paraId="6DD111D4">
            <w:pPr>
              <w:widowControl/>
              <w:rPr>
                <w:rFonts w:ascii="宋体" w:hAnsi="宋体" w:cs="宋体"/>
                <w:color w:val="000000"/>
                <w:kern w:val="0"/>
                <w:sz w:val="22"/>
                <w:highlight w:val="none"/>
              </w:rPr>
            </w:pPr>
          </w:p>
        </w:tc>
        <w:tc>
          <w:tcPr>
            <w:tcW w:w="1422" w:type="dxa"/>
            <w:shd w:val="clear" w:color="auto" w:fill="auto"/>
            <w:noWrap/>
            <w:vAlign w:val="bottom"/>
          </w:tcPr>
          <w:p w14:paraId="08A5E5EF">
            <w:pPr>
              <w:widowControl/>
              <w:rPr>
                <w:rFonts w:ascii="宋体" w:hAnsi="宋体" w:cs="宋体"/>
                <w:color w:val="000000"/>
                <w:kern w:val="0"/>
                <w:sz w:val="22"/>
                <w:highlight w:val="none"/>
              </w:rPr>
            </w:pPr>
          </w:p>
        </w:tc>
      </w:tr>
      <w:tr w14:paraId="0FCB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 w:type="dxa"/>
            <w:shd w:val="clear" w:color="auto" w:fill="auto"/>
            <w:noWrap/>
            <w:vAlign w:val="center"/>
          </w:tcPr>
          <w:p w14:paraId="4EA21CA5">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4</w:t>
            </w:r>
          </w:p>
        </w:tc>
        <w:tc>
          <w:tcPr>
            <w:tcW w:w="5500" w:type="dxa"/>
            <w:shd w:val="clear" w:color="auto" w:fill="auto"/>
            <w:vAlign w:val="center"/>
          </w:tcPr>
          <w:p w14:paraId="3C31BF55">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授权委托书</w:t>
            </w:r>
          </w:p>
        </w:tc>
        <w:tc>
          <w:tcPr>
            <w:tcW w:w="2020" w:type="dxa"/>
            <w:shd w:val="clear" w:color="auto" w:fill="auto"/>
            <w:noWrap/>
            <w:vAlign w:val="bottom"/>
          </w:tcPr>
          <w:p w14:paraId="5B85EE1A">
            <w:pPr>
              <w:widowControl/>
              <w:rPr>
                <w:rFonts w:ascii="宋体" w:hAnsi="宋体" w:cs="宋体"/>
                <w:color w:val="000000"/>
                <w:kern w:val="0"/>
                <w:sz w:val="22"/>
                <w:highlight w:val="none"/>
              </w:rPr>
            </w:pPr>
          </w:p>
        </w:tc>
        <w:tc>
          <w:tcPr>
            <w:tcW w:w="1776" w:type="dxa"/>
            <w:shd w:val="clear" w:color="auto" w:fill="auto"/>
            <w:noWrap/>
            <w:vAlign w:val="bottom"/>
          </w:tcPr>
          <w:p w14:paraId="3C0C4D90">
            <w:pPr>
              <w:widowControl/>
              <w:rPr>
                <w:rFonts w:ascii="宋体" w:hAnsi="宋体" w:cs="宋体"/>
                <w:color w:val="000000"/>
                <w:kern w:val="0"/>
                <w:sz w:val="22"/>
                <w:highlight w:val="none"/>
              </w:rPr>
            </w:pPr>
          </w:p>
        </w:tc>
        <w:tc>
          <w:tcPr>
            <w:tcW w:w="2264" w:type="dxa"/>
            <w:shd w:val="clear" w:color="auto" w:fill="auto"/>
            <w:noWrap/>
            <w:vAlign w:val="bottom"/>
          </w:tcPr>
          <w:p w14:paraId="3F08594A">
            <w:pPr>
              <w:widowControl/>
              <w:rPr>
                <w:rFonts w:ascii="宋体" w:hAnsi="宋体" w:cs="宋体"/>
                <w:color w:val="000000"/>
                <w:kern w:val="0"/>
                <w:sz w:val="22"/>
                <w:highlight w:val="none"/>
              </w:rPr>
            </w:pPr>
          </w:p>
        </w:tc>
        <w:tc>
          <w:tcPr>
            <w:tcW w:w="1422" w:type="dxa"/>
            <w:shd w:val="clear" w:color="auto" w:fill="auto"/>
            <w:noWrap/>
            <w:vAlign w:val="bottom"/>
          </w:tcPr>
          <w:p w14:paraId="3E564CC4">
            <w:pPr>
              <w:widowControl/>
              <w:rPr>
                <w:rFonts w:ascii="宋体" w:hAnsi="宋体" w:cs="宋体"/>
                <w:color w:val="000000"/>
                <w:kern w:val="0"/>
                <w:sz w:val="22"/>
                <w:highlight w:val="none"/>
              </w:rPr>
            </w:pPr>
          </w:p>
        </w:tc>
      </w:tr>
      <w:tr w14:paraId="038E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 w:type="dxa"/>
            <w:shd w:val="clear" w:color="auto" w:fill="auto"/>
            <w:noWrap/>
            <w:vAlign w:val="center"/>
          </w:tcPr>
          <w:p w14:paraId="18ECC1DA">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5</w:t>
            </w:r>
          </w:p>
        </w:tc>
        <w:tc>
          <w:tcPr>
            <w:tcW w:w="5500" w:type="dxa"/>
            <w:shd w:val="clear" w:color="auto" w:fill="auto"/>
            <w:vAlign w:val="center"/>
          </w:tcPr>
          <w:p w14:paraId="4DD59346">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授权代理人身份证明文件（（原件扫描件加盖公章）</w:t>
            </w:r>
          </w:p>
        </w:tc>
        <w:tc>
          <w:tcPr>
            <w:tcW w:w="2020" w:type="dxa"/>
            <w:shd w:val="clear" w:color="auto" w:fill="auto"/>
            <w:noWrap/>
            <w:vAlign w:val="bottom"/>
          </w:tcPr>
          <w:p w14:paraId="157FBE6C">
            <w:pPr>
              <w:widowControl/>
              <w:rPr>
                <w:rFonts w:ascii="宋体" w:hAnsi="宋体" w:cs="宋体"/>
                <w:color w:val="000000"/>
                <w:kern w:val="0"/>
                <w:sz w:val="22"/>
                <w:highlight w:val="none"/>
              </w:rPr>
            </w:pPr>
          </w:p>
        </w:tc>
        <w:tc>
          <w:tcPr>
            <w:tcW w:w="1776" w:type="dxa"/>
            <w:shd w:val="clear" w:color="auto" w:fill="auto"/>
            <w:noWrap/>
            <w:vAlign w:val="bottom"/>
          </w:tcPr>
          <w:p w14:paraId="60B8EE7A">
            <w:pPr>
              <w:widowControl/>
              <w:rPr>
                <w:rFonts w:ascii="宋体" w:hAnsi="宋体" w:cs="宋体"/>
                <w:color w:val="000000"/>
                <w:kern w:val="0"/>
                <w:sz w:val="22"/>
                <w:highlight w:val="none"/>
              </w:rPr>
            </w:pPr>
          </w:p>
        </w:tc>
        <w:tc>
          <w:tcPr>
            <w:tcW w:w="2264" w:type="dxa"/>
            <w:shd w:val="clear" w:color="auto" w:fill="auto"/>
            <w:noWrap/>
            <w:vAlign w:val="bottom"/>
          </w:tcPr>
          <w:p w14:paraId="31A1B5D5">
            <w:pPr>
              <w:widowControl/>
              <w:rPr>
                <w:rFonts w:ascii="宋体" w:hAnsi="宋体" w:cs="宋体"/>
                <w:color w:val="000000"/>
                <w:kern w:val="0"/>
                <w:sz w:val="22"/>
                <w:highlight w:val="none"/>
              </w:rPr>
            </w:pPr>
          </w:p>
        </w:tc>
        <w:tc>
          <w:tcPr>
            <w:tcW w:w="1422" w:type="dxa"/>
            <w:shd w:val="clear" w:color="auto" w:fill="auto"/>
            <w:noWrap/>
            <w:vAlign w:val="bottom"/>
          </w:tcPr>
          <w:p w14:paraId="23C97B5B">
            <w:pPr>
              <w:widowControl/>
              <w:rPr>
                <w:rFonts w:ascii="宋体" w:hAnsi="宋体" w:cs="宋体"/>
                <w:color w:val="000000"/>
                <w:kern w:val="0"/>
                <w:sz w:val="22"/>
                <w:highlight w:val="none"/>
              </w:rPr>
            </w:pPr>
          </w:p>
        </w:tc>
      </w:tr>
      <w:tr w14:paraId="2484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00" w:type="dxa"/>
            <w:shd w:val="clear" w:color="auto" w:fill="auto"/>
            <w:noWrap/>
            <w:vAlign w:val="center"/>
          </w:tcPr>
          <w:p w14:paraId="7D0C4CB1">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6</w:t>
            </w:r>
          </w:p>
        </w:tc>
        <w:tc>
          <w:tcPr>
            <w:tcW w:w="5500" w:type="dxa"/>
            <w:shd w:val="clear" w:color="auto" w:fill="auto"/>
            <w:vAlign w:val="center"/>
          </w:tcPr>
          <w:p w14:paraId="5BE72D4B">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营业执照副本（原件扫描件加盖公章）               详见比选须知前附表序号6</w:t>
            </w:r>
          </w:p>
        </w:tc>
        <w:tc>
          <w:tcPr>
            <w:tcW w:w="2020" w:type="dxa"/>
            <w:shd w:val="clear" w:color="auto" w:fill="auto"/>
            <w:noWrap/>
            <w:vAlign w:val="bottom"/>
          </w:tcPr>
          <w:p w14:paraId="4EC16DFD">
            <w:pPr>
              <w:widowControl/>
              <w:rPr>
                <w:rFonts w:ascii="宋体" w:hAnsi="宋体" w:cs="宋体"/>
                <w:color w:val="000000"/>
                <w:kern w:val="0"/>
                <w:sz w:val="22"/>
                <w:highlight w:val="none"/>
              </w:rPr>
            </w:pPr>
          </w:p>
        </w:tc>
        <w:tc>
          <w:tcPr>
            <w:tcW w:w="1776" w:type="dxa"/>
            <w:shd w:val="clear" w:color="auto" w:fill="auto"/>
            <w:noWrap/>
            <w:vAlign w:val="bottom"/>
          </w:tcPr>
          <w:p w14:paraId="6DA55148">
            <w:pPr>
              <w:widowControl/>
              <w:rPr>
                <w:rFonts w:ascii="宋体" w:hAnsi="宋体" w:cs="宋体"/>
                <w:color w:val="000000"/>
                <w:kern w:val="0"/>
                <w:sz w:val="22"/>
                <w:highlight w:val="none"/>
              </w:rPr>
            </w:pPr>
          </w:p>
        </w:tc>
        <w:tc>
          <w:tcPr>
            <w:tcW w:w="2264" w:type="dxa"/>
            <w:shd w:val="clear" w:color="auto" w:fill="auto"/>
            <w:noWrap/>
            <w:vAlign w:val="bottom"/>
          </w:tcPr>
          <w:p w14:paraId="7A2C3735">
            <w:pPr>
              <w:widowControl/>
              <w:rPr>
                <w:rFonts w:ascii="宋体" w:hAnsi="宋体" w:cs="宋体"/>
                <w:color w:val="000000"/>
                <w:kern w:val="0"/>
                <w:sz w:val="22"/>
                <w:highlight w:val="none"/>
              </w:rPr>
            </w:pPr>
          </w:p>
        </w:tc>
        <w:tc>
          <w:tcPr>
            <w:tcW w:w="1422" w:type="dxa"/>
            <w:shd w:val="clear" w:color="auto" w:fill="auto"/>
            <w:noWrap/>
            <w:vAlign w:val="bottom"/>
          </w:tcPr>
          <w:p w14:paraId="0D4ED66E">
            <w:pPr>
              <w:widowControl/>
              <w:rPr>
                <w:rFonts w:ascii="宋体" w:hAnsi="宋体" w:cs="宋体"/>
                <w:color w:val="000000"/>
                <w:kern w:val="0"/>
                <w:sz w:val="22"/>
                <w:highlight w:val="none"/>
              </w:rPr>
            </w:pPr>
          </w:p>
        </w:tc>
      </w:tr>
      <w:tr w14:paraId="143C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65" w:hRule="atLeast"/>
        </w:trPr>
        <w:tc>
          <w:tcPr>
            <w:tcW w:w="500" w:type="dxa"/>
            <w:shd w:val="clear" w:color="auto" w:fill="auto"/>
            <w:noWrap/>
            <w:vAlign w:val="center"/>
          </w:tcPr>
          <w:p w14:paraId="1CCED9C1">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7</w:t>
            </w:r>
          </w:p>
        </w:tc>
        <w:tc>
          <w:tcPr>
            <w:tcW w:w="5500" w:type="dxa"/>
            <w:shd w:val="clear" w:color="auto" w:fill="auto"/>
            <w:vAlign w:val="center"/>
          </w:tcPr>
          <w:p w14:paraId="4684902A">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税务登记证、组织机构代码证</w:t>
            </w:r>
            <w:r>
              <w:rPr>
                <w:rFonts w:hint="eastAsia" w:ascii="宋体" w:hAnsi="宋体" w:cs="宋体"/>
                <w:color w:val="000000"/>
                <w:kern w:val="0"/>
                <w:sz w:val="22"/>
                <w:highlight w:val="none"/>
              </w:rPr>
              <w:br w:type="textWrapping"/>
            </w:r>
            <w:r>
              <w:rPr>
                <w:rFonts w:hint="eastAsia" w:ascii="宋体" w:hAnsi="宋体" w:cs="宋体"/>
                <w:color w:val="000000"/>
                <w:kern w:val="0"/>
                <w:sz w:val="22"/>
                <w:highlight w:val="none"/>
              </w:rPr>
              <w:t>（</w:t>
            </w:r>
            <w:r>
              <w:rPr>
                <w:rFonts w:hint="eastAsia" w:ascii="宋体" w:hAnsi="宋体"/>
                <w:szCs w:val="24"/>
                <w:highlight w:val="none"/>
              </w:rPr>
              <w:t>原件扫描件加盖公章，</w:t>
            </w:r>
            <w:r>
              <w:rPr>
                <w:rFonts w:hint="eastAsia" w:ascii="宋体" w:hAnsi="宋体" w:cs="宋体"/>
                <w:color w:val="000000"/>
                <w:kern w:val="0"/>
                <w:sz w:val="22"/>
                <w:highlight w:val="none"/>
              </w:rPr>
              <w:t>“三证合一”的可不提供）</w:t>
            </w:r>
          </w:p>
        </w:tc>
        <w:tc>
          <w:tcPr>
            <w:tcW w:w="2020" w:type="dxa"/>
            <w:shd w:val="clear" w:color="auto" w:fill="auto"/>
            <w:noWrap/>
            <w:vAlign w:val="bottom"/>
          </w:tcPr>
          <w:p w14:paraId="669B66EF">
            <w:pPr>
              <w:widowControl/>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776" w:type="dxa"/>
            <w:shd w:val="clear" w:color="auto" w:fill="auto"/>
            <w:noWrap/>
            <w:vAlign w:val="bottom"/>
          </w:tcPr>
          <w:p w14:paraId="72C8CA32">
            <w:pPr>
              <w:widowControl/>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2264" w:type="dxa"/>
            <w:shd w:val="clear" w:color="auto" w:fill="auto"/>
            <w:noWrap/>
            <w:vAlign w:val="bottom"/>
          </w:tcPr>
          <w:p w14:paraId="1C01C52B">
            <w:pPr>
              <w:widowControl/>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422" w:type="dxa"/>
            <w:shd w:val="clear" w:color="auto" w:fill="auto"/>
            <w:noWrap/>
            <w:vAlign w:val="bottom"/>
          </w:tcPr>
          <w:p w14:paraId="0AF5D6C5">
            <w:pPr>
              <w:widowControl/>
              <w:rPr>
                <w:rFonts w:ascii="宋体" w:hAnsi="宋体" w:cs="宋体"/>
                <w:color w:val="000000"/>
                <w:kern w:val="0"/>
                <w:sz w:val="22"/>
                <w:highlight w:val="none"/>
              </w:rPr>
            </w:pPr>
            <w:r>
              <w:rPr>
                <w:rFonts w:hint="eastAsia" w:ascii="宋体" w:hAnsi="宋体" w:cs="宋体"/>
                <w:color w:val="000000"/>
                <w:kern w:val="0"/>
                <w:sz w:val="22"/>
                <w:highlight w:val="none"/>
              </w:rPr>
              <w:t>　</w:t>
            </w:r>
          </w:p>
        </w:tc>
      </w:tr>
      <w:tr w14:paraId="3901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85" w:hRule="atLeast"/>
        </w:trPr>
        <w:tc>
          <w:tcPr>
            <w:tcW w:w="6000" w:type="dxa"/>
            <w:gridSpan w:val="2"/>
            <w:shd w:val="clear" w:color="auto" w:fill="auto"/>
            <w:noWrap/>
            <w:vAlign w:val="center"/>
          </w:tcPr>
          <w:p w14:paraId="1E4721C1">
            <w:pPr>
              <w:widowControl/>
              <w:jc w:val="center"/>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评审结果</w:t>
            </w:r>
          </w:p>
        </w:tc>
        <w:tc>
          <w:tcPr>
            <w:tcW w:w="2020" w:type="dxa"/>
            <w:shd w:val="clear" w:color="auto" w:fill="auto"/>
            <w:noWrap/>
            <w:vAlign w:val="center"/>
          </w:tcPr>
          <w:p w14:paraId="29E6B3F8">
            <w:pPr>
              <w:widowControl/>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　</w:t>
            </w:r>
          </w:p>
        </w:tc>
        <w:tc>
          <w:tcPr>
            <w:tcW w:w="1776" w:type="dxa"/>
            <w:shd w:val="clear" w:color="auto" w:fill="auto"/>
            <w:noWrap/>
            <w:vAlign w:val="center"/>
          </w:tcPr>
          <w:p w14:paraId="1292F62E">
            <w:pPr>
              <w:widowControl/>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　</w:t>
            </w:r>
          </w:p>
        </w:tc>
        <w:tc>
          <w:tcPr>
            <w:tcW w:w="2264" w:type="dxa"/>
            <w:shd w:val="clear" w:color="auto" w:fill="auto"/>
            <w:noWrap/>
            <w:vAlign w:val="center"/>
          </w:tcPr>
          <w:p w14:paraId="2AFB0852">
            <w:pPr>
              <w:widowControl/>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　</w:t>
            </w:r>
          </w:p>
        </w:tc>
        <w:tc>
          <w:tcPr>
            <w:tcW w:w="1422" w:type="dxa"/>
            <w:shd w:val="clear" w:color="auto" w:fill="auto"/>
            <w:noWrap/>
            <w:vAlign w:val="center"/>
          </w:tcPr>
          <w:p w14:paraId="7B7B01CF">
            <w:pPr>
              <w:widowControl/>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　</w:t>
            </w:r>
          </w:p>
        </w:tc>
      </w:tr>
    </w:tbl>
    <w:p w14:paraId="051D5BB0">
      <w:pPr>
        <w:ind w:right="753" w:firstLine="570"/>
        <w:rPr>
          <w:rFonts w:ascii="宋体" w:hAnsi="宋体" w:cs="宋体"/>
          <w:szCs w:val="21"/>
          <w:highlight w:val="none"/>
        </w:rPr>
      </w:pPr>
      <w:r>
        <w:rPr>
          <w:rFonts w:hint="eastAsia" w:ascii="宋体" w:hAnsi="宋体" w:cs="宋体"/>
          <w:szCs w:val="21"/>
          <w:highlight w:val="none"/>
        </w:rPr>
        <w:t>比选小组成员签名：                          日期：</w:t>
      </w:r>
    </w:p>
    <w:p w14:paraId="5253130D">
      <w:pPr>
        <w:rPr>
          <w:rFonts w:ascii="宋体" w:hAnsi="宋体" w:cs="Arial"/>
          <w:color w:val="000000"/>
          <w:szCs w:val="21"/>
          <w:highlight w:val="none"/>
        </w:rPr>
        <w:sectPr>
          <w:pgSz w:w="16838" w:h="11906" w:orient="landscape"/>
          <w:pgMar w:top="1418" w:right="1134" w:bottom="1418" w:left="1134" w:header="851" w:footer="567" w:gutter="0"/>
          <w:pgNumType w:fmt="decimal"/>
          <w:cols w:space="720" w:num="1"/>
          <w:docGrid w:type="lines" w:linePitch="312" w:charSpace="0"/>
        </w:sectPr>
      </w:pPr>
    </w:p>
    <w:bookmarkEnd w:id="178"/>
    <w:p w14:paraId="580EC8B1">
      <w:pPr>
        <w:rPr>
          <w:highlight w:val="none"/>
        </w:rPr>
      </w:pPr>
      <w:bookmarkStart w:id="310" w:name="_Toc392862509"/>
    </w:p>
    <w:p w14:paraId="4A360884">
      <w:pPr>
        <w:pStyle w:val="2"/>
        <w:numPr>
          <w:ilvl w:val="0"/>
          <w:numId w:val="13"/>
        </w:numPr>
        <w:jc w:val="center"/>
        <w:rPr>
          <w:highlight w:val="none"/>
        </w:rPr>
      </w:pPr>
      <w:r>
        <w:rPr>
          <w:rFonts w:hint="eastAsia"/>
          <w:highlight w:val="none"/>
        </w:rPr>
        <w:t xml:space="preserve"> </w:t>
      </w:r>
      <w:bookmarkStart w:id="311" w:name="_Toc21138"/>
      <w:r>
        <w:rPr>
          <w:rFonts w:hint="eastAsia"/>
          <w:highlight w:val="none"/>
        </w:rPr>
        <w:t>合同条款及格式</w:t>
      </w:r>
      <w:bookmarkEnd w:id="310"/>
      <w:bookmarkEnd w:id="311"/>
    </w:p>
    <w:p w14:paraId="15F17E1B">
      <w:pPr>
        <w:jc w:val="center"/>
        <w:rPr>
          <w:b/>
          <w:bCs/>
          <w:sz w:val="24"/>
          <w:highlight w:val="none"/>
        </w:rPr>
      </w:pPr>
      <w:r>
        <w:rPr>
          <w:rFonts w:hint="eastAsia"/>
          <w:b/>
          <w:bCs/>
          <w:sz w:val="24"/>
          <w:highlight w:val="none"/>
        </w:rPr>
        <w:t>(合同封面)</w:t>
      </w:r>
    </w:p>
    <w:p w14:paraId="6C7F9697">
      <w:pPr>
        <w:spacing w:after="156" w:afterLines="50"/>
        <w:ind w:firstLine="600" w:firstLineChars="200"/>
        <w:jc w:val="right"/>
        <w:rPr>
          <w:rFonts w:ascii="宋体" w:hAnsi="宋体"/>
          <w:sz w:val="30"/>
          <w:szCs w:val="30"/>
          <w:highlight w:val="none"/>
        </w:rPr>
      </w:pPr>
      <w:r>
        <w:rPr>
          <w:rFonts w:hint="eastAsia" w:ascii="宋体" w:hAnsi="宋体"/>
          <w:sz w:val="30"/>
          <w:szCs w:val="30"/>
          <w:highlight w:val="none"/>
        </w:rPr>
        <w:t>【X本】</w:t>
      </w:r>
    </w:p>
    <w:p w14:paraId="75C11550">
      <w:pPr>
        <w:ind w:left="-709" w:firstLine="880" w:firstLineChars="200"/>
        <w:jc w:val="center"/>
        <w:rPr>
          <w:sz w:val="44"/>
          <w:szCs w:val="44"/>
          <w:highlight w:val="none"/>
        </w:rPr>
      </w:pPr>
      <w:r>
        <w:rPr>
          <w:rFonts w:hint="eastAsia"/>
          <w:sz w:val="44"/>
          <w:szCs w:val="44"/>
          <w:highlight w:val="none"/>
        </w:rPr>
        <w:t>（项目名称）</w:t>
      </w:r>
    </w:p>
    <w:p w14:paraId="0B5BA503">
      <w:pPr>
        <w:pStyle w:val="32"/>
        <w:ind w:firstLine="549"/>
        <w:rPr>
          <w:color w:val="auto"/>
          <w:highlight w:val="none"/>
        </w:rPr>
      </w:pPr>
    </w:p>
    <w:tbl>
      <w:tblPr>
        <w:tblStyle w:val="33"/>
        <w:tblW w:w="6630" w:type="dxa"/>
        <w:jc w:val="center"/>
        <w:tblLayout w:type="fixed"/>
        <w:tblCellMar>
          <w:top w:w="0" w:type="dxa"/>
          <w:left w:w="108" w:type="dxa"/>
          <w:bottom w:w="0" w:type="dxa"/>
          <w:right w:w="108" w:type="dxa"/>
        </w:tblCellMar>
      </w:tblPr>
      <w:tblGrid>
        <w:gridCol w:w="1869"/>
        <w:gridCol w:w="4761"/>
      </w:tblGrid>
      <w:tr w14:paraId="5BC30F11">
        <w:tblPrEx>
          <w:tblCellMar>
            <w:top w:w="0" w:type="dxa"/>
            <w:left w:w="108" w:type="dxa"/>
            <w:bottom w:w="0" w:type="dxa"/>
            <w:right w:w="108" w:type="dxa"/>
          </w:tblCellMar>
        </w:tblPrEx>
        <w:trPr>
          <w:trHeight w:val="411" w:hRule="atLeast"/>
          <w:jc w:val="center"/>
        </w:trPr>
        <w:tc>
          <w:tcPr>
            <w:tcW w:w="1869" w:type="dxa"/>
          </w:tcPr>
          <w:p w14:paraId="55D61CCF">
            <w:pPr>
              <w:rPr>
                <w:rFonts w:ascii="宋体" w:hAnsi="宋体"/>
                <w:sz w:val="28"/>
                <w:szCs w:val="30"/>
                <w:highlight w:val="none"/>
              </w:rPr>
            </w:pPr>
            <w:r>
              <w:rPr>
                <w:rFonts w:hint="eastAsia" w:ascii="宋体" w:hAnsi="宋体"/>
                <w:sz w:val="28"/>
                <w:szCs w:val="30"/>
                <w:highlight w:val="none"/>
              </w:rPr>
              <w:t>项目编号：</w:t>
            </w:r>
          </w:p>
        </w:tc>
        <w:tc>
          <w:tcPr>
            <w:tcW w:w="4761" w:type="dxa"/>
          </w:tcPr>
          <w:p w14:paraId="121C1E4C">
            <w:pPr>
              <w:rPr>
                <w:rFonts w:ascii="宋体" w:hAnsi="宋体"/>
                <w:sz w:val="28"/>
                <w:szCs w:val="30"/>
                <w:highlight w:val="none"/>
              </w:rPr>
            </w:pPr>
          </w:p>
        </w:tc>
      </w:tr>
      <w:tr w14:paraId="2F628DB2">
        <w:tblPrEx>
          <w:tblCellMar>
            <w:top w:w="0" w:type="dxa"/>
            <w:left w:w="108" w:type="dxa"/>
            <w:bottom w:w="0" w:type="dxa"/>
            <w:right w:w="108" w:type="dxa"/>
          </w:tblCellMar>
        </w:tblPrEx>
        <w:trPr>
          <w:trHeight w:val="118" w:hRule="atLeast"/>
          <w:jc w:val="center"/>
        </w:trPr>
        <w:tc>
          <w:tcPr>
            <w:tcW w:w="1869" w:type="dxa"/>
          </w:tcPr>
          <w:p w14:paraId="6525E7A0">
            <w:pPr>
              <w:rPr>
                <w:rFonts w:ascii="宋体" w:hAnsi="宋体"/>
                <w:sz w:val="28"/>
                <w:szCs w:val="30"/>
                <w:highlight w:val="none"/>
              </w:rPr>
            </w:pPr>
            <w:r>
              <w:rPr>
                <w:rFonts w:hint="eastAsia" w:ascii="宋体" w:hAnsi="宋体"/>
                <w:sz w:val="28"/>
                <w:szCs w:val="30"/>
                <w:highlight w:val="none"/>
              </w:rPr>
              <w:t>合同编号：</w:t>
            </w:r>
          </w:p>
        </w:tc>
        <w:tc>
          <w:tcPr>
            <w:tcW w:w="4761" w:type="dxa"/>
          </w:tcPr>
          <w:p w14:paraId="7A33C6E7">
            <w:pPr>
              <w:rPr>
                <w:rFonts w:ascii="宋体" w:hAnsi="宋体"/>
                <w:sz w:val="28"/>
                <w:szCs w:val="30"/>
                <w:highlight w:val="none"/>
              </w:rPr>
            </w:pPr>
          </w:p>
        </w:tc>
      </w:tr>
    </w:tbl>
    <w:p w14:paraId="72E2B037">
      <w:pPr>
        <w:pStyle w:val="32"/>
        <w:ind w:firstLine="549"/>
        <w:rPr>
          <w:color w:val="auto"/>
          <w:highlight w:val="none"/>
        </w:rPr>
      </w:pPr>
    </w:p>
    <w:p w14:paraId="7D8F23EA">
      <w:pPr>
        <w:ind w:firstLine="3614" w:firstLineChars="500"/>
        <w:rPr>
          <w:rFonts w:ascii="楷体_GB2312" w:eastAsia="楷体_GB2312"/>
          <w:b/>
          <w:sz w:val="72"/>
          <w:szCs w:val="72"/>
          <w:highlight w:val="none"/>
        </w:rPr>
      </w:pPr>
      <w:r>
        <w:rPr>
          <w:rFonts w:hint="eastAsia"/>
          <w:b/>
          <w:sz w:val="72"/>
          <w:szCs w:val="72"/>
          <w:highlight w:val="none"/>
        </w:rPr>
        <w:t>合</w:t>
      </w:r>
    </w:p>
    <w:p w14:paraId="7761C49C">
      <w:pPr>
        <w:ind w:firstLine="3614" w:firstLineChars="500"/>
        <w:rPr>
          <w:rFonts w:ascii="宋体" w:hAnsi="宋体"/>
          <w:b/>
          <w:sz w:val="72"/>
          <w:szCs w:val="72"/>
          <w:highlight w:val="none"/>
        </w:rPr>
      </w:pPr>
      <w:r>
        <w:rPr>
          <w:rFonts w:hint="eastAsia"/>
          <w:b/>
          <w:sz w:val="72"/>
          <w:szCs w:val="72"/>
          <w:highlight w:val="none"/>
        </w:rPr>
        <w:t>同</w:t>
      </w:r>
    </w:p>
    <w:p w14:paraId="7CC09791">
      <w:pPr>
        <w:ind w:firstLine="3614" w:firstLineChars="500"/>
        <w:rPr>
          <w:b/>
          <w:sz w:val="72"/>
          <w:szCs w:val="72"/>
          <w:highlight w:val="none"/>
        </w:rPr>
      </w:pPr>
      <w:r>
        <w:rPr>
          <w:rFonts w:hint="eastAsia"/>
          <w:b/>
          <w:sz w:val="72"/>
          <w:szCs w:val="72"/>
          <w:highlight w:val="none"/>
        </w:rPr>
        <w:t>书</w:t>
      </w:r>
    </w:p>
    <w:p w14:paraId="0383A278">
      <w:pPr>
        <w:rPr>
          <w:b/>
          <w:sz w:val="72"/>
          <w:szCs w:val="52"/>
          <w:highlight w:val="none"/>
        </w:rPr>
      </w:pPr>
    </w:p>
    <w:p w14:paraId="6BFC94C2">
      <w:pPr>
        <w:pStyle w:val="32"/>
        <w:ind w:firstLine="0" w:firstLineChars="0"/>
        <w:rPr>
          <w:color w:val="auto"/>
          <w:highlight w:val="none"/>
        </w:rPr>
      </w:pPr>
    </w:p>
    <w:p w14:paraId="53E3B509">
      <w:pPr>
        <w:pStyle w:val="32"/>
        <w:ind w:firstLine="549"/>
        <w:rPr>
          <w:color w:val="auto"/>
          <w:highlight w:val="none"/>
        </w:rPr>
      </w:pPr>
    </w:p>
    <w:p w14:paraId="61A4FD19">
      <w:pPr>
        <w:pStyle w:val="32"/>
        <w:ind w:firstLine="0" w:firstLineChars="0"/>
        <w:rPr>
          <w:color w:val="auto"/>
          <w:highlight w:val="none"/>
        </w:rPr>
      </w:pPr>
    </w:p>
    <w:p w14:paraId="118E9854">
      <w:pPr>
        <w:snapToGrid w:val="0"/>
        <w:ind w:firstLine="1124" w:firstLineChars="400"/>
        <w:rPr>
          <w:sz w:val="28"/>
          <w:szCs w:val="28"/>
          <w:highlight w:val="none"/>
        </w:rPr>
      </w:pPr>
      <w:r>
        <w:rPr>
          <w:rFonts w:hint="eastAsia" w:ascii="宋体" w:hAnsi="宋体"/>
          <w:b/>
          <w:sz w:val="28"/>
          <w:szCs w:val="28"/>
          <w:highlight w:val="none"/>
        </w:rPr>
        <w:t>甲方：</w:t>
      </w:r>
    </w:p>
    <w:p w14:paraId="267685BD">
      <w:pPr>
        <w:snapToGrid w:val="0"/>
        <w:ind w:firstLine="1124" w:firstLineChars="400"/>
        <w:rPr>
          <w:rFonts w:ascii="宋体" w:hAnsi="宋体"/>
          <w:bCs/>
          <w:sz w:val="28"/>
          <w:szCs w:val="28"/>
          <w:highlight w:val="none"/>
        </w:rPr>
      </w:pPr>
      <w:r>
        <w:rPr>
          <w:rFonts w:hint="eastAsia" w:ascii="宋体" w:hAnsi="宋体"/>
          <w:b/>
          <w:sz w:val="28"/>
          <w:szCs w:val="28"/>
          <w:highlight w:val="none"/>
        </w:rPr>
        <w:t>乙方：</w:t>
      </w:r>
    </w:p>
    <w:p w14:paraId="2BF5787B">
      <w:pPr>
        <w:snapToGrid w:val="0"/>
        <w:ind w:firstLine="1124" w:firstLineChars="400"/>
        <w:rPr>
          <w:rFonts w:ascii="宋体" w:hAnsi="宋体"/>
          <w:b/>
          <w:sz w:val="28"/>
          <w:szCs w:val="28"/>
          <w:highlight w:val="none"/>
        </w:rPr>
      </w:pPr>
      <w:r>
        <w:rPr>
          <w:rFonts w:hint="eastAsia" w:ascii="宋体" w:hAnsi="宋体"/>
          <w:b/>
          <w:sz w:val="28"/>
          <w:szCs w:val="28"/>
          <w:highlight w:val="none"/>
        </w:rPr>
        <w:t>签约日期：</w:t>
      </w:r>
      <w:r>
        <w:rPr>
          <w:rFonts w:hint="eastAsia" w:ascii="宋体" w:hAnsi="宋体"/>
          <w:sz w:val="28"/>
          <w:szCs w:val="28"/>
          <w:highlight w:val="none"/>
          <w:u w:val="single"/>
        </w:rPr>
        <w:t xml:space="preserve">　  </w:t>
      </w:r>
      <w:r>
        <w:rPr>
          <w:rFonts w:hint="eastAsia" w:ascii="宋体" w:hAnsi="宋体"/>
          <w:b/>
          <w:sz w:val="28"/>
          <w:szCs w:val="28"/>
          <w:highlight w:val="none"/>
          <w:u w:val="single"/>
        </w:rPr>
        <w:t xml:space="preserve">  </w:t>
      </w:r>
      <w:r>
        <w:rPr>
          <w:rFonts w:hint="eastAsia" w:ascii="宋体" w:hAnsi="宋体"/>
          <w:sz w:val="28"/>
          <w:szCs w:val="28"/>
          <w:highlight w:val="none"/>
        </w:rPr>
        <w:t>年</w:t>
      </w:r>
      <w:r>
        <w:rPr>
          <w:rFonts w:hint="eastAsia" w:ascii="宋体" w:hAnsi="宋体"/>
          <w:b/>
          <w:bCs/>
          <w:sz w:val="28"/>
          <w:szCs w:val="28"/>
          <w:highlight w:val="none"/>
          <w:u w:val="single"/>
        </w:rPr>
        <w:t>　</w:t>
      </w:r>
      <w:r>
        <w:rPr>
          <w:rFonts w:hint="eastAsia" w:ascii="宋体" w:hAnsi="宋体"/>
          <w:sz w:val="28"/>
          <w:szCs w:val="28"/>
          <w:highlight w:val="none"/>
          <w:u w:val="single"/>
        </w:rPr>
        <w:t>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14:paraId="031BD1D7">
      <w:pPr>
        <w:snapToGrid w:val="0"/>
        <w:ind w:right="-86" w:rightChars="-41" w:firstLine="1124" w:firstLineChars="400"/>
        <w:rPr>
          <w:rFonts w:ascii="宋体" w:hAnsi="宋体"/>
          <w:b/>
          <w:sz w:val="24"/>
          <w:highlight w:val="none"/>
        </w:rPr>
      </w:pPr>
      <w:r>
        <w:rPr>
          <w:rFonts w:hint="eastAsia" w:ascii="宋体" w:hAnsi="宋体"/>
          <w:b/>
          <w:sz w:val="28"/>
          <w:szCs w:val="28"/>
          <w:highlight w:val="none"/>
        </w:rPr>
        <w:t>签约</w:t>
      </w:r>
      <w:r>
        <w:rPr>
          <w:rFonts w:hint="eastAsia" w:ascii="宋体" w:hAnsi="宋体"/>
          <w:b/>
          <w:bCs/>
          <w:sz w:val="28"/>
          <w:szCs w:val="28"/>
          <w:highlight w:val="none"/>
        </w:rPr>
        <w:t>地点：</w:t>
      </w:r>
      <w:r>
        <w:rPr>
          <w:rFonts w:hint="eastAsia" w:ascii="宋体" w:hAnsi="宋体"/>
          <w:sz w:val="28"/>
          <w:szCs w:val="28"/>
          <w:highlight w:val="none"/>
        </w:rPr>
        <w:t>广西壮族自治区南宁市</w:t>
      </w:r>
    </w:p>
    <w:p w14:paraId="5D4DDFB3">
      <w:pPr>
        <w:pStyle w:val="32"/>
        <w:ind w:firstLine="549"/>
        <w:rPr>
          <w:color w:val="auto"/>
          <w:highlight w:val="none"/>
        </w:rPr>
        <w:sectPr>
          <w:headerReference r:id="rId14" w:type="default"/>
          <w:footerReference r:id="rId15" w:type="default"/>
          <w:pgSz w:w="11906" w:h="16838"/>
          <w:pgMar w:top="1440" w:right="1800" w:bottom="1440" w:left="1800" w:header="851" w:footer="992" w:gutter="0"/>
          <w:pgNumType w:fmt="decimal"/>
          <w:cols w:space="720" w:num="1"/>
          <w:docGrid w:type="lines" w:linePitch="312" w:charSpace="0"/>
        </w:sectPr>
      </w:pPr>
    </w:p>
    <w:p w14:paraId="0F8BB185">
      <w:pPr>
        <w:rPr>
          <w:highlight w:val="none"/>
        </w:rPr>
      </w:pPr>
    </w:p>
    <w:p w14:paraId="7D25FD7A">
      <w:pPr>
        <w:pStyle w:val="3"/>
        <w:autoSpaceDE w:val="0"/>
        <w:autoSpaceDN w:val="0"/>
        <w:adjustRightInd w:val="0"/>
        <w:spacing w:before="0" w:after="0" w:line="360" w:lineRule="auto"/>
        <w:ind w:right="412" w:rightChars="196"/>
        <w:jc w:val="center"/>
        <w:rPr>
          <w:rFonts w:ascii="Times New Roman" w:hAnsi="Times New Roman"/>
          <w:b w:val="0"/>
          <w:kern w:val="0"/>
          <w:sz w:val="28"/>
          <w:szCs w:val="28"/>
          <w:highlight w:val="none"/>
        </w:rPr>
      </w:pPr>
      <w:bookmarkStart w:id="312" w:name="_Toc6691"/>
      <w:bookmarkStart w:id="313" w:name="_Toc1990"/>
      <w:bookmarkStart w:id="314" w:name="_Toc19850"/>
      <w:bookmarkStart w:id="315" w:name="_Toc16077"/>
      <w:bookmarkStart w:id="316" w:name="_Toc27085"/>
      <w:bookmarkStart w:id="317" w:name="_Toc13843"/>
      <w:bookmarkStart w:id="318" w:name="_Toc9681"/>
      <w:bookmarkStart w:id="319" w:name="_Toc342936253"/>
      <w:bookmarkStart w:id="320" w:name="_Toc29738"/>
      <w:bookmarkStart w:id="321" w:name="_Toc21526"/>
      <w:bookmarkStart w:id="322" w:name="_Toc325030628"/>
      <w:bookmarkStart w:id="323" w:name="_Toc22126"/>
      <w:bookmarkStart w:id="324" w:name="_Toc530736582"/>
      <w:bookmarkStart w:id="325" w:name="_Toc12825"/>
      <w:bookmarkStart w:id="326" w:name="_Toc23075"/>
      <w:r>
        <w:rPr>
          <w:rFonts w:hint="eastAsia" w:ascii="Times New Roman" w:hAnsi="Times New Roman"/>
          <w:b w:val="0"/>
          <w:kern w:val="0"/>
          <w:sz w:val="28"/>
          <w:szCs w:val="28"/>
          <w:highlight w:val="none"/>
        </w:rPr>
        <w:t>第一部分   合同协议书</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357A1A12">
      <w:pPr>
        <w:rPr>
          <w:highlight w:val="none"/>
        </w:rPr>
      </w:pPr>
    </w:p>
    <w:p w14:paraId="2846FBFB">
      <w:pPr>
        <w:snapToGrid w:val="0"/>
        <w:rPr>
          <w:szCs w:val="21"/>
          <w:highlight w:val="none"/>
          <w:u w:val="single"/>
        </w:rPr>
      </w:pPr>
      <w:r>
        <w:rPr>
          <w:rFonts w:hint="eastAsia"/>
          <w:szCs w:val="21"/>
          <w:highlight w:val="none"/>
        </w:rPr>
        <w:t>甲方：</w:t>
      </w:r>
      <w:r>
        <w:rPr>
          <w:rFonts w:hint="eastAsia"/>
          <w:szCs w:val="21"/>
          <w:highlight w:val="none"/>
          <w:u w:val="single"/>
        </w:rPr>
        <w:t>南宁轨道数智科技有限公司</w:t>
      </w:r>
    </w:p>
    <w:p w14:paraId="463DA50C">
      <w:pPr>
        <w:snapToGrid w:val="0"/>
        <w:rPr>
          <w:szCs w:val="21"/>
          <w:highlight w:val="none"/>
        </w:rPr>
      </w:pPr>
      <w:r>
        <w:rPr>
          <w:rFonts w:hint="eastAsia"/>
          <w:szCs w:val="21"/>
          <w:highlight w:val="none"/>
        </w:rPr>
        <w:t>乙方：</w:t>
      </w:r>
      <w:r>
        <w:rPr>
          <w:rFonts w:hint="eastAsia"/>
          <w:szCs w:val="21"/>
          <w:highlight w:val="none"/>
          <w:u w:val="single"/>
        </w:rPr>
        <w:t>（中标单位全称）</w:t>
      </w:r>
    </w:p>
    <w:p w14:paraId="45F1A788">
      <w:pPr>
        <w:pStyle w:val="13"/>
        <w:snapToGrid w:val="0"/>
        <w:spacing w:line="360" w:lineRule="auto"/>
        <w:ind w:firstLine="412"/>
        <w:rPr>
          <w:rFonts w:ascii="Calibri" w:hAnsi="Calibri" w:eastAsia="宋体" w:cs="Times New Roman"/>
          <w:color w:val="auto"/>
          <w:kern w:val="0"/>
          <w:sz w:val="21"/>
          <w:szCs w:val="21"/>
          <w:highlight w:val="none"/>
        </w:rPr>
      </w:pPr>
    </w:p>
    <w:p w14:paraId="62B4F501">
      <w:pPr>
        <w:pStyle w:val="13"/>
        <w:snapToGrid w:val="0"/>
        <w:spacing w:line="360" w:lineRule="auto"/>
        <w:ind w:firstLine="420" w:firstLineChars="200"/>
        <w:rPr>
          <w:rFonts w:ascii="Calibri" w:hAnsi="Calibri" w:eastAsia="宋体" w:cs="Times New Roman"/>
          <w:color w:val="auto"/>
          <w:kern w:val="0"/>
          <w:sz w:val="21"/>
          <w:szCs w:val="21"/>
          <w:highlight w:val="none"/>
        </w:rPr>
      </w:pPr>
      <w:r>
        <w:rPr>
          <w:rFonts w:hint="eastAsia" w:ascii="Calibri" w:hAnsi="Calibri" w:eastAsia="宋体" w:cs="Times New Roman"/>
          <w:color w:val="auto"/>
          <w:kern w:val="0"/>
          <w:sz w:val="21"/>
          <w:szCs w:val="21"/>
          <w:highlight w:val="none"/>
        </w:rPr>
        <w:t>南宁轨道数智科技有限公司（以下简称“甲方”）为实施，已接受（以下简称“乙方”）对该项目的投标。甲、乙双方共同达成如下协议。</w:t>
      </w:r>
    </w:p>
    <w:p w14:paraId="53281715">
      <w:pPr>
        <w:pStyle w:val="82"/>
        <w:snapToGrid w:val="0"/>
        <w:spacing w:before="0" w:after="0"/>
        <w:ind w:left="0" w:right="0" w:firstLine="422" w:firstLineChars="200"/>
        <w:rPr>
          <w:b/>
          <w:bCs/>
          <w:sz w:val="21"/>
          <w:szCs w:val="21"/>
          <w:highlight w:val="none"/>
        </w:rPr>
      </w:pPr>
      <w:r>
        <w:rPr>
          <w:rFonts w:hint="eastAsia"/>
          <w:b/>
          <w:bCs/>
          <w:sz w:val="21"/>
          <w:szCs w:val="21"/>
          <w:highlight w:val="none"/>
        </w:rPr>
        <w:t>一、项目概况</w:t>
      </w:r>
    </w:p>
    <w:p w14:paraId="440A53CD">
      <w:pPr>
        <w:pStyle w:val="82"/>
        <w:snapToGrid w:val="0"/>
        <w:spacing w:before="0" w:after="0"/>
        <w:ind w:left="0" w:right="0" w:firstLine="420" w:firstLineChars="200"/>
        <w:rPr>
          <w:highlight w:val="none"/>
        </w:rPr>
      </w:pPr>
      <w:r>
        <w:rPr>
          <w:rFonts w:hint="eastAsia"/>
          <w:sz w:val="21"/>
          <w:szCs w:val="21"/>
          <w:highlight w:val="none"/>
        </w:rPr>
        <w:t>项目名称：</w:t>
      </w:r>
    </w:p>
    <w:p w14:paraId="5B3DAAC6">
      <w:pPr>
        <w:pStyle w:val="82"/>
        <w:snapToGrid w:val="0"/>
        <w:spacing w:before="0" w:after="0"/>
        <w:ind w:left="0" w:right="0" w:firstLine="420" w:firstLineChars="200"/>
        <w:rPr>
          <w:sz w:val="21"/>
          <w:szCs w:val="21"/>
          <w:highlight w:val="none"/>
        </w:rPr>
      </w:pPr>
      <w:r>
        <w:rPr>
          <w:rFonts w:hint="eastAsia"/>
          <w:sz w:val="21"/>
          <w:szCs w:val="21"/>
          <w:highlight w:val="none"/>
        </w:rPr>
        <w:t>项目地点：</w:t>
      </w:r>
      <w:r>
        <w:rPr>
          <w:rFonts w:hint="eastAsia"/>
          <w:sz w:val="21"/>
          <w:szCs w:val="21"/>
          <w:highlight w:val="none"/>
          <w:u w:val="single"/>
        </w:rPr>
        <w:t>南宁市</w:t>
      </w:r>
    </w:p>
    <w:p w14:paraId="67CD5CD2">
      <w:pPr>
        <w:widowControl/>
        <w:snapToGrid w:val="0"/>
        <w:ind w:firstLine="420" w:firstLineChars="200"/>
        <w:rPr>
          <w:szCs w:val="21"/>
          <w:highlight w:val="none"/>
          <w:u w:val="single"/>
        </w:rPr>
      </w:pPr>
      <w:r>
        <w:rPr>
          <w:rFonts w:hint="eastAsia"/>
          <w:szCs w:val="21"/>
          <w:highlight w:val="none"/>
        </w:rPr>
        <w:t>项目范围：</w:t>
      </w:r>
    </w:p>
    <w:p w14:paraId="4C6EDDE6">
      <w:pPr>
        <w:pStyle w:val="82"/>
        <w:tabs>
          <w:tab w:val="left" w:pos="0"/>
        </w:tabs>
        <w:snapToGrid w:val="0"/>
        <w:spacing w:before="0" w:after="0"/>
        <w:ind w:left="0" w:right="0" w:firstLine="422" w:firstLineChars="200"/>
        <w:rPr>
          <w:b/>
          <w:bCs/>
          <w:highlight w:val="none"/>
        </w:rPr>
      </w:pPr>
      <w:r>
        <w:rPr>
          <w:rFonts w:hint="eastAsia"/>
          <w:b/>
          <w:bCs/>
          <w:sz w:val="21"/>
          <w:szCs w:val="21"/>
          <w:highlight w:val="none"/>
        </w:rPr>
        <w:t>二、服务期：</w:t>
      </w:r>
    </w:p>
    <w:p w14:paraId="544392D3">
      <w:pPr>
        <w:snapToGrid w:val="0"/>
        <w:ind w:firstLine="422" w:firstLineChars="200"/>
        <w:rPr>
          <w:b/>
          <w:bCs/>
          <w:szCs w:val="21"/>
          <w:highlight w:val="none"/>
          <w:u w:val="single"/>
        </w:rPr>
      </w:pPr>
      <w:r>
        <w:rPr>
          <w:rFonts w:hint="eastAsia"/>
          <w:b/>
          <w:bCs/>
          <w:szCs w:val="21"/>
          <w:highlight w:val="none"/>
        </w:rPr>
        <w:t>三、项目负责人：           。</w:t>
      </w:r>
    </w:p>
    <w:p w14:paraId="3F64936D">
      <w:pPr>
        <w:pStyle w:val="82"/>
        <w:snapToGrid w:val="0"/>
        <w:spacing w:before="0" w:after="0"/>
        <w:ind w:left="0" w:right="0" w:firstLine="422" w:firstLineChars="200"/>
        <w:rPr>
          <w:b/>
          <w:bCs/>
          <w:sz w:val="21"/>
          <w:szCs w:val="21"/>
          <w:highlight w:val="none"/>
        </w:rPr>
      </w:pPr>
      <w:r>
        <w:rPr>
          <w:rFonts w:hint="eastAsia"/>
          <w:b/>
          <w:bCs/>
          <w:sz w:val="21"/>
          <w:szCs w:val="21"/>
          <w:highlight w:val="none"/>
        </w:rPr>
        <w:t>四、合同价款与合同价格形式</w:t>
      </w:r>
    </w:p>
    <w:p w14:paraId="10789039">
      <w:pPr>
        <w:widowControl/>
        <w:snapToGrid w:val="0"/>
        <w:ind w:firstLine="420" w:firstLineChars="200"/>
        <w:rPr>
          <w:kern w:val="0"/>
          <w:szCs w:val="21"/>
          <w:highlight w:val="none"/>
        </w:rPr>
      </w:pPr>
      <w:r>
        <w:rPr>
          <w:rFonts w:hint="eastAsia" w:ascii="宋体" w:hAnsi="宋体"/>
          <w:szCs w:val="21"/>
          <w:highlight w:val="none"/>
        </w:rPr>
        <w:t>1．</w:t>
      </w:r>
      <w:r>
        <w:rPr>
          <w:rFonts w:hint="eastAsia"/>
          <w:kern w:val="0"/>
          <w:szCs w:val="21"/>
          <w:highlight w:val="none"/>
        </w:rPr>
        <w:t>本合同</w:t>
      </w:r>
      <w:r>
        <w:rPr>
          <w:rFonts w:hint="eastAsia" w:ascii="宋体" w:hAnsi="宋体"/>
          <w:highlight w:val="none"/>
        </w:rPr>
        <w:t>不含增值税</w:t>
      </w:r>
      <w:r>
        <w:rPr>
          <w:rFonts w:hint="eastAsia"/>
          <w:kern w:val="0"/>
          <w:szCs w:val="21"/>
          <w:highlight w:val="none"/>
        </w:rPr>
        <w:t>价为（大写）</w:t>
      </w:r>
      <w:r>
        <w:rPr>
          <w:rFonts w:hint="eastAsia"/>
          <w:kern w:val="0"/>
          <w:szCs w:val="21"/>
          <w:highlight w:val="none"/>
          <w:u w:val="single"/>
        </w:rPr>
        <w:t xml:space="preserve">    （¥  ）</w:t>
      </w:r>
      <w:r>
        <w:rPr>
          <w:rFonts w:hint="eastAsia"/>
          <w:kern w:val="0"/>
          <w:szCs w:val="21"/>
          <w:highlight w:val="none"/>
        </w:rPr>
        <w:t>，</w:t>
      </w:r>
      <w:r>
        <w:rPr>
          <w:rFonts w:hint="eastAsia" w:hAnsi="宋体"/>
          <w:highlight w:val="none"/>
        </w:rPr>
        <w:t>增值税率为：；</w:t>
      </w:r>
      <w:r>
        <w:rPr>
          <w:rFonts w:hint="eastAsia"/>
          <w:kern w:val="0"/>
          <w:szCs w:val="21"/>
          <w:highlight w:val="none"/>
        </w:rPr>
        <w:t>税金为</w:t>
      </w:r>
      <w:r>
        <w:rPr>
          <w:rFonts w:hint="eastAsia"/>
          <w:kern w:val="0"/>
          <w:szCs w:val="21"/>
          <w:highlight w:val="none"/>
          <w:u w:val="single"/>
        </w:rPr>
        <w:t xml:space="preserve">   </w:t>
      </w:r>
      <w:r>
        <w:rPr>
          <w:rFonts w:hint="eastAsia"/>
          <w:kern w:val="0"/>
          <w:szCs w:val="21"/>
          <w:highlight w:val="none"/>
        </w:rPr>
        <w:t>，含税总价为（大写）</w:t>
      </w:r>
      <w:r>
        <w:rPr>
          <w:rFonts w:hint="eastAsia"/>
          <w:kern w:val="0"/>
          <w:szCs w:val="21"/>
          <w:highlight w:val="none"/>
          <w:u w:val="single"/>
        </w:rPr>
        <w:t xml:space="preserve">  （¥   ）</w:t>
      </w:r>
      <w:r>
        <w:rPr>
          <w:rFonts w:hint="eastAsia"/>
          <w:kern w:val="0"/>
          <w:szCs w:val="21"/>
          <w:highlight w:val="none"/>
        </w:rPr>
        <w:t>。在合同履约过程中，本合同税率必须遵照国家现行税法执行。本合同最终税金在结算阶段，按实际产生的税金进行核算。但合同</w:t>
      </w:r>
      <w:r>
        <w:rPr>
          <w:rFonts w:hint="eastAsia" w:ascii="宋体" w:hAnsi="宋体"/>
          <w:highlight w:val="none"/>
        </w:rPr>
        <w:t>不含增值税</w:t>
      </w:r>
      <w:r>
        <w:rPr>
          <w:rFonts w:hint="eastAsia"/>
          <w:kern w:val="0"/>
          <w:szCs w:val="21"/>
          <w:highlight w:val="none"/>
        </w:rPr>
        <w:t>价格不因国家税率调整而调整。</w:t>
      </w:r>
    </w:p>
    <w:p w14:paraId="7C418317">
      <w:pPr>
        <w:ind w:firstLine="420" w:firstLineChars="200"/>
        <w:rPr>
          <w:szCs w:val="21"/>
          <w:highlight w:val="none"/>
        </w:rPr>
      </w:pPr>
      <w:r>
        <w:rPr>
          <w:rFonts w:hint="eastAsia" w:ascii="宋体" w:hAnsi="宋体"/>
          <w:szCs w:val="21"/>
          <w:highlight w:val="none"/>
        </w:rPr>
        <w:t xml:space="preserve">2.合同价格形式：          </w:t>
      </w:r>
      <w:r>
        <w:rPr>
          <w:rFonts w:hint="eastAsia" w:ascii="宋体" w:hAnsi="宋体" w:cs="宋体"/>
          <w:highlight w:val="none"/>
        </w:rPr>
        <w:t>。</w:t>
      </w:r>
    </w:p>
    <w:p w14:paraId="784F05E2">
      <w:pPr>
        <w:pStyle w:val="82"/>
        <w:snapToGrid w:val="0"/>
        <w:spacing w:before="0" w:after="0"/>
        <w:ind w:left="0" w:right="0" w:firstLine="422" w:firstLineChars="200"/>
        <w:rPr>
          <w:b/>
          <w:bCs/>
          <w:sz w:val="21"/>
          <w:szCs w:val="21"/>
          <w:highlight w:val="none"/>
        </w:rPr>
      </w:pPr>
      <w:r>
        <w:rPr>
          <w:rFonts w:hint="eastAsia"/>
          <w:b/>
          <w:bCs/>
          <w:sz w:val="21"/>
          <w:szCs w:val="21"/>
          <w:highlight w:val="none"/>
        </w:rPr>
        <w:t>五、组成合同的文件</w:t>
      </w:r>
    </w:p>
    <w:p w14:paraId="0AA1AB1D">
      <w:pPr>
        <w:pStyle w:val="82"/>
        <w:snapToGrid w:val="0"/>
        <w:spacing w:before="0" w:after="0"/>
        <w:ind w:left="0" w:right="0" w:firstLine="420" w:firstLineChars="200"/>
        <w:rPr>
          <w:sz w:val="21"/>
          <w:szCs w:val="21"/>
          <w:highlight w:val="none"/>
        </w:rPr>
      </w:pPr>
      <w:r>
        <w:rPr>
          <w:rFonts w:hint="eastAsia"/>
          <w:sz w:val="21"/>
          <w:szCs w:val="21"/>
          <w:highlight w:val="none"/>
        </w:rPr>
        <w:t>组成本合同的文件包括：</w:t>
      </w:r>
    </w:p>
    <w:p w14:paraId="772E1C52">
      <w:pPr>
        <w:pStyle w:val="82"/>
        <w:snapToGrid w:val="0"/>
        <w:spacing w:before="0" w:after="0"/>
        <w:ind w:left="0" w:right="0" w:firstLine="420" w:firstLineChars="200"/>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）合同协议书；</w:t>
      </w:r>
    </w:p>
    <w:p w14:paraId="3F017D1C">
      <w:pPr>
        <w:pStyle w:val="82"/>
        <w:snapToGrid w:val="0"/>
        <w:spacing w:before="0" w:after="0"/>
        <w:ind w:left="0" w:right="0"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）中选通知书；</w:t>
      </w:r>
    </w:p>
    <w:p w14:paraId="372976CF">
      <w:pPr>
        <w:pStyle w:val="82"/>
        <w:snapToGrid w:val="0"/>
        <w:spacing w:before="0" w:after="0"/>
        <w:ind w:left="0" w:right="0" w:firstLine="420" w:firstLineChars="200"/>
        <w:rPr>
          <w:sz w:val="21"/>
          <w:szCs w:val="21"/>
          <w:highlight w:val="none"/>
        </w:rPr>
      </w:pPr>
      <w:r>
        <w:rPr>
          <w:rFonts w:hint="eastAsia"/>
          <w:sz w:val="21"/>
          <w:szCs w:val="21"/>
          <w:highlight w:val="none"/>
        </w:rPr>
        <w:t>（3）合同条款；</w:t>
      </w:r>
    </w:p>
    <w:p w14:paraId="4CBFC2A8">
      <w:pPr>
        <w:pStyle w:val="82"/>
        <w:snapToGrid w:val="0"/>
        <w:spacing w:before="0" w:after="0"/>
        <w:ind w:left="0" w:right="0" w:firstLine="420" w:firstLineChars="200"/>
        <w:rPr>
          <w:sz w:val="21"/>
          <w:szCs w:val="21"/>
          <w:highlight w:val="none"/>
        </w:rPr>
      </w:pPr>
      <w:r>
        <w:rPr>
          <w:rFonts w:hint="eastAsia"/>
          <w:sz w:val="21"/>
          <w:szCs w:val="21"/>
          <w:highlight w:val="none"/>
        </w:rPr>
        <w:t>（4）价格组成文件；</w:t>
      </w:r>
    </w:p>
    <w:p w14:paraId="739B909A">
      <w:pPr>
        <w:pStyle w:val="82"/>
        <w:snapToGrid w:val="0"/>
        <w:spacing w:before="0" w:after="0"/>
        <w:ind w:left="0" w:right="0" w:firstLine="420" w:firstLineChars="200"/>
        <w:rPr>
          <w:sz w:val="21"/>
          <w:szCs w:val="21"/>
          <w:highlight w:val="none"/>
        </w:rPr>
      </w:pPr>
      <w:r>
        <w:rPr>
          <w:rFonts w:hint="eastAsia"/>
          <w:sz w:val="21"/>
          <w:szCs w:val="21"/>
          <w:highlight w:val="none"/>
        </w:rPr>
        <w:t>（</w:t>
      </w:r>
      <w:r>
        <w:rPr>
          <w:sz w:val="21"/>
          <w:szCs w:val="21"/>
          <w:highlight w:val="none"/>
        </w:rPr>
        <w:t>5</w:t>
      </w:r>
      <w:r>
        <w:rPr>
          <w:rFonts w:hint="eastAsia"/>
          <w:sz w:val="21"/>
          <w:szCs w:val="21"/>
          <w:highlight w:val="none"/>
        </w:rPr>
        <w:t>）技术规格</w:t>
      </w:r>
      <w:r>
        <w:rPr>
          <w:sz w:val="21"/>
          <w:szCs w:val="21"/>
          <w:highlight w:val="none"/>
        </w:rPr>
        <w:t>书</w:t>
      </w:r>
      <w:r>
        <w:rPr>
          <w:rFonts w:hint="eastAsia"/>
          <w:sz w:val="21"/>
          <w:szCs w:val="21"/>
          <w:highlight w:val="none"/>
        </w:rPr>
        <w:t>；</w:t>
      </w:r>
    </w:p>
    <w:p w14:paraId="32076187">
      <w:pPr>
        <w:pStyle w:val="82"/>
        <w:snapToGrid w:val="0"/>
        <w:spacing w:before="0" w:after="0"/>
        <w:ind w:left="0" w:right="0" w:firstLine="420" w:firstLineChars="200"/>
        <w:rPr>
          <w:sz w:val="21"/>
          <w:szCs w:val="21"/>
          <w:highlight w:val="none"/>
        </w:rPr>
      </w:pPr>
      <w:r>
        <w:rPr>
          <w:rFonts w:hint="eastAsia"/>
          <w:sz w:val="21"/>
          <w:szCs w:val="21"/>
          <w:highlight w:val="none"/>
        </w:rPr>
        <w:t>（</w:t>
      </w:r>
      <w:r>
        <w:rPr>
          <w:sz w:val="21"/>
          <w:szCs w:val="21"/>
          <w:highlight w:val="none"/>
        </w:rPr>
        <w:t>6</w:t>
      </w:r>
      <w:r>
        <w:rPr>
          <w:rFonts w:hint="eastAsia"/>
          <w:sz w:val="21"/>
          <w:szCs w:val="21"/>
          <w:highlight w:val="none"/>
        </w:rPr>
        <w:t>）合同附件；</w:t>
      </w:r>
    </w:p>
    <w:p w14:paraId="60353C00">
      <w:pPr>
        <w:pStyle w:val="82"/>
        <w:snapToGrid w:val="0"/>
        <w:spacing w:before="0" w:after="0"/>
        <w:ind w:left="0" w:right="0" w:firstLine="420" w:firstLineChars="200"/>
        <w:rPr>
          <w:sz w:val="21"/>
          <w:szCs w:val="21"/>
          <w:highlight w:val="none"/>
        </w:rPr>
      </w:pPr>
      <w:r>
        <w:rPr>
          <w:rFonts w:hint="eastAsia"/>
          <w:sz w:val="21"/>
          <w:szCs w:val="21"/>
          <w:highlight w:val="none"/>
        </w:rPr>
        <w:t>（</w:t>
      </w:r>
      <w:r>
        <w:rPr>
          <w:sz w:val="21"/>
          <w:szCs w:val="21"/>
          <w:highlight w:val="none"/>
        </w:rPr>
        <w:t>7</w:t>
      </w:r>
      <w:r>
        <w:rPr>
          <w:rFonts w:hint="eastAsia"/>
          <w:sz w:val="21"/>
          <w:szCs w:val="21"/>
          <w:highlight w:val="none"/>
        </w:rPr>
        <w:t>）比选文件（含比选补遗文件）（另册）；</w:t>
      </w:r>
    </w:p>
    <w:p w14:paraId="754BC289">
      <w:pPr>
        <w:pStyle w:val="82"/>
        <w:snapToGrid w:val="0"/>
        <w:spacing w:before="0" w:after="0"/>
        <w:ind w:left="0" w:right="0" w:firstLine="420" w:firstLineChars="200"/>
        <w:rPr>
          <w:sz w:val="21"/>
          <w:szCs w:val="21"/>
          <w:highlight w:val="none"/>
        </w:rPr>
      </w:pPr>
      <w:r>
        <w:rPr>
          <w:rFonts w:hint="eastAsia"/>
          <w:sz w:val="21"/>
          <w:szCs w:val="21"/>
          <w:highlight w:val="none"/>
        </w:rPr>
        <w:t>（8）比选申请文件（含比选申请文件的补充文件）（另册）。</w:t>
      </w:r>
    </w:p>
    <w:p w14:paraId="7672E93E">
      <w:pPr>
        <w:pStyle w:val="82"/>
        <w:snapToGrid w:val="0"/>
        <w:spacing w:before="0" w:after="0"/>
        <w:ind w:left="0" w:right="0" w:firstLine="420" w:firstLineChars="200"/>
        <w:rPr>
          <w:sz w:val="21"/>
          <w:szCs w:val="21"/>
          <w:highlight w:val="none"/>
        </w:rPr>
      </w:pPr>
      <w:r>
        <w:rPr>
          <w:rFonts w:hint="eastAsia"/>
          <w:sz w:val="21"/>
          <w:szCs w:val="21"/>
          <w:highlight w:val="none"/>
        </w:rPr>
        <w:t>上述文件相互补充和解释，如有不明确或不一致之处，以上述次序在先者为准。双方关于项目变更通知、会议纪要等书面文本视为本合同的组成部分。合同签订后，双方签订的补充协议也是本合同文件的组成部分，如补充协议与其他文件发生矛盾或歧义时，属于同一类内容的文件，应以最新签署的为准。</w:t>
      </w:r>
    </w:p>
    <w:p w14:paraId="316AE9E2">
      <w:pPr>
        <w:pStyle w:val="82"/>
        <w:snapToGrid w:val="0"/>
        <w:spacing w:before="0" w:after="0"/>
        <w:ind w:left="0" w:right="0" w:firstLine="420" w:firstLineChars="200"/>
        <w:rPr>
          <w:sz w:val="21"/>
          <w:szCs w:val="21"/>
          <w:highlight w:val="none"/>
        </w:rPr>
      </w:pPr>
      <w:r>
        <w:rPr>
          <w:rFonts w:hint="eastAsia"/>
          <w:sz w:val="21"/>
          <w:szCs w:val="21"/>
          <w:highlight w:val="none"/>
        </w:rPr>
        <w:t>六、乙方向甲方承诺严格履行合同条款义务，按合同约定承担本标段的咨询任务。</w:t>
      </w:r>
    </w:p>
    <w:p w14:paraId="6D9B4E67">
      <w:pPr>
        <w:pStyle w:val="82"/>
        <w:snapToGrid w:val="0"/>
        <w:spacing w:before="0" w:after="0"/>
        <w:ind w:left="0" w:right="0" w:firstLine="420" w:firstLineChars="200"/>
        <w:rPr>
          <w:sz w:val="21"/>
          <w:szCs w:val="21"/>
          <w:highlight w:val="none"/>
        </w:rPr>
      </w:pPr>
      <w:r>
        <w:rPr>
          <w:rFonts w:hint="eastAsia"/>
          <w:sz w:val="21"/>
          <w:szCs w:val="21"/>
          <w:highlight w:val="none"/>
        </w:rPr>
        <w:t>七、甲乙</w:t>
      </w:r>
      <w:r>
        <w:rPr>
          <w:sz w:val="21"/>
          <w:szCs w:val="21"/>
          <w:highlight w:val="none"/>
        </w:rPr>
        <w:t>双方依据本次</w:t>
      </w:r>
      <w:r>
        <w:rPr>
          <w:rFonts w:hint="eastAsia"/>
          <w:sz w:val="21"/>
          <w:szCs w:val="21"/>
          <w:highlight w:val="none"/>
        </w:rPr>
        <w:t>比选</w:t>
      </w:r>
      <w:r>
        <w:rPr>
          <w:sz w:val="21"/>
          <w:szCs w:val="21"/>
          <w:highlight w:val="none"/>
        </w:rPr>
        <w:t>文件中的用户需求书</w:t>
      </w:r>
      <w:r>
        <w:rPr>
          <w:rFonts w:hint="eastAsia"/>
          <w:sz w:val="21"/>
          <w:szCs w:val="21"/>
          <w:highlight w:val="none"/>
        </w:rPr>
        <w:t>、乙方比选申请文件（如技术响应表、技术文件等）</w:t>
      </w:r>
      <w:r>
        <w:rPr>
          <w:sz w:val="21"/>
          <w:szCs w:val="21"/>
          <w:highlight w:val="none"/>
        </w:rPr>
        <w:t>，按照二者</w:t>
      </w:r>
      <w:r>
        <w:rPr>
          <w:rFonts w:hint="eastAsia"/>
          <w:sz w:val="21"/>
          <w:szCs w:val="21"/>
          <w:highlight w:val="none"/>
        </w:rPr>
        <w:t>较</w:t>
      </w:r>
      <w:r>
        <w:rPr>
          <w:sz w:val="21"/>
          <w:szCs w:val="21"/>
          <w:highlight w:val="none"/>
        </w:rPr>
        <w:t>优值形成技术规格书</w:t>
      </w:r>
      <w:r>
        <w:rPr>
          <w:rFonts w:hint="eastAsia"/>
          <w:sz w:val="21"/>
          <w:szCs w:val="21"/>
          <w:highlight w:val="none"/>
        </w:rPr>
        <w:t>。</w:t>
      </w:r>
      <w:r>
        <w:rPr>
          <w:sz w:val="21"/>
          <w:szCs w:val="21"/>
          <w:highlight w:val="none"/>
        </w:rPr>
        <w:t>并经双方</w:t>
      </w:r>
      <w:r>
        <w:rPr>
          <w:rFonts w:hint="eastAsia"/>
          <w:sz w:val="21"/>
          <w:szCs w:val="21"/>
          <w:highlight w:val="none"/>
        </w:rPr>
        <w:t>确认</w:t>
      </w:r>
      <w:r>
        <w:rPr>
          <w:sz w:val="21"/>
          <w:szCs w:val="21"/>
          <w:highlight w:val="none"/>
        </w:rPr>
        <w:t>后构成本合同的有效组成部分。在本合同执行中的系统技术指标以技术规格书为准。</w:t>
      </w:r>
    </w:p>
    <w:p w14:paraId="7A1BB44F">
      <w:pPr>
        <w:pStyle w:val="82"/>
        <w:snapToGrid w:val="0"/>
        <w:spacing w:before="0" w:after="0"/>
        <w:ind w:left="0" w:right="0" w:firstLine="420" w:firstLineChars="200"/>
        <w:rPr>
          <w:sz w:val="21"/>
          <w:szCs w:val="21"/>
          <w:highlight w:val="none"/>
        </w:rPr>
      </w:pPr>
      <w:r>
        <w:rPr>
          <w:rFonts w:hint="eastAsia"/>
          <w:sz w:val="21"/>
          <w:szCs w:val="21"/>
          <w:highlight w:val="none"/>
        </w:rPr>
        <w:t>八、甲方向乙方承诺按合同条款约定的条件、时间和方式支付合同价款。</w:t>
      </w:r>
    </w:p>
    <w:p w14:paraId="13E13450">
      <w:pPr>
        <w:pStyle w:val="82"/>
        <w:snapToGrid w:val="0"/>
        <w:spacing w:before="0" w:after="0"/>
        <w:ind w:left="0" w:right="0" w:firstLine="420" w:firstLineChars="200"/>
        <w:rPr>
          <w:sz w:val="21"/>
          <w:szCs w:val="21"/>
          <w:highlight w:val="none"/>
        </w:rPr>
      </w:pPr>
      <w:r>
        <w:rPr>
          <w:rFonts w:hint="eastAsia"/>
          <w:sz w:val="21"/>
          <w:szCs w:val="21"/>
          <w:highlight w:val="none"/>
        </w:rPr>
        <w:t>九、甲方、乙方承诺按照合同条款约定的违约责任和解决争议方式履行合同。</w:t>
      </w:r>
    </w:p>
    <w:p w14:paraId="41A08D0C">
      <w:pPr>
        <w:pStyle w:val="82"/>
        <w:snapToGrid w:val="0"/>
        <w:spacing w:before="0" w:after="0"/>
        <w:ind w:left="0" w:right="0" w:firstLine="420" w:firstLineChars="200"/>
        <w:rPr>
          <w:sz w:val="21"/>
          <w:szCs w:val="21"/>
          <w:highlight w:val="none"/>
        </w:rPr>
      </w:pPr>
      <w:r>
        <w:rPr>
          <w:rFonts w:hint="eastAsia"/>
          <w:sz w:val="21"/>
          <w:szCs w:val="21"/>
          <w:highlight w:val="none"/>
        </w:rPr>
        <w:t>十、本合同协议书中有关词语含义与本合同《合同条款》中分别赋予它们的定义相同，合同协议书与《合同条款》共同组成完整的合同文本。</w:t>
      </w:r>
    </w:p>
    <w:p w14:paraId="474FD0BD">
      <w:pPr>
        <w:pStyle w:val="82"/>
        <w:snapToGrid w:val="0"/>
        <w:spacing w:before="0" w:after="0"/>
        <w:ind w:left="0" w:right="0" w:firstLine="420" w:firstLineChars="200"/>
        <w:rPr>
          <w:sz w:val="21"/>
          <w:szCs w:val="21"/>
          <w:highlight w:val="none"/>
        </w:rPr>
      </w:pPr>
      <w:r>
        <w:rPr>
          <w:rFonts w:hint="eastAsia"/>
          <w:sz w:val="21"/>
          <w:szCs w:val="21"/>
          <w:highlight w:val="none"/>
        </w:rPr>
        <w:t>十一、本合同协议书自甲方、乙方的法定代表人或其委托代理人在合同协议书上签字并盖单位章后生效。</w:t>
      </w:r>
    </w:p>
    <w:p w14:paraId="5C07B228">
      <w:pPr>
        <w:snapToGrid w:val="0"/>
        <w:ind w:firstLine="420" w:firstLineChars="200"/>
        <w:rPr>
          <w:rFonts w:ascii="宋体" w:hAnsi="宋体"/>
          <w:szCs w:val="21"/>
          <w:highlight w:val="none"/>
        </w:rPr>
      </w:pPr>
      <w:r>
        <w:rPr>
          <w:rFonts w:hint="eastAsia" w:ascii="宋体" w:hAnsi="宋体"/>
          <w:szCs w:val="21"/>
          <w:highlight w:val="none"/>
        </w:rPr>
        <w:t>十二、</w:t>
      </w:r>
      <w:r>
        <w:rPr>
          <w:rFonts w:hint="eastAsia" w:ascii="宋体" w:hAnsi="宋体"/>
          <w:kern w:val="52"/>
          <w:szCs w:val="21"/>
          <w:highlight w:val="none"/>
        </w:rPr>
        <w:t>本协议书正本</w:t>
      </w:r>
      <w:r>
        <w:rPr>
          <w:rFonts w:ascii="宋体" w:hAnsi="宋体"/>
          <w:kern w:val="52"/>
          <w:szCs w:val="21"/>
          <w:highlight w:val="none"/>
        </w:rPr>
        <w:t>2</w:t>
      </w:r>
      <w:r>
        <w:rPr>
          <w:rFonts w:hint="eastAsia" w:ascii="宋体" w:hAnsi="宋体"/>
          <w:kern w:val="52"/>
          <w:szCs w:val="21"/>
          <w:highlight w:val="none"/>
        </w:rPr>
        <w:t>份，甲、乙方各</w:t>
      </w:r>
      <w:r>
        <w:rPr>
          <w:rFonts w:ascii="宋体" w:hAnsi="宋体"/>
          <w:kern w:val="52"/>
          <w:szCs w:val="21"/>
          <w:highlight w:val="none"/>
        </w:rPr>
        <w:t>1</w:t>
      </w:r>
      <w:r>
        <w:rPr>
          <w:rFonts w:hint="eastAsia" w:ascii="宋体" w:hAnsi="宋体"/>
          <w:kern w:val="52"/>
          <w:szCs w:val="21"/>
          <w:highlight w:val="none"/>
        </w:rPr>
        <w:t>份；副本</w:t>
      </w:r>
      <w:r>
        <w:rPr>
          <w:rFonts w:hint="eastAsia" w:ascii="宋体" w:hAnsi="宋体"/>
          <w:kern w:val="52"/>
          <w:szCs w:val="21"/>
          <w:highlight w:val="none"/>
          <w:u w:val="single"/>
        </w:rPr>
        <w:t xml:space="preserve">  </w:t>
      </w:r>
      <w:r>
        <w:rPr>
          <w:rFonts w:hint="eastAsia" w:ascii="宋体" w:hAnsi="宋体"/>
          <w:kern w:val="52"/>
          <w:szCs w:val="21"/>
          <w:highlight w:val="none"/>
        </w:rPr>
        <w:t>份，甲方</w:t>
      </w:r>
      <w:r>
        <w:rPr>
          <w:rFonts w:hint="eastAsia" w:ascii="宋体" w:hAnsi="宋体"/>
          <w:kern w:val="52"/>
          <w:szCs w:val="21"/>
          <w:highlight w:val="none"/>
          <w:u w:val="single"/>
        </w:rPr>
        <w:t xml:space="preserve">  </w:t>
      </w:r>
      <w:r>
        <w:rPr>
          <w:rFonts w:hint="eastAsia" w:ascii="宋体" w:hAnsi="宋体"/>
          <w:kern w:val="52"/>
          <w:szCs w:val="21"/>
          <w:highlight w:val="none"/>
        </w:rPr>
        <w:t>份，乙方</w:t>
      </w:r>
      <w:r>
        <w:rPr>
          <w:rFonts w:hint="eastAsia" w:ascii="宋体" w:hAnsi="宋体"/>
          <w:kern w:val="52"/>
          <w:szCs w:val="21"/>
          <w:highlight w:val="none"/>
          <w:u w:val="single"/>
        </w:rPr>
        <w:t xml:space="preserve">  </w:t>
      </w:r>
      <w:r>
        <w:rPr>
          <w:rFonts w:hint="eastAsia" w:ascii="宋体" w:hAnsi="宋体"/>
          <w:kern w:val="52"/>
          <w:szCs w:val="21"/>
          <w:highlight w:val="none"/>
        </w:rPr>
        <w:t>份</w:t>
      </w:r>
      <w:r>
        <w:rPr>
          <w:rFonts w:hint="eastAsia" w:ascii="宋体" w:hAnsi="宋体"/>
          <w:szCs w:val="21"/>
          <w:highlight w:val="none"/>
        </w:rPr>
        <w:t>。</w:t>
      </w:r>
    </w:p>
    <w:p w14:paraId="2E4A9E05">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十三、合同未尽事宜，双方另行签订补充协议。</w:t>
      </w:r>
    </w:p>
    <w:p w14:paraId="7F9CF875">
      <w:pPr>
        <w:pStyle w:val="82"/>
        <w:snapToGrid w:val="0"/>
        <w:spacing w:before="0" w:after="0"/>
        <w:ind w:left="420" w:right="29" w:firstLine="420" w:firstLineChars="200"/>
        <w:rPr>
          <w:sz w:val="21"/>
          <w:szCs w:val="21"/>
          <w:highlight w:val="none"/>
        </w:rPr>
      </w:pPr>
    </w:p>
    <w:p w14:paraId="43F4AE1E">
      <w:pPr>
        <w:tabs>
          <w:tab w:val="left" w:pos="4140"/>
          <w:tab w:val="left" w:pos="4320"/>
        </w:tabs>
        <w:snapToGrid w:val="0"/>
        <w:rPr>
          <w:szCs w:val="21"/>
          <w:highlight w:val="none"/>
          <w:u w:val="single"/>
        </w:rPr>
      </w:pPr>
      <w:r>
        <w:rPr>
          <w:rFonts w:hint="eastAsia" w:hAnsi="宋体"/>
          <w:szCs w:val="21"/>
          <w:highlight w:val="none"/>
        </w:rPr>
        <w:t>甲方：</w:t>
      </w:r>
      <w:r>
        <w:rPr>
          <w:rFonts w:hint="eastAsia"/>
          <w:szCs w:val="21"/>
          <w:highlight w:val="none"/>
          <w:u w:val="single"/>
        </w:rPr>
        <w:t>南宁轨道数智科技有限公司</w:t>
      </w:r>
      <w:r>
        <w:rPr>
          <w:rFonts w:hint="eastAsia"/>
          <w:szCs w:val="21"/>
          <w:highlight w:val="none"/>
        </w:rPr>
        <w:t xml:space="preserve">           </w:t>
      </w:r>
      <w:r>
        <w:rPr>
          <w:rFonts w:hint="eastAsia" w:hAnsi="宋体"/>
          <w:szCs w:val="21"/>
          <w:highlight w:val="none"/>
        </w:rPr>
        <w:t>乙方：</w:t>
      </w:r>
      <w:r>
        <w:rPr>
          <w:rFonts w:hint="eastAsia" w:hAnsi="宋体"/>
          <w:szCs w:val="21"/>
          <w:highlight w:val="none"/>
          <w:u w:val="single"/>
        </w:rPr>
        <w:t>（中标单位全称）</w:t>
      </w:r>
    </w:p>
    <w:p w14:paraId="1CC89A6E">
      <w:pPr>
        <w:tabs>
          <w:tab w:val="left" w:pos="4140"/>
          <w:tab w:val="left" w:pos="4320"/>
        </w:tabs>
        <w:snapToGrid w:val="0"/>
        <w:ind w:firstLine="1260" w:firstLineChars="600"/>
        <w:rPr>
          <w:szCs w:val="21"/>
          <w:highlight w:val="none"/>
        </w:rPr>
      </w:pPr>
      <w:r>
        <w:rPr>
          <w:rFonts w:hint="eastAsia"/>
          <w:szCs w:val="21"/>
          <w:highlight w:val="none"/>
          <w:u w:val="single"/>
        </w:rPr>
        <w:t>（</w:t>
      </w:r>
      <w:r>
        <w:rPr>
          <w:rFonts w:hint="eastAsia" w:hAnsi="宋体"/>
          <w:szCs w:val="21"/>
          <w:highlight w:val="none"/>
          <w:u w:val="single"/>
        </w:rPr>
        <w:t xml:space="preserve">盖单位章）   </w:t>
      </w:r>
      <w:r>
        <w:rPr>
          <w:rFonts w:hint="eastAsia" w:hAnsi="宋体"/>
          <w:szCs w:val="21"/>
          <w:highlight w:val="none"/>
        </w:rPr>
        <w:t xml:space="preserve">                       </w:t>
      </w:r>
      <w:r>
        <w:rPr>
          <w:rFonts w:hint="eastAsia"/>
          <w:szCs w:val="21"/>
          <w:highlight w:val="none"/>
          <w:u w:val="single"/>
        </w:rPr>
        <w:t>（</w:t>
      </w:r>
      <w:r>
        <w:rPr>
          <w:rFonts w:hint="eastAsia" w:hAnsi="宋体"/>
          <w:szCs w:val="21"/>
          <w:highlight w:val="none"/>
          <w:u w:val="single"/>
        </w:rPr>
        <w:t>盖单位章）</w:t>
      </w:r>
    </w:p>
    <w:p w14:paraId="56D92628">
      <w:pPr>
        <w:tabs>
          <w:tab w:val="left" w:pos="360"/>
          <w:tab w:val="left" w:pos="4140"/>
          <w:tab w:val="left" w:pos="4320"/>
        </w:tabs>
        <w:snapToGrid w:val="0"/>
        <w:rPr>
          <w:szCs w:val="21"/>
          <w:highlight w:val="none"/>
          <w:u w:val="single"/>
        </w:rPr>
      </w:pPr>
      <w:r>
        <w:rPr>
          <w:rFonts w:hint="eastAsia" w:hAnsi="宋体"/>
          <w:szCs w:val="21"/>
          <w:highlight w:val="none"/>
        </w:rPr>
        <w:t>法定代表人或                             法定代表人或</w:t>
      </w:r>
    </w:p>
    <w:p w14:paraId="6399AF36">
      <w:pPr>
        <w:tabs>
          <w:tab w:val="left" w:pos="4140"/>
          <w:tab w:val="left" w:pos="4320"/>
        </w:tabs>
        <w:snapToGrid w:val="0"/>
        <w:rPr>
          <w:szCs w:val="21"/>
          <w:highlight w:val="none"/>
        </w:rPr>
      </w:pPr>
      <w:r>
        <w:rPr>
          <w:rFonts w:hint="eastAsia" w:hAnsi="宋体"/>
          <w:szCs w:val="21"/>
          <w:highlight w:val="none"/>
        </w:rPr>
        <w:t>其委托代理人：</w:t>
      </w:r>
      <w:r>
        <w:rPr>
          <w:rFonts w:hint="eastAsia" w:hAnsi="宋体"/>
          <w:szCs w:val="21"/>
          <w:highlight w:val="none"/>
          <w:u w:val="single"/>
        </w:rPr>
        <w:t xml:space="preserve">（签字）     </w:t>
      </w:r>
      <w:r>
        <w:rPr>
          <w:rFonts w:hint="eastAsia" w:hAnsi="宋体"/>
          <w:szCs w:val="21"/>
          <w:highlight w:val="none"/>
        </w:rPr>
        <w:t xml:space="preserve">              其委托代理人：</w:t>
      </w:r>
      <w:r>
        <w:rPr>
          <w:rFonts w:hint="eastAsia"/>
          <w:szCs w:val="21"/>
          <w:highlight w:val="none"/>
          <w:u w:val="single"/>
        </w:rPr>
        <w:t>（</w:t>
      </w:r>
      <w:r>
        <w:rPr>
          <w:rFonts w:hint="eastAsia" w:hAnsi="宋体"/>
          <w:szCs w:val="21"/>
          <w:highlight w:val="none"/>
          <w:u w:val="single"/>
        </w:rPr>
        <w:t>签字</w:t>
      </w:r>
      <w:r>
        <w:rPr>
          <w:rFonts w:hint="eastAsia"/>
          <w:szCs w:val="21"/>
          <w:highlight w:val="none"/>
          <w:u w:val="single"/>
        </w:rPr>
        <w:t>）</w:t>
      </w:r>
    </w:p>
    <w:p w14:paraId="19E38CED">
      <w:pPr>
        <w:tabs>
          <w:tab w:val="left" w:pos="4140"/>
          <w:tab w:val="left" w:pos="4320"/>
        </w:tabs>
        <w:snapToGrid w:val="0"/>
        <w:rPr>
          <w:szCs w:val="21"/>
          <w:highlight w:val="none"/>
        </w:rPr>
      </w:pPr>
      <w:r>
        <w:rPr>
          <w:rFonts w:hint="eastAsia" w:hAnsi="宋体"/>
          <w:szCs w:val="21"/>
          <w:highlight w:val="none"/>
        </w:rPr>
        <w:t>合同订立日期</w:t>
      </w:r>
      <w:r>
        <w:rPr>
          <w:rFonts w:hint="eastAsia"/>
          <w:szCs w:val="21"/>
          <w:highlight w:val="none"/>
        </w:rPr>
        <w:t xml:space="preserve">：   </w:t>
      </w:r>
      <w:r>
        <w:rPr>
          <w:rFonts w:hint="eastAsia" w:hAnsi="宋体"/>
          <w:szCs w:val="21"/>
          <w:highlight w:val="none"/>
        </w:rPr>
        <w:t xml:space="preserve">年   月   日            </w:t>
      </w:r>
      <w:r>
        <w:rPr>
          <w:rFonts w:hint="eastAsia"/>
          <w:szCs w:val="21"/>
          <w:highlight w:val="none"/>
        </w:rPr>
        <w:t>合同订立</w:t>
      </w:r>
      <w:r>
        <w:rPr>
          <w:rFonts w:hint="eastAsia" w:hAnsi="宋体"/>
          <w:szCs w:val="21"/>
          <w:highlight w:val="none"/>
        </w:rPr>
        <w:t>日期</w:t>
      </w:r>
      <w:r>
        <w:rPr>
          <w:rFonts w:hint="eastAsia"/>
          <w:szCs w:val="21"/>
          <w:highlight w:val="none"/>
        </w:rPr>
        <w:t xml:space="preserve">：   </w:t>
      </w:r>
      <w:r>
        <w:rPr>
          <w:rFonts w:hint="eastAsia" w:hAnsi="宋体"/>
          <w:szCs w:val="21"/>
          <w:highlight w:val="none"/>
        </w:rPr>
        <w:t>年   月  日</w:t>
      </w:r>
    </w:p>
    <w:p w14:paraId="49A21F90">
      <w:pPr>
        <w:tabs>
          <w:tab w:val="left" w:pos="4320"/>
          <w:tab w:val="left" w:pos="4500"/>
        </w:tabs>
        <w:snapToGrid w:val="0"/>
        <w:rPr>
          <w:szCs w:val="21"/>
          <w:highlight w:val="none"/>
        </w:rPr>
      </w:pPr>
      <w:r>
        <w:rPr>
          <w:rFonts w:hint="eastAsia" w:hAnsi="宋体"/>
          <w:szCs w:val="21"/>
          <w:highlight w:val="none"/>
        </w:rPr>
        <w:t>地址：</w:t>
      </w:r>
      <w:r>
        <w:rPr>
          <w:rFonts w:hint="eastAsia"/>
          <w:szCs w:val="21"/>
          <w:highlight w:val="none"/>
        </w:rPr>
        <w:t xml:space="preserve">                                   </w:t>
      </w:r>
      <w:r>
        <w:rPr>
          <w:rFonts w:hint="eastAsia" w:hAnsi="宋体"/>
          <w:szCs w:val="21"/>
          <w:highlight w:val="none"/>
        </w:rPr>
        <w:t>地址：</w:t>
      </w:r>
    </w:p>
    <w:p w14:paraId="6BA1AB61">
      <w:pPr>
        <w:tabs>
          <w:tab w:val="left" w:pos="4320"/>
        </w:tabs>
        <w:snapToGrid w:val="0"/>
        <w:rPr>
          <w:szCs w:val="21"/>
          <w:highlight w:val="none"/>
        </w:rPr>
      </w:pPr>
      <w:r>
        <w:rPr>
          <w:rFonts w:hint="eastAsia" w:hAnsi="宋体"/>
          <w:szCs w:val="21"/>
          <w:highlight w:val="none"/>
        </w:rPr>
        <w:t>邮政编码：                               邮政编码：</w:t>
      </w:r>
    </w:p>
    <w:p w14:paraId="3438A0CD">
      <w:pPr>
        <w:snapToGrid w:val="0"/>
        <w:rPr>
          <w:szCs w:val="21"/>
          <w:highlight w:val="none"/>
        </w:rPr>
      </w:pPr>
      <w:r>
        <w:rPr>
          <w:rFonts w:hint="eastAsia" w:hAnsi="宋体"/>
          <w:szCs w:val="21"/>
          <w:highlight w:val="none"/>
        </w:rPr>
        <w:t>电话：                                   电话：</w:t>
      </w:r>
    </w:p>
    <w:p w14:paraId="7B7D95FC">
      <w:pPr>
        <w:snapToGrid w:val="0"/>
        <w:rPr>
          <w:szCs w:val="21"/>
          <w:highlight w:val="none"/>
          <w:u w:val="single"/>
        </w:rPr>
      </w:pPr>
      <w:r>
        <w:rPr>
          <w:rFonts w:hint="eastAsia" w:hAnsi="宋体"/>
          <w:szCs w:val="21"/>
          <w:highlight w:val="none"/>
        </w:rPr>
        <w:t>传真：                                   传真：</w:t>
      </w:r>
    </w:p>
    <w:p w14:paraId="1BEFE99F">
      <w:pPr>
        <w:snapToGrid w:val="0"/>
        <w:rPr>
          <w:szCs w:val="21"/>
          <w:highlight w:val="none"/>
        </w:rPr>
      </w:pPr>
      <w:r>
        <w:rPr>
          <w:rFonts w:hint="eastAsia" w:hAnsi="宋体"/>
          <w:szCs w:val="21"/>
          <w:highlight w:val="none"/>
        </w:rPr>
        <w:t>开户银行：                               开户银行：</w:t>
      </w:r>
    </w:p>
    <w:p w14:paraId="5DE24304">
      <w:pPr>
        <w:snapToGrid w:val="0"/>
        <w:rPr>
          <w:szCs w:val="21"/>
          <w:highlight w:val="none"/>
          <w:u w:val="single"/>
        </w:rPr>
      </w:pPr>
      <w:r>
        <w:rPr>
          <w:rFonts w:hint="eastAsia" w:hAnsi="宋体"/>
          <w:szCs w:val="21"/>
          <w:highlight w:val="none"/>
        </w:rPr>
        <w:t>银行帐号：                               银行帐号：</w:t>
      </w:r>
    </w:p>
    <w:p w14:paraId="4C31CA84">
      <w:pPr>
        <w:rPr>
          <w:sz w:val="24"/>
          <w:highlight w:val="none"/>
        </w:rPr>
      </w:pPr>
      <w:r>
        <w:rPr>
          <w:rFonts w:hint="eastAsia" w:hAnsi="宋体"/>
          <w:szCs w:val="21"/>
          <w:highlight w:val="none"/>
        </w:rPr>
        <w:t>税号</w:t>
      </w:r>
      <w:r>
        <w:rPr>
          <w:rFonts w:hint="eastAsia"/>
          <w:sz w:val="24"/>
          <w:highlight w:val="none"/>
        </w:rPr>
        <w:t xml:space="preserve">：                               </w:t>
      </w:r>
      <w:r>
        <w:rPr>
          <w:rFonts w:hint="eastAsia" w:hAnsi="宋体"/>
          <w:szCs w:val="21"/>
          <w:highlight w:val="none"/>
        </w:rPr>
        <w:t>税号</w:t>
      </w:r>
      <w:r>
        <w:rPr>
          <w:rFonts w:hint="eastAsia"/>
          <w:sz w:val="24"/>
          <w:highlight w:val="none"/>
        </w:rPr>
        <w:t>：</w:t>
      </w:r>
    </w:p>
    <w:p w14:paraId="2D331088">
      <w:pPr>
        <w:numPr>
          <w:ilvl w:val="0"/>
          <w:numId w:val="14"/>
        </w:numPr>
        <w:jc w:val="center"/>
        <w:rPr>
          <w:rStyle w:val="40"/>
          <w:b w:val="0"/>
          <w:bCs/>
          <w:sz w:val="28"/>
          <w:szCs w:val="28"/>
          <w:highlight w:val="none"/>
        </w:rPr>
      </w:pPr>
      <w:r>
        <w:rPr>
          <w:highlight w:val="none"/>
        </w:rPr>
        <w:br w:type="page"/>
      </w:r>
      <w:bookmarkStart w:id="327" w:name="_Toc27601"/>
      <w:r>
        <w:rPr>
          <w:rStyle w:val="40"/>
          <w:rFonts w:hint="eastAsia"/>
          <w:b w:val="0"/>
          <w:bCs/>
          <w:sz w:val="28"/>
          <w:szCs w:val="28"/>
          <w:highlight w:val="none"/>
        </w:rPr>
        <w:t xml:space="preserve"> 合同条款</w:t>
      </w:r>
      <w:bookmarkEnd w:id="327"/>
    </w:p>
    <w:p w14:paraId="1B0DFE6F">
      <w:pPr>
        <w:numPr>
          <w:ilvl w:val="0"/>
          <w:numId w:val="14"/>
        </w:numPr>
        <w:jc w:val="center"/>
        <w:rPr>
          <w:rStyle w:val="40"/>
          <w:b w:val="0"/>
          <w:bCs/>
          <w:sz w:val="28"/>
          <w:szCs w:val="28"/>
          <w:highlight w:val="none"/>
        </w:rPr>
      </w:pPr>
    </w:p>
    <w:p w14:paraId="02E6B7AD">
      <w:pPr>
        <w:pStyle w:val="4"/>
        <w:spacing w:before="0" w:after="0" w:line="360" w:lineRule="auto"/>
        <w:ind w:firstLine="482" w:firstLineChars="200"/>
        <w:rPr>
          <w:rFonts w:ascii="Calibri" w:hAnsi="Calibri"/>
          <w:kern w:val="0"/>
          <w:sz w:val="24"/>
          <w:szCs w:val="24"/>
          <w:highlight w:val="none"/>
        </w:rPr>
      </w:pPr>
      <w:bookmarkStart w:id="328" w:name="_Toc21673"/>
      <w:r>
        <w:rPr>
          <w:rFonts w:hint="eastAsia" w:ascii="Calibri" w:hAnsi="Calibri"/>
          <w:kern w:val="0"/>
          <w:sz w:val="24"/>
          <w:szCs w:val="24"/>
          <w:highlight w:val="none"/>
        </w:rPr>
        <w:t>1定义</w:t>
      </w:r>
      <w:bookmarkEnd w:id="328"/>
    </w:p>
    <w:p w14:paraId="68212908">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在合同中，下列措词和用语具有此处所赋予的它们的含义：</w:t>
      </w:r>
    </w:p>
    <w:p w14:paraId="5B301929">
      <w:pPr>
        <w:pStyle w:val="82"/>
        <w:snapToGrid w:val="0"/>
        <w:spacing w:before="0" w:after="0"/>
        <w:ind w:left="0" w:right="0" w:firstLine="420" w:firstLineChars="200"/>
        <w:rPr>
          <w:rFonts w:ascii="宋体" w:hAnsi="宋体"/>
          <w:sz w:val="21"/>
          <w:szCs w:val="21"/>
          <w:highlight w:val="none"/>
        </w:rPr>
      </w:pPr>
      <w:r>
        <w:rPr>
          <w:rFonts w:ascii="宋体" w:hAnsi="宋体"/>
          <w:sz w:val="21"/>
          <w:szCs w:val="21"/>
          <w:highlight w:val="none"/>
        </w:rPr>
        <w:t>1.1</w:t>
      </w:r>
      <w:r>
        <w:rPr>
          <w:rFonts w:hint="eastAsia" w:ascii="宋体" w:hAnsi="宋体"/>
          <w:sz w:val="21"/>
          <w:szCs w:val="21"/>
          <w:highlight w:val="none"/>
        </w:rPr>
        <w:t>甲方：指南宁轨道数智科技有限公司。</w:t>
      </w:r>
    </w:p>
    <w:p w14:paraId="5F421109">
      <w:pPr>
        <w:pStyle w:val="82"/>
        <w:snapToGrid w:val="0"/>
        <w:spacing w:before="0" w:after="0"/>
        <w:ind w:left="0" w:right="0" w:firstLine="420" w:firstLineChars="200"/>
        <w:rPr>
          <w:rFonts w:ascii="宋体" w:hAnsi="宋体"/>
          <w:sz w:val="21"/>
          <w:szCs w:val="21"/>
          <w:highlight w:val="none"/>
        </w:rPr>
      </w:pPr>
      <w:r>
        <w:rPr>
          <w:rFonts w:ascii="宋体" w:hAnsi="宋体"/>
          <w:sz w:val="21"/>
          <w:szCs w:val="21"/>
          <w:highlight w:val="none"/>
        </w:rPr>
        <w:t>1.2</w:t>
      </w:r>
      <w:r>
        <w:rPr>
          <w:rFonts w:hint="eastAsia" w:ascii="宋体" w:hAnsi="宋体"/>
          <w:sz w:val="21"/>
          <w:szCs w:val="21"/>
          <w:highlight w:val="none"/>
        </w:rPr>
        <w:t>乙方：</w:t>
      </w:r>
      <w:r>
        <w:rPr>
          <w:rFonts w:ascii="宋体" w:hAnsi="宋体"/>
          <w:sz w:val="21"/>
          <w:szCs w:val="21"/>
          <w:highlight w:val="none"/>
        </w:rPr>
        <w:t>指与</w:t>
      </w:r>
      <w:r>
        <w:rPr>
          <w:rFonts w:hint="eastAsia" w:ascii="宋体" w:hAnsi="宋体"/>
          <w:sz w:val="21"/>
          <w:szCs w:val="21"/>
          <w:highlight w:val="none"/>
        </w:rPr>
        <w:t>甲方</w:t>
      </w:r>
      <w:r>
        <w:rPr>
          <w:rFonts w:ascii="宋体" w:hAnsi="宋体"/>
          <w:sz w:val="21"/>
          <w:szCs w:val="21"/>
          <w:highlight w:val="none"/>
        </w:rPr>
        <w:t>签订合同协议书的，</w:t>
      </w:r>
      <w:r>
        <w:rPr>
          <w:rFonts w:hint="eastAsia" w:ascii="宋体" w:hAnsi="宋体"/>
          <w:sz w:val="21"/>
          <w:szCs w:val="21"/>
          <w:highlight w:val="none"/>
        </w:rPr>
        <w:t>承接</w:t>
      </w:r>
      <w:r>
        <w:rPr>
          <w:rFonts w:ascii="宋体" w:hAnsi="宋体"/>
          <w:sz w:val="21"/>
          <w:szCs w:val="21"/>
          <w:highlight w:val="none"/>
        </w:rPr>
        <w:t>本项目咨询服务，具有当事人及取得该当事人资格的合法继承人。</w:t>
      </w:r>
    </w:p>
    <w:p w14:paraId="049469A1">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1.3双方：系指甲方和乙方。</w:t>
      </w:r>
    </w:p>
    <w:p w14:paraId="4CA4F36B">
      <w:pPr>
        <w:pStyle w:val="82"/>
        <w:snapToGrid w:val="0"/>
        <w:spacing w:before="0" w:after="0"/>
        <w:ind w:left="0" w:right="0" w:firstLine="420" w:firstLineChars="200"/>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4</w:t>
      </w:r>
      <w:r>
        <w:rPr>
          <w:rFonts w:ascii="宋体" w:hAnsi="宋体"/>
          <w:sz w:val="21"/>
          <w:szCs w:val="21"/>
          <w:highlight w:val="none"/>
        </w:rPr>
        <w:t>分包人</w:t>
      </w:r>
      <w:r>
        <w:rPr>
          <w:rFonts w:hint="eastAsia" w:ascii="宋体" w:hAnsi="宋体"/>
          <w:sz w:val="21"/>
          <w:szCs w:val="21"/>
          <w:highlight w:val="none"/>
        </w:rPr>
        <w:t>：</w:t>
      </w:r>
      <w:r>
        <w:rPr>
          <w:rFonts w:ascii="宋体" w:hAnsi="宋体"/>
          <w:sz w:val="21"/>
          <w:szCs w:val="21"/>
          <w:highlight w:val="none"/>
        </w:rPr>
        <w:t>指</w:t>
      </w:r>
      <w:r>
        <w:rPr>
          <w:rFonts w:hint="eastAsia" w:ascii="宋体" w:hAnsi="宋体"/>
          <w:sz w:val="21"/>
          <w:szCs w:val="21"/>
          <w:highlight w:val="none"/>
        </w:rPr>
        <w:t>经甲方书面同意，</w:t>
      </w:r>
      <w:r>
        <w:rPr>
          <w:rFonts w:ascii="宋体" w:hAnsi="宋体"/>
          <w:sz w:val="21"/>
          <w:szCs w:val="21"/>
          <w:highlight w:val="none"/>
        </w:rPr>
        <w:t>在</w:t>
      </w:r>
      <w:r>
        <w:rPr>
          <w:rFonts w:hint="eastAsia" w:ascii="宋体" w:hAnsi="宋体"/>
          <w:sz w:val="21"/>
          <w:szCs w:val="21"/>
          <w:highlight w:val="none"/>
        </w:rPr>
        <w:t>本项目</w:t>
      </w:r>
      <w:r>
        <w:rPr>
          <w:rFonts w:ascii="宋体" w:hAnsi="宋体"/>
          <w:sz w:val="21"/>
          <w:szCs w:val="21"/>
          <w:highlight w:val="none"/>
        </w:rPr>
        <w:t>分包合同中担任承接分包任务的一方。</w:t>
      </w:r>
    </w:p>
    <w:p w14:paraId="6F1B36F8">
      <w:pPr>
        <w:pStyle w:val="82"/>
        <w:snapToGrid w:val="0"/>
        <w:spacing w:before="0" w:after="0"/>
        <w:ind w:left="0" w:right="0" w:firstLine="420" w:firstLineChars="200"/>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5合同文件（或称合同）：指合同协议书、中标通知书、合同条款、合同附件、用户需求书、招标投标文件和澄清文件及甲方对咨询管理的有关规定等。</w:t>
      </w:r>
    </w:p>
    <w:p w14:paraId="0218C5E7">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1.6合同价格：指合同规定乙方在正确地完全履行合同义务后甲方应支付给乙方的金额。</w:t>
      </w:r>
    </w:p>
    <w:p w14:paraId="0B6CE180">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1.7合同条款：指本合同条款。</w:t>
      </w:r>
    </w:p>
    <w:p w14:paraId="6B138FEA">
      <w:pPr>
        <w:widowControl/>
        <w:tabs>
          <w:tab w:val="left" w:pos="540"/>
          <w:tab w:val="left" w:pos="1060"/>
        </w:tabs>
        <w:ind w:firstLine="420" w:firstLineChars="200"/>
        <w:rPr>
          <w:rFonts w:ascii="宋体" w:hAnsi="宋体"/>
          <w:highlight w:val="none"/>
        </w:rPr>
      </w:pPr>
      <w:r>
        <w:rPr>
          <w:rFonts w:hint="eastAsia" w:ascii="宋体" w:hAnsi="宋体"/>
          <w:highlight w:val="none"/>
        </w:rPr>
        <w:t>1.8天、日：指日历天。</w:t>
      </w:r>
    </w:p>
    <w:p w14:paraId="6884FF7A">
      <w:pPr>
        <w:widowControl/>
        <w:tabs>
          <w:tab w:val="left" w:pos="540"/>
          <w:tab w:val="left" w:pos="1060"/>
        </w:tabs>
        <w:ind w:firstLine="420" w:firstLineChars="200"/>
        <w:rPr>
          <w:rFonts w:ascii="宋体" w:hAnsi="宋体"/>
          <w:highlight w:val="none"/>
        </w:rPr>
      </w:pPr>
      <w:r>
        <w:rPr>
          <w:rFonts w:hint="eastAsia" w:ascii="宋体" w:hAnsi="宋体"/>
          <w:highlight w:val="none"/>
        </w:rPr>
        <w:t>1.9周：指</w:t>
      </w:r>
      <w:r>
        <w:rPr>
          <w:rFonts w:ascii="宋体" w:hAnsi="宋体"/>
          <w:highlight w:val="none"/>
        </w:rPr>
        <w:t>7</w:t>
      </w:r>
      <w:r>
        <w:rPr>
          <w:rFonts w:hint="eastAsia" w:ascii="宋体" w:hAnsi="宋体"/>
          <w:highlight w:val="none"/>
        </w:rPr>
        <w:t>个日历天。</w:t>
      </w:r>
    </w:p>
    <w:p w14:paraId="5149E993">
      <w:pPr>
        <w:widowControl/>
        <w:tabs>
          <w:tab w:val="left" w:pos="540"/>
          <w:tab w:val="left" w:pos="1060"/>
        </w:tabs>
        <w:ind w:firstLine="420" w:firstLineChars="200"/>
        <w:rPr>
          <w:rFonts w:ascii="宋体" w:hAnsi="宋体"/>
          <w:highlight w:val="none"/>
        </w:rPr>
      </w:pPr>
      <w:r>
        <w:rPr>
          <w:rFonts w:hint="eastAsia" w:ascii="宋体" w:hAnsi="宋体"/>
          <w:highlight w:val="none"/>
        </w:rPr>
        <w:t>1.10月：指日历月。</w:t>
      </w:r>
    </w:p>
    <w:p w14:paraId="1B9288B7">
      <w:pPr>
        <w:pStyle w:val="82"/>
        <w:snapToGrid w:val="0"/>
        <w:spacing w:before="0" w:after="0"/>
        <w:ind w:left="0" w:right="0" w:firstLine="420" w:firstLineChars="200"/>
        <w:rPr>
          <w:rFonts w:ascii="宋体" w:hAnsi="宋体"/>
          <w:kern w:val="2"/>
          <w:sz w:val="21"/>
          <w:szCs w:val="24"/>
          <w:highlight w:val="none"/>
        </w:rPr>
      </w:pPr>
      <w:r>
        <w:rPr>
          <w:rFonts w:hint="eastAsia" w:ascii="宋体" w:hAnsi="宋体"/>
          <w:kern w:val="2"/>
          <w:sz w:val="21"/>
          <w:szCs w:val="24"/>
          <w:highlight w:val="none"/>
        </w:rPr>
        <w:t>1.11责任：包括一切和任何费用、支出（包含专业和法律费用，其中包括律师费和仲裁或诉讼所需各项费用）、损害、伤害、损失、索赔、诉讼、要求、程序、诉因或责任（无论是直接的、间接的还是后果性的）。</w:t>
      </w:r>
    </w:p>
    <w:p w14:paraId="5F93A5ED">
      <w:pPr>
        <w:pStyle w:val="82"/>
        <w:snapToGrid w:val="0"/>
        <w:spacing w:before="0" w:after="0"/>
        <w:ind w:left="0" w:right="0" w:firstLine="420" w:firstLineChars="200"/>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12</w:t>
      </w:r>
      <w:r>
        <w:rPr>
          <w:rFonts w:ascii="宋体" w:hAnsi="宋体"/>
          <w:sz w:val="21"/>
          <w:szCs w:val="21"/>
          <w:highlight w:val="none"/>
        </w:rPr>
        <w:t>书面形式</w:t>
      </w:r>
      <w:r>
        <w:rPr>
          <w:rFonts w:hint="eastAsia" w:ascii="宋体" w:hAnsi="宋体"/>
          <w:sz w:val="21"/>
          <w:szCs w:val="21"/>
          <w:highlight w:val="none"/>
        </w:rPr>
        <w:t>：</w:t>
      </w:r>
      <w:r>
        <w:rPr>
          <w:rFonts w:ascii="宋体" w:hAnsi="宋体"/>
          <w:sz w:val="21"/>
          <w:szCs w:val="21"/>
          <w:highlight w:val="none"/>
        </w:rPr>
        <w:t>指合同</w:t>
      </w:r>
      <w:r>
        <w:rPr>
          <w:rFonts w:hint="eastAsia" w:ascii="宋体" w:hAnsi="宋体"/>
          <w:sz w:val="21"/>
          <w:szCs w:val="21"/>
          <w:highlight w:val="none"/>
        </w:rPr>
        <w:t>书</w:t>
      </w:r>
      <w:r>
        <w:rPr>
          <w:rFonts w:ascii="宋体" w:hAnsi="宋体"/>
          <w:sz w:val="21"/>
          <w:szCs w:val="21"/>
          <w:highlight w:val="none"/>
        </w:rPr>
        <w:t>、</w:t>
      </w:r>
      <w:r>
        <w:rPr>
          <w:rFonts w:hint="eastAsia" w:ascii="宋体" w:hAnsi="宋体"/>
          <w:sz w:val="21"/>
          <w:szCs w:val="21"/>
          <w:highlight w:val="none"/>
        </w:rPr>
        <w:t>信件和数据电文（包括</w:t>
      </w:r>
      <w:r>
        <w:rPr>
          <w:rFonts w:ascii="宋体" w:hAnsi="宋体"/>
          <w:sz w:val="21"/>
          <w:szCs w:val="21"/>
          <w:highlight w:val="none"/>
        </w:rPr>
        <w:t>电报、</w:t>
      </w:r>
      <w:r>
        <w:rPr>
          <w:rFonts w:hint="eastAsia" w:ascii="宋体" w:hAnsi="宋体"/>
          <w:sz w:val="21"/>
          <w:szCs w:val="21"/>
          <w:highlight w:val="none"/>
        </w:rPr>
        <w:t>电</w:t>
      </w:r>
      <w:r>
        <w:rPr>
          <w:rFonts w:ascii="宋体" w:hAnsi="宋体"/>
          <w:sz w:val="21"/>
          <w:szCs w:val="21"/>
          <w:highlight w:val="none"/>
        </w:rPr>
        <w:t>传</w:t>
      </w:r>
      <w:r>
        <w:rPr>
          <w:rFonts w:hint="eastAsia" w:ascii="宋体" w:hAnsi="宋体"/>
          <w:sz w:val="21"/>
          <w:szCs w:val="21"/>
          <w:highlight w:val="none"/>
        </w:rPr>
        <w:t>、传</w:t>
      </w:r>
      <w:r>
        <w:rPr>
          <w:rFonts w:ascii="宋体" w:hAnsi="宋体"/>
          <w:sz w:val="21"/>
          <w:szCs w:val="21"/>
          <w:highlight w:val="none"/>
        </w:rPr>
        <w:t>真</w:t>
      </w:r>
      <w:r>
        <w:rPr>
          <w:rFonts w:hint="eastAsia" w:ascii="宋体" w:hAnsi="宋体"/>
          <w:sz w:val="21"/>
          <w:szCs w:val="21"/>
          <w:highlight w:val="none"/>
        </w:rPr>
        <w:t>、电子数据交换和电子邮件）</w:t>
      </w:r>
      <w:r>
        <w:rPr>
          <w:rFonts w:ascii="宋体" w:hAnsi="宋体"/>
          <w:sz w:val="21"/>
          <w:szCs w:val="21"/>
          <w:highlight w:val="none"/>
        </w:rPr>
        <w:t>等可以有形地表现所载内容的形式</w:t>
      </w:r>
      <w:r>
        <w:rPr>
          <w:rFonts w:hint="eastAsia" w:ascii="宋体" w:hAnsi="宋体"/>
          <w:sz w:val="21"/>
          <w:szCs w:val="21"/>
          <w:highlight w:val="none"/>
        </w:rPr>
        <w:t>。</w:t>
      </w:r>
    </w:p>
    <w:p w14:paraId="3E515FF2">
      <w:pPr>
        <w:pStyle w:val="82"/>
        <w:snapToGrid w:val="0"/>
        <w:spacing w:before="0" w:after="0"/>
        <w:ind w:left="0" w:right="0" w:firstLine="420" w:firstLineChars="200"/>
        <w:rPr>
          <w:rFonts w:ascii="宋体" w:hAnsi="宋体"/>
          <w:sz w:val="21"/>
          <w:szCs w:val="21"/>
          <w:highlight w:val="none"/>
        </w:rPr>
      </w:pPr>
      <w:r>
        <w:rPr>
          <w:rFonts w:ascii="宋体" w:hAnsi="宋体"/>
          <w:sz w:val="21"/>
          <w:szCs w:val="21"/>
          <w:highlight w:val="none"/>
        </w:rPr>
        <w:t>1.13咨询</w:t>
      </w:r>
      <w:r>
        <w:rPr>
          <w:rFonts w:hint="eastAsia" w:ascii="宋体" w:hAnsi="宋体"/>
          <w:sz w:val="21"/>
          <w:szCs w:val="21"/>
          <w:highlight w:val="none"/>
        </w:rPr>
        <w:t>成果文件：指按照合同约定和技术要求，由乙方向甲方提供的阶段性成果、最终工作成果等。</w:t>
      </w:r>
    </w:p>
    <w:p w14:paraId="52DAA180">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1.14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14:paraId="28729C7E">
      <w:pPr>
        <w:pStyle w:val="4"/>
        <w:spacing w:before="0" w:after="0" w:line="360" w:lineRule="auto"/>
        <w:ind w:firstLine="482" w:firstLineChars="200"/>
        <w:rPr>
          <w:rFonts w:ascii="Calibri" w:hAnsi="Calibri"/>
          <w:kern w:val="0"/>
          <w:sz w:val="24"/>
          <w:szCs w:val="24"/>
          <w:highlight w:val="none"/>
        </w:rPr>
      </w:pPr>
      <w:bookmarkStart w:id="329" w:name="_Toc1724566"/>
      <w:bookmarkStart w:id="330" w:name="_Toc13282"/>
      <w:bookmarkStart w:id="331" w:name="_Toc5435"/>
      <w:bookmarkStart w:id="332" w:name="_Toc15203"/>
      <w:bookmarkStart w:id="333" w:name="_Toc24850"/>
      <w:r>
        <w:rPr>
          <w:rFonts w:ascii="Calibri" w:hAnsi="Calibri"/>
          <w:kern w:val="0"/>
          <w:sz w:val="24"/>
          <w:szCs w:val="24"/>
          <w:highlight w:val="none"/>
        </w:rPr>
        <w:t>2</w:t>
      </w:r>
      <w:r>
        <w:rPr>
          <w:rFonts w:hint="eastAsia" w:ascii="Calibri" w:hAnsi="Calibri"/>
          <w:kern w:val="0"/>
          <w:sz w:val="24"/>
          <w:szCs w:val="24"/>
          <w:highlight w:val="none"/>
        </w:rPr>
        <w:t>语言文字</w:t>
      </w:r>
      <w:bookmarkEnd w:id="329"/>
      <w:bookmarkEnd w:id="330"/>
      <w:bookmarkEnd w:id="331"/>
      <w:bookmarkEnd w:id="332"/>
      <w:bookmarkEnd w:id="333"/>
    </w:p>
    <w:p w14:paraId="4FEA6451">
      <w:pPr>
        <w:ind w:firstLine="420" w:firstLineChars="200"/>
        <w:rPr>
          <w:szCs w:val="21"/>
          <w:highlight w:val="none"/>
        </w:rPr>
      </w:pPr>
      <w:r>
        <w:rPr>
          <w:rFonts w:hint="eastAsia" w:hAnsi="宋体"/>
          <w:szCs w:val="21"/>
          <w:highlight w:val="none"/>
        </w:rPr>
        <w:t>除专用术语外，合同使用的语言文字为中文。专用术语在使用其他语种文字应附有中文注释。</w:t>
      </w:r>
    </w:p>
    <w:p w14:paraId="6E174965">
      <w:pPr>
        <w:pStyle w:val="4"/>
        <w:spacing w:before="0" w:after="0" w:line="360" w:lineRule="auto"/>
        <w:ind w:firstLine="482" w:firstLineChars="200"/>
        <w:rPr>
          <w:rFonts w:ascii="Calibri" w:hAnsi="Calibri"/>
          <w:kern w:val="0"/>
          <w:sz w:val="24"/>
          <w:szCs w:val="24"/>
          <w:highlight w:val="none"/>
        </w:rPr>
      </w:pPr>
      <w:bookmarkStart w:id="334" w:name="_Toc17122"/>
      <w:bookmarkStart w:id="335" w:name="_Toc5046"/>
      <w:bookmarkStart w:id="336" w:name="_Toc8727"/>
      <w:bookmarkStart w:id="337" w:name="_Toc1724567"/>
      <w:bookmarkStart w:id="338" w:name="_Toc17770"/>
      <w:r>
        <w:rPr>
          <w:rFonts w:ascii="Calibri" w:hAnsi="Calibri"/>
          <w:kern w:val="0"/>
          <w:sz w:val="24"/>
          <w:szCs w:val="24"/>
          <w:highlight w:val="none"/>
        </w:rPr>
        <w:t>3</w:t>
      </w:r>
      <w:r>
        <w:rPr>
          <w:rFonts w:hint="eastAsia" w:ascii="Calibri" w:hAnsi="Calibri"/>
          <w:kern w:val="0"/>
          <w:sz w:val="24"/>
          <w:szCs w:val="24"/>
          <w:highlight w:val="none"/>
        </w:rPr>
        <w:t>适用法律、标准和规范</w:t>
      </w:r>
      <w:bookmarkEnd w:id="334"/>
      <w:bookmarkEnd w:id="335"/>
      <w:bookmarkEnd w:id="336"/>
      <w:bookmarkEnd w:id="337"/>
      <w:bookmarkEnd w:id="338"/>
    </w:p>
    <w:p w14:paraId="0E679CF5">
      <w:pPr>
        <w:pStyle w:val="82"/>
        <w:snapToGrid w:val="0"/>
        <w:spacing w:before="0" w:after="0"/>
        <w:ind w:left="0" w:right="0" w:firstLine="420" w:firstLineChars="200"/>
        <w:rPr>
          <w:rFonts w:ascii="宋体" w:hAnsi="宋体"/>
          <w:sz w:val="21"/>
          <w:szCs w:val="21"/>
          <w:highlight w:val="none"/>
        </w:rPr>
      </w:pPr>
      <w:r>
        <w:rPr>
          <w:rFonts w:ascii="宋体" w:hAnsi="宋体"/>
          <w:sz w:val="21"/>
          <w:szCs w:val="21"/>
          <w:highlight w:val="none"/>
        </w:rPr>
        <w:t>3.1</w:t>
      </w:r>
      <w:r>
        <w:rPr>
          <w:rFonts w:hint="eastAsia" w:ascii="宋体" w:hAnsi="宋体"/>
          <w:sz w:val="21"/>
          <w:szCs w:val="21"/>
          <w:highlight w:val="none"/>
        </w:rPr>
        <w:t>适用于合同的法律包括国家现行法律、行政法规、部门规章，以及广西壮族自治区和南宁市的地方性法规、地方政府规章。</w:t>
      </w:r>
    </w:p>
    <w:p w14:paraId="37FD20D2">
      <w:pPr>
        <w:pStyle w:val="82"/>
        <w:snapToGrid w:val="0"/>
        <w:spacing w:before="0" w:after="0"/>
        <w:ind w:left="0" w:right="0" w:firstLine="420" w:firstLineChars="200"/>
        <w:rPr>
          <w:rFonts w:ascii="宋体" w:hAnsi="宋体"/>
          <w:sz w:val="21"/>
          <w:szCs w:val="21"/>
          <w:highlight w:val="none"/>
        </w:rPr>
      </w:pPr>
      <w:r>
        <w:rPr>
          <w:rFonts w:ascii="宋体" w:hAnsi="宋体"/>
          <w:sz w:val="21"/>
          <w:szCs w:val="21"/>
          <w:highlight w:val="none"/>
        </w:rPr>
        <w:t>3.2</w:t>
      </w:r>
      <w:r>
        <w:rPr>
          <w:rFonts w:hint="eastAsia" w:ascii="宋体" w:hAnsi="宋体"/>
          <w:sz w:val="21"/>
          <w:szCs w:val="21"/>
          <w:highlight w:val="none"/>
        </w:rPr>
        <w:t>适用标准、规范。</w:t>
      </w:r>
    </w:p>
    <w:p w14:paraId="04E0EC83">
      <w:pPr>
        <w:pStyle w:val="82"/>
        <w:snapToGrid w:val="0"/>
        <w:spacing w:before="0" w:after="0"/>
        <w:ind w:left="0" w:right="0" w:firstLine="420" w:firstLineChars="200"/>
        <w:rPr>
          <w:rFonts w:ascii="宋体" w:hAnsi="宋体"/>
          <w:sz w:val="21"/>
          <w:szCs w:val="21"/>
          <w:highlight w:val="none"/>
        </w:rPr>
      </w:pPr>
      <w:r>
        <w:rPr>
          <w:rFonts w:ascii="宋体" w:hAnsi="宋体"/>
          <w:sz w:val="21"/>
          <w:szCs w:val="21"/>
          <w:highlight w:val="none"/>
        </w:rPr>
        <w:t>3.3</w:t>
      </w:r>
      <w:r>
        <w:rPr>
          <w:rFonts w:hint="eastAsia" w:ascii="宋体" w:hAnsi="宋体"/>
          <w:sz w:val="21"/>
          <w:szCs w:val="21"/>
          <w:highlight w:val="none"/>
        </w:rPr>
        <w:t>除甲方的“用户需求书”的特别要求外，标准及规范应适用国家现行标准、规范；没有国家标准、规范但有行业标准、规范的，约定适用行业标准、规范；没有国家和行业标准、规范的，适用广西壮族自治区或南宁市标准、规范。</w:t>
      </w:r>
    </w:p>
    <w:p w14:paraId="43DE175C">
      <w:pPr>
        <w:pStyle w:val="4"/>
        <w:spacing w:before="0" w:after="0" w:line="360" w:lineRule="auto"/>
        <w:ind w:firstLine="482" w:firstLineChars="200"/>
        <w:rPr>
          <w:rFonts w:ascii="Calibri" w:hAnsi="Calibri"/>
          <w:kern w:val="0"/>
          <w:sz w:val="24"/>
          <w:szCs w:val="24"/>
          <w:highlight w:val="none"/>
        </w:rPr>
      </w:pPr>
      <w:bookmarkStart w:id="339" w:name="_Toc17094"/>
      <w:bookmarkStart w:id="340" w:name="_Toc10445"/>
      <w:bookmarkStart w:id="341" w:name="_Toc1724568"/>
      <w:bookmarkStart w:id="342" w:name="_Toc1913"/>
      <w:bookmarkStart w:id="343" w:name="_Toc23310"/>
      <w:r>
        <w:rPr>
          <w:rFonts w:ascii="Calibri" w:hAnsi="Calibri"/>
          <w:kern w:val="0"/>
          <w:sz w:val="24"/>
          <w:szCs w:val="24"/>
          <w:highlight w:val="none"/>
        </w:rPr>
        <w:t>4</w:t>
      </w:r>
      <w:r>
        <w:rPr>
          <w:rFonts w:hint="eastAsia" w:ascii="Calibri" w:hAnsi="Calibri"/>
          <w:kern w:val="0"/>
          <w:sz w:val="24"/>
          <w:szCs w:val="24"/>
          <w:highlight w:val="none"/>
        </w:rPr>
        <w:t>项目</w:t>
      </w:r>
      <w:bookmarkEnd w:id="339"/>
      <w:bookmarkEnd w:id="340"/>
      <w:bookmarkEnd w:id="341"/>
      <w:bookmarkEnd w:id="342"/>
      <w:r>
        <w:rPr>
          <w:rFonts w:hint="eastAsia" w:ascii="Calibri" w:hAnsi="Calibri"/>
          <w:kern w:val="0"/>
          <w:sz w:val="24"/>
          <w:szCs w:val="24"/>
          <w:highlight w:val="none"/>
        </w:rPr>
        <w:t>内容、成果及要求</w:t>
      </w:r>
      <w:bookmarkEnd w:id="343"/>
    </w:p>
    <w:p w14:paraId="3A32FFFC">
      <w:pPr>
        <w:snapToGrid w:val="0"/>
        <w:ind w:firstLine="420" w:firstLineChars="200"/>
        <w:textAlignment w:val="bottom"/>
        <w:rPr>
          <w:szCs w:val="21"/>
          <w:highlight w:val="none"/>
        </w:rPr>
      </w:pPr>
      <w:r>
        <w:rPr>
          <w:rFonts w:hint="eastAsia"/>
          <w:szCs w:val="21"/>
          <w:highlight w:val="none"/>
        </w:rPr>
        <w:t>详见：</w:t>
      </w:r>
      <w:r>
        <w:rPr>
          <w:szCs w:val="21"/>
          <w:highlight w:val="none"/>
        </w:rPr>
        <w:t>技术规格书</w:t>
      </w:r>
      <w:r>
        <w:rPr>
          <w:rFonts w:hint="eastAsia"/>
          <w:szCs w:val="21"/>
          <w:highlight w:val="none"/>
        </w:rPr>
        <w:t>。</w:t>
      </w:r>
    </w:p>
    <w:p w14:paraId="51933F09">
      <w:pPr>
        <w:pStyle w:val="4"/>
        <w:spacing w:before="0" w:after="0" w:line="360" w:lineRule="auto"/>
        <w:ind w:firstLine="482" w:firstLineChars="200"/>
        <w:rPr>
          <w:rFonts w:ascii="Calibri" w:hAnsi="Calibri"/>
          <w:kern w:val="0"/>
          <w:sz w:val="24"/>
          <w:szCs w:val="24"/>
          <w:highlight w:val="none"/>
        </w:rPr>
      </w:pPr>
      <w:bookmarkStart w:id="344" w:name="_Toc21494"/>
      <w:bookmarkStart w:id="345" w:name="_Toc8572"/>
      <w:bookmarkStart w:id="346" w:name="_Toc27138"/>
      <w:bookmarkStart w:id="347" w:name="_Toc1724569"/>
      <w:bookmarkStart w:id="348" w:name="_Toc14240"/>
      <w:r>
        <w:rPr>
          <w:rFonts w:ascii="Calibri" w:hAnsi="Calibri"/>
          <w:kern w:val="0"/>
          <w:sz w:val="24"/>
          <w:szCs w:val="24"/>
          <w:highlight w:val="none"/>
        </w:rPr>
        <w:t>5</w:t>
      </w:r>
      <w:r>
        <w:rPr>
          <w:rFonts w:hint="eastAsia" w:ascii="Calibri" w:hAnsi="Calibri"/>
          <w:kern w:val="0"/>
          <w:sz w:val="24"/>
          <w:szCs w:val="24"/>
          <w:highlight w:val="none"/>
        </w:rPr>
        <w:t>甲乙方权利与义务</w:t>
      </w:r>
      <w:bookmarkEnd w:id="344"/>
      <w:bookmarkEnd w:id="345"/>
      <w:bookmarkEnd w:id="346"/>
      <w:bookmarkEnd w:id="347"/>
      <w:bookmarkEnd w:id="348"/>
    </w:p>
    <w:p w14:paraId="18E629F8">
      <w:pPr>
        <w:snapToGrid w:val="0"/>
        <w:ind w:firstLine="422" w:firstLineChars="200"/>
        <w:rPr>
          <w:rFonts w:ascii="宋体" w:hAnsi="宋体"/>
          <w:b/>
          <w:szCs w:val="21"/>
          <w:highlight w:val="none"/>
        </w:rPr>
      </w:pPr>
      <w:r>
        <w:rPr>
          <w:rFonts w:hint="eastAsia" w:ascii="宋体" w:hAnsi="宋体"/>
          <w:b/>
          <w:szCs w:val="21"/>
          <w:highlight w:val="none"/>
        </w:rPr>
        <w:t>5.1甲方的权利与义务</w:t>
      </w:r>
    </w:p>
    <w:p w14:paraId="50E4BF92">
      <w:pPr>
        <w:ind w:firstLine="420" w:firstLineChars="200"/>
        <w:rPr>
          <w:rFonts w:ascii="宋体" w:hAnsi="宋体"/>
          <w:szCs w:val="21"/>
          <w:highlight w:val="none"/>
        </w:rPr>
      </w:pPr>
      <w:r>
        <w:rPr>
          <w:rFonts w:hint="eastAsia" w:ascii="宋体" w:hAnsi="宋体"/>
          <w:szCs w:val="21"/>
          <w:highlight w:val="none"/>
        </w:rPr>
        <w:t>5.1.1 甲方有权与乙方议定服务计划;有权对乙方提供的各项服务实行监督、管理；有权要求乙方采纳甲方提出的合理要求，并有权及时向乙方主要负责人提出服务的要求和建议。</w:t>
      </w:r>
    </w:p>
    <w:p w14:paraId="729631E2">
      <w:pPr>
        <w:ind w:firstLine="420" w:firstLineChars="200"/>
        <w:rPr>
          <w:rFonts w:ascii="宋体" w:hAnsi="宋体"/>
          <w:szCs w:val="21"/>
          <w:highlight w:val="none"/>
        </w:rPr>
      </w:pPr>
      <w:r>
        <w:rPr>
          <w:rFonts w:hint="eastAsia" w:ascii="宋体" w:hAnsi="宋体"/>
          <w:szCs w:val="21"/>
          <w:highlight w:val="none"/>
        </w:rPr>
        <w:t>5.1.2甲方有权要求乙方及时更换工作能力差、工作不主动、协调能力不足影响工作效率及工作质量的人员。</w:t>
      </w:r>
    </w:p>
    <w:p w14:paraId="07048FE2">
      <w:pPr>
        <w:ind w:firstLine="420" w:firstLineChars="200"/>
        <w:rPr>
          <w:rFonts w:ascii="宋体" w:hAnsi="宋体"/>
          <w:szCs w:val="21"/>
          <w:highlight w:val="none"/>
        </w:rPr>
      </w:pPr>
      <w:r>
        <w:rPr>
          <w:rFonts w:hint="eastAsia" w:ascii="宋体" w:hAnsi="宋体"/>
          <w:szCs w:val="21"/>
          <w:highlight w:val="none"/>
        </w:rPr>
        <w:t>5.1.3甲方有权对乙方的管理咨询组织、各阶段研究内容与进度、工作成果等进行定期或不定期的检查，发现乙方执行不力，有权要求乙方整改。</w:t>
      </w:r>
    </w:p>
    <w:p w14:paraId="5510906A">
      <w:pPr>
        <w:ind w:firstLine="420" w:firstLineChars="200"/>
        <w:rPr>
          <w:rFonts w:ascii="宋体" w:hAnsi="宋体"/>
          <w:szCs w:val="21"/>
          <w:highlight w:val="none"/>
        </w:rPr>
      </w:pPr>
      <w:r>
        <w:rPr>
          <w:rFonts w:hint="eastAsia" w:ascii="宋体" w:hAnsi="宋体"/>
          <w:szCs w:val="21"/>
          <w:highlight w:val="none"/>
        </w:rPr>
        <w:t>5.1.4合同履行期间，根据实际工作的需要，在合理范围内，甲方可对项目进度等具体事项进行正常的安排或适当调整，乙方应理解上述安排和调整，并根据这些安排和调整提供管理咨询服务，且合同费用不因此进行调整。</w:t>
      </w:r>
    </w:p>
    <w:p w14:paraId="77811F00">
      <w:pPr>
        <w:ind w:firstLine="420" w:firstLineChars="200"/>
        <w:rPr>
          <w:rFonts w:ascii="宋体" w:hAnsi="宋体"/>
          <w:szCs w:val="21"/>
          <w:highlight w:val="none"/>
        </w:rPr>
      </w:pPr>
      <w:r>
        <w:rPr>
          <w:rFonts w:hint="eastAsia" w:ascii="宋体" w:hAnsi="宋体"/>
          <w:szCs w:val="21"/>
          <w:highlight w:val="none"/>
        </w:rPr>
        <w:t>5.1.5 根据本合同和相关规定向乙方支付服务项目费用。</w:t>
      </w:r>
    </w:p>
    <w:p w14:paraId="2F8F43CE">
      <w:pPr>
        <w:ind w:firstLine="420" w:firstLineChars="200"/>
        <w:rPr>
          <w:rFonts w:ascii="宋体" w:hAnsi="宋体"/>
          <w:szCs w:val="21"/>
          <w:highlight w:val="none"/>
        </w:rPr>
      </w:pPr>
      <w:r>
        <w:rPr>
          <w:rFonts w:hint="eastAsia" w:ascii="宋体" w:hAnsi="宋体"/>
          <w:szCs w:val="21"/>
          <w:highlight w:val="none"/>
        </w:rPr>
        <w:t>5.1.6 及时提供乙方所需的资料与信息，并保证其完整、真实、有效。</w:t>
      </w:r>
    </w:p>
    <w:p w14:paraId="2628F29B">
      <w:pPr>
        <w:ind w:firstLine="420" w:firstLineChars="200"/>
        <w:rPr>
          <w:rFonts w:ascii="宋体" w:hAnsi="宋体"/>
          <w:szCs w:val="21"/>
          <w:highlight w:val="none"/>
        </w:rPr>
      </w:pPr>
      <w:r>
        <w:rPr>
          <w:rFonts w:hint="eastAsia" w:ascii="宋体" w:hAnsi="宋体"/>
          <w:szCs w:val="21"/>
          <w:highlight w:val="none"/>
        </w:rPr>
        <w:t>5.1.7甲方有义务承担政府部门规定的应由甲方承担的责任。</w:t>
      </w:r>
    </w:p>
    <w:p w14:paraId="0BEFE3B4">
      <w:pPr>
        <w:ind w:firstLine="420" w:firstLineChars="200"/>
        <w:rPr>
          <w:rFonts w:ascii="宋体" w:hAnsi="宋体"/>
          <w:kern w:val="0"/>
          <w:highlight w:val="none"/>
        </w:rPr>
      </w:pPr>
      <w:r>
        <w:rPr>
          <w:rFonts w:hint="eastAsia" w:ascii="宋体" w:hAnsi="宋体"/>
          <w:szCs w:val="21"/>
          <w:highlight w:val="none"/>
        </w:rPr>
        <w:t>5.1.8根据本合同和相关规定进行验收。</w:t>
      </w:r>
    </w:p>
    <w:p w14:paraId="0CFF1722">
      <w:pPr>
        <w:snapToGrid w:val="0"/>
        <w:ind w:firstLine="422" w:firstLineChars="200"/>
        <w:rPr>
          <w:rFonts w:ascii="宋体" w:hAnsi="宋体"/>
          <w:b/>
          <w:szCs w:val="21"/>
          <w:highlight w:val="none"/>
        </w:rPr>
      </w:pPr>
      <w:r>
        <w:rPr>
          <w:rFonts w:hint="eastAsia" w:ascii="宋体" w:hAnsi="宋体"/>
          <w:b/>
          <w:szCs w:val="21"/>
          <w:highlight w:val="none"/>
        </w:rPr>
        <w:t>5.2 乙方的权利与义务</w:t>
      </w:r>
    </w:p>
    <w:p w14:paraId="3127234F">
      <w:pPr>
        <w:ind w:firstLine="420" w:firstLineChars="200"/>
        <w:rPr>
          <w:rFonts w:ascii="宋体" w:hAnsi="宋体"/>
          <w:szCs w:val="21"/>
          <w:highlight w:val="none"/>
        </w:rPr>
      </w:pPr>
      <w:r>
        <w:rPr>
          <w:rFonts w:hint="eastAsia" w:ascii="宋体" w:hAnsi="宋体"/>
          <w:szCs w:val="21"/>
          <w:highlight w:val="none"/>
        </w:rPr>
        <w:t>5.2.1 享有按照本合同约定和相关规定向甲方收取服务项目费用的权利。</w:t>
      </w:r>
    </w:p>
    <w:p w14:paraId="45824AC4">
      <w:pPr>
        <w:ind w:firstLine="420" w:firstLineChars="200"/>
        <w:rPr>
          <w:rFonts w:ascii="宋体" w:hAnsi="宋体"/>
          <w:szCs w:val="21"/>
          <w:highlight w:val="none"/>
        </w:rPr>
      </w:pPr>
      <w:r>
        <w:rPr>
          <w:rFonts w:hint="eastAsia" w:ascii="宋体" w:hAnsi="宋体"/>
          <w:szCs w:val="21"/>
          <w:highlight w:val="none"/>
        </w:rPr>
        <w:t>5.2.2 按合同要求参与项目验收。</w:t>
      </w:r>
    </w:p>
    <w:p w14:paraId="327B1C78">
      <w:pPr>
        <w:ind w:firstLine="420" w:firstLineChars="200"/>
        <w:rPr>
          <w:rFonts w:ascii="宋体" w:hAnsi="宋体"/>
          <w:szCs w:val="21"/>
          <w:highlight w:val="none"/>
        </w:rPr>
      </w:pPr>
      <w:r>
        <w:rPr>
          <w:rFonts w:hint="eastAsia" w:ascii="宋体" w:hAnsi="宋体"/>
          <w:szCs w:val="21"/>
          <w:highlight w:val="none"/>
        </w:rPr>
        <w:t>5.2.3乙方有权根据本合同及相关法律维护自身合法权益。</w:t>
      </w:r>
    </w:p>
    <w:p w14:paraId="37FFE436">
      <w:pPr>
        <w:pStyle w:val="81"/>
        <w:rPr>
          <w:rFonts w:ascii="宋体" w:hAnsi="宋体"/>
          <w:szCs w:val="21"/>
          <w:highlight w:val="none"/>
        </w:rPr>
      </w:pPr>
      <w:r>
        <w:rPr>
          <w:rFonts w:hint="eastAsia" w:ascii="宋体" w:hAnsi="宋体"/>
          <w:szCs w:val="21"/>
          <w:highlight w:val="none"/>
        </w:rPr>
        <w:t>5.2.4乙方有权不承担甲方提出的法律法规不允许职责任务。</w:t>
      </w:r>
    </w:p>
    <w:p w14:paraId="6EE2C36E">
      <w:pPr>
        <w:ind w:firstLine="420" w:firstLineChars="200"/>
        <w:rPr>
          <w:rFonts w:ascii="宋体" w:hAnsi="宋体"/>
          <w:szCs w:val="21"/>
          <w:highlight w:val="none"/>
        </w:rPr>
      </w:pPr>
      <w:r>
        <w:rPr>
          <w:rFonts w:hint="eastAsia" w:ascii="宋体" w:hAnsi="宋体"/>
          <w:szCs w:val="21"/>
          <w:highlight w:val="none"/>
        </w:rPr>
        <w:t>5.2.5乙方应按照甲方服务项目管理的有关规定，做好</w:t>
      </w:r>
      <w:r>
        <w:rPr>
          <w:rFonts w:hint="eastAsia" w:ascii="宋体" w:hAnsi="宋体" w:cs="宋体"/>
          <w:szCs w:val="21"/>
          <w:highlight w:val="none"/>
        </w:rPr>
        <w:t>服务</w:t>
      </w:r>
      <w:r>
        <w:rPr>
          <w:rFonts w:hint="eastAsia" w:ascii="宋体" w:hAnsi="宋体"/>
          <w:szCs w:val="21"/>
          <w:highlight w:val="none"/>
        </w:rPr>
        <w:t>工作。根据工作进度计划按规定的内容和份数，按时按质向甲方交付咨询成果文件，提交各项工作成果，对成果的质量负责。</w:t>
      </w:r>
    </w:p>
    <w:p w14:paraId="0C704EAC">
      <w:pPr>
        <w:ind w:firstLine="420" w:firstLineChars="200"/>
        <w:rPr>
          <w:rFonts w:ascii="宋体" w:hAnsi="宋体"/>
          <w:szCs w:val="21"/>
          <w:highlight w:val="none"/>
        </w:rPr>
      </w:pPr>
      <w:r>
        <w:rPr>
          <w:rFonts w:hint="eastAsia" w:ascii="宋体" w:hAnsi="宋体"/>
          <w:szCs w:val="21"/>
          <w:highlight w:val="none"/>
        </w:rPr>
        <w:t>5.2.6乙方须根据甲方意见修改完善各阶段成果文件。</w:t>
      </w:r>
    </w:p>
    <w:p w14:paraId="4B86CBC4">
      <w:pPr>
        <w:ind w:firstLine="420" w:firstLineChars="200"/>
        <w:rPr>
          <w:rFonts w:ascii="宋体" w:hAnsi="宋体"/>
          <w:szCs w:val="21"/>
          <w:highlight w:val="none"/>
        </w:rPr>
      </w:pPr>
      <w:r>
        <w:rPr>
          <w:rFonts w:hint="eastAsia" w:ascii="宋体" w:hAnsi="宋体"/>
          <w:szCs w:val="21"/>
          <w:highlight w:val="none"/>
        </w:rPr>
        <w:t>5.2.7乙方不得随意修改或变更通过审查后的成果文件，除甲方要求的以外；擅自修改或变更成果文件造成甲方损失的一概由乙方负责赔偿，赔偿金按甲方实际损失计算（包括但不限于实际损失的金额、律师费、诉讼费、差旅费、鉴定费、保全费、保全保险费等）支付给甲方。</w:t>
      </w:r>
    </w:p>
    <w:p w14:paraId="0D43E949">
      <w:pPr>
        <w:ind w:firstLine="420" w:firstLineChars="200"/>
        <w:rPr>
          <w:rFonts w:ascii="宋体" w:hAnsi="宋体"/>
          <w:szCs w:val="21"/>
          <w:highlight w:val="none"/>
        </w:rPr>
      </w:pPr>
      <w:r>
        <w:rPr>
          <w:rFonts w:hint="eastAsia" w:ascii="宋体" w:hAnsi="宋体"/>
          <w:szCs w:val="21"/>
          <w:highlight w:val="none"/>
        </w:rPr>
        <w:t>5.2.8乙方在甲方办公、工作现场进行工作期间，应遵守执行甲方有关管理规定和规章制度，并听从现场管理人员的指挥。</w:t>
      </w:r>
    </w:p>
    <w:p w14:paraId="01594926">
      <w:pPr>
        <w:ind w:firstLine="420" w:firstLineChars="200"/>
        <w:rPr>
          <w:rFonts w:ascii="宋体" w:hAnsi="宋体"/>
          <w:szCs w:val="21"/>
          <w:highlight w:val="none"/>
        </w:rPr>
      </w:pPr>
      <w:r>
        <w:rPr>
          <w:rFonts w:hint="eastAsia" w:ascii="宋体" w:hAnsi="宋体"/>
          <w:szCs w:val="21"/>
          <w:highlight w:val="none"/>
        </w:rPr>
        <w:t>5.2.9应全面贯彻执行国家法律、法规、行业规范的相关规章制度。</w:t>
      </w:r>
    </w:p>
    <w:p w14:paraId="5957F00C">
      <w:pPr>
        <w:ind w:firstLine="420" w:firstLineChars="200"/>
        <w:rPr>
          <w:rFonts w:ascii="宋体" w:hAnsi="宋体"/>
          <w:szCs w:val="21"/>
          <w:highlight w:val="none"/>
        </w:rPr>
      </w:pPr>
      <w:r>
        <w:rPr>
          <w:rFonts w:hint="eastAsia" w:ascii="宋体" w:hAnsi="宋体"/>
          <w:szCs w:val="21"/>
          <w:highlight w:val="none"/>
        </w:rPr>
        <w:t>5.2.10乙方承诺投入的人员原则上不得随意更换。</w:t>
      </w:r>
      <w:r>
        <w:rPr>
          <w:rFonts w:ascii="宋体" w:hAnsi="宋体" w:cs="宋体"/>
          <w:bCs/>
          <w:kern w:val="0"/>
          <w:highlight w:val="none"/>
        </w:rPr>
        <w:t>在</w:t>
      </w:r>
      <w:r>
        <w:rPr>
          <w:rFonts w:ascii="宋体" w:hAnsi="宋体" w:cs="宋体"/>
          <w:bCs/>
          <w:spacing w:val="4"/>
          <w:kern w:val="0"/>
          <w:highlight w:val="none"/>
        </w:rPr>
        <w:t>必</w:t>
      </w:r>
      <w:r>
        <w:rPr>
          <w:rFonts w:ascii="宋体" w:hAnsi="宋体" w:cs="宋体"/>
          <w:bCs/>
          <w:spacing w:val="-2"/>
          <w:kern w:val="0"/>
          <w:highlight w:val="none"/>
        </w:rPr>
        <w:t>须</w:t>
      </w:r>
      <w:r>
        <w:rPr>
          <w:rFonts w:ascii="宋体" w:hAnsi="宋体" w:cs="宋体"/>
          <w:bCs/>
          <w:kern w:val="0"/>
          <w:highlight w:val="none"/>
        </w:rPr>
        <w:t>补</w:t>
      </w:r>
      <w:r>
        <w:rPr>
          <w:rFonts w:ascii="宋体" w:hAnsi="宋体" w:cs="宋体"/>
          <w:bCs/>
          <w:spacing w:val="-7"/>
          <w:w w:val="104"/>
          <w:kern w:val="0"/>
          <w:highlight w:val="none"/>
        </w:rPr>
        <w:t>充</w:t>
      </w:r>
      <w:r>
        <w:rPr>
          <w:rFonts w:ascii="宋体" w:hAnsi="宋体" w:cs="宋体"/>
          <w:bCs/>
          <w:spacing w:val="-4"/>
          <w:w w:val="103"/>
          <w:kern w:val="0"/>
          <w:highlight w:val="none"/>
        </w:rPr>
        <w:t>或</w:t>
      </w:r>
      <w:r>
        <w:rPr>
          <w:rFonts w:ascii="宋体" w:hAnsi="宋体" w:cs="宋体"/>
          <w:bCs/>
          <w:spacing w:val="-1"/>
          <w:w w:val="101"/>
          <w:kern w:val="0"/>
          <w:highlight w:val="none"/>
        </w:rPr>
        <w:t>更换</w:t>
      </w:r>
      <w:r>
        <w:rPr>
          <w:rFonts w:ascii="宋体" w:hAnsi="宋体" w:cs="宋体"/>
          <w:bCs/>
          <w:spacing w:val="-1"/>
          <w:w w:val="102"/>
          <w:kern w:val="0"/>
          <w:highlight w:val="none"/>
        </w:rPr>
        <w:t>人</w:t>
      </w:r>
      <w:r>
        <w:rPr>
          <w:rFonts w:ascii="宋体" w:hAnsi="宋体" w:cs="宋体"/>
          <w:bCs/>
          <w:spacing w:val="1"/>
          <w:kern w:val="0"/>
          <w:highlight w:val="none"/>
        </w:rPr>
        <w:t>员</w:t>
      </w:r>
      <w:r>
        <w:rPr>
          <w:rFonts w:ascii="宋体" w:hAnsi="宋体" w:cs="宋体"/>
          <w:bCs/>
          <w:kern w:val="0"/>
          <w:highlight w:val="none"/>
        </w:rPr>
        <w:t>时</w:t>
      </w:r>
      <w:r>
        <w:rPr>
          <w:rFonts w:ascii="宋体" w:hAnsi="宋体" w:cs="宋体"/>
          <w:bCs/>
          <w:spacing w:val="-5"/>
          <w:w w:val="103"/>
          <w:kern w:val="0"/>
          <w:highlight w:val="none"/>
        </w:rPr>
        <w:t>，</w:t>
      </w:r>
      <w:r>
        <w:rPr>
          <w:rFonts w:ascii="宋体" w:hAnsi="宋体" w:cs="宋体"/>
          <w:bCs/>
          <w:spacing w:val="1"/>
          <w:w w:val="101"/>
          <w:kern w:val="0"/>
          <w:highlight w:val="none"/>
        </w:rPr>
        <w:t>必</w:t>
      </w:r>
      <w:r>
        <w:rPr>
          <w:rFonts w:ascii="宋体" w:hAnsi="宋体" w:cs="宋体"/>
          <w:bCs/>
          <w:spacing w:val="-5"/>
          <w:w w:val="103"/>
          <w:kern w:val="0"/>
          <w:highlight w:val="none"/>
        </w:rPr>
        <w:t>须</w:t>
      </w:r>
      <w:r>
        <w:rPr>
          <w:rFonts w:ascii="宋体" w:hAnsi="宋体" w:cs="宋体"/>
          <w:bCs/>
          <w:spacing w:val="-1"/>
          <w:w w:val="101"/>
          <w:kern w:val="0"/>
          <w:highlight w:val="none"/>
        </w:rPr>
        <w:t>补</w:t>
      </w:r>
      <w:r>
        <w:rPr>
          <w:rFonts w:ascii="宋体" w:hAnsi="宋体" w:cs="宋体"/>
          <w:bCs/>
          <w:spacing w:val="1"/>
          <w:kern w:val="0"/>
          <w:highlight w:val="none"/>
        </w:rPr>
        <w:t>充</w:t>
      </w:r>
      <w:r>
        <w:rPr>
          <w:rFonts w:ascii="宋体" w:hAnsi="宋体" w:cs="宋体"/>
          <w:bCs/>
          <w:kern w:val="0"/>
          <w:highlight w:val="none"/>
        </w:rPr>
        <w:t>或</w:t>
      </w:r>
      <w:r>
        <w:rPr>
          <w:rFonts w:ascii="宋体" w:hAnsi="宋体" w:cs="宋体"/>
          <w:bCs/>
          <w:spacing w:val="-5"/>
          <w:w w:val="104"/>
          <w:kern w:val="0"/>
          <w:highlight w:val="none"/>
        </w:rPr>
        <w:t>更</w:t>
      </w:r>
      <w:r>
        <w:rPr>
          <w:rFonts w:ascii="宋体" w:hAnsi="宋体" w:cs="宋体"/>
          <w:bCs/>
          <w:spacing w:val="-1"/>
          <w:w w:val="101"/>
          <w:kern w:val="0"/>
          <w:highlight w:val="none"/>
        </w:rPr>
        <w:t>换优</w:t>
      </w:r>
      <w:r>
        <w:rPr>
          <w:rFonts w:ascii="宋体" w:hAnsi="宋体" w:cs="宋体"/>
          <w:bCs/>
          <w:spacing w:val="-3"/>
          <w:kern w:val="0"/>
          <w:highlight w:val="none"/>
        </w:rPr>
        <w:t>于</w:t>
      </w:r>
      <w:r>
        <w:rPr>
          <w:rFonts w:ascii="宋体" w:hAnsi="宋体" w:cs="宋体"/>
          <w:bCs/>
          <w:kern w:val="0"/>
          <w:highlight w:val="none"/>
        </w:rPr>
        <w:t>或</w:t>
      </w:r>
      <w:r>
        <w:rPr>
          <w:rFonts w:ascii="宋体" w:hAnsi="宋体" w:cs="宋体"/>
          <w:bCs/>
          <w:spacing w:val="-3"/>
          <w:kern w:val="0"/>
          <w:highlight w:val="none"/>
        </w:rPr>
        <w:t>等</w:t>
      </w:r>
      <w:r>
        <w:rPr>
          <w:rFonts w:ascii="宋体" w:hAnsi="宋体" w:cs="宋体"/>
          <w:bCs/>
          <w:spacing w:val="1"/>
          <w:kern w:val="0"/>
          <w:highlight w:val="none"/>
        </w:rPr>
        <w:t>同</w:t>
      </w:r>
      <w:r>
        <w:rPr>
          <w:rFonts w:ascii="宋体" w:hAnsi="宋体" w:cs="宋体"/>
          <w:bCs/>
          <w:spacing w:val="-5"/>
          <w:kern w:val="0"/>
          <w:highlight w:val="none"/>
        </w:rPr>
        <w:t>于</w:t>
      </w:r>
      <w:r>
        <w:rPr>
          <w:rFonts w:ascii="宋体" w:hAnsi="宋体" w:cs="宋体"/>
          <w:bCs/>
          <w:kern w:val="0"/>
          <w:highlight w:val="none"/>
        </w:rPr>
        <w:t>响</w:t>
      </w:r>
      <w:r>
        <w:rPr>
          <w:rFonts w:ascii="宋体" w:hAnsi="宋体" w:cs="宋体"/>
          <w:bCs/>
          <w:spacing w:val="-2"/>
          <w:kern w:val="0"/>
          <w:highlight w:val="none"/>
        </w:rPr>
        <w:t>应</w:t>
      </w:r>
      <w:r>
        <w:rPr>
          <w:rFonts w:ascii="宋体" w:hAnsi="宋体" w:cs="宋体"/>
          <w:bCs/>
          <w:kern w:val="0"/>
          <w:highlight w:val="none"/>
        </w:rPr>
        <w:t>文</w:t>
      </w:r>
      <w:r>
        <w:rPr>
          <w:rFonts w:ascii="宋体" w:hAnsi="宋体" w:cs="宋体"/>
          <w:bCs/>
          <w:spacing w:val="-3"/>
          <w:kern w:val="0"/>
          <w:highlight w:val="none"/>
        </w:rPr>
        <w:t>件</w:t>
      </w:r>
      <w:r>
        <w:rPr>
          <w:rFonts w:ascii="宋体" w:hAnsi="宋体" w:cs="宋体"/>
          <w:bCs/>
          <w:kern w:val="0"/>
          <w:highlight w:val="none"/>
        </w:rPr>
        <w:t>所</w:t>
      </w:r>
      <w:r>
        <w:rPr>
          <w:rFonts w:ascii="宋体" w:hAnsi="宋体" w:cs="宋体"/>
          <w:bCs/>
          <w:w w:val="101"/>
          <w:kern w:val="0"/>
          <w:highlight w:val="none"/>
        </w:rPr>
        <w:t>承</w:t>
      </w:r>
      <w:r>
        <w:rPr>
          <w:rFonts w:ascii="宋体" w:hAnsi="宋体" w:cs="宋体"/>
          <w:bCs/>
          <w:spacing w:val="-3"/>
          <w:kern w:val="0"/>
          <w:highlight w:val="none"/>
        </w:rPr>
        <w:t>诺</w:t>
      </w:r>
      <w:r>
        <w:rPr>
          <w:rFonts w:ascii="宋体" w:hAnsi="宋体" w:cs="宋体"/>
          <w:bCs/>
          <w:kern w:val="0"/>
          <w:highlight w:val="none"/>
        </w:rPr>
        <w:t>资</w:t>
      </w:r>
      <w:r>
        <w:rPr>
          <w:rFonts w:ascii="宋体" w:hAnsi="宋体" w:cs="宋体"/>
          <w:bCs/>
          <w:spacing w:val="-3"/>
          <w:kern w:val="0"/>
          <w:highlight w:val="none"/>
        </w:rPr>
        <w:t>质</w:t>
      </w:r>
      <w:r>
        <w:rPr>
          <w:rFonts w:ascii="宋体" w:hAnsi="宋体" w:cs="宋体"/>
          <w:bCs/>
          <w:kern w:val="0"/>
          <w:highlight w:val="none"/>
        </w:rPr>
        <w:t>的</w:t>
      </w:r>
      <w:r>
        <w:rPr>
          <w:rFonts w:ascii="宋体" w:hAnsi="宋体" w:cs="宋体"/>
          <w:bCs/>
          <w:spacing w:val="-2"/>
          <w:kern w:val="0"/>
          <w:highlight w:val="none"/>
        </w:rPr>
        <w:t>服</w:t>
      </w:r>
      <w:r>
        <w:rPr>
          <w:rFonts w:ascii="宋体" w:hAnsi="宋体" w:cs="宋体"/>
          <w:bCs/>
          <w:kern w:val="0"/>
          <w:highlight w:val="none"/>
        </w:rPr>
        <w:t>务</w:t>
      </w:r>
      <w:r>
        <w:rPr>
          <w:rFonts w:ascii="宋体" w:hAnsi="宋体" w:cs="宋体"/>
          <w:bCs/>
          <w:spacing w:val="-3"/>
          <w:kern w:val="0"/>
          <w:highlight w:val="none"/>
        </w:rPr>
        <w:t>人</w:t>
      </w:r>
      <w:r>
        <w:rPr>
          <w:rFonts w:ascii="宋体" w:hAnsi="宋体" w:cs="宋体"/>
          <w:bCs/>
          <w:kern w:val="0"/>
          <w:highlight w:val="none"/>
        </w:rPr>
        <w:t>员</w:t>
      </w:r>
      <w:r>
        <w:rPr>
          <w:rFonts w:hint="eastAsia" w:ascii="宋体" w:hAnsi="宋体"/>
          <w:szCs w:val="21"/>
          <w:highlight w:val="none"/>
        </w:rPr>
        <w:t>并征得甲方的书面同意。</w:t>
      </w:r>
    </w:p>
    <w:p w14:paraId="1DA0F3E0">
      <w:pPr>
        <w:ind w:firstLine="420" w:firstLineChars="200"/>
        <w:rPr>
          <w:rFonts w:ascii="宋体" w:hAnsi="宋体"/>
          <w:szCs w:val="21"/>
          <w:highlight w:val="none"/>
        </w:rPr>
      </w:pPr>
      <w:r>
        <w:rPr>
          <w:rFonts w:hint="eastAsia" w:ascii="宋体" w:hAnsi="宋体"/>
          <w:szCs w:val="21"/>
          <w:highlight w:val="none"/>
        </w:rPr>
        <w:t>5.2.11乙方应积极配合甲方提出的对不称职服务人员的更换要求，乙方应在收到甲方书面通知后三个工作日内予以调整。</w:t>
      </w:r>
    </w:p>
    <w:p w14:paraId="42B88C73">
      <w:pPr>
        <w:ind w:firstLine="420" w:firstLineChars="200"/>
        <w:rPr>
          <w:rFonts w:ascii="宋体" w:hAnsi="宋体"/>
          <w:szCs w:val="21"/>
          <w:highlight w:val="none"/>
        </w:rPr>
      </w:pPr>
      <w:r>
        <w:rPr>
          <w:rFonts w:hint="eastAsia" w:ascii="宋体" w:hAnsi="宋体"/>
          <w:szCs w:val="21"/>
          <w:highlight w:val="none"/>
        </w:rPr>
        <w:t>5.2.12对于因乙方内部原因，影响到甲方的正常运作，并进而所引起的一切经济损失和后果由乙方负责。</w:t>
      </w:r>
    </w:p>
    <w:p w14:paraId="3CF0FAD5">
      <w:pPr>
        <w:ind w:firstLine="420" w:firstLineChars="200"/>
        <w:rPr>
          <w:rFonts w:ascii="宋体" w:hAnsi="宋体"/>
          <w:szCs w:val="21"/>
          <w:highlight w:val="none"/>
        </w:rPr>
      </w:pPr>
      <w:r>
        <w:rPr>
          <w:rFonts w:hint="eastAsia" w:ascii="宋体" w:hAnsi="宋体"/>
          <w:szCs w:val="21"/>
          <w:highlight w:val="none"/>
        </w:rPr>
        <w:t>5.2.13乙方项目组应在签订合同一周内进驻现场，确保工作正常有序进行。</w:t>
      </w:r>
    </w:p>
    <w:p w14:paraId="03D39C2B">
      <w:pPr>
        <w:pStyle w:val="81"/>
        <w:rPr>
          <w:rFonts w:ascii="宋体" w:hAnsi="宋体"/>
          <w:highlight w:val="none"/>
        </w:rPr>
      </w:pPr>
      <w:r>
        <w:rPr>
          <w:rFonts w:hint="eastAsia" w:ascii="宋体" w:hAnsi="宋体"/>
          <w:szCs w:val="21"/>
          <w:highlight w:val="none"/>
        </w:rPr>
        <w:t>5.2.14乙方项目负责人应按甲方要求出席相关会议（含日常工作汇报会、阶段成果汇报会等会议）并对项目成果进行汇报。乙方项目负责人因不可抗力或临时会议不能到场时，经由甲方同意，可指派其他项目组成员到场进行汇报或远程汇报。</w:t>
      </w:r>
    </w:p>
    <w:p w14:paraId="681AC87A">
      <w:pPr>
        <w:snapToGrid w:val="0"/>
        <w:ind w:firstLine="422" w:firstLineChars="200"/>
        <w:rPr>
          <w:rFonts w:ascii="宋体" w:hAnsi="宋体"/>
          <w:b/>
          <w:szCs w:val="21"/>
          <w:highlight w:val="none"/>
        </w:rPr>
      </w:pPr>
      <w:r>
        <w:rPr>
          <w:rFonts w:hint="eastAsia" w:ascii="宋体" w:hAnsi="宋体"/>
          <w:b/>
          <w:szCs w:val="21"/>
          <w:highlight w:val="none"/>
        </w:rPr>
        <w:t>5.3其他详见技术规格书的要求。</w:t>
      </w:r>
      <w:bookmarkStart w:id="349" w:name="_Toc22193"/>
      <w:bookmarkStart w:id="350" w:name="_Toc1724587"/>
      <w:bookmarkStart w:id="351" w:name="_Toc3310"/>
      <w:bookmarkStart w:id="352" w:name="_Toc3665"/>
    </w:p>
    <w:bookmarkEnd w:id="349"/>
    <w:bookmarkEnd w:id="350"/>
    <w:bookmarkEnd w:id="351"/>
    <w:bookmarkEnd w:id="352"/>
    <w:p w14:paraId="6689ECA0">
      <w:pPr>
        <w:pStyle w:val="4"/>
        <w:spacing w:before="0" w:after="0" w:line="360" w:lineRule="auto"/>
        <w:ind w:firstLine="482" w:firstLineChars="200"/>
        <w:rPr>
          <w:rFonts w:ascii="Calibri" w:hAnsi="Calibri"/>
          <w:kern w:val="0"/>
          <w:sz w:val="24"/>
          <w:szCs w:val="24"/>
          <w:highlight w:val="none"/>
        </w:rPr>
      </w:pPr>
      <w:bookmarkStart w:id="353" w:name="_Toc4237"/>
      <w:bookmarkStart w:id="354" w:name="_Toc30045"/>
      <w:bookmarkStart w:id="355" w:name="_Toc31921"/>
      <w:bookmarkStart w:id="356" w:name="_Toc1724588"/>
      <w:bookmarkStart w:id="357" w:name="_Toc27441"/>
      <w:r>
        <w:rPr>
          <w:rFonts w:hint="eastAsia" w:ascii="Calibri" w:hAnsi="Calibri"/>
          <w:kern w:val="0"/>
          <w:sz w:val="24"/>
          <w:szCs w:val="24"/>
          <w:highlight w:val="none"/>
        </w:rPr>
        <w:t>6 合同价格</w:t>
      </w:r>
      <w:bookmarkEnd w:id="353"/>
    </w:p>
    <w:p w14:paraId="54479D13">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6.1本项目实行总价包干的形式，包括了</w:t>
      </w:r>
      <w:r>
        <w:rPr>
          <w:rFonts w:ascii="宋体" w:hAnsi="宋体"/>
          <w:sz w:val="21"/>
          <w:szCs w:val="21"/>
          <w:highlight w:val="none"/>
        </w:rPr>
        <w:t>为实施和完成本项工作（包含但不限于编制、修改、成果输出等）的所有费用，包括但不限于合同期内本项工作所需的人工费、材料费、办公用品费、差旅费、通讯费、管理费、措施费、调研费、专家评审费、利润、税金、风险等一切费用</w:t>
      </w:r>
      <w:r>
        <w:rPr>
          <w:rFonts w:hint="eastAsia" w:ascii="宋体" w:hAnsi="宋体"/>
          <w:kern w:val="2"/>
          <w:sz w:val="21"/>
          <w:szCs w:val="21"/>
          <w:highlight w:val="none"/>
        </w:rPr>
        <w:t>。</w:t>
      </w:r>
    </w:p>
    <w:p w14:paraId="5A61D1C5">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6.2本合同不含增值税价为（大写）   （¥        ），增值税税率为    ，税额为（大写）   （¥        ），含税总价为（大写）   （¥     ）。</w:t>
      </w:r>
    </w:p>
    <w:p w14:paraId="75B953AC">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在合同履约过程中，本合同税率必须遵照国家现行税法执行。本合同最终税金在结算阶段，按实际产生的税金进行核算，但合同不含税价格不因国家税率调整而调整。</w:t>
      </w:r>
    </w:p>
    <w:p w14:paraId="61CBD6E8">
      <w:pPr>
        <w:pStyle w:val="4"/>
        <w:spacing w:before="0" w:after="0" w:line="360" w:lineRule="auto"/>
        <w:ind w:firstLine="482" w:firstLineChars="200"/>
        <w:rPr>
          <w:highlight w:val="none"/>
        </w:rPr>
      </w:pPr>
      <w:bookmarkStart w:id="358" w:name="_Toc28349"/>
      <w:r>
        <w:rPr>
          <w:rFonts w:ascii="Calibri" w:hAnsi="Calibri"/>
          <w:kern w:val="0"/>
          <w:sz w:val="24"/>
          <w:szCs w:val="24"/>
          <w:highlight w:val="none"/>
        </w:rPr>
        <w:t>7</w:t>
      </w:r>
      <w:bookmarkEnd w:id="354"/>
      <w:bookmarkEnd w:id="355"/>
      <w:bookmarkEnd w:id="356"/>
      <w:bookmarkEnd w:id="357"/>
      <w:r>
        <w:rPr>
          <w:rFonts w:hint="eastAsia" w:ascii="Calibri" w:hAnsi="Calibri"/>
          <w:kern w:val="0"/>
          <w:sz w:val="24"/>
          <w:szCs w:val="24"/>
          <w:highlight w:val="none"/>
        </w:rPr>
        <w:t>支付</w:t>
      </w:r>
      <w:bookmarkEnd w:id="358"/>
    </w:p>
    <w:p w14:paraId="640071FF">
      <w:pPr>
        <w:pStyle w:val="16"/>
        <w:spacing w:line="360" w:lineRule="auto"/>
        <w:ind w:firstLine="420" w:firstLineChars="200"/>
        <w:rPr>
          <w:rFonts w:hAnsi="宋体"/>
          <w:szCs w:val="21"/>
          <w:highlight w:val="none"/>
        </w:rPr>
      </w:pPr>
      <w:r>
        <w:rPr>
          <w:rFonts w:hint="eastAsia" w:hAnsi="宋体"/>
          <w:szCs w:val="21"/>
          <w:highlight w:val="none"/>
        </w:rPr>
        <w:t>7.1 本合同所有款项的支付均通过甲方指定的中国境内银行（不含港澳台地区）以电汇方式支付给乙方指定的中国境内银行（不含港澳台地区）的银行账号。</w:t>
      </w:r>
    </w:p>
    <w:p w14:paraId="00223D2D">
      <w:pPr>
        <w:ind w:firstLine="420" w:firstLineChars="200"/>
        <w:rPr>
          <w:highlight w:val="none"/>
        </w:rPr>
      </w:pPr>
      <w:r>
        <w:rPr>
          <w:rFonts w:hint="eastAsia"/>
          <w:highlight w:val="none"/>
        </w:rPr>
        <w:t>7.2 合同款项的支付</w:t>
      </w:r>
    </w:p>
    <w:p w14:paraId="3C918C4A">
      <w:pPr>
        <w:pStyle w:val="16"/>
        <w:spacing w:line="360" w:lineRule="auto"/>
        <w:ind w:firstLine="420" w:firstLineChars="200"/>
        <w:rPr>
          <w:rFonts w:hAnsi="宋体"/>
          <w:szCs w:val="21"/>
          <w:highlight w:val="none"/>
        </w:rPr>
      </w:pPr>
      <w:r>
        <w:rPr>
          <w:rFonts w:hint="eastAsia" w:hAnsi="宋体"/>
          <w:szCs w:val="21"/>
          <w:highlight w:val="none"/>
        </w:rPr>
        <w:t xml:space="preserve">7.2.1 </w:t>
      </w:r>
      <w:r>
        <w:rPr>
          <w:rFonts w:hint="eastAsia"/>
          <w:highlight w:val="none"/>
        </w:rPr>
        <w:t>工作启动费用支付。自合同签订之日起20个工作日内，在乙方提交标准编制思路、编制框架及结构、工作计划书及调研清单后，由甲方向乙方支付合同总价款的30%</w:t>
      </w:r>
      <w:r>
        <w:rPr>
          <w:rFonts w:hint="eastAsia" w:hAnsi="宋体"/>
          <w:szCs w:val="21"/>
          <w:highlight w:val="none"/>
        </w:rPr>
        <w:t>。</w:t>
      </w:r>
    </w:p>
    <w:p w14:paraId="36BFBB6A">
      <w:pPr>
        <w:pStyle w:val="16"/>
        <w:spacing w:line="360" w:lineRule="auto"/>
        <w:ind w:firstLine="420" w:firstLineChars="200"/>
        <w:rPr>
          <w:rFonts w:hAnsi="宋体"/>
          <w:szCs w:val="21"/>
          <w:highlight w:val="none"/>
        </w:rPr>
      </w:pPr>
      <w:r>
        <w:rPr>
          <w:rFonts w:hint="eastAsia" w:hAnsi="宋体"/>
          <w:szCs w:val="21"/>
          <w:highlight w:val="none"/>
        </w:rPr>
        <w:t>7.2.2 中间成果审查、验收与费用支付。在乙方完成标准（征求意见稿）、编制说明（征求意见稿），并通过甲方组织的中期专家评审会后，由甲方向乙方支付合同总价款的50%。</w:t>
      </w:r>
    </w:p>
    <w:p w14:paraId="7485B323">
      <w:pPr>
        <w:pStyle w:val="16"/>
        <w:spacing w:line="360" w:lineRule="auto"/>
        <w:ind w:firstLine="420" w:firstLineChars="200"/>
        <w:rPr>
          <w:rFonts w:hAnsi="宋体"/>
          <w:szCs w:val="21"/>
          <w:highlight w:val="none"/>
        </w:rPr>
      </w:pPr>
      <w:r>
        <w:rPr>
          <w:rFonts w:hint="eastAsia" w:hAnsi="宋体"/>
          <w:szCs w:val="21"/>
          <w:highlight w:val="none"/>
        </w:rPr>
        <w:t>7.2.3 最终成果审查、验收与费用支付。在乙方完成标准(送审稿)，并通过有关行政部门技</w:t>
      </w:r>
    </w:p>
    <w:p w14:paraId="4836398E">
      <w:pPr>
        <w:pStyle w:val="16"/>
        <w:spacing w:line="360" w:lineRule="auto"/>
        <w:ind w:firstLine="420" w:firstLineChars="200"/>
        <w:rPr>
          <w:rFonts w:hAnsi="宋体"/>
          <w:szCs w:val="21"/>
          <w:highlight w:val="none"/>
        </w:rPr>
      </w:pPr>
      <w:r>
        <w:rPr>
          <w:rFonts w:hint="eastAsia" w:hAnsi="宋体"/>
          <w:szCs w:val="21"/>
          <w:highlight w:val="none"/>
        </w:rPr>
        <w:t>术审查，形成报批需要材料，即完成项目结题。项目结题后，由甲方向乙方支付合同总价款的20%。</w:t>
      </w:r>
    </w:p>
    <w:p w14:paraId="634ACF88">
      <w:pPr>
        <w:pStyle w:val="16"/>
        <w:spacing w:line="360" w:lineRule="auto"/>
        <w:ind w:firstLine="420" w:firstLineChars="200"/>
        <w:rPr>
          <w:rFonts w:hAnsi="宋体"/>
          <w:szCs w:val="21"/>
          <w:highlight w:val="none"/>
        </w:rPr>
      </w:pPr>
      <w:r>
        <w:rPr>
          <w:rFonts w:hint="eastAsia" w:hAnsi="宋体"/>
          <w:szCs w:val="21"/>
          <w:highlight w:val="none"/>
        </w:rPr>
        <w:t>7.2.4乙方如有违约行为，甲方有权在任意一期支付金额中扣除，并在费用结算时清算。</w:t>
      </w:r>
    </w:p>
    <w:p w14:paraId="4808712B">
      <w:pPr>
        <w:pStyle w:val="16"/>
        <w:spacing w:line="360" w:lineRule="auto"/>
        <w:ind w:firstLine="420" w:firstLineChars="200"/>
        <w:rPr>
          <w:rFonts w:hAnsi="宋体"/>
          <w:szCs w:val="21"/>
          <w:highlight w:val="none"/>
        </w:rPr>
      </w:pPr>
      <w:r>
        <w:rPr>
          <w:rFonts w:hint="eastAsia" w:hAnsi="宋体"/>
          <w:szCs w:val="21"/>
          <w:highlight w:val="none"/>
        </w:rPr>
        <w:t>7.3 发票的开具</w:t>
      </w:r>
    </w:p>
    <w:p w14:paraId="06EA5385">
      <w:pPr>
        <w:pStyle w:val="16"/>
        <w:spacing w:line="360" w:lineRule="auto"/>
        <w:ind w:firstLine="420" w:firstLineChars="200"/>
        <w:rPr>
          <w:rFonts w:hAnsi="宋体"/>
          <w:szCs w:val="21"/>
          <w:highlight w:val="none"/>
        </w:rPr>
      </w:pPr>
      <w:r>
        <w:rPr>
          <w:rFonts w:hint="eastAsia" w:hAnsi="宋体"/>
          <w:szCs w:val="21"/>
          <w:highlight w:val="none"/>
        </w:rPr>
        <w:t>甲方每次付款前，乙方保证开具的发票为合法、有效的增值税专用发票。因乙方逾期开票或开具的发票不符合法律规定、本合同约定，由此产生的后果由乙方承担，甲方不承担逾期付款的违约责任。</w:t>
      </w:r>
    </w:p>
    <w:p w14:paraId="6692C113">
      <w:pPr>
        <w:ind w:firstLine="422" w:firstLineChars="200"/>
        <w:rPr>
          <w:rFonts w:ascii="宋体" w:hAnsi="宋体"/>
          <w:kern w:val="0"/>
          <w:szCs w:val="21"/>
          <w:highlight w:val="none"/>
        </w:rPr>
      </w:pPr>
      <w:r>
        <w:rPr>
          <w:rFonts w:hint="eastAsia"/>
          <w:b/>
          <w:highlight w:val="none"/>
        </w:rPr>
        <w:t>7.4如为联合体中标，甲方每次支付服务费根据联合体协议中约定的各方咨询内容和工作量直接支付给相应单位。支付期间乙方有违约情况，甲方可在当期的支付款项中直接扣除违约金。</w:t>
      </w:r>
    </w:p>
    <w:p w14:paraId="2705D2BE">
      <w:pPr>
        <w:ind w:firstLine="422" w:firstLineChars="200"/>
        <w:rPr>
          <w:rFonts w:asciiTheme="minorEastAsia" w:hAnsiTheme="minorEastAsia" w:eastAsiaTheme="minorEastAsia"/>
          <w:b/>
          <w:highlight w:val="none"/>
        </w:rPr>
      </w:pPr>
      <w:r>
        <w:rPr>
          <w:rFonts w:asciiTheme="minorEastAsia" w:hAnsiTheme="minorEastAsia" w:eastAsiaTheme="minorEastAsia"/>
          <w:b/>
          <w:highlight w:val="none"/>
        </w:rPr>
        <w:t>7.</w:t>
      </w:r>
      <w:r>
        <w:rPr>
          <w:rFonts w:hint="eastAsia" w:asciiTheme="minorEastAsia" w:hAnsiTheme="minorEastAsia" w:eastAsiaTheme="minorEastAsia"/>
          <w:b/>
          <w:highlight w:val="none"/>
        </w:rPr>
        <w:t>5</w:t>
      </w:r>
      <w:r>
        <w:rPr>
          <w:rFonts w:asciiTheme="minorEastAsia" w:hAnsiTheme="minorEastAsia" w:eastAsiaTheme="minorEastAsia"/>
          <w:b/>
          <w:highlight w:val="none"/>
        </w:rPr>
        <w:t>支付合同款时，需满足以下条件：</w:t>
      </w:r>
    </w:p>
    <w:p w14:paraId="25727886">
      <w:pPr>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（1）乙方完成当期工作且经甲方</w:t>
      </w:r>
      <w:r>
        <w:rPr>
          <w:rFonts w:hint="eastAsia" w:asciiTheme="minorEastAsia" w:hAnsiTheme="minorEastAsia" w:eastAsiaTheme="minorEastAsia"/>
          <w:szCs w:val="21"/>
          <w:highlight w:val="none"/>
        </w:rPr>
        <w:t>确认</w:t>
      </w:r>
      <w:r>
        <w:rPr>
          <w:rFonts w:asciiTheme="minorEastAsia" w:hAnsiTheme="minorEastAsia" w:eastAsiaTheme="minorEastAsia"/>
          <w:szCs w:val="21"/>
          <w:highlight w:val="none"/>
        </w:rPr>
        <w:t>。</w:t>
      </w:r>
    </w:p>
    <w:p w14:paraId="33867AAE">
      <w:pPr>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（2）乙方向甲方提供以下合格材料，并经甲方审核无误：</w:t>
      </w:r>
    </w:p>
    <w:p w14:paraId="491D426C">
      <w:pPr>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①乙方开具相应金额的增值税专用发票。</w:t>
      </w:r>
    </w:p>
    <w:p w14:paraId="028A0194">
      <w:pPr>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②乙方出具的支付申请书。</w:t>
      </w:r>
    </w:p>
    <w:p w14:paraId="036B442A">
      <w:pPr>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③乙方完成当期工作且经甲方</w:t>
      </w:r>
      <w:r>
        <w:rPr>
          <w:rFonts w:hint="eastAsia" w:asciiTheme="minorEastAsia" w:hAnsiTheme="minorEastAsia" w:eastAsiaTheme="minorEastAsia"/>
          <w:szCs w:val="21"/>
          <w:highlight w:val="none"/>
        </w:rPr>
        <w:t>确认</w:t>
      </w:r>
      <w:r>
        <w:rPr>
          <w:rFonts w:asciiTheme="minorEastAsia" w:hAnsiTheme="minorEastAsia" w:eastAsiaTheme="minorEastAsia"/>
          <w:szCs w:val="21"/>
          <w:highlight w:val="none"/>
        </w:rPr>
        <w:t>的证明材料。</w:t>
      </w:r>
    </w:p>
    <w:p w14:paraId="4522B7FB">
      <w:pPr>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④合同违约处理通知单（如有）</w:t>
      </w:r>
    </w:p>
    <w:p w14:paraId="5FF8F5E8">
      <w:pPr>
        <w:pStyle w:val="4"/>
        <w:spacing w:before="0" w:after="0" w:line="360" w:lineRule="auto"/>
        <w:ind w:firstLine="482" w:firstLineChars="200"/>
        <w:rPr>
          <w:rFonts w:ascii="Calibri" w:hAnsi="Calibri"/>
          <w:kern w:val="0"/>
          <w:sz w:val="24"/>
          <w:szCs w:val="24"/>
          <w:highlight w:val="none"/>
        </w:rPr>
      </w:pPr>
      <w:bookmarkStart w:id="359" w:name="_Toc25512"/>
      <w:bookmarkStart w:id="360" w:name="_Toc15029"/>
      <w:bookmarkStart w:id="361" w:name="_Toc18034"/>
      <w:bookmarkStart w:id="362" w:name="_Toc1724589"/>
      <w:bookmarkStart w:id="363" w:name="_Toc11251"/>
      <w:r>
        <w:rPr>
          <w:rFonts w:hint="eastAsia" w:ascii="Calibri" w:hAnsi="Calibri"/>
          <w:kern w:val="0"/>
          <w:sz w:val="24"/>
          <w:szCs w:val="24"/>
          <w:highlight w:val="none"/>
        </w:rPr>
        <w:t>8 变更及变更费用的调整</w:t>
      </w:r>
      <w:bookmarkEnd w:id="359"/>
      <w:bookmarkEnd w:id="360"/>
    </w:p>
    <w:p w14:paraId="6CFEBF1D">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本合同价格为固定单价。不得以任何理由予以合同价格上浮、上调、上涨，但如属双方协商同意变更的情况除外。</w:t>
      </w:r>
    </w:p>
    <w:p w14:paraId="03F6A2B7">
      <w:pPr>
        <w:pStyle w:val="82"/>
        <w:snapToGrid w:val="0"/>
        <w:spacing w:before="0" w:after="0"/>
        <w:ind w:left="0" w:right="0" w:firstLine="420" w:firstLineChars="200"/>
        <w:rPr>
          <w:rFonts w:ascii="宋体" w:hAnsi="宋体"/>
          <w:sz w:val="21"/>
          <w:szCs w:val="21"/>
          <w:highlight w:val="none"/>
        </w:rPr>
      </w:pPr>
    </w:p>
    <w:p w14:paraId="27CCFE9B">
      <w:pPr>
        <w:pStyle w:val="4"/>
        <w:spacing w:before="0" w:after="0" w:line="360" w:lineRule="auto"/>
        <w:ind w:firstLine="482" w:firstLineChars="200"/>
        <w:rPr>
          <w:rFonts w:ascii="Calibri" w:hAnsi="Calibri"/>
          <w:kern w:val="0"/>
          <w:sz w:val="24"/>
          <w:szCs w:val="24"/>
          <w:highlight w:val="none"/>
        </w:rPr>
      </w:pPr>
      <w:bookmarkStart w:id="364" w:name="_Toc15411"/>
      <w:bookmarkStart w:id="365" w:name="_Toc10531"/>
      <w:r>
        <w:rPr>
          <w:rFonts w:hint="eastAsia" w:ascii="Calibri" w:hAnsi="Calibri"/>
          <w:kern w:val="0"/>
          <w:sz w:val="24"/>
          <w:szCs w:val="24"/>
          <w:highlight w:val="none"/>
        </w:rPr>
        <w:t>9 项目</w:t>
      </w:r>
      <w:bookmarkEnd w:id="361"/>
      <w:bookmarkEnd w:id="362"/>
      <w:bookmarkEnd w:id="363"/>
      <w:bookmarkEnd w:id="364"/>
      <w:r>
        <w:rPr>
          <w:rFonts w:hint="eastAsia" w:ascii="Calibri" w:hAnsi="Calibri"/>
          <w:kern w:val="0"/>
          <w:sz w:val="24"/>
          <w:szCs w:val="24"/>
          <w:highlight w:val="none"/>
        </w:rPr>
        <w:t>质量管理</w:t>
      </w:r>
      <w:bookmarkEnd w:id="365"/>
    </w:p>
    <w:p w14:paraId="7E5035A7">
      <w:pPr>
        <w:ind w:firstLine="420" w:firstLineChars="200"/>
        <w:rPr>
          <w:rFonts w:ascii="宋体" w:hAnsi="宋体"/>
          <w:kern w:val="0"/>
          <w:szCs w:val="21"/>
          <w:highlight w:val="none"/>
        </w:rPr>
      </w:pPr>
      <w:r>
        <w:rPr>
          <w:rFonts w:hint="eastAsia" w:ascii="宋体" w:hAnsi="宋体"/>
          <w:kern w:val="0"/>
          <w:szCs w:val="21"/>
          <w:highlight w:val="none"/>
        </w:rPr>
        <w:t>9.1乙方编制项目成果物应符合相关国家标准或南宁轨道交通集团有关项目管理、开发管理、文档管理的规范和要求。</w:t>
      </w:r>
    </w:p>
    <w:p w14:paraId="66275475">
      <w:pPr>
        <w:ind w:firstLine="420" w:firstLineChars="200"/>
        <w:rPr>
          <w:rFonts w:ascii="宋体" w:hAnsi="宋体"/>
          <w:kern w:val="0"/>
          <w:szCs w:val="21"/>
          <w:highlight w:val="none"/>
        </w:rPr>
      </w:pPr>
      <w:r>
        <w:rPr>
          <w:rFonts w:hint="eastAsia" w:ascii="宋体" w:hAnsi="宋体"/>
          <w:kern w:val="0"/>
          <w:szCs w:val="21"/>
          <w:highlight w:val="none"/>
        </w:rPr>
        <w:t>9.2乙方应做好内外部信息管理，通过定期、不定期的例会，对进度、质量等方面的执行情况和存在问题进行了解检查，并及时向甲方通报。</w:t>
      </w:r>
    </w:p>
    <w:p w14:paraId="0DDFF209">
      <w:pPr>
        <w:ind w:firstLine="420" w:firstLineChars="200"/>
        <w:rPr>
          <w:rFonts w:ascii="宋体" w:hAnsi="宋体"/>
          <w:kern w:val="0"/>
          <w:szCs w:val="21"/>
          <w:highlight w:val="none"/>
        </w:rPr>
      </w:pPr>
      <w:r>
        <w:rPr>
          <w:rFonts w:hint="eastAsia" w:ascii="宋体" w:hAnsi="宋体"/>
          <w:kern w:val="0"/>
          <w:szCs w:val="21"/>
          <w:highlight w:val="none"/>
        </w:rPr>
        <w:t>9.3乙方应建立项目档案和文件控制系统，做好文件的编目、查阅、归档、保管和处理，使之符合相关规定和要求。</w:t>
      </w:r>
    </w:p>
    <w:p w14:paraId="6354FB77">
      <w:pPr>
        <w:ind w:firstLine="420" w:firstLineChars="200"/>
        <w:rPr>
          <w:rFonts w:ascii="宋体" w:hAnsi="宋体"/>
          <w:kern w:val="0"/>
          <w:szCs w:val="21"/>
          <w:highlight w:val="none"/>
        </w:rPr>
      </w:pPr>
      <w:r>
        <w:rPr>
          <w:rFonts w:hint="eastAsia" w:ascii="宋体" w:hAnsi="宋体"/>
          <w:kern w:val="0"/>
          <w:szCs w:val="21"/>
          <w:highlight w:val="none"/>
        </w:rPr>
        <w:t>9.4乙方为本项目提供服务的所有活动及作业，均应接受甲方或其委托代理人的监督与检查，并妥善落实和处理其意见及建议。</w:t>
      </w:r>
    </w:p>
    <w:p w14:paraId="4E3FE6E9">
      <w:pPr>
        <w:pStyle w:val="4"/>
        <w:spacing w:before="0" w:after="0" w:line="360" w:lineRule="auto"/>
        <w:ind w:firstLine="482" w:firstLineChars="200"/>
        <w:rPr>
          <w:rFonts w:ascii="Calibri" w:hAnsi="Calibri"/>
          <w:kern w:val="0"/>
          <w:sz w:val="24"/>
          <w:szCs w:val="24"/>
          <w:highlight w:val="none"/>
        </w:rPr>
      </w:pPr>
      <w:bookmarkStart w:id="366" w:name="_Toc9940"/>
      <w:bookmarkStart w:id="367" w:name="_Toc24369"/>
      <w:bookmarkStart w:id="368" w:name="_Toc28540"/>
      <w:bookmarkStart w:id="369" w:name="_Toc1724590"/>
      <w:bookmarkStart w:id="370" w:name="_Toc5385"/>
      <w:r>
        <w:rPr>
          <w:rFonts w:hint="eastAsia" w:ascii="Calibri" w:hAnsi="Calibri"/>
          <w:kern w:val="0"/>
          <w:sz w:val="24"/>
          <w:highlight w:val="none"/>
        </w:rPr>
        <w:t>10</w:t>
      </w:r>
      <w:r>
        <w:rPr>
          <w:rFonts w:hint="eastAsia" w:ascii="Calibri" w:hAnsi="Calibri"/>
          <w:kern w:val="0"/>
          <w:sz w:val="24"/>
          <w:szCs w:val="24"/>
          <w:highlight w:val="none"/>
        </w:rPr>
        <w:t>履约担保</w:t>
      </w:r>
      <w:bookmarkEnd w:id="366"/>
      <w:bookmarkEnd w:id="367"/>
      <w:bookmarkEnd w:id="368"/>
      <w:bookmarkEnd w:id="369"/>
      <w:bookmarkEnd w:id="370"/>
    </w:p>
    <w:p w14:paraId="048A5AF4">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10</w:t>
      </w:r>
      <w:r>
        <w:rPr>
          <w:rFonts w:ascii="宋体" w:hAnsi="宋体"/>
          <w:sz w:val="21"/>
          <w:szCs w:val="21"/>
          <w:highlight w:val="none"/>
        </w:rPr>
        <w:t xml:space="preserve">.1 </w:t>
      </w:r>
      <w:r>
        <w:rPr>
          <w:rFonts w:hint="eastAsia" w:ascii="宋体" w:hAnsi="宋体"/>
          <w:sz w:val="21"/>
          <w:szCs w:val="21"/>
          <w:highlight w:val="none"/>
        </w:rPr>
        <w:t>履约担保：履约担保金额为中标金额的</w:t>
      </w:r>
      <w:r>
        <w:rPr>
          <w:rFonts w:hint="eastAsia" w:ascii="宋体" w:hAnsi="宋体"/>
          <w:sz w:val="21"/>
          <w:szCs w:val="21"/>
          <w:highlight w:val="none"/>
          <w:u w:val="single"/>
        </w:rPr>
        <w:t xml:space="preserve"> 2.5% </w:t>
      </w:r>
      <w:r>
        <w:rPr>
          <w:rFonts w:hint="eastAsia" w:ascii="宋体" w:hAnsi="宋体"/>
          <w:sz w:val="21"/>
          <w:szCs w:val="21"/>
          <w:highlight w:val="none"/>
        </w:rPr>
        <w:t>（精确到元，小数点后四舍五入），采用履约保函或银行电汇或转账等形式提交。</w:t>
      </w:r>
    </w:p>
    <w:p w14:paraId="4AD0021B">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10</w:t>
      </w:r>
      <w:r>
        <w:rPr>
          <w:rFonts w:ascii="宋体" w:hAnsi="宋体"/>
          <w:sz w:val="21"/>
          <w:szCs w:val="21"/>
          <w:highlight w:val="none"/>
        </w:rPr>
        <w:t xml:space="preserve">.2 </w:t>
      </w:r>
      <w:r>
        <w:rPr>
          <w:rFonts w:hint="eastAsia" w:ascii="宋体" w:hAnsi="宋体"/>
          <w:sz w:val="21"/>
          <w:szCs w:val="21"/>
          <w:highlight w:val="none"/>
        </w:rPr>
        <w:t>履约担保有效期：应从双方签订的合同文件生效之日起至服务期满</w:t>
      </w:r>
      <w:r>
        <w:rPr>
          <w:rFonts w:ascii="宋体" w:hAnsi="宋体"/>
          <w:sz w:val="21"/>
          <w:szCs w:val="21"/>
          <w:highlight w:val="none"/>
        </w:rPr>
        <w:t>后四十五（45）天</w:t>
      </w:r>
      <w:r>
        <w:rPr>
          <w:rFonts w:hint="eastAsia" w:ascii="宋体" w:hAnsi="宋体"/>
          <w:sz w:val="21"/>
          <w:szCs w:val="21"/>
          <w:highlight w:val="none"/>
        </w:rPr>
        <w:t>一直有效。如本项目实际最终验收日期超出该履约担保写明的日期，则乙方应相应延长履约担保的日期，当出现逾期验收而未及时办理保函展期手续时（如为保函形式），甲方有权暂停剩余费用的支付，并收取签约合同价5‰的违约金。</w:t>
      </w:r>
    </w:p>
    <w:p w14:paraId="28ED99E1">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10.</w:t>
      </w:r>
      <w:r>
        <w:rPr>
          <w:rFonts w:ascii="宋体" w:hAnsi="宋体"/>
          <w:sz w:val="21"/>
          <w:szCs w:val="21"/>
          <w:highlight w:val="none"/>
        </w:rPr>
        <w:t>3</w:t>
      </w:r>
      <w:r>
        <w:rPr>
          <w:rFonts w:hint="eastAsia" w:ascii="宋体" w:hAnsi="宋体"/>
          <w:sz w:val="21"/>
          <w:szCs w:val="21"/>
          <w:highlight w:val="none"/>
        </w:rPr>
        <w:t>履约担保在本合同结束后，根据履约期间甲方的索赔情况，将剩余履约担保款项无息退还乙方。</w:t>
      </w:r>
    </w:p>
    <w:p w14:paraId="3E351EEF">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10.</w:t>
      </w:r>
      <w:r>
        <w:rPr>
          <w:rFonts w:ascii="宋体" w:hAnsi="宋体"/>
          <w:sz w:val="21"/>
          <w:szCs w:val="21"/>
          <w:highlight w:val="none"/>
        </w:rPr>
        <w:t>4</w:t>
      </w:r>
      <w:r>
        <w:rPr>
          <w:rFonts w:hint="eastAsia" w:ascii="宋体" w:hAnsi="宋体"/>
          <w:sz w:val="21"/>
          <w:szCs w:val="21"/>
          <w:highlight w:val="none"/>
        </w:rPr>
        <w:t>在合同执行过程中，履约担保金额应保持足额有效，不足时应当按照甲方的要求及时补足担保金额。</w:t>
      </w:r>
    </w:p>
    <w:p w14:paraId="16F09AA2">
      <w:pPr>
        <w:snapToGrid w:val="0"/>
        <w:ind w:firstLine="420" w:firstLineChars="200"/>
        <w:textAlignment w:val="bottom"/>
        <w:rPr>
          <w:rFonts w:ascii="宋体" w:hAnsi="宋体"/>
          <w:kern w:val="0"/>
          <w:szCs w:val="21"/>
          <w:highlight w:val="none"/>
        </w:rPr>
      </w:pPr>
      <w:r>
        <w:rPr>
          <w:highlight w:val="none"/>
        </w:rPr>
        <w:t>10.</w:t>
      </w:r>
      <w:r>
        <w:rPr>
          <w:rFonts w:hint="eastAsia"/>
          <w:highlight w:val="none"/>
        </w:rPr>
        <w:t>5</w:t>
      </w:r>
      <w:r>
        <w:rPr>
          <w:highlight w:val="none"/>
        </w:rPr>
        <w:t>若发生以下行为，甲方</w:t>
      </w:r>
      <w:r>
        <w:rPr>
          <w:rFonts w:hint="eastAsia"/>
          <w:highlight w:val="none"/>
        </w:rPr>
        <w:t>有权解除合同且</w:t>
      </w:r>
      <w:r>
        <w:rPr>
          <w:highlight w:val="none"/>
        </w:rPr>
        <w:t>不退还履约保证金：</w:t>
      </w:r>
      <w:r>
        <w:rPr>
          <w:highlight w:val="none"/>
        </w:rPr>
        <w:br w:type="textWrapping"/>
      </w:r>
      <w:r>
        <w:rPr>
          <w:highlight w:val="none"/>
        </w:rPr>
        <w:t>10.</w:t>
      </w:r>
      <w:r>
        <w:rPr>
          <w:rFonts w:hint="eastAsia"/>
          <w:highlight w:val="none"/>
        </w:rPr>
        <w:t>5</w:t>
      </w:r>
      <w:r>
        <w:rPr>
          <w:highlight w:val="none"/>
        </w:rPr>
        <w:t>.1在合同履行期间，乙方明确表示或者以自己的行为表明不履行主要义务的；</w:t>
      </w:r>
      <w:r>
        <w:rPr>
          <w:highlight w:val="none"/>
        </w:rPr>
        <w:br w:type="textWrapping"/>
      </w:r>
      <w:r>
        <w:rPr>
          <w:highlight w:val="none"/>
        </w:rPr>
        <w:t>10.</w:t>
      </w:r>
      <w:r>
        <w:rPr>
          <w:rFonts w:hint="eastAsia"/>
          <w:highlight w:val="none"/>
        </w:rPr>
        <w:t>5</w:t>
      </w:r>
      <w:r>
        <w:rPr>
          <w:highlight w:val="none"/>
        </w:rPr>
        <w:t>.2乙方迟延履行主要义务，经催告后在合理期限内仍未履行的；</w:t>
      </w:r>
      <w:r>
        <w:rPr>
          <w:highlight w:val="none"/>
        </w:rPr>
        <w:br w:type="textWrapping"/>
      </w:r>
      <w:r>
        <w:rPr>
          <w:highlight w:val="none"/>
        </w:rPr>
        <w:t>10.</w:t>
      </w:r>
      <w:r>
        <w:rPr>
          <w:rFonts w:hint="eastAsia"/>
          <w:highlight w:val="none"/>
        </w:rPr>
        <w:t>5</w:t>
      </w:r>
      <w:r>
        <w:rPr>
          <w:highlight w:val="none"/>
        </w:rPr>
        <w:t>.3乙方履行的义务不符合合同约定，经甲方催告后未在合理期限内整改完毕的；</w:t>
      </w:r>
      <w:r>
        <w:rPr>
          <w:highlight w:val="none"/>
        </w:rPr>
        <w:br w:type="textWrapping"/>
      </w:r>
      <w:r>
        <w:rPr>
          <w:highlight w:val="none"/>
        </w:rPr>
        <w:t>10.</w:t>
      </w:r>
      <w:r>
        <w:rPr>
          <w:rFonts w:hint="eastAsia"/>
          <w:highlight w:val="none"/>
        </w:rPr>
        <w:t>5</w:t>
      </w:r>
      <w:r>
        <w:rPr>
          <w:highlight w:val="none"/>
        </w:rPr>
        <w:t>.4乙方其他违约行为导致合同解除或终止的。</w:t>
      </w:r>
    </w:p>
    <w:p w14:paraId="2768EA3B">
      <w:pPr>
        <w:pStyle w:val="4"/>
        <w:spacing w:before="0" w:after="0" w:line="360" w:lineRule="auto"/>
        <w:ind w:firstLine="482" w:firstLineChars="200"/>
        <w:rPr>
          <w:rFonts w:ascii="Calibri" w:hAnsi="Calibri"/>
          <w:kern w:val="0"/>
          <w:sz w:val="24"/>
          <w:szCs w:val="24"/>
          <w:highlight w:val="none"/>
        </w:rPr>
      </w:pPr>
      <w:bookmarkStart w:id="371" w:name="_Toc24890"/>
      <w:bookmarkStart w:id="372" w:name="_Toc12681"/>
      <w:bookmarkStart w:id="373" w:name="_Toc14841"/>
      <w:bookmarkStart w:id="374" w:name="_Toc1724594"/>
      <w:bookmarkStart w:id="375" w:name="_Toc2597"/>
      <w:r>
        <w:rPr>
          <w:rFonts w:hint="eastAsia" w:ascii="Calibri" w:hAnsi="Calibri"/>
          <w:kern w:val="0"/>
          <w:sz w:val="24"/>
          <w:szCs w:val="24"/>
          <w:highlight w:val="none"/>
        </w:rPr>
        <w:t>11 转包与分包</w:t>
      </w:r>
      <w:bookmarkEnd w:id="371"/>
      <w:bookmarkEnd w:id="372"/>
      <w:bookmarkEnd w:id="373"/>
      <w:bookmarkEnd w:id="374"/>
      <w:bookmarkEnd w:id="375"/>
    </w:p>
    <w:p w14:paraId="7EEEA7CE">
      <w:pPr>
        <w:pStyle w:val="82"/>
        <w:snapToGrid w:val="0"/>
        <w:spacing w:before="0" w:after="0"/>
        <w:ind w:left="0" w:right="0" w:firstLine="420" w:firstLineChars="200"/>
        <w:rPr>
          <w:rFonts w:ascii="宋体" w:hAnsi="宋体"/>
          <w:sz w:val="21"/>
          <w:szCs w:val="21"/>
          <w:highlight w:val="none"/>
        </w:rPr>
      </w:pPr>
      <w:bookmarkStart w:id="376" w:name="_Toc1724595"/>
      <w:bookmarkStart w:id="377" w:name="_Toc5659"/>
      <w:bookmarkStart w:id="378" w:name="_Toc26184"/>
      <w:r>
        <w:rPr>
          <w:rFonts w:hint="eastAsia" w:ascii="宋体" w:hAnsi="宋体"/>
          <w:sz w:val="21"/>
          <w:szCs w:val="21"/>
          <w:highlight w:val="none"/>
        </w:rPr>
        <w:t>11.1本项目不予转包。</w:t>
      </w:r>
    </w:p>
    <w:p w14:paraId="24A889E4">
      <w:pPr>
        <w:pStyle w:val="82"/>
        <w:snapToGrid w:val="0"/>
        <w:spacing w:before="0" w:after="0"/>
        <w:ind w:left="0" w:right="0" w:firstLine="420" w:firstLineChars="200"/>
        <w:rPr>
          <w:rFonts w:ascii="宋体" w:hAnsi="宋体"/>
          <w:sz w:val="21"/>
          <w:szCs w:val="21"/>
          <w:highlight w:val="none"/>
        </w:rPr>
      </w:pPr>
      <w:bookmarkStart w:id="379" w:name="_Toc292559365"/>
      <w:bookmarkStart w:id="380" w:name="_Toc300934946"/>
      <w:bookmarkStart w:id="381" w:name="_Toc292559870"/>
      <w:bookmarkStart w:id="382" w:name="_Toc296944499"/>
      <w:bookmarkStart w:id="383" w:name="_Toc296890988"/>
      <w:bookmarkStart w:id="384" w:name="_Toc296346661"/>
      <w:bookmarkStart w:id="385" w:name="_Toc297216152"/>
      <w:bookmarkStart w:id="386" w:name="_Toc297123493"/>
      <w:bookmarkStart w:id="387" w:name="_Toc297120460"/>
      <w:bookmarkStart w:id="388" w:name="_Toc296891200"/>
      <w:bookmarkStart w:id="389" w:name="_Toc318581158"/>
      <w:bookmarkStart w:id="390" w:name="_Toc304295524"/>
      <w:bookmarkStart w:id="391" w:name="_Toc296347159"/>
      <w:bookmarkStart w:id="392" w:name="_Toc312677989"/>
      <w:bookmarkStart w:id="393" w:name="_Toc303539103"/>
      <w:bookmarkStart w:id="394" w:name="_Toc297048346"/>
      <w:bookmarkStart w:id="395" w:name="_Toc296503160"/>
      <w:r>
        <w:rPr>
          <w:rFonts w:hint="eastAsia" w:ascii="宋体" w:hAnsi="宋体"/>
          <w:sz w:val="21"/>
          <w:szCs w:val="21"/>
          <w:highlight w:val="none"/>
        </w:rPr>
        <w:t>11.2分包的一般约定</w:t>
      </w:r>
    </w:p>
    <w:p w14:paraId="70BEB3A3">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■不允许分包</w:t>
      </w:r>
    </w:p>
    <w:p w14:paraId="5EFE5CD0">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□允许分包： / 【备注：写明允许分包的专业及分包企业的资质等级要求等】</w:t>
      </w:r>
    </w:p>
    <w:p w14:paraId="5F3B8747">
      <w:pPr>
        <w:pStyle w:val="82"/>
        <w:snapToGrid w:val="0"/>
        <w:spacing w:before="0" w:after="0"/>
        <w:ind w:left="0" w:right="0" w:firstLine="420" w:firstLineChars="200"/>
        <w:rPr>
          <w:rFonts w:ascii="宋体" w:hAnsi="宋体"/>
          <w:sz w:val="21"/>
          <w:szCs w:val="21"/>
          <w:highlight w:val="none"/>
        </w:rPr>
      </w:pPr>
      <w:bookmarkStart w:id="396" w:name="_Toc312677990"/>
      <w:bookmarkStart w:id="397" w:name="_Toc318581159"/>
      <w:r>
        <w:rPr>
          <w:rFonts w:hint="eastAsia" w:ascii="宋体" w:hAnsi="宋体"/>
          <w:sz w:val="21"/>
          <w:szCs w:val="21"/>
          <w:highlight w:val="none"/>
        </w:rPr>
        <w:t>11.3其他关于分包的约定</w:t>
      </w:r>
    </w:p>
    <w:p w14:paraId="09C1A855">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（1）乙方签订分包合同前须将分包企业相关资料报予甲方并经甲方同意后方可分包。在相关分包合同签订并报送甲方后，乙方应保障分包工作不得再次分包，并对分包工作承担连带责任。</w:t>
      </w:r>
    </w:p>
    <w:p w14:paraId="656369D1">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（2）乙方有以下情况之一者，甲方有权解除合同，并视情况扣除其履约保证金：</w:t>
      </w:r>
    </w:p>
    <w:p w14:paraId="31DF65D2">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①个人承包项目，包括本人单位及外单位人员承包，甲方不承认其个人拥有任何资质等级及营业许可资格。没收全部履约保证金。</w:t>
      </w:r>
    </w:p>
    <w:p w14:paraId="6251FC88">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②几个人联合承包项目，就地组织暗分包队伍，不具备完成本项目的技术能力，被甲方判定为没有能力履行的乙方。没收全部履约保证金。</w:t>
      </w:r>
    </w:p>
    <w:p w14:paraId="7E51E60A">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③就地转包全部的项目，以谋取高额转让费、管理费的乙方。没收全部履约保证金。</w:t>
      </w:r>
    </w:p>
    <w:p w14:paraId="26F2F868">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④乙方有部分分包现象（其中包括冒充乙方下属单位的挂勾单位，凭口头协议参与维保的分包人及其他暗分包个体户），一经发现核实，甲方将采取驱逐该暗分包人措施。没收全部履约保证金。</w:t>
      </w:r>
    </w:p>
    <w:p w14:paraId="5230817A">
      <w:pPr>
        <w:pStyle w:val="82"/>
        <w:snapToGrid w:val="0"/>
        <w:spacing w:before="0" w:after="0"/>
        <w:ind w:left="0" w:right="0" w:firstLine="420" w:firstLineChars="200"/>
        <w:rPr>
          <w:rFonts w:ascii="宋体" w:hAnsi="宋体"/>
          <w:sz w:val="21"/>
          <w:szCs w:val="21"/>
          <w:highlight w:val="none"/>
        </w:rPr>
      </w:pPr>
      <w:r>
        <w:rPr>
          <w:rFonts w:ascii="宋体" w:hAnsi="宋体"/>
          <w:sz w:val="21"/>
          <w:szCs w:val="21"/>
          <w:highlight w:val="none"/>
        </w:rPr>
        <w:t xml:space="preserve">11.4 </w:t>
      </w:r>
      <w:r>
        <w:rPr>
          <w:rFonts w:hint="eastAsia" w:ascii="宋体" w:hAnsi="宋体"/>
          <w:sz w:val="21"/>
          <w:szCs w:val="21"/>
          <w:highlight w:val="none"/>
        </w:rPr>
        <w:t>关于分包合同支付的约定</w:t>
      </w:r>
    </w:p>
    <w:p w14:paraId="29E3FB0A">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分包项目价款由乙方与分包人（包括专业分包人）结算。因承包人不按合同规定向分包人（包括专业分包人）支付相关分包合同项下的任何项目款项的，甲方有权从乙方款项中直接扣除相应分包合同项下的款项。</w:t>
      </w:r>
    </w:p>
    <w:p w14:paraId="2A2280AE">
      <w:pPr>
        <w:pStyle w:val="82"/>
        <w:snapToGrid w:val="0"/>
        <w:spacing w:before="0" w:after="0"/>
        <w:ind w:left="0" w:right="0" w:firstLine="420" w:firstLineChars="200"/>
        <w:rPr>
          <w:rFonts w:ascii="宋体" w:hAnsi="宋体"/>
          <w:sz w:val="21"/>
          <w:szCs w:val="21"/>
          <w:highlight w:val="none"/>
        </w:rPr>
      </w:pPr>
      <w:r>
        <w:rPr>
          <w:rFonts w:ascii="宋体" w:hAnsi="宋体"/>
          <w:sz w:val="21"/>
          <w:szCs w:val="21"/>
          <w:highlight w:val="none"/>
        </w:rPr>
        <w:t>11.5</w:t>
      </w:r>
      <w:r>
        <w:rPr>
          <w:rFonts w:hint="eastAsia" w:ascii="宋体" w:hAnsi="宋体"/>
          <w:sz w:val="21"/>
          <w:szCs w:val="21"/>
          <w:highlight w:val="none"/>
        </w:rPr>
        <w:t>关于分包安全、经济责任的约定</w:t>
      </w:r>
    </w:p>
    <w:p w14:paraId="08AF6915">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在履行分包合同期间，分包人（包括专业分包人）的安全、经济管理均由乙方来负责；若分包人（包括专业分包人）发生安全责任事故及经济纠纷，一切责任均由乙方来承担，与甲方无关。</w:t>
      </w:r>
      <w:bookmarkEnd w:id="396"/>
      <w:bookmarkEnd w:id="397"/>
    </w:p>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14:paraId="4C5F0440">
      <w:pPr>
        <w:pStyle w:val="4"/>
        <w:spacing w:before="0" w:after="0" w:line="360" w:lineRule="auto"/>
        <w:ind w:firstLine="482" w:firstLineChars="200"/>
        <w:rPr>
          <w:rFonts w:ascii="Calibri" w:hAnsi="Calibri"/>
          <w:kern w:val="0"/>
          <w:sz w:val="24"/>
          <w:szCs w:val="24"/>
          <w:highlight w:val="none"/>
        </w:rPr>
      </w:pPr>
      <w:bookmarkStart w:id="398" w:name="_Toc27819"/>
      <w:bookmarkStart w:id="399" w:name="_Toc1268"/>
      <w:r>
        <w:rPr>
          <w:rFonts w:hint="eastAsia" w:ascii="宋体" w:hAnsi="宋体"/>
          <w:kern w:val="0"/>
          <w:sz w:val="24"/>
          <w:szCs w:val="24"/>
          <w:highlight w:val="none"/>
        </w:rPr>
        <w:t>12 保</w:t>
      </w:r>
      <w:r>
        <w:rPr>
          <w:rFonts w:hint="eastAsia" w:ascii="Calibri" w:hAnsi="Calibri"/>
          <w:kern w:val="0"/>
          <w:sz w:val="24"/>
          <w:szCs w:val="24"/>
          <w:highlight w:val="none"/>
        </w:rPr>
        <w:t>险</w:t>
      </w:r>
      <w:bookmarkEnd w:id="376"/>
      <w:bookmarkEnd w:id="377"/>
      <w:bookmarkEnd w:id="378"/>
      <w:bookmarkEnd w:id="398"/>
      <w:bookmarkEnd w:id="399"/>
    </w:p>
    <w:p w14:paraId="7432D8DF">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12</w:t>
      </w:r>
      <w:r>
        <w:rPr>
          <w:rFonts w:ascii="宋体" w:hAnsi="宋体"/>
          <w:sz w:val="21"/>
          <w:szCs w:val="21"/>
          <w:highlight w:val="none"/>
        </w:rPr>
        <w:t>.1乙方必须为自有人员办理</w:t>
      </w:r>
      <w:r>
        <w:rPr>
          <w:rFonts w:hint="eastAsia" w:ascii="宋体" w:hAnsi="宋体"/>
          <w:sz w:val="21"/>
          <w:szCs w:val="21"/>
          <w:highlight w:val="none"/>
        </w:rPr>
        <w:t>意外伤害险或类似险种等与本项目相关的保险，支付保险费用。</w:t>
      </w:r>
    </w:p>
    <w:p w14:paraId="5DB6EA1B">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12</w:t>
      </w:r>
      <w:r>
        <w:rPr>
          <w:rFonts w:ascii="宋体" w:hAnsi="宋体"/>
          <w:sz w:val="21"/>
          <w:szCs w:val="21"/>
          <w:highlight w:val="none"/>
        </w:rPr>
        <w:t>.2</w:t>
      </w:r>
      <w:r>
        <w:rPr>
          <w:rFonts w:hint="eastAsia" w:ascii="宋体" w:hAnsi="宋体"/>
          <w:sz w:val="21"/>
          <w:szCs w:val="21"/>
          <w:highlight w:val="none"/>
        </w:rPr>
        <w:t>甲方有权审查乙方办理保险的证明文件，若乙方没有按要求办理保险，视为乙方违约，并处以</w:t>
      </w:r>
      <w:r>
        <w:rPr>
          <w:rFonts w:ascii="宋体" w:hAnsi="宋体"/>
          <w:sz w:val="21"/>
          <w:szCs w:val="21"/>
          <w:highlight w:val="none"/>
        </w:rPr>
        <w:t>460</w:t>
      </w:r>
      <w:r>
        <w:rPr>
          <w:rFonts w:hint="eastAsia" w:ascii="宋体" w:hAnsi="宋体"/>
          <w:sz w:val="21"/>
          <w:szCs w:val="21"/>
          <w:highlight w:val="none"/>
        </w:rPr>
        <w:t>元/人·次（或保险额的双倍金额）违约金。</w:t>
      </w:r>
    </w:p>
    <w:p w14:paraId="4D3FFAD4">
      <w:pPr>
        <w:pStyle w:val="82"/>
        <w:snapToGrid w:val="0"/>
        <w:spacing w:before="0" w:after="0"/>
        <w:ind w:left="0" w:right="0" w:firstLine="482" w:firstLineChars="200"/>
        <w:outlineLvl w:val="2"/>
        <w:rPr>
          <w:rFonts w:ascii="宋体" w:hAnsi="宋体"/>
          <w:b/>
          <w:bCs/>
          <w:szCs w:val="24"/>
          <w:highlight w:val="none"/>
        </w:rPr>
      </w:pPr>
      <w:bookmarkStart w:id="400" w:name="_Toc23357"/>
      <w:r>
        <w:rPr>
          <w:rFonts w:hint="eastAsia" w:ascii="宋体" w:hAnsi="宋体"/>
          <w:b/>
          <w:bCs/>
          <w:szCs w:val="24"/>
          <w:highlight w:val="none"/>
        </w:rPr>
        <w:t>13 转让</w:t>
      </w:r>
      <w:bookmarkEnd w:id="400"/>
    </w:p>
    <w:p w14:paraId="2A867BDF">
      <w:pPr>
        <w:pStyle w:val="82"/>
        <w:snapToGrid w:val="0"/>
        <w:spacing w:before="0" w:after="0"/>
        <w:ind w:left="0" w:right="0" w:firstLine="420" w:firstLineChars="200"/>
        <w:rPr>
          <w:rFonts w:hint="eastAsia" w:ascii="宋体" w:hAnsi="宋体"/>
          <w:sz w:val="21"/>
          <w:szCs w:val="21"/>
          <w:highlight w:val="none"/>
        </w:rPr>
      </w:pPr>
      <w:r>
        <w:rPr>
          <w:rFonts w:hint="eastAsia" w:ascii="宋体" w:hAnsi="宋体"/>
          <w:sz w:val="21"/>
          <w:szCs w:val="21"/>
          <w:highlight w:val="none"/>
          <w:lang w:val="en-US" w:eastAsia="zh-CN"/>
        </w:rPr>
        <w:t xml:space="preserve">13.1 </w:t>
      </w:r>
      <w:r>
        <w:rPr>
          <w:rFonts w:hint="eastAsia" w:ascii="宋体" w:hAnsi="宋体"/>
          <w:sz w:val="21"/>
          <w:szCs w:val="21"/>
          <w:highlight w:val="none"/>
        </w:rPr>
        <w:t>除甲方书面同意，乙方不得将合同权利及义务全部或部分转让给第三人。</w:t>
      </w:r>
    </w:p>
    <w:p w14:paraId="15C0DA7D">
      <w:pPr>
        <w:pStyle w:val="82"/>
        <w:snapToGrid w:val="0"/>
        <w:spacing w:before="0" w:after="0"/>
        <w:ind w:left="0" w:right="0" w:firstLine="420" w:firstLineChars="200"/>
        <w:rPr>
          <w:rFonts w:hint="eastAsia" w:ascii="宋体" w:hAnsi="宋体"/>
          <w:sz w:val="21"/>
          <w:szCs w:val="21"/>
          <w:highlight w:val="none"/>
        </w:rPr>
      </w:pPr>
      <w:r>
        <w:rPr>
          <w:rFonts w:hint="eastAsia" w:ascii="宋体" w:hAnsi="宋体"/>
          <w:sz w:val="21"/>
          <w:szCs w:val="21"/>
          <w:highlight w:val="none"/>
        </w:rPr>
        <w:t>13.2</w:t>
      </w:r>
      <w:r>
        <w:rPr>
          <w:rFonts w:hint="eastAsia" w:ascii="宋体" w:hAnsi="宋体"/>
          <w:sz w:val="21"/>
          <w:szCs w:val="21"/>
          <w:highlight w:val="none"/>
          <w:lang w:val="en-US" w:eastAsia="zh-CN"/>
        </w:rPr>
        <w:t xml:space="preserve"> </w:t>
      </w:r>
      <w:r>
        <w:rPr>
          <w:rFonts w:hint="eastAsia" w:ascii="宋体" w:hAnsi="宋体"/>
          <w:sz w:val="21"/>
          <w:szCs w:val="21"/>
          <w:highlight w:val="none"/>
        </w:rPr>
        <w:t>甲方有权将合同权利义务整体转让给关联企业，乙方须在10日内签署变更协议。</w:t>
      </w:r>
    </w:p>
    <w:p w14:paraId="044AE039">
      <w:pPr>
        <w:pStyle w:val="82"/>
        <w:snapToGrid w:val="0"/>
        <w:spacing w:before="0" w:after="0"/>
        <w:ind w:left="0" w:right="0" w:firstLine="482" w:firstLineChars="200"/>
        <w:outlineLvl w:val="2"/>
        <w:rPr>
          <w:rFonts w:ascii="宋体" w:hAnsi="宋体"/>
          <w:b/>
          <w:bCs/>
          <w:szCs w:val="24"/>
          <w:highlight w:val="none"/>
        </w:rPr>
      </w:pPr>
      <w:bookmarkStart w:id="401" w:name="_Toc31237"/>
      <w:r>
        <w:rPr>
          <w:rFonts w:hint="eastAsia" w:ascii="宋体" w:hAnsi="宋体"/>
          <w:b/>
          <w:bCs/>
          <w:szCs w:val="24"/>
          <w:highlight w:val="none"/>
        </w:rPr>
        <w:t>14 中止</w:t>
      </w:r>
      <w:bookmarkEnd w:id="401"/>
    </w:p>
    <w:p w14:paraId="4788A5C0">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14.1如乙方具有以下情形的，甲方可以中止合同履行:</w:t>
      </w:r>
    </w:p>
    <w:p w14:paraId="604B95AF">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(1)经营状况严重恶化；</w:t>
      </w:r>
    </w:p>
    <w:p w14:paraId="4EBA39BC">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(2)转移财产、抽逃资金以逃避债务；</w:t>
      </w:r>
    </w:p>
    <w:p w14:paraId="5945AEFF">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(3)丧失商业信誉；</w:t>
      </w:r>
    </w:p>
    <w:p w14:paraId="61575456">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(4)有丧失或者可能丧失履行债务能力的其他情形。</w:t>
      </w:r>
    </w:p>
    <w:p w14:paraId="6E4B5010">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14.2  甲方依据14.1条中止合同履行的，应当及时书面通知乙方。乙方提供适当担保的，合同恢复履行。中止履行后，乙方在合理期限内未恢复履行能力且未提供适当担保的，视为以自己的行为表明不履行主要债务,甲方可以解除合同并追究乙方的违约责任。</w:t>
      </w:r>
    </w:p>
    <w:p w14:paraId="5A4B7A6F">
      <w:pPr>
        <w:pStyle w:val="4"/>
        <w:snapToGrid w:val="0"/>
        <w:spacing w:before="0" w:after="0" w:line="360" w:lineRule="auto"/>
        <w:ind w:firstLine="482" w:firstLineChars="200"/>
        <w:rPr>
          <w:kern w:val="0"/>
          <w:sz w:val="24"/>
          <w:szCs w:val="24"/>
          <w:highlight w:val="none"/>
        </w:rPr>
      </w:pPr>
      <w:bookmarkStart w:id="402" w:name="_Toc18080"/>
      <w:bookmarkStart w:id="403" w:name="_Toc1724596"/>
      <w:bookmarkStart w:id="404" w:name="_Toc31160"/>
      <w:bookmarkStart w:id="405" w:name="_Toc30221"/>
      <w:bookmarkStart w:id="406" w:name="_Toc27055"/>
      <w:r>
        <w:rPr>
          <w:kern w:val="0"/>
          <w:sz w:val="24"/>
          <w:szCs w:val="24"/>
          <w:highlight w:val="none"/>
        </w:rPr>
        <w:t>1</w:t>
      </w:r>
      <w:r>
        <w:rPr>
          <w:rFonts w:hint="eastAsia"/>
          <w:kern w:val="0"/>
          <w:sz w:val="24"/>
          <w:szCs w:val="24"/>
          <w:highlight w:val="none"/>
        </w:rPr>
        <w:t>5</w:t>
      </w:r>
      <w:r>
        <w:rPr>
          <w:kern w:val="0"/>
          <w:sz w:val="24"/>
          <w:szCs w:val="24"/>
          <w:highlight w:val="none"/>
        </w:rPr>
        <w:t>合同解除和终止</w:t>
      </w:r>
      <w:bookmarkEnd w:id="402"/>
    </w:p>
    <w:p w14:paraId="1CA4E1A6">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15.1对合同条件所做出的任何修改、补充，须经双方协商达成一致意见后，签订书面协议。</w:t>
      </w:r>
    </w:p>
    <w:p w14:paraId="7C71514D">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15.2合同自然终止</w:t>
      </w:r>
    </w:p>
    <w:p w14:paraId="2248F96D">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甲方、乙方双方各自完成合同规定的责任和义务，合同自然终止。</w:t>
      </w:r>
    </w:p>
    <w:p w14:paraId="64958736">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15.3 因乙方违约违规终止合同</w:t>
      </w:r>
    </w:p>
    <w:p w14:paraId="577120CC">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15.3.1合同成立后，若乙方不按合同履行职责导致对甲方安全运营、名誉、形象等造成影响，甲方有权终止合同。</w:t>
      </w:r>
    </w:p>
    <w:p w14:paraId="2A040774">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15.3.2按照违约责任条款或技术规格书中甲方有权解除（终止）合同的情形。</w:t>
      </w:r>
    </w:p>
    <w:p w14:paraId="779EC2B5">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15.3.3如果甲方发现以下违约情形之一后可向乙方发出书面违约通知书，提出终止部分或全部合同，自发出书面违约通知之日起发生的费用由乙方自行负责，若给甲方造成损失的，乙方还应负责赔偿：</w:t>
      </w:r>
    </w:p>
    <w:p w14:paraId="20A0843B">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 xml:space="preserve">（1）乙方不具备继续按合同要求开展咨询服务工作的条件或咨询服务未能按照合同规定的方式进行的； </w:t>
      </w:r>
    </w:p>
    <w:p w14:paraId="48FD8341">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（2）如果甲方认为乙方在本合同的竞争和实施过程中有腐败和欺诈行为的。</w:t>
      </w:r>
    </w:p>
    <w:p w14:paraId="40A13AD1">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“腐败行为”是指提供、给予、接受或索取任何有价值的东西来影响有关人员在定标过程或合同实施过程中的行为；</w:t>
      </w:r>
    </w:p>
    <w:p w14:paraId="045A347A">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欺诈行为”是指为了影响定标过程或合同实施过程而谎报事实，损害甲方的利益，包括乙方之间串通投标（递交投标书之前和之后），人为地使各投标价丧失竞争性，剥夺甲方从自由公开竞争所获得的权益。欺诈行为还包括乙方擅自改变合同所要求的材料，或者提供伪造的检修或检测报告，刻意隐瞒故障逃避责任等，造成甲方受到相关行政部门考核或约谈的。</w:t>
      </w:r>
    </w:p>
    <w:p w14:paraId="139BE9EA">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（3）乙方资质证明文件在合同期内到期（或失效），未能按规定取得合法有效符合本项目要求的企业资质的（不可抗力因素导致的除外）；</w:t>
      </w:r>
    </w:p>
    <w:p w14:paraId="5F697552">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4）乙方参与本项目工作人员未与乙方签订正式劳动（劳务）合同或未按时足额支付本项目员工工资的，或者乙方未按国家、省（自治区）、市相关政策为所聘用参与本项目主要人员购买社会保险的，造成甲方经济、声誉损失的。</w:t>
      </w:r>
    </w:p>
    <w:p w14:paraId="6BC6B748">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（5）因乙方破产而终止合同</w:t>
      </w:r>
    </w:p>
    <w:p w14:paraId="417245F5">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1）如果乙方破产或无清偿能力，甲方可在任何时候以书面形式通知乙方，提出终止合同而不给乙方补偿。该终止合同将不损害或影响甲方已经采取或将要采取的任何行动或补救措施的权利。</w:t>
      </w:r>
    </w:p>
    <w:p w14:paraId="57F2AB22">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 xml:space="preserve"> 2）乙方有责任而且必须支付甲方超过合同金额的合理的必须的费用。该费用是甲方为了执行完成被终止了的该部分而实际发生的直接费用。</w:t>
      </w:r>
    </w:p>
    <w:p w14:paraId="139C1D1B">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（6）乙方存在转包或分包情况的。</w:t>
      </w:r>
    </w:p>
    <w:p w14:paraId="671561E8">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15.4根据15.3条规定合同终止后，甲方没收乙方履约保证金并不再支付任何费用。</w:t>
      </w:r>
    </w:p>
    <w:p w14:paraId="3A59FDF6">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15.5因甲方违约终止合同</w:t>
      </w:r>
    </w:p>
    <w:p w14:paraId="2970A9CC">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15.5.1甲方严重违背合同规定的责任义务而且这种违约没有任何条款允许时，则乙方有权终止合同中的一部分或全部，但前提条件是乙方应在终止合同前三个月书面通知甲方，而甲方未能在这个期限内采取合理的措施以弥补其违约。</w:t>
      </w:r>
    </w:p>
    <w:p w14:paraId="622ED25F">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15.5.2乙方有权要求甲方补偿其因违约而造成的任何直接损失。在甲方采取有效弥补措施前，乙方可以中止合同的履行，待甲方弥补措施得到乙方确认后，乙方恢复合同未中止部分的履行。但对履行合同中止期间的一切责任、损失概由甲方负责承担。</w:t>
      </w:r>
    </w:p>
    <w:p w14:paraId="3949697E">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15.6因不可抗力终止合同</w:t>
      </w:r>
    </w:p>
    <w:p w14:paraId="5060DE97">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如果不可抗力事件的影响已达120天或双方预计不可抗力事件的影响将延续120天以上（含本数）时，任何一方有权终止本合同。</w:t>
      </w:r>
    </w:p>
    <w:p w14:paraId="2F481C33">
      <w:pPr>
        <w:pStyle w:val="82"/>
        <w:snapToGrid w:val="0"/>
        <w:spacing w:before="0" w:after="0"/>
        <w:ind w:left="0" w:right="0" w:firstLine="420" w:firstLineChars="200"/>
        <w:rPr>
          <w:rFonts w:ascii="宋体" w:hAnsi="宋体"/>
          <w:sz w:val="21"/>
          <w:szCs w:val="21"/>
          <w:highlight w:val="none"/>
        </w:rPr>
      </w:pPr>
      <w:r>
        <w:rPr>
          <w:rFonts w:ascii="宋体" w:hAnsi="宋体"/>
          <w:sz w:val="21"/>
          <w:szCs w:val="21"/>
          <w:highlight w:val="none"/>
        </w:rPr>
        <w:t>如因不可抗力提出终止合同，双方均不因此构成违约，双方应</w:t>
      </w:r>
      <w:r>
        <w:rPr>
          <w:rFonts w:hint="eastAsia" w:ascii="宋体" w:hAnsi="宋体"/>
          <w:sz w:val="21"/>
          <w:szCs w:val="21"/>
          <w:highlight w:val="none"/>
        </w:rPr>
        <w:t>在</w:t>
      </w:r>
      <w:r>
        <w:rPr>
          <w:rFonts w:ascii="宋体" w:hAnsi="宋体"/>
          <w:sz w:val="21"/>
          <w:szCs w:val="21"/>
          <w:highlight w:val="none"/>
        </w:rPr>
        <w:t>合同终止日期以前协商解决双方应得的利益问题。合同终止后双方应在21个工作日内退还对方剩余履约担保</w:t>
      </w:r>
      <w:r>
        <w:rPr>
          <w:rFonts w:hint="eastAsia" w:ascii="宋体" w:hAnsi="宋体"/>
          <w:sz w:val="21"/>
          <w:szCs w:val="21"/>
          <w:highlight w:val="none"/>
        </w:rPr>
        <w:t>。</w:t>
      </w:r>
    </w:p>
    <w:p w14:paraId="7C6EA618">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15.7在合同有效期内任何一方无任何法定或合同约定的理由单方提出终止合同的，提出方应承担违约责任，违约方向对方支付违约金。当乙方违约时，甲方有权没收履约保证金；当甲方违约时，甲方向乙方支付等额的履约保证金。</w:t>
      </w:r>
    </w:p>
    <w:p w14:paraId="3BE6D131">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15.8合同非自然终止后，甲方可寻找合同外第三方完成本合同项目，在过渡期间（不少于6个月）甲方有权要求乙方继续履行合同，乙方应配合。</w:t>
      </w:r>
    </w:p>
    <w:p w14:paraId="20F422FD">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15.9出现因乙方违约终止合同的，将乙方列入甲方的不良信用名单名库。</w:t>
      </w:r>
      <w:bookmarkEnd w:id="403"/>
      <w:bookmarkEnd w:id="404"/>
      <w:bookmarkEnd w:id="405"/>
      <w:bookmarkEnd w:id="406"/>
    </w:p>
    <w:p w14:paraId="50EF03C0">
      <w:pPr>
        <w:ind w:firstLine="482" w:firstLineChars="200"/>
        <w:outlineLvl w:val="2"/>
        <w:rPr>
          <w:b/>
          <w:bCs/>
          <w:kern w:val="0"/>
          <w:sz w:val="24"/>
          <w:highlight w:val="none"/>
        </w:rPr>
      </w:pPr>
      <w:bookmarkStart w:id="407" w:name="_Toc31994"/>
      <w:bookmarkStart w:id="408" w:name="_Toc486842412"/>
      <w:bookmarkStart w:id="409" w:name="_Toc846"/>
      <w:bookmarkStart w:id="410" w:name="_Toc1724597"/>
      <w:bookmarkStart w:id="411" w:name="_Toc482008348"/>
      <w:bookmarkStart w:id="412" w:name="_Toc746"/>
      <w:bookmarkStart w:id="413" w:name="_Toc16556"/>
      <w:r>
        <w:rPr>
          <w:rFonts w:hint="eastAsia"/>
          <w:b/>
          <w:bCs/>
          <w:kern w:val="0"/>
          <w:sz w:val="24"/>
          <w:highlight w:val="none"/>
        </w:rPr>
        <w:t>16 不可抗力</w:t>
      </w:r>
      <w:bookmarkEnd w:id="407"/>
      <w:bookmarkEnd w:id="408"/>
      <w:bookmarkEnd w:id="409"/>
      <w:bookmarkEnd w:id="410"/>
      <w:bookmarkEnd w:id="411"/>
      <w:bookmarkEnd w:id="412"/>
      <w:bookmarkEnd w:id="413"/>
    </w:p>
    <w:p w14:paraId="7C6FAD4B">
      <w:pPr>
        <w:pStyle w:val="82"/>
        <w:snapToGrid w:val="0"/>
        <w:spacing w:before="0" w:after="0"/>
        <w:ind w:left="0" w:right="0" w:firstLine="420" w:firstLineChars="200"/>
        <w:rPr>
          <w:rFonts w:ascii="宋体" w:hAnsi="宋体"/>
          <w:sz w:val="21"/>
          <w:szCs w:val="21"/>
          <w:highlight w:val="none"/>
        </w:rPr>
      </w:pPr>
      <w:bookmarkStart w:id="414" w:name="_Toc351203608"/>
      <w:bookmarkStart w:id="415" w:name="_Toc296503117"/>
      <w:bookmarkStart w:id="416" w:name="_Toc337558824"/>
      <w:bookmarkStart w:id="417" w:name="_Toc296346618"/>
      <w:r>
        <w:rPr>
          <w:rFonts w:ascii="宋体" w:hAnsi="宋体"/>
          <w:sz w:val="21"/>
          <w:szCs w:val="21"/>
          <w:highlight w:val="none"/>
        </w:rPr>
        <w:t>1</w:t>
      </w:r>
      <w:r>
        <w:rPr>
          <w:rFonts w:hint="eastAsia" w:ascii="宋体" w:hAnsi="宋体"/>
          <w:sz w:val="21"/>
          <w:szCs w:val="21"/>
          <w:highlight w:val="none"/>
        </w:rPr>
        <w:t>6</w:t>
      </w:r>
      <w:r>
        <w:rPr>
          <w:rFonts w:ascii="宋体" w:hAnsi="宋体"/>
          <w:sz w:val="21"/>
          <w:szCs w:val="21"/>
          <w:highlight w:val="none"/>
        </w:rPr>
        <w:t xml:space="preserve">.1 </w:t>
      </w:r>
      <w:r>
        <w:rPr>
          <w:rFonts w:hint="eastAsia" w:ascii="宋体" w:hAnsi="宋体"/>
          <w:sz w:val="21"/>
          <w:szCs w:val="21"/>
          <w:highlight w:val="none"/>
        </w:rPr>
        <w:t>不可抗力的确认</w:t>
      </w:r>
      <w:bookmarkEnd w:id="414"/>
    </w:p>
    <w:bookmarkEnd w:id="415"/>
    <w:bookmarkEnd w:id="416"/>
    <w:bookmarkEnd w:id="417"/>
    <w:p w14:paraId="63582090">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不可抗力发生后，甲方和乙方应收集证明不可抗力发生及不可抗力造成损失的证据，并及时认真统计所造成的损失。甲乙双方对是否属于不可抗力或其损失发生争议时，按第</w:t>
      </w:r>
      <w:r>
        <w:rPr>
          <w:rFonts w:ascii="宋体" w:hAnsi="宋体"/>
          <w:sz w:val="21"/>
          <w:szCs w:val="21"/>
          <w:highlight w:val="none"/>
        </w:rPr>
        <w:t>1</w:t>
      </w:r>
      <w:r>
        <w:rPr>
          <w:rFonts w:hint="eastAsia" w:ascii="宋体" w:hAnsi="宋体"/>
          <w:sz w:val="21"/>
          <w:szCs w:val="21"/>
          <w:highlight w:val="none"/>
        </w:rPr>
        <w:t>6条〔争议解决方式〕的约定处理。</w:t>
      </w:r>
    </w:p>
    <w:p w14:paraId="46E61A24">
      <w:pPr>
        <w:pStyle w:val="82"/>
        <w:snapToGrid w:val="0"/>
        <w:spacing w:before="0" w:after="0"/>
        <w:ind w:left="0" w:right="0" w:firstLine="420" w:firstLineChars="200"/>
        <w:rPr>
          <w:rFonts w:ascii="宋体" w:hAnsi="宋体"/>
          <w:sz w:val="21"/>
          <w:szCs w:val="21"/>
          <w:highlight w:val="none"/>
        </w:rPr>
      </w:pPr>
      <w:bookmarkStart w:id="418" w:name="_Toc351203609"/>
      <w:bookmarkStart w:id="419" w:name="_Toc296346619"/>
      <w:bookmarkStart w:id="420" w:name="_Toc337558825"/>
      <w:bookmarkStart w:id="421" w:name="_Toc296503118"/>
      <w:r>
        <w:rPr>
          <w:rFonts w:ascii="宋体" w:hAnsi="宋体"/>
          <w:sz w:val="21"/>
          <w:szCs w:val="21"/>
          <w:highlight w:val="none"/>
        </w:rPr>
        <w:t>1</w:t>
      </w:r>
      <w:r>
        <w:rPr>
          <w:rFonts w:hint="eastAsia" w:ascii="宋体" w:hAnsi="宋体"/>
          <w:sz w:val="21"/>
          <w:szCs w:val="21"/>
          <w:highlight w:val="none"/>
        </w:rPr>
        <w:t>6</w:t>
      </w:r>
      <w:r>
        <w:rPr>
          <w:rFonts w:ascii="宋体" w:hAnsi="宋体"/>
          <w:sz w:val="21"/>
          <w:szCs w:val="21"/>
          <w:highlight w:val="none"/>
        </w:rPr>
        <w:t xml:space="preserve">.2 </w:t>
      </w:r>
      <w:r>
        <w:rPr>
          <w:rFonts w:hint="eastAsia" w:ascii="宋体" w:hAnsi="宋体"/>
          <w:sz w:val="21"/>
          <w:szCs w:val="21"/>
          <w:highlight w:val="none"/>
        </w:rPr>
        <w:t>不可抗力的通知</w:t>
      </w:r>
      <w:bookmarkEnd w:id="418"/>
    </w:p>
    <w:bookmarkEnd w:id="419"/>
    <w:bookmarkEnd w:id="420"/>
    <w:bookmarkEnd w:id="421"/>
    <w:p w14:paraId="0485AB27">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合同一方当事人遇到不可抗力事件，使其履行合同义务受到阻碍时，应立即通知合同另一方当事人，书面说明不可抗力和受阻碍的详细情况，并在合理期限内提供必要的证明。</w:t>
      </w:r>
    </w:p>
    <w:p w14:paraId="1703A301">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不可抗力持续发生的，合同一方当事人应及时向合同另一方当事人提交中间报告，说明不可抗力和履行合同受阻的情况，并于不可抗力事件结束后</w:t>
      </w:r>
      <w:r>
        <w:rPr>
          <w:rFonts w:ascii="宋体" w:hAnsi="宋体"/>
          <w:sz w:val="21"/>
          <w:szCs w:val="21"/>
          <w:highlight w:val="none"/>
        </w:rPr>
        <w:t>28</w:t>
      </w:r>
      <w:r>
        <w:rPr>
          <w:rFonts w:hint="eastAsia" w:ascii="宋体" w:hAnsi="宋体"/>
          <w:sz w:val="21"/>
          <w:szCs w:val="21"/>
          <w:highlight w:val="none"/>
        </w:rPr>
        <w:t>天内提交最终报告及有关资料。</w:t>
      </w:r>
    </w:p>
    <w:p w14:paraId="01911ACF">
      <w:pPr>
        <w:pStyle w:val="82"/>
        <w:snapToGrid w:val="0"/>
        <w:spacing w:before="0" w:after="0"/>
        <w:ind w:left="0" w:right="0" w:firstLine="420" w:firstLineChars="200"/>
        <w:rPr>
          <w:rFonts w:ascii="宋体" w:hAnsi="宋体"/>
          <w:sz w:val="21"/>
          <w:szCs w:val="21"/>
          <w:highlight w:val="none"/>
        </w:rPr>
      </w:pPr>
      <w:bookmarkStart w:id="422" w:name="_Toc351203610"/>
      <w:bookmarkStart w:id="423" w:name="_Toc337558826"/>
      <w:bookmarkStart w:id="424" w:name="_Toc296503119"/>
      <w:bookmarkStart w:id="425" w:name="_Toc296346620"/>
      <w:r>
        <w:rPr>
          <w:rFonts w:ascii="宋体" w:hAnsi="宋体"/>
          <w:sz w:val="21"/>
          <w:szCs w:val="21"/>
          <w:highlight w:val="none"/>
        </w:rPr>
        <w:t>1</w:t>
      </w:r>
      <w:r>
        <w:rPr>
          <w:rFonts w:hint="eastAsia" w:ascii="宋体" w:hAnsi="宋体"/>
          <w:sz w:val="21"/>
          <w:szCs w:val="21"/>
          <w:highlight w:val="none"/>
        </w:rPr>
        <w:t>6</w:t>
      </w:r>
      <w:r>
        <w:rPr>
          <w:rFonts w:ascii="宋体" w:hAnsi="宋体"/>
          <w:sz w:val="21"/>
          <w:szCs w:val="21"/>
          <w:highlight w:val="none"/>
        </w:rPr>
        <w:t xml:space="preserve">.3 </w:t>
      </w:r>
      <w:r>
        <w:rPr>
          <w:rFonts w:hint="eastAsia" w:ascii="宋体" w:hAnsi="宋体"/>
          <w:sz w:val="21"/>
          <w:szCs w:val="21"/>
          <w:highlight w:val="none"/>
        </w:rPr>
        <w:t>不可抗力后果的承担</w:t>
      </w:r>
      <w:bookmarkEnd w:id="422"/>
    </w:p>
    <w:bookmarkEnd w:id="423"/>
    <w:bookmarkEnd w:id="424"/>
    <w:bookmarkEnd w:id="425"/>
    <w:p w14:paraId="36BE2894">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不可抗力引起的后果及造成的损失由合同当事人按照法律规定及合同约定各自承担。不可抗力发生前已完成的项目内容应当按照合同约定进行支付。</w:t>
      </w:r>
    </w:p>
    <w:p w14:paraId="38278425">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不可抗力发生后，合同当事人均应采取措施尽量避免和减少损失的扩大，任何一方当事人没有采取有效措施导致损失扩大的，应对扩大的损失承担责任。</w:t>
      </w:r>
    </w:p>
    <w:p w14:paraId="5F053E3B">
      <w:pPr>
        <w:pStyle w:val="82"/>
        <w:snapToGrid w:val="0"/>
        <w:spacing w:before="0" w:after="0"/>
        <w:ind w:left="0" w:right="0" w:firstLine="420" w:firstLineChars="200"/>
        <w:rPr>
          <w:rFonts w:ascii="宋体" w:hAnsi="宋体"/>
          <w:sz w:val="21"/>
          <w:szCs w:val="21"/>
          <w:highlight w:val="none"/>
        </w:rPr>
      </w:pPr>
      <w:r>
        <w:rPr>
          <w:rFonts w:hint="eastAsia" w:ascii="宋体" w:hAnsi="宋体"/>
          <w:sz w:val="21"/>
          <w:szCs w:val="21"/>
          <w:highlight w:val="none"/>
        </w:rPr>
        <w:t>因合同一方迟延履行合同义务，在迟延履行期间遭遇不可抗力的，不免除其违约责任。</w:t>
      </w:r>
    </w:p>
    <w:p w14:paraId="67313F83">
      <w:pPr>
        <w:numPr>
          <w:ilvl w:val="0"/>
          <w:numId w:val="15"/>
        </w:numPr>
        <w:ind w:left="0" w:firstLine="482" w:firstLineChars="200"/>
        <w:outlineLvl w:val="2"/>
        <w:rPr>
          <w:b/>
          <w:bCs/>
          <w:kern w:val="0"/>
          <w:sz w:val="24"/>
          <w:highlight w:val="none"/>
        </w:rPr>
      </w:pPr>
      <w:bookmarkStart w:id="426" w:name="_Toc486842413"/>
      <w:bookmarkStart w:id="427" w:name="_Toc25399"/>
      <w:bookmarkStart w:id="428" w:name="_Toc1845"/>
      <w:bookmarkStart w:id="429" w:name="_Toc10374"/>
      <w:bookmarkStart w:id="430" w:name="_Toc1724598"/>
      <w:bookmarkStart w:id="431" w:name="_Toc10047"/>
      <w:bookmarkStart w:id="432" w:name="_Toc482008349"/>
      <w:r>
        <w:rPr>
          <w:rFonts w:hint="eastAsia"/>
          <w:b/>
          <w:bCs/>
          <w:kern w:val="0"/>
          <w:sz w:val="24"/>
          <w:highlight w:val="none"/>
        </w:rPr>
        <w:t>违约责任</w:t>
      </w:r>
      <w:bookmarkEnd w:id="426"/>
      <w:bookmarkEnd w:id="427"/>
      <w:bookmarkEnd w:id="428"/>
      <w:bookmarkEnd w:id="429"/>
      <w:bookmarkEnd w:id="430"/>
      <w:bookmarkEnd w:id="431"/>
      <w:bookmarkEnd w:id="432"/>
    </w:p>
    <w:p w14:paraId="675E7BE0">
      <w:pPr>
        <w:adjustRightInd w:val="0"/>
        <w:snapToGrid w:val="0"/>
        <w:ind w:firstLine="420" w:firstLineChars="200"/>
        <w:rPr>
          <w:rFonts w:ascii="宋体" w:hAnsi="宋体"/>
          <w:bCs/>
          <w:szCs w:val="21"/>
          <w:highlight w:val="none"/>
        </w:rPr>
      </w:pPr>
      <w:r>
        <w:rPr>
          <w:rFonts w:hint="eastAsia" w:ascii="宋体" w:hAnsi="宋体"/>
          <w:szCs w:val="21"/>
          <w:highlight w:val="none"/>
        </w:rPr>
        <w:t>17.1乙方无正当理由未按时提交成果的，乙方应按本合同总金额每日万分之二的标准向甲方支付违约金，由甲方从待付服务费中扣除。未经过甲方同意无故逾期超过约定日期10个工作日，甲方可终止合同</w:t>
      </w:r>
      <w:r>
        <w:rPr>
          <w:rFonts w:hint="eastAsia" w:ascii="宋体" w:hAnsi="宋体"/>
          <w:szCs w:val="21"/>
          <w:highlight w:val="none"/>
          <w:lang w:val="en-US" w:eastAsia="zh-CN"/>
        </w:rPr>
        <w:t>并要求乙方按合同总额的20%支付违约金，违约金不足以弥补损失的，甲方还有权追偿</w:t>
      </w:r>
      <w:r>
        <w:rPr>
          <w:rFonts w:hint="eastAsia" w:ascii="宋体" w:hAnsi="宋体"/>
          <w:szCs w:val="21"/>
          <w:highlight w:val="none"/>
        </w:rPr>
        <w:t>。解除合同后，已经交付成果研究费用的核算，以乙方完成且甲方确认的合格工作成果为准；未交付的研究成果，甲方不需支付费用。双方对所完成工作成果达不成一致意见时，以甲方确认为准。因地震、水灾、战争等不可抗力的因素或因政策、法律原因造成合同无法履行除外。</w:t>
      </w:r>
    </w:p>
    <w:p w14:paraId="2EC320CF">
      <w:pPr>
        <w:adjustRightInd w:val="0"/>
        <w:snapToGrid w:val="0"/>
        <w:ind w:firstLine="420" w:firstLineChars="200"/>
        <w:rPr>
          <w:rFonts w:ascii="宋体" w:hAnsi="宋体"/>
          <w:szCs w:val="21"/>
          <w:highlight w:val="none"/>
        </w:rPr>
      </w:pPr>
      <w:r>
        <w:rPr>
          <w:rFonts w:hint="eastAsia" w:ascii="宋体" w:hAnsi="宋体"/>
          <w:szCs w:val="21"/>
          <w:highlight w:val="none"/>
        </w:rPr>
        <w:t>17.2甲方无正当理由逾期支付费用的，甲方应按逾期付款总额每日万分之二向乙方支付违约金。逾期超过约定日期10个工作日，乙方可终止合同。乙方解除合同后，乙方已经完成的工作成果核算，以乙方完成且甲方确认的工作成果为准按照据实结算。双方对所完成工作成果达不成一致意见时，以甲方确认为准。因地震、水灾、战争等不可抗力的因素或因政策、法律原因造成合同无法履行除外。</w:t>
      </w:r>
    </w:p>
    <w:p w14:paraId="0ECE7646">
      <w:pPr>
        <w:adjustRightInd w:val="0"/>
        <w:snapToGrid w:val="0"/>
        <w:ind w:firstLine="420" w:firstLineChars="200"/>
        <w:rPr>
          <w:rFonts w:ascii="宋体" w:hAnsi="宋体"/>
          <w:szCs w:val="21"/>
          <w:highlight w:val="none"/>
        </w:rPr>
      </w:pPr>
      <w:r>
        <w:rPr>
          <w:rFonts w:hint="eastAsia" w:ascii="宋体" w:hAnsi="宋体"/>
          <w:szCs w:val="21"/>
          <w:highlight w:val="none"/>
        </w:rPr>
        <w:t>17.3 签订合同后，若乙方超过10日无故不履行合同，则甲方有权解除合同，乙方应接到甲方通知后3日内，退回甲方已支付的所有款项，并支付合同总额20%作为违约金，违约金不足以弥补甲方损失的，甲方还有权追偿。</w:t>
      </w:r>
    </w:p>
    <w:p w14:paraId="219C2370">
      <w:pPr>
        <w:adjustRightInd w:val="0"/>
        <w:snapToGrid w:val="0"/>
        <w:ind w:firstLine="420" w:firstLineChars="200"/>
        <w:rPr>
          <w:rFonts w:ascii="宋体" w:hAnsi="宋体"/>
          <w:szCs w:val="21"/>
          <w:highlight w:val="none"/>
        </w:rPr>
      </w:pPr>
      <w:r>
        <w:rPr>
          <w:rFonts w:hint="eastAsia" w:ascii="宋体" w:hAnsi="宋体"/>
          <w:szCs w:val="21"/>
          <w:highlight w:val="none"/>
        </w:rPr>
        <w:t>17.4</w:t>
      </w:r>
      <w:r>
        <w:rPr>
          <w:rFonts w:hint="eastAsia" w:hAnsi="宋体" w:cs="宋体"/>
          <w:highlight w:val="none"/>
        </w:rPr>
        <w:t>乙方的项目机构主要人员（项目负责人和专业负责人等）不到位时，项目负责人不到位扣除1.5万元／人次，主要专业负责人不到位，则按0.5万元／人次的标准进行扣除</w:t>
      </w:r>
      <w:r>
        <w:rPr>
          <w:rFonts w:hint="eastAsia" w:ascii="宋体" w:hAnsi="宋体"/>
          <w:szCs w:val="21"/>
          <w:highlight w:val="none"/>
        </w:rPr>
        <w:t>。</w:t>
      </w:r>
    </w:p>
    <w:p w14:paraId="7E084884">
      <w:pPr>
        <w:adjustRightInd w:val="0"/>
        <w:snapToGrid w:val="0"/>
        <w:ind w:firstLine="420" w:firstLineChars="200"/>
        <w:rPr>
          <w:rFonts w:ascii="宋体" w:hAnsi="宋体"/>
          <w:szCs w:val="21"/>
          <w:highlight w:val="none"/>
        </w:rPr>
      </w:pPr>
      <w:r>
        <w:rPr>
          <w:rFonts w:hint="eastAsia" w:ascii="宋体" w:hAnsi="宋体"/>
          <w:szCs w:val="21"/>
          <w:highlight w:val="none"/>
        </w:rPr>
        <w:t>17.5甲方认为项目团队人员不能正确、及时、有效地履行其职责，有权要求乙方撤换相关人员，乙方在接到甲方口头或书面更换人员的要求后，应及时响应并做出调整。乙方项目组任一成员更换两次以上（不含两次）仍不能满足甲方要求的，每次扣除0.5万元。</w:t>
      </w:r>
    </w:p>
    <w:p w14:paraId="1ED2DF13">
      <w:pPr>
        <w:adjustRightInd w:val="0"/>
        <w:snapToGrid w:val="0"/>
        <w:ind w:firstLine="420" w:firstLineChars="200"/>
        <w:rPr>
          <w:rFonts w:ascii="宋体" w:hAnsi="宋体"/>
          <w:szCs w:val="21"/>
          <w:highlight w:val="none"/>
        </w:rPr>
      </w:pPr>
      <w:r>
        <w:rPr>
          <w:rFonts w:hint="eastAsia" w:ascii="宋体" w:hAnsi="宋体"/>
          <w:szCs w:val="21"/>
          <w:highlight w:val="none"/>
        </w:rPr>
        <w:t>17.6</w:t>
      </w:r>
      <w:r>
        <w:rPr>
          <w:rFonts w:hint="eastAsia" w:hAnsi="宋体" w:cs="宋体"/>
          <w:highlight w:val="none"/>
        </w:rPr>
        <w:t>服务过程中，乙方擅自更换项目负责人按1.5万元／次的标准进行扣除，更换项目主要人员按0.5万元／人次的标准进行扣除</w:t>
      </w:r>
      <w:r>
        <w:rPr>
          <w:rFonts w:hint="eastAsia" w:ascii="宋体" w:hAnsi="宋体"/>
          <w:szCs w:val="21"/>
          <w:highlight w:val="none"/>
        </w:rPr>
        <w:t>。</w:t>
      </w:r>
    </w:p>
    <w:p w14:paraId="1AC49DC4">
      <w:pPr>
        <w:pStyle w:val="16"/>
        <w:snapToGrid w:val="0"/>
        <w:spacing w:line="360" w:lineRule="auto"/>
        <w:ind w:firstLine="420" w:firstLineChars="200"/>
        <w:rPr>
          <w:rFonts w:hAnsi="宋体" w:cs="宋体"/>
          <w:highlight w:val="none"/>
        </w:rPr>
      </w:pPr>
      <w:r>
        <w:rPr>
          <w:rFonts w:hint="eastAsia" w:hAnsi="宋体"/>
          <w:highlight w:val="none"/>
        </w:rPr>
        <w:t>17.7</w:t>
      </w:r>
      <w:r>
        <w:rPr>
          <w:rFonts w:hAnsi="宋体"/>
          <w:highlight w:val="none"/>
        </w:rPr>
        <w:t>乙方或乙方人员违反保密义务时，甲方有权书面通知乙方解除咨询合同，且无需支付合同解除后的合同后续费用。同时，乙方必须退还甲方已付出的所有咨询费用，并赔偿由此给甲方造成的全部损失。</w:t>
      </w:r>
    </w:p>
    <w:p w14:paraId="67DD54D6">
      <w:pPr>
        <w:pStyle w:val="16"/>
        <w:snapToGrid w:val="0"/>
        <w:spacing w:line="360" w:lineRule="auto"/>
        <w:ind w:firstLine="420" w:firstLineChars="200"/>
        <w:rPr>
          <w:rFonts w:hint="eastAsia" w:hAnsi="宋体" w:cs="宋体"/>
          <w:highlight w:val="none"/>
        </w:rPr>
      </w:pPr>
      <w:r>
        <w:rPr>
          <w:rFonts w:hint="eastAsia" w:hAnsi="宋体" w:cs="宋体"/>
          <w:highlight w:val="none"/>
        </w:rPr>
        <w:t>17.8乙方交付的服务成果不符合合同约定的，乙方应当无条件进行整改，若由此导致逾期提交成果的，按17.1条承担违约责任。乙方整改仍不合格的，甲方有权解除合同，乙方应当按照合同总额的20%支付违约金，违约金不足以弥补损失的，甲方有权追偿。</w:t>
      </w:r>
    </w:p>
    <w:p w14:paraId="03E53515">
      <w:pPr>
        <w:pStyle w:val="16"/>
        <w:snapToGrid w:val="0"/>
        <w:spacing w:line="360" w:lineRule="auto"/>
        <w:ind w:firstLine="420" w:firstLineChars="200"/>
        <w:rPr>
          <w:rFonts w:hAnsi="宋体" w:cs="宋体"/>
          <w:highlight w:val="none"/>
        </w:rPr>
      </w:pPr>
      <w:r>
        <w:rPr>
          <w:rFonts w:hint="eastAsia" w:hAnsi="宋体" w:cs="宋体"/>
          <w:highlight w:val="none"/>
          <w:lang w:val="en-US" w:eastAsia="zh-CN"/>
        </w:rPr>
        <w:t>17.9</w:t>
      </w:r>
      <w:r>
        <w:rPr>
          <w:rFonts w:hint="eastAsia" w:hAnsi="宋体" w:cs="宋体"/>
          <w:highlight w:val="none"/>
        </w:rPr>
        <w:t>甲方有权在合同进度款中扣除相应的违约金。</w:t>
      </w:r>
    </w:p>
    <w:p w14:paraId="0B32280B">
      <w:pPr>
        <w:ind w:firstLine="482" w:firstLineChars="200"/>
        <w:outlineLvl w:val="2"/>
        <w:rPr>
          <w:b/>
          <w:bCs/>
          <w:kern w:val="0"/>
          <w:sz w:val="24"/>
          <w:highlight w:val="none"/>
        </w:rPr>
      </w:pPr>
      <w:bookmarkStart w:id="433" w:name="_Toc25756"/>
      <w:r>
        <w:rPr>
          <w:rFonts w:hint="eastAsia"/>
          <w:b/>
          <w:bCs/>
          <w:kern w:val="0"/>
          <w:sz w:val="24"/>
          <w:highlight w:val="none"/>
        </w:rPr>
        <w:t>18 通知与送达</w:t>
      </w:r>
      <w:bookmarkEnd w:id="433"/>
    </w:p>
    <w:p w14:paraId="1E36F76E">
      <w:pPr>
        <w:pStyle w:val="16"/>
        <w:snapToGrid w:val="0"/>
        <w:spacing w:line="360" w:lineRule="auto"/>
        <w:ind w:firstLine="420" w:firstLineChars="200"/>
        <w:rPr>
          <w:rFonts w:hAnsi="宋体"/>
          <w:highlight w:val="none"/>
        </w:rPr>
      </w:pPr>
      <w:r>
        <w:rPr>
          <w:rFonts w:hint="eastAsia" w:hAnsi="宋体"/>
          <w:highlight w:val="none"/>
        </w:rPr>
        <w:t>18.1所有根据本合同作出的通知或者报告（包括违约处罚等）应以书面形式作出，并以以下任一方式送达对方，收到的一方应在5个工作日内予以回复，否则视为认同通知的内容。本合同任何一方为了本合同目的可以书面通知对方变更联系地址。任何一方的联系方式发生变更的，应当在变更之日起5个工作日内通知对方，否则对方按照原联系方式发出的通知视为有效送达。</w:t>
      </w:r>
    </w:p>
    <w:p w14:paraId="22D843EB">
      <w:pPr>
        <w:pStyle w:val="16"/>
        <w:snapToGrid w:val="0"/>
        <w:spacing w:line="360" w:lineRule="auto"/>
        <w:ind w:firstLine="420" w:firstLineChars="200"/>
        <w:rPr>
          <w:rFonts w:hint="eastAsia" w:hAnsi="宋体"/>
          <w:highlight w:val="none"/>
        </w:rPr>
      </w:pPr>
      <w:r>
        <w:rPr>
          <w:rFonts w:hint="eastAsia" w:hAnsi="宋体"/>
          <w:highlight w:val="none"/>
        </w:rPr>
        <w:t>18.2送达时间基准为：（1）直接送达以签收人签收时间为准；（2）留置送达以通知或者报告（包括违约处罚等）送达指定地点时间为准（如出现拒签情况，以通知或者报告（包括违约处罚等）送达指定地点时派送人现场照片或物流信息显示送达时间为准）；（3）电子送达以发送人发出通知或者报告（包括违约处罚等）时间为准。（4）邮寄送达以邮寄至另一方在本合同签署页规定的地址或者另一方书面指定或通知的其他地址，</w:t>
      </w:r>
      <w:r>
        <w:rPr>
          <w:rFonts w:hint="eastAsia"/>
          <w:highlight w:val="none"/>
        </w:rPr>
        <w:t>以另一方签收日期视为送达，签收日期不明确的，以邮件寄出后第3日视为送达</w:t>
      </w:r>
      <w:r>
        <w:rPr>
          <w:rFonts w:hint="eastAsia" w:hAnsi="宋体"/>
          <w:highlight w:val="none"/>
        </w:rPr>
        <w:t>。收件人拒收的，拒收之日视为送达。</w:t>
      </w:r>
    </w:p>
    <w:p w14:paraId="3DAAE311">
      <w:pPr>
        <w:pStyle w:val="16"/>
        <w:snapToGrid w:val="0"/>
        <w:spacing w:line="360" w:lineRule="auto"/>
        <w:ind w:firstLine="420" w:firstLineChars="200"/>
        <w:rPr>
          <w:rFonts w:hAnsi="宋体"/>
          <w:highlight w:val="none"/>
        </w:rPr>
      </w:pPr>
      <w:r>
        <w:rPr>
          <w:rFonts w:hint="eastAsia" w:hAnsi="宋体"/>
          <w:highlight w:val="none"/>
        </w:rPr>
        <w:t>18.3各方确认上述送达地址适用于诉讼/仲裁的各阶段，包括但不限于一审、二审、再审、特别程序及执行程序。</w:t>
      </w:r>
    </w:p>
    <w:p w14:paraId="60401BD7">
      <w:pPr>
        <w:ind w:firstLine="482" w:firstLineChars="200"/>
        <w:outlineLvl w:val="2"/>
        <w:rPr>
          <w:b/>
          <w:bCs/>
          <w:kern w:val="0"/>
          <w:sz w:val="24"/>
          <w:highlight w:val="none"/>
        </w:rPr>
      </w:pPr>
      <w:bookmarkStart w:id="434" w:name="_Toc5946"/>
      <w:r>
        <w:rPr>
          <w:rFonts w:hint="eastAsia"/>
          <w:b/>
          <w:bCs/>
          <w:kern w:val="0"/>
          <w:sz w:val="24"/>
          <w:highlight w:val="none"/>
        </w:rPr>
        <w:t>19 保密条款</w:t>
      </w:r>
      <w:bookmarkEnd w:id="434"/>
    </w:p>
    <w:p w14:paraId="1678F660">
      <w:pPr>
        <w:pStyle w:val="32"/>
        <w:spacing w:line="360" w:lineRule="auto"/>
        <w:ind w:firstLineChars="200"/>
        <w:rPr>
          <w:rFonts w:ascii="宋体" w:hAnsi="宋体"/>
          <w:color w:val="auto"/>
          <w:sz w:val="21"/>
          <w:szCs w:val="21"/>
          <w:highlight w:val="none"/>
        </w:rPr>
      </w:pPr>
      <w:r>
        <w:rPr>
          <w:rFonts w:hint="eastAsia" w:ascii="宋体" w:hAnsi="宋体"/>
          <w:color w:val="auto"/>
          <w:sz w:val="21"/>
          <w:szCs w:val="21"/>
          <w:highlight w:val="none"/>
        </w:rPr>
        <w:t>乙方应严格履行保密义务。对于甲方提供给乙方的相关资料、乙方在工作过程中接触到关于甲方的相关资料或信息、履约过程中形成与甲方有关的结果资料或信息，乙方均应作为秘密信息对待，包括但不限于：各种往来文件、函件、文档、报告、报表、会议纪要、视频、图片、影音等。除非经甲方事先书面许可，或因政府部门及法律法令的强制性要求而披露，乙方应当保证保守该秘密信息，并不得将该秘密信息以任何方式泄露予第三方。若乙方涉及泄密，应赔偿甲方由此而产生的损失并承担相应的法律责任。保密期限且不因合同终止而失效，乙方保密义务持续至相关秘密信息进入公知领域之日。</w:t>
      </w:r>
    </w:p>
    <w:p w14:paraId="39909099">
      <w:pPr>
        <w:ind w:firstLine="482" w:firstLineChars="200"/>
        <w:outlineLvl w:val="2"/>
        <w:rPr>
          <w:b/>
          <w:bCs/>
          <w:kern w:val="0"/>
          <w:sz w:val="24"/>
          <w:highlight w:val="none"/>
        </w:rPr>
      </w:pPr>
      <w:bookmarkStart w:id="435" w:name="_Toc16873"/>
      <w:bookmarkStart w:id="436" w:name="_Toc22243"/>
      <w:bookmarkStart w:id="437" w:name="_Toc486842414"/>
      <w:bookmarkStart w:id="438" w:name="_Toc482008350"/>
      <w:bookmarkStart w:id="439" w:name="_Toc1724599"/>
      <w:bookmarkStart w:id="440" w:name="_Toc28138"/>
      <w:bookmarkStart w:id="441" w:name="_Toc32674"/>
      <w:r>
        <w:rPr>
          <w:rFonts w:hint="eastAsia"/>
          <w:b/>
          <w:bCs/>
          <w:kern w:val="0"/>
          <w:sz w:val="24"/>
          <w:highlight w:val="none"/>
        </w:rPr>
        <w:t>20 争议解决方式</w:t>
      </w:r>
      <w:bookmarkEnd w:id="435"/>
      <w:bookmarkEnd w:id="436"/>
      <w:bookmarkEnd w:id="437"/>
      <w:bookmarkEnd w:id="438"/>
      <w:bookmarkEnd w:id="439"/>
      <w:bookmarkEnd w:id="440"/>
      <w:bookmarkEnd w:id="441"/>
    </w:p>
    <w:p w14:paraId="7A08219C">
      <w:pPr>
        <w:snapToGrid w:val="0"/>
        <w:ind w:firstLine="420" w:firstLineChars="200"/>
        <w:textAlignment w:val="bottom"/>
        <w:rPr>
          <w:rFonts w:ascii="宋体" w:hAnsi="宋体"/>
          <w:szCs w:val="21"/>
          <w:highlight w:val="none"/>
        </w:rPr>
      </w:pPr>
      <w:r>
        <w:rPr>
          <w:rFonts w:hint="eastAsia" w:ascii="宋体" w:hAnsi="宋体"/>
          <w:szCs w:val="21"/>
          <w:highlight w:val="none"/>
        </w:rPr>
        <w:t>20.1甲乙双方履行合同中发生争议的，可以先通过友好协商解决。</w:t>
      </w:r>
    </w:p>
    <w:p w14:paraId="24FE4A52">
      <w:pPr>
        <w:snapToGrid w:val="0"/>
        <w:ind w:firstLine="420" w:firstLineChars="200"/>
        <w:textAlignment w:val="bottom"/>
        <w:rPr>
          <w:rFonts w:ascii="宋体" w:hAnsi="宋体"/>
          <w:szCs w:val="21"/>
          <w:highlight w:val="none"/>
        </w:rPr>
      </w:pPr>
      <w:r>
        <w:rPr>
          <w:rFonts w:hint="eastAsia" w:ascii="宋体" w:hAnsi="宋体"/>
          <w:szCs w:val="21"/>
          <w:highlight w:val="none"/>
        </w:rPr>
        <w:t>20.2双方协商不成的，应当按下列第（2）种方式解决：</w:t>
      </w:r>
    </w:p>
    <w:p w14:paraId="4A75EDF3">
      <w:pPr>
        <w:snapToGrid w:val="0"/>
        <w:ind w:firstLine="420" w:firstLineChars="200"/>
        <w:textAlignment w:val="bottom"/>
        <w:rPr>
          <w:rFonts w:ascii="宋体" w:hAnsi="宋体"/>
          <w:szCs w:val="21"/>
          <w:highlight w:val="none"/>
        </w:rPr>
      </w:pPr>
      <w:r>
        <w:rPr>
          <w:rFonts w:hint="eastAsia" w:ascii="宋体" w:hAnsi="宋体"/>
          <w:szCs w:val="21"/>
          <w:highlight w:val="none"/>
        </w:rPr>
        <w:t>（1）提交南宁仲裁委员会仲裁；</w:t>
      </w:r>
    </w:p>
    <w:p w14:paraId="29366C07">
      <w:pPr>
        <w:snapToGrid w:val="0"/>
        <w:ind w:firstLine="420" w:firstLineChars="200"/>
        <w:textAlignment w:val="bottom"/>
        <w:rPr>
          <w:rFonts w:ascii="宋体" w:hAnsi="宋体"/>
          <w:szCs w:val="21"/>
          <w:highlight w:val="none"/>
        </w:rPr>
      </w:pPr>
      <w:r>
        <w:rPr>
          <w:rFonts w:hint="eastAsia" w:ascii="宋体" w:hAnsi="宋体"/>
          <w:szCs w:val="21"/>
          <w:highlight w:val="none"/>
        </w:rPr>
        <w:t>（2）依法向甲方所在地人民法院起诉。</w:t>
      </w:r>
    </w:p>
    <w:p w14:paraId="27DB1FD6">
      <w:pPr>
        <w:snapToGrid w:val="0"/>
        <w:ind w:firstLine="420" w:firstLineChars="200"/>
        <w:textAlignment w:val="bottom"/>
        <w:rPr>
          <w:rFonts w:ascii="宋体" w:hAnsi="宋体"/>
          <w:szCs w:val="21"/>
          <w:highlight w:val="none"/>
        </w:rPr>
      </w:pPr>
      <w:r>
        <w:rPr>
          <w:rFonts w:hint="eastAsia" w:ascii="宋体" w:hAnsi="宋体"/>
          <w:szCs w:val="21"/>
          <w:highlight w:val="none"/>
        </w:rPr>
        <w:t>20.3发生争议后，除非出现下列情况的，双方都应继续履行合同，保持施工连续并保护好已完项目：</w:t>
      </w:r>
    </w:p>
    <w:p w14:paraId="1C611FAC">
      <w:pPr>
        <w:snapToGrid w:val="0"/>
        <w:ind w:firstLine="420" w:firstLineChars="200"/>
        <w:textAlignment w:val="bottom"/>
        <w:rPr>
          <w:rFonts w:ascii="宋体" w:hAnsi="宋体"/>
          <w:szCs w:val="21"/>
          <w:highlight w:val="none"/>
        </w:rPr>
      </w:pPr>
      <w:r>
        <w:rPr>
          <w:rFonts w:hint="eastAsia" w:ascii="宋体" w:hAnsi="宋体"/>
          <w:szCs w:val="21"/>
          <w:highlight w:val="none"/>
        </w:rPr>
        <w:t>（1）单方违约导致合同确</w:t>
      </w:r>
      <w:r>
        <w:rPr>
          <w:rFonts w:hint="eastAsia" w:ascii="宋体" w:hAnsi="宋体"/>
          <w:szCs w:val="21"/>
          <w:highlight w:val="none"/>
          <w:lang w:val="en-US" w:eastAsia="zh-CN"/>
        </w:rPr>
        <w:t>已</w:t>
      </w:r>
      <w:r>
        <w:rPr>
          <w:rFonts w:hint="eastAsia" w:ascii="宋体" w:hAnsi="宋体"/>
          <w:szCs w:val="21"/>
          <w:highlight w:val="none"/>
        </w:rPr>
        <w:t>无法履行，双方协议停止施工；</w:t>
      </w:r>
    </w:p>
    <w:p w14:paraId="5508D589">
      <w:pPr>
        <w:snapToGrid w:val="0"/>
        <w:ind w:firstLine="420" w:firstLineChars="200"/>
        <w:textAlignment w:val="bottom"/>
        <w:rPr>
          <w:rFonts w:ascii="宋体" w:hAnsi="宋体"/>
          <w:szCs w:val="21"/>
          <w:highlight w:val="none"/>
        </w:rPr>
      </w:pPr>
      <w:r>
        <w:rPr>
          <w:rFonts w:hint="eastAsia" w:ascii="宋体" w:hAnsi="宋体"/>
          <w:szCs w:val="21"/>
          <w:highlight w:val="none"/>
        </w:rPr>
        <w:t>（2）不可抗力导致合同无法履行；</w:t>
      </w:r>
    </w:p>
    <w:p w14:paraId="4EF4D09F">
      <w:pPr>
        <w:snapToGrid w:val="0"/>
        <w:ind w:firstLine="420" w:firstLineChars="200"/>
        <w:textAlignment w:val="bottom"/>
        <w:rPr>
          <w:rFonts w:ascii="宋体" w:hAnsi="宋体"/>
          <w:szCs w:val="21"/>
          <w:highlight w:val="none"/>
        </w:rPr>
      </w:pPr>
      <w:r>
        <w:rPr>
          <w:rFonts w:hint="eastAsia" w:ascii="宋体" w:hAnsi="宋体"/>
          <w:szCs w:val="21"/>
          <w:highlight w:val="none"/>
        </w:rPr>
        <w:t>（3）调解要求停止施工，且为双方接受；</w:t>
      </w:r>
    </w:p>
    <w:p w14:paraId="20F43429">
      <w:pPr>
        <w:snapToGrid w:val="0"/>
        <w:ind w:firstLine="420" w:firstLineChars="200"/>
        <w:textAlignment w:val="bottom"/>
        <w:rPr>
          <w:rFonts w:ascii="宋体" w:hAnsi="宋体"/>
          <w:szCs w:val="21"/>
          <w:highlight w:val="none"/>
        </w:rPr>
      </w:pPr>
      <w:r>
        <w:rPr>
          <w:rFonts w:hint="eastAsia" w:ascii="宋体" w:hAnsi="宋体"/>
          <w:szCs w:val="21"/>
          <w:highlight w:val="none"/>
        </w:rPr>
        <w:t>（4）仲裁机关要求停止施工；</w:t>
      </w:r>
    </w:p>
    <w:p w14:paraId="5381DEE9">
      <w:pPr>
        <w:snapToGrid w:val="0"/>
        <w:ind w:firstLine="420" w:firstLineChars="200"/>
        <w:textAlignment w:val="bottom"/>
        <w:rPr>
          <w:highlight w:val="none"/>
        </w:rPr>
      </w:pPr>
      <w:r>
        <w:rPr>
          <w:rFonts w:hint="eastAsia" w:ascii="宋体" w:hAnsi="宋体"/>
          <w:szCs w:val="21"/>
          <w:highlight w:val="none"/>
        </w:rPr>
        <w:t>（5）法院要求停止施工。</w:t>
      </w:r>
      <w:bookmarkStart w:id="442" w:name="_Toc29651"/>
      <w:bookmarkStart w:id="443" w:name="_Toc31386"/>
      <w:bookmarkStart w:id="444" w:name="_Toc486842415"/>
      <w:bookmarkStart w:id="445" w:name="_Toc482008351"/>
      <w:bookmarkStart w:id="446" w:name="_Toc30695"/>
      <w:bookmarkStart w:id="447" w:name="_Toc1724600"/>
    </w:p>
    <w:p w14:paraId="38517E91">
      <w:pPr>
        <w:snapToGrid w:val="0"/>
        <w:ind w:firstLine="482" w:firstLineChars="200"/>
        <w:outlineLvl w:val="2"/>
        <w:rPr>
          <w:b/>
          <w:bCs/>
          <w:kern w:val="0"/>
          <w:sz w:val="24"/>
          <w:highlight w:val="none"/>
        </w:rPr>
      </w:pPr>
      <w:bookmarkStart w:id="448" w:name="_Toc1394"/>
      <w:r>
        <w:rPr>
          <w:rFonts w:hint="eastAsia"/>
          <w:b/>
          <w:bCs/>
          <w:kern w:val="0"/>
          <w:sz w:val="24"/>
          <w:highlight w:val="none"/>
        </w:rPr>
        <w:t>21 其他约定事项</w:t>
      </w:r>
      <w:bookmarkEnd w:id="448"/>
    </w:p>
    <w:p w14:paraId="29714610">
      <w:pPr>
        <w:snapToGrid w:val="0"/>
        <w:ind w:firstLine="420" w:firstLineChars="200"/>
        <w:textAlignment w:val="bottom"/>
        <w:rPr>
          <w:rFonts w:ascii="宋体" w:hAnsi="宋体"/>
          <w:szCs w:val="21"/>
          <w:highlight w:val="none"/>
        </w:rPr>
      </w:pPr>
      <w:r>
        <w:rPr>
          <w:rFonts w:hint="eastAsia" w:ascii="宋体" w:hAnsi="宋体"/>
          <w:szCs w:val="21"/>
          <w:highlight w:val="none"/>
        </w:rPr>
        <w:t>21.1本合同未尽事宜，由双方协商解决，必要时可签订补充合同。</w:t>
      </w:r>
      <w:bookmarkEnd w:id="442"/>
      <w:bookmarkEnd w:id="443"/>
      <w:bookmarkEnd w:id="444"/>
      <w:bookmarkEnd w:id="445"/>
      <w:bookmarkEnd w:id="446"/>
      <w:bookmarkEnd w:id="447"/>
    </w:p>
    <w:p w14:paraId="79998EEE">
      <w:pPr>
        <w:snapToGrid w:val="0"/>
        <w:ind w:firstLine="420" w:firstLineChars="200"/>
        <w:textAlignment w:val="bottom"/>
        <w:rPr>
          <w:rFonts w:ascii="宋体" w:hAnsi="宋体"/>
          <w:szCs w:val="21"/>
          <w:highlight w:val="none"/>
        </w:rPr>
      </w:pPr>
      <w:r>
        <w:rPr>
          <w:rFonts w:hint="eastAsia" w:ascii="宋体" w:hAnsi="宋体"/>
          <w:szCs w:val="21"/>
          <w:highlight w:val="none"/>
        </w:rPr>
        <w:t>21.2 乙方不得利用本合同开展质押或其他融资业务；不得就本合同项下发生应收账款业务向其他第三方机构或个人办理应收账款保理业务；不得将本合同权利义务全部或部分进行转让，甲方对发票和应收账款金额等信息的确认不具有特殊认可的效力。如乙方违反本条款约定的，应赔偿由此给甲方造成的损失，同时甲方有权解除本合同。</w:t>
      </w:r>
    </w:p>
    <w:p w14:paraId="130D265E">
      <w:pPr>
        <w:snapToGrid w:val="0"/>
        <w:ind w:firstLine="420" w:firstLineChars="200"/>
        <w:textAlignment w:val="bottom"/>
        <w:rPr>
          <w:rFonts w:ascii="宋体" w:hAnsi="宋体"/>
          <w:szCs w:val="21"/>
          <w:highlight w:val="none"/>
        </w:rPr>
      </w:pPr>
      <w:r>
        <w:rPr>
          <w:rFonts w:hint="eastAsia" w:ascii="宋体" w:hAnsi="宋体"/>
          <w:szCs w:val="21"/>
          <w:highlight w:val="none"/>
        </w:rPr>
        <w:t>21.3知识产权</w:t>
      </w:r>
    </w:p>
    <w:p w14:paraId="7A8598D2">
      <w:pPr>
        <w:snapToGrid w:val="0"/>
        <w:ind w:firstLine="420" w:firstLineChars="200"/>
        <w:textAlignment w:val="bottom"/>
        <w:rPr>
          <w:rFonts w:ascii="宋体" w:hAnsi="宋体"/>
          <w:szCs w:val="21"/>
          <w:highlight w:val="none"/>
        </w:rPr>
      </w:pPr>
      <w:r>
        <w:rPr>
          <w:rFonts w:hint="eastAsia" w:ascii="宋体" w:hAnsi="宋体"/>
          <w:szCs w:val="21"/>
          <w:highlight w:val="none"/>
        </w:rPr>
        <w:t>（1）乙方应保证所提供的服务或其任何一部分均不会侵犯任何第三方的专利权、商标权和著作权。若发生第三方主张权利导致甲方损失的，乙方应赔偿甲方损失。</w:t>
      </w:r>
    </w:p>
    <w:p w14:paraId="7244A4BA">
      <w:pPr>
        <w:snapToGrid w:val="0"/>
        <w:ind w:firstLine="420" w:firstLineChars="200"/>
        <w:textAlignment w:val="bottom"/>
        <w:rPr>
          <w:rFonts w:ascii="宋体" w:hAnsi="宋体"/>
          <w:szCs w:val="21"/>
          <w:highlight w:val="none"/>
        </w:rPr>
      </w:pPr>
      <w:r>
        <w:rPr>
          <w:rFonts w:hint="eastAsia" w:ascii="宋体" w:hAnsi="宋体"/>
          <w:szCs w:val="21"/>
          <w:highlight w:val="none"/>
        </w:rPr>
        <w:t>（2）成果文件的署名权归甲方和乙方双方共有，版权归甲方所有。甲方有权公开展示成果，并通过传播媒介、专业杂志、书刊或其他形式介绍、展示及评价规划成果。</w:t>
      </w:r>
    </w:p>
    <w:p w14:paraId="4E7057E6">
      <w:pPr>
        <w:snapToGrid w:val="0"/>
        <w:ind w:firstLine="420" w:firstLineChars="200"/>
        <w:textAlignment w:val="bottom"/>
        <w:rPr>
          <w:rFonts w:ascii="宋体" w:hAnsi="宋体"/>
          <w:szCs w:val="21"/>
          <w:highlight w:val="none"/>
        </w:rPr>
      </w:pPr>
      <w:r>
        <w:rPr>
          <w:rFonts w:hint="eastAsia" w:ascii="宋体" w:hAnsi="宋体"/>
          <w:szCs w:val="21"/>
          <w:highlight w:val="none"/>
        </w:rPr>
        <w:t>（3）成果文件未经甲方同意，乙方无权以任何形式向社会公开展示使用成果文件。</w:t>
      </w:r>
    </w:p>
    <w:p w14:paraId="46E8F4C9">
      <w:pPr>
        <w:pStyle w:val="32"/>
        <w:spacing w:line="360" w:lineRule="auto"/>
        <w:ind w:firstLineChars="200"/>
        <w:rPr>
          <w:rFonts w:ascii="宋体" w:hAnsi="宋体"/>
          <w:color w:val="auto"/>
          <w:sz w:val="21"/>
          <w:szCs w:val="21"/>
          <w:highlight w:val="none"/>
        </w:rPr>
      </w:pPr>
      <w:r>
        <w:rPr>
          <w:rFonts w:hint="eastAsia" w:ascii="宋体" w:hAnsi="宋体"/>
          <w:color w:val="auto"/>
          <w:sz w:val="21"/>
          <w:szCs w:val="21"/>
          <w:highlight w:val="none"/>
        </w:rPr>
        <w:t>（4）乙方在不违反保密要求下，有权为进行科学研究、学术交流研讨、自身宣传、行业评奖评优使用技术成果。</w:t>
      </w:r>
    </w:p>
    <w:p w14:paraId="7203A1E0">
      <w:pPr>
        <w:rPr>
          <w:highlight w:val="none"/>
        </w:rPr>
      </w:pPr>
    </w:p>
    <w:p w14:paraId="10660CEF">
      <w:pPr>
        <w:rPr>
          <w:rFonts w:cs="Arial"/>
          <w:szCs w:val="21"/>
          <w:highlight w:val="none"/>
        </w:rPr>
      </w:pPr>
    </w:p>
    <w:p w14:paraId="360AD85C">
      <w:pPr>
        <w:tabs>
          <w:tab w:val="left" w:pos="1701"/>
        </w:tabs>
        <w:rPr>
          <w:rFonts w:ascii="宋体" w:hAnsi="宋体"/>
          <w:color w:val="000000"/>
          <w:kern w:val="0"/>
          <w:highlight w:val="none"/>
        </w:rPr>
      </w:pPr>
    </w:p>
    <w:sectPr>
      <w:pgSz w:w="11906" w:h="16838"/>
      <w:pgMar w:top="1134" w:right="1418" w:bottom="1134" w:left="1418" w:header="851" w:footer="567"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F02CA">
    <w:pPr>
      <w:pStyle w:val="21"/>
      <w:ind w:firstLine="360"/>
      <w:jc w:val="center"/>
      <w:rPr>
        <w:kern w:val="0"/>
        <w:szCs w:val="21"/>
      </w:rPr>
    </w:pPr>
  </w:p>
  <w:p w14:paraId="757ADCAA">
    <w:pPr>
      <w:ind w:firstLine="360"/>
      <w:rPr>
        <w:kern w:val="0"/>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75061">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C4835">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C358D">
    <w:pPr>
      <w:pStyle w:val="21"/>
      <w:ind w:firstLine="360"/>
      <w:jc w:val="center"/>
      <w:rPr>
        <w:kern w:val="0"/>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8454E">
                          <w:pPr>
                            <w:pStyle w:val="2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978454E">
                    <w:pPr>
                      <w:pStyle w:val="2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59</w:t>
                    </w:r>
                    <w:r>
                      <w:fldChar w:fldCharType="end"/>
                    </w:r>
                  </w:p>
                </w:txbxContent>
              </v:textbox>
            </v:shape>
          </w:pict>
        </mc:Fallback>
      </mc:AlternateContent>
    </w:r>
  </w:p>
  <w:p w14:paraId="33188CD7">
    <w:pPr>
      <w:ind w:firstLine="360"/>
      <w:rPr>
        <w:kern w:val="0"/>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DA89F">
    <w:pPr>
      <w:pStyle w:val="21"/>
      <w:ind w:firstLine="360"/>
      <w:jc w:val="center"/>
      <w:rPr>
        <w:kern w:val="0"/>
        <w:szCs w:val="2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EF6C9">
                          <w:pPr>
                            <w:pStyle w:val="21"/>
                          </w:pPr>
                          <w:r>
                            <w:fldChar w:fldCharType="begin"/>
                          </w:r>
                          <w:r>
                            <w:instrText xml:space="preserve"> PAGE  \* MERGEFORMAT </w:instrText>
                          </w:r>
                          <w:r>
                            <w:fldChar w:fldCharType="separate"/>
                          </w:r>
                          <w:r>
                            <w:t>11</w:t>
                          </w:r>
                          <w:r>
                            <w:fldChar w:fldCharType="end"/>
                          </w:r>
                          <w:r>
                            <w:t xml:space="preserve"> / </w:t>
                          </w:r>
                          <w:r>
                            <w:fldChar w:fldCharType="begin"/>
                          </w:r>
                          <w:r>
                            <w:instrText xml:space="preserve"> NUMPAGES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A0EF6C9">
                    <w:pPr>
                      <w:pStyle w:val="21"/>
                    </w:pPr>
                    <w:r>
                      <w:fldChar w:fldCharType="begin"/>
                    </w:r>
                    <w:r>
                      <w:instrText xml:space="preserve"> PAGE  \* MERGEFORMAT </w:instrText>
                    </w:r>
                    <w:r>
                      <w:fldChar w:fldCharType="separate"/>
                    </w:r>
                    <w:r>
                      <w:t>11</w:t>
                    </w:r>
                    <w:r>
                      <w:fldChar w:fldCharType="end"/>
                    </w:r>
                    <w:r>
                      <w:t xml:space="preserve"> / </w:t>
                    </w:r>
                    <w:r>
                      <w:fldChar w:fldCharType="begin"/>
                    </w:r>
                    <w:r>
                      <w:instrText xml:space="preserve"> NUMPAGES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C6544">
    <w:pPr>
      <w:pStyle w:val="21"/>
      <w:ind w:firstLine="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285563">
                          <w:pPr>
                            <w:pStyle w:val="21"/>
                          </w:pPr>
                          <w:r>
                            <w:fldChar w:fldCharType="begin"/>
                          </w:r>
                          <w:r>
                            <w:instrText xml:space="preserve"> PAGE  \* MERGEFORMAT </w:instrText>
                          </w:r>
                          <w:r>
                            <w:fldChar w:fldCharType="separate"/>
                          </w:r>
                          <w:r>
                            <w:t>18</w:t>
                          </w:r>
                          <w:r>
                            <w:fldChar w:fldCharType="end"/>
                          </w:r>
                          <w:r>
                            <w:t xml:space="preserve"> / </w:t>
                          </w:r>
                          <w:r>
                            <w:fldChar w:fldCharType="begin"/>
                          </w:r>
                          <w:r>
                            <w:instrText xml:space="preserve"> NUMPAGES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6285563">
                    <w:pPr>
                      <w:pStyle w:val="21"/>
                    </w:pPr>
                    <w:r>
                      <w:fldChar w:fldCharType="begin"/>
                    </w:r>
                    <w:r>
                      <w:instrText xml:space="preserve"> PAGE  \* MERGEFORMAT </w:instrText>
                    </w:r>
                    <w:r>
                      <w:fldChar w:fldCharType="separate"/>
                    </w:r>
                    <w:r>
                      <w:t>18</w:t>
                    </w:r>
                    <w:r>
                      <w:fldChar w:fldCharType="end"/>
                    </w:r>
                    <w:r>
                      <w:t xml:space="preserve"> / </w:t>
                    </w:r>
                    <w:r>
                      <w:fldChar w:fldCharType="begin"/>
                    </w:r>
                    <w:r>
                      <w:instrText xml:space="preserve"> NUMPAGES  \* MERGEFORMAT </w:instrText>
                    </w:r>
                    <w:r>
                      <w:fldChar w:fldCharType="separate"/>
                    </w:r>
                    <w:r>
                      <w:t>59</w:t>
                    </w:r>
                    <w:r>
                      <w:fldChar w:fldCharType="end"/>
                    </w:r>
                  </w:p>
                </w:txbxContent>
              </v:textbox>
            </v:shape>
          </w:pict>
        </mc:Fallback>
      </mc:AlternateContent>
    </w:r>
  </w:p>
  <w:p w14:paraId="6F95CCB3">
    <w:pPr>
      <w:pStyle w:val="21"/>
      <w:ind w:firstLine="360"/>
      <w:jc w:val="center"/>
      <w:rPr>
        <w:kern w:val="0"/>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61B9F">
    <w:pPr>
      <w:pStyle w:val="21"/>
      <w:ind w:firstLine="360"/>
      <w:jc w:val="center"/>
      <w:rPr>
        <w:kern w:val="0"/>
        <w:szCs w:val="21"/>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67A80">
                          <w:pPr>
                            <w:pStyle w:val="21"/>
                          </w:pPr>
                          <w:r>
                            <w:fldChar w:fldCharType="begin"/>
                          </w:r>
                          <w:r>
                            <w:instrText xml:space="preserve"> PAGE  \* MERGEFORMAT </w:instrText>
                          </w:r>
                          <w:r>
                            <w:fldChar w:fldCharType="separate"/>
                          </w:r>
                          <w:r>
                            <w:t>19</w:t>
                          </w:r>
                          <w:r>
                            <w:fldChar w:fldCharType="end"/>
                          </w:r>
                          <w:r>
                            <w:t xml:space="preserve"> / </w:t>
                          </w:r>
                          <w:r>
                            <w:fldChar w:fldCharType="begin"/>
                          </w:r>
                          <w:r>
                            <w:instrText xml:space="preserve"> NUMPAGES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8567A80">
                    <w:pPr>
                      <w:pStyle w:val="21"/>
                    </w:pPr>
                    <w:r>
                      <w:fldChar w:fldCharType="begin"/>
                    </w:r>
                    <w:r>
                      <w:instrText xml:space="preserve"> PAGE  \* MERGEFORMAT </w:instrText>
                    </w:r>
                    <w:r>
                      <w:fldChar w:fldCharType="separate"/>
                    </w:r>
                    <w:r>
                      <w:t>19</w:t>
                    </w:r>
                    <w:r>
                      <w:fldChar w:fldCharType="end"/>
                    </w:r>
                    <w:r>
                      <w:t xml:space="preserve"> / </w:t>
                    </w:r>
                    <w:r>
                      <w:fldChar w:fldCharType="begin"/>
                    </w:r>
                    <w:r>
                      <w:instrText xml:space="preserve"> NUMPAGES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C0557">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7A5D9">
                          <w:pPr>
                            <w:pStyle w:val="21"/>
                          </w:pPr>
                          <w:r>
                            <w:fldChar w:fldCharType="begin"/>
                          </w:r>
                          <w:r>
                            <w:instrText xml:space="preserve"> PAGE  \* MERGEFORMAT </w:instrText>
                          </w:r>
                          <w:r>
                            <w:fldChar w:fldCharType="separate"/>
                          </w:r>
                          <w:r>
                            <w:t>46</w:t>
                          </w:r>
                          <w:r>
                            <w:fldChar w:fldCharType="end"/>
                          </w:r>
                          <w:r>
                            <w:t xml:space="preserve"> / </w:t>
                          </w:r>
                          <w:r>
                            <w:fldChar w:fldCharType="begin"/>
                          </w:r>
                          <w:r>
                            <w:instrText xml:space="preserve"> NUMPAGES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FD7A5D9">
                    <w:pPr>
                      <w:pStyle w:val="21"/>
                    </w:pPr>
                    <w:r>
                      <w:fldChar w:fldCharType="begin"/>
                    </w:r>
                    <w:r>
                      <w:instrText xml:space="preserve"> PAGE  \* MERGEFORMAT </w:instrText>
                    </w:r>
                    <w:r>
                      <w:fldChar w:fldCharType="separate"/>
                    </w:r>
                    <w:r>
                      <w:t>46</w:t>
                    </w:r>
                    <w:r>
                      <w:fldChar w:fldCharType="end"/>
                    </w:r>
                    <w:r>
                      <w:t xml:space="preserve"> / </w:t>
                    </w:r>
                    <w:r>
                      <w:fldChar w:fldCharType="begin"/>
                    </w:r>
                    <w:r>
                      <w:instrText xml:space="preserve"> NUMPAGES  \* MERGEFORMAT </w:instrText>
                    </w:r>
                    <w:r>
                      <w:fldChar w:fldCharType="separate"/>
                    </w:r>
                    <w:r>
                      <w:t>59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05CB8">
    <w:pPr>
      <w:pStyle w:val="2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63699">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4D278">
    <w:pPr>
      <w:pStyle w:val="22"/>
      <w:pBdr>
        <w:bottom w:val="none" w:color="auto" w:sz="0" w:space="1"/>
      </w:pBdr>
      <w:jc w:val="both"/>
    </w:pPr>
  </w:p>
  <w:p w14:paraId="0D3B03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13232"/>
    <w:multiLevelType w:val="singleLevel"/>
    <w:tmpl w:val="AC413232"/>
    <w:lvl w:ilvl="0" w:tentative="0">
      <w:start w:val="1"/>
      <w:numFmt w:val="decimal"/>
      <w:suff w:val="nothing"/>
      <w:lvlText w:val="（%1）"/>
      <w:lvlJc w:val="left"/>
    </w:lvl>
  </w:abstractNum>
  <w:abstractNum w:abstractNumId="1">
    <w:nsid w:val="C386A8AA"/>
    <w:multiLevelType w:val="singleLevel"/>
    <w:tmpl w:val="C386A8AA"/>
    <w:lvl w:ilvl="0" w:tentative="0">
      <w:start w:val="8"/>
      <w:numFmt w:val="decimal"/>
      <w:lvlText w:val="%1."/>
      <w:lvlJc w:val="left"/>
      <w:pPr>
        <w:tabs>
          <w:tab w:val="left" w:pos="312"/>
        </w:tabs>
      </w:pPr>
    </w:lvl>
  </w:abstractNum>
  <w:abstractNum w:abstractNumId="2">
    <w:nsid w:val="D5EF41D3"/>
    <w:multiLevelType w:val="singleLevel"/>
    <w:tmpl w:val="D5EF41D3"/>
    <w:lvl w:ilvl="0" w:tentative="0">
      <w:start w:val="1"/>
      <w:numFmt w:val="decimal"/>
      <w:lvlText w:val="(%1)"/>
      <w:lvlJc w:val="left"/>
      <w:pPr>
        <w:ind w:left="1055" w:hanging="425"/>
      </w:pPr>
      <w:rPr>
        <w:rFonts w:hint="default"/>
      </w:rPr>
    </w:lvl>
  </w:abstractNum>
  <w:abstractNum w:abstractNumId="3">
    <w:nsid w:val="FAED16A5"/>
    <w:multiLevelType w:val="singleLevel"/>
    <w:tmpl w:val="FAED16A5"/>
    <w:lvl w:ilvl="0" w:tentative="0">
      <w:start w:val="2"/>
      <w:numFmt w:val="chineseCounting"/>
      <w:suff w:val="space"/>
      <w:lvlText w:val="第%1部分"/>
      <w:lvlJc w:val="left"/>
      <w:rPr>
        <w:rFonts w:hint="eastAsia"/>
      </w:rPr>
    </w:lvl>
  </w:abstractNum>
  <w:abstractNum w:abstractNumId="4">
    <w:nsid w:val="0F1A4095"/>
    <w:multiLevelType w:val="singleLevel"/>
    <w:tmpl w:val="0F1A4095"/>
    <w:lvl w:ilvl="0" w:tentative="0">
      <w:start w:val="4"/>
      <w:numFmt w:val="chineseCounting"/>
      <w:suff w:val="nothing"/>
      <w:lvlText w:val="%1、"/>
      <w:lvlJc w:val="left"/>
      <w:rPr>
        <w:rFonts w:hint="eastAsia"/>
      </w:rPr>
    </w:lvl>
  </w:abstractNum>
  <w:abstractNum w:abstractNumId="5">
    <w:nsid w:val="2A418781"/>
    <w:multiLevelType w:val="singleLevel"/>
    <w:tmpl w:val="2A418781"/>
    <w:lvl w:ilvl="0" w:tentative="0">
      <w:start w:val="1"/>
      <w:numFmt w:val="decimal"/>
      <w:lvlText w:val="(%1)"/>
      <w:lvlJc w:val="left"/>
      <w:pPr>
        <w:ind w:left="1055" w:hanging="425"/>
      </w:pPr>
      <w:rPr>
        <w:rFonts w:hint="default"/>
      </w:rPr>
    </w:lvl>
  </w:abstractNum>
  <w:abstractNum w:abstractNumId="6">
    <w:nsid w:val="2DDA1A84"/>
    <w:multiLevelType w:val="singleLevel"/>
    <w:tmpl w:val="2DDA1A84"/>
    <w:lvl w:ilvl="0" w:tentative="0">
      <w:start w:val="1"/>
      <w:numFmt w:val="decimal"/>
      <w:lvlText w:val="(%1)"/>
      <w:lvlJc w:val="left"/>
      <w:pPr>
        <w:ind w:left="1055" w:hanging="425"/>
      </w:pPr>
      <w:rPr>
        <w:rFonts w:hint="default"/>
      </w:rPr>
    </w:lvl>
  </w:abstractNum>
  <w:abstractNum w:abstractNumId="7">
    <w:nsid w:val="325061F6"/>
    <w:multiLevelType w:val="multilevel"/>
    <w:tmpl w:val="325061F6"/>
    <w:lvl w:ilvl="0" w:tentative="0">
      <w:start w:val="1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2A06732"/>
    <w:multiLevelType w:val="multilevel"/>
    <w:tmpl w:val="32A06732"/>
    <w:lvl w:ilvl="0" w:tentative="0">
      <w:start w:val="1"/>
      <w:numFmt w:val="bullet"/>
      <w:pStyle w:val="63"/>
      <w:lvlText w:val=""/>
      <w:lvlJc w:val="left"/>
      <w:pPr>
        <w:ind w:left="840" w:hanging="420"/>
      </w:pPr>
      <w:rPr>
        <w:rFonts w:hint="default" w:ascii="Wingdings" w:hAnsi="Wingdings"/>
        <w:color w:val="000000"/>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344C06AD"/>
    <w:multiLevelType w:val="multilevel"/>
    <w:tmpl w:val="344C06AD"/>
    <w:lvl w:ilvl="0" w:tentative="0">
      <w:start w:val="1"/>
      <w:numFmt w:val="decimal"/>
      <w:pStyle w:val="68"/>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7531EC3"/>
    <w:multiLevelType w:val="multilevel"/>
    <w:tmpl w:val="37531EC3"/>
    <w:lvl w:ilvl="0" w:tentative="0">
      <w:start w:val="1"/>
      <w:numFmt w:val="upperLetter"/>
      <w:lvlText w:val="%1."/>
      <w:lvlJc w:val="left"/>
      <w:pPr>
        <w:ind w:left="1040" w:hanging="420"/>
      </w:pPr>
    </w:lvl>
    <w:lvl w:ilvl="1" w:tentative="0">
      <w:start w:val="1"/>
      <w:numFmt w:val="lowerLetter"/>
      <w:lvlText w:val="%2)"/>
      <w:lvlJc w:val="left"/>
      <w:pPr>
        <w:ind w:left="1460" w:hanging="420"/>
      </w:pPr>
    </w:lvl>
    <w:lvl w:ilvl="2" w:tentative="0">
      <w:start w:val="1"/>
      <w:numFmt w:val="lowerRoman"/>
      <w:lvlText w:val="%3."/>
      <w:lvlJc w:val="right"/>
      <w:pPr>
        <w:ind w:left="1880" w:hanging="420"/>
      </w:pPr>
    </w:lvl>
    <w:lvl w:ilvl="3" w:tentative="0">
      <w:start w:val="1"/>
      <w:numFmt w:val="decimal"/>
      <w:lvlText w:val="%4."/>
      <w:lvlJc w:val="left"/>
      <w:pPr>
        <w:ind w:left="2300" w:hanging="420"/>
      </w:pPr>
    </w:lvl>
    <w:lvl w:ilvl="4" w:tentative="0">
      <w:start w:val="1"/>
      <w:numFmt w:val="lowerLetter"/>
      <w:lvlText w:val="%5)"/>
      <w:lvlJc w:val="left"/>
      <w:pPr>
        <w:ind w:left="2720" w:hanging="420"/>
      </w:pPr>
    </w:lvl>
    <w:lvl w:ilvl="5" w:tentative="0">
      <w:start w:val="1"/>
      <w:numFmt w:val="lowerRoman"/>
      <w:lvlText w:val="%6."/>
      <w:lvlJc w:val="right"/>
      <w:pPr>
        <w:ind w:left="3140" w:hanging="420"/>
      </w:pPr>
    </w:lvl>
    <w:lvl w:ilvl="6" w:tentative="0">
      <w:start w:val="1"/>
      <w:numFmt w:val="decimal"/>
      <w:lvlText w:val="%7."/>
      <w:lvlJc w:val="left"/>
      <w:pPr>
        <w:ind w:left="3560" w:hanging="420"/>
      </w:pPr>
    </w:lvl>
    <w:lvl w:ilvl="7" w:tentative="0">
      <w:start w:val="1"/>
      <w:numFmt w:val="lowerLetter"/>
      <w:lvlText w:val="%8)"/>
      <w:lvlJc w:val="left"/>
      <w:pPr>
        <w:ind w:left="3980" w:hanging="420"/>
      </w:pPr>
    </w:lvl>
    <w:lvl w:ilvl="8" w:tentative="0">
      <w:start w:val="1"/>
      <w:numFmt w:val="lowerRoman"/>
      <w:lvlText w:val="%9."/>
      <w:lvlJc w:val="right"/>
      <w:pPr>
        <w:ind w:left="4400" w:hanging="420"/>
      </w:pPr>
    </w:lvl>
  </w:abstractNum>
  <w:abstractNum w:abstractNumId="11">
    <w:nsid w:val="57DB23C3"/>
    <w:multiLevelType w:val="multilevel"/>
    <w:tmpl w:val="57DB23C3"/>
    <w:lvl w:ilvl="0" w:tentative="0">
      <w:start w:val="1"/>
      <w:numFmt w:val="decimal"/>
      <w:lvlText w:val="（%1）"/>
      <w:lvlJc w:val="left"/>
      <w:pPr>
        <w:ind w:left="0" w:hanging="420"/>
      </w:p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2">
    <w:nsid w:val="5A51A531"/>
    <w:multiLevelType w:val="singleLevel"/>
    <w:tmpl w:val="5A51A531"/>
    <w:lvl w:ilvl="0" w:tentative="0">
      <w:start w:val="5"/>
      <w:numFmt w:val="chineseCounting"/>
      <w:suff w:val="space"/>
      <w:lvlText w:val="第%1章"/>
      <w:lvlJc w:val="left"/>
      <w:rPr>
        <w:rFonts w:hint="eastAsia"/>
      </w:rPr>
    </w:lvl>
  </w:abstractNum>
  <w:abstractNum w:abstractNumId="13">
    <w:nsid w:val="5CAE9A4E"/>
    <w:multiLevelType w:val="singleLevel"/>
    <w:tmpl w:val="5CAE9A4E"/>
    <w:lvl w:ilvl="0" w:tentative="0">
      <w:start w:val="1"/>
      <w:numFmt w:val="decimal"/>
      <w:lvlText w:val="%1."/>
      <w:lvlJc w:val="left"/>
      <w:pPr>
        <w:tabs>
          <w:tab w:val="left" w:pos="312"/>
        </w:tabs>
      </w:pPr>
    </w:lvl>
  </w:abstractNum>
  <w:abstractNum w:abstractNumId="14">
    <w:nsid w:val="6A0474D9"/>
    <w:multiLevelType w:val="multilevel"/>
    <w:tmpl w:val="6A0474D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9"/>
  </w:num>
  <w:num w:numId="3">
    <w:abstractNumId w:val="5"/>
  </w:num>
  <w:num w:numId="4">
    <w:abstractNumId w:val="6"/>
  </w:num>
  <w:num w:numId="5">
    <w:abstractNumId w:val="2"/>
  </w:num>
  <w:num w:numId="6">
    <w:abstractNumId w:val="11"/>
  </w:num>
  <w:num w:numId="7">
    <w:abstractNumId w:val="10"/>
  </w:num>
  <w:num w:numId="8">
    <w:abstractNumId w:val="0"/>
  </w:num>
  <w:num w:numId="9">
    <w:abstractNumId w:val="1"/>
  </w:num>
  <w:num w:numId="10">
    <w:abstractNumId w:val="13"/>
  </w:num>
  <w:num w:numId="11">
    <w:abstractNumId w:val="14"/>
  </w:num>
  <w:num w:numId="12">
    <w:abstractNumId w:val="4"/>
  </w:num>
  <w:num w:numId="13">
    <w:abstractNumId w:val="12"/>
  </w:num>
  <w:num w:numId="14">
    <w:abstractNumId w:val="3"/>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ㄗs:琴︶ㄣ">
    <w15:presenceInfo w15:providerId="WPS Office" w15:userId="2630234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2F49A5"/>
    <w:rsid w:val="00001988"/>
    <w:rsid w:val="00001B86"/>
    <w:rsid w:val="00001EBC"/>
    <w:rsid w:val="00004A77"/>
    <w:rsid w:val="00004D76"/>
    <w:rsid w:val="00004FE1"/>
    <w:rsid w:val="00005ED3"/>
    <w:rsid w:val="0000626C"/>
    <w:rsid w:val="000064B0"/>
    <w:rsid w:val="00006743"/>
    <w:rsid w:val="00006C44"/>
    <w:rsid w:val="00007487"/>
    <w:rsid w:val="0000756E"/>
    <w:rsid w:val="0000794F"/>
    <w:rsid w:val="00007BFD"/>
    <w:rsid w:val="00007C91"/>
    <w:rsid w:val="0001061E"/>
    <w:rsid w:val="00010A47"/>
    <w:rsid w:val="00011B26"/>
    <w:rsid w:val="00011B85"/>
    <w:rsid w:val="000121B3"/>
    <w:rsid w:val="0001285C"/>
    <w:rsid w:val="00012BD5"/>
    <w:rsid w:val="00012D05"/>
    <w:rsid w:val="00013366"/>
    <w:rsid w:val="00013416"/>
    <w:rsid w:val="00013965"/>
    <w:rsid w:val="00013B83"/>
    <w:rsid w:val="00013C0B"/>
    <w:rsid w:val="00013C9F"/>
    <w:rsid w:val="0001409D"/>
    <w:rsid w:val="0001431C"/>
    <w:rsid w:val="0001452A"/>
    <w:rsid w:val="000145BD"/>
    <w:rsid w:val="00014D46"/>
    <w:rsid w:val="000150ED"/>
    <w:rsid w:val="000152C5"/>
    <w:rsid w:val="0001571F"/>
    <w:rsid w:val="00016158"/>
    <w:rsid w:val="00016D77"/>
    <w:rsid w:val="00016D9C"/>
    <w:rsid w:val="000175F0"/>
    <w:rsid w:val="00017808"/>
    <w:rsid w:val="0002012C"/>
    <w:rsid w:val="00020E21"/>
    <w:rsid w:val="000210B3"/>
    <w:rsid w:val="000213CB"/>
    <w:rsid w:val="00021519"/>
    <w:rsid w:val="000219A4"/>
    <w:rsid w:val="000220A8"/>
    <w:rsid w:val="00022214"/>
    <w:rsid w:val="00023D3A"/>
    <w:rsid w:val="00025EA1"/>
    <w:rsid w:val="0002680D"/>
    <w:rsid w:val="00026F62"/>
    <w:rsid w:val="00027364"/>
    <w:rsid w:val="00027944"/>
    <w:rsid w:val="00027D3E"/>
    <w:rsid w:val="00027E05"/>
    <w:rsid w:val="0003091B"/>
    <w:rsid w:val="000309CE"/>
    <w:rsid w:val="00030F1A"/>
    <w:rsid w:val="0003100C"/>
    <w:rsid w:val="0003131F"/>
    <w:rsid w:val="00031639"/>
    <w:rsid w:val="000319F6"/>
    <w:rsid w:val="00031D5C"/>
    <w:rsid w:val="000321E2"/>
    <w:rsid w:val="000324A5"/>
    <w:rsid w:val="00032BD3"/>
    <w:rsid w:val="00032EB3"/>
    <w:rsid w:val="00033073"/>
    <w:rsid w:val="00034004"/>
    <w:rsid w:val="00035B6A"/>
    <w:rsid w:val="00036183"/>
    <w:rsid w:val="000363BE"/>
    <w:rsid w:val="00036EDB"/>
    <w:rsid w:val="000374D1"/>
    <w:rsid w:val="00037F47"/>
    <w:rsid w:val="000421CC"/>
    <w:rsid w:val="000421EB"/>
    <w:rsid w:val="0004268E"/>
    <w:rsid w:val="00042A9B"/>
    <w:rsid w:val="00042CD6"/>
    <w:rsid w:val="00043E9C"/>
    <w:rsid w:val="0004483F"/>
    <w:rsid w:val="00046081"/>
    <w:rsid w:val="000463E8"/>
    <w:rsid w:val="00046D16"/>
    <w:rsid w:val="000473FB"/>
    <w:rsid w:val="00047ED2"/>
    <w:rsid w:val="00047F69"/>
    <w:rsid w:val="0005002B"/>
    <w:rsid w:val="000500BD"/>
    <w:rsid w:val="000507F0"/>
    <w:rsid w:val="0005093F"/>
    <w:rsid w:val="00050A43"/>
    <w:rsid w:val="00050CB3"/>
    <w:rsid w:val="000512C5"/>
    <w:rsid w:val="000535F6"/>
    <w:rsid w:val="00053D96"/>
    <w:rsid w:val="00055628"/>
    <w:rsid w:val="00055F87"/>
    <w:rsid w:val="00055F8A"/>
    <w:rsid w:val="000569C2"/>
    <w:rsid w:val="00056B2C"/>
    <w:rsid w:val="00056C7D"/>
    <w:rsid w:val="00056DC1"/>
    <w:rsid w:val="00056DF5"/>
    <w:rsid w:val="00057663"/>
    <w:rsid w:val="000578C8"/>
    <w:rsid w:val="0005791D"/>
    <w:rsid w:val="00057DD3"/>
    <w:rsid w:val="000607E0"/>
    <w:rsid w:val="000615AF"/>
    <w:rsid w:val="000619D2"/>
    <w:rsid w:val="00061DA0"/>
    <w:rsid w:val="00061E80"/>
    <w:rsid w:val="00062CE7"/>
    <w:rsid w:val="00064C4B"/>
    <w:rsid w:val="000654BF"/>
    <w:rsid w:val="000657DE"/>
    <w:rsid w:val="00065872"/>
    <w:rsid w:val="000659CC"/>
    <w:rsid w:val="00065D96"/>
    <w:rsid w:val="00066B76"/>
    <w:rsid w:val="00066EE6"/>
    <w:rsid w:val="00067342"/>
    <w:rsid w:val="000677B8"/>
    <w:rsid w:val="00070CD2"/>
    <w:rsid w:val="00070D33"/>
    <w:rsid w:val="000716BD"/>
    <w:rsid w:val="00071DF1"/>
    <w:rsid w:val="00072120"/>
    <w:rsid w:val="00072AD6"/>
    <w:rsid w:val="00072DC2"/>
    <w:rsid w:val="000735D1"/>
    <w:rsid w:val="000740A6"/>
    <w:rsid w:val="0007454B"/>
    <w:rsid w:val="00074B4C"/>
    <w:rsid w:val="00074BD8"/>
    <w:rsid w:val="0007514A"/>
    <w:rsid w:val="00075207"/>
    <w:rsid w:val="000753C0"/>
    <w:rsid w:val="0007665E"/>
    <w:rsid w:val="00076B36"/>
    <w:rsid w:val="00077220"/>
    <w:rsid w:val="000775DC"/>
    <w:rsid w:val="000776A0"/>
    <w:rsid w:val="0007788D"/>
    <w:rsid w:val="0007796A"/>
    <w:rsid w:val="00077B3C"/>
    <w:rsid w:val="00077FC7"/>
    <w:rsid w:val="00080097"/>
    <w:rsid w:val="000808DA"/>
    <w:rsid w:val="000809C6"/>
    <w:rsid w:val="00080BE4"/>
    <w:rsid w:val="00080E6B"/>
    <w:rsid w:val="0008157D"/>
    <w:rsid w:val="00081B23"/>
    <w:rsid w:val="00083288"/>
    <w:rsid w:val="000836C4"/>
    <w:rsid w:val="000839D8"/>
    <w:rsid w:val="00083CC5"/>
    <w:rsid w:val="00084694"/>
    <w:rsid w:val="000846B0"/>
    <w:rsid w:val="000847DF"/>
    <w:rsid w:val="00085763"/>
    <w:rsid w:val="000857D8"/>
    <w:rsid w:val="00085B0C"/>
    <w:rsid w:val="00085CC9"/>
    <w:rsid w:val="00085CFD"/>
    <w:rsid w:val="00085D4D"/>
    <w:rsid w:val="00085E53"/>
    <w:rsid w:val="0008615F"/>
    <w:rsid w:val="00086345"/>
    <w:rsid w:val="000863B9"/>
    <w:rsid w:val="000906D2"/>
    <w:rsid w:val="00090846"/>
    <w:rsid w:val="00090BDF"/>
    <w:rsid w:val="00090C0E"/>
    <w:rsid w:val="00090FB5"/>
    <w:rsid w:val="0009175B"/>
    <w:rsid w:val="00091B1C"/>
    <w:rsid w:val="00092638"/>
    <w:rsid w:val="0009283B"/>
    <w:rsid w:val="000929B2"/>
    <w:rsid w:val="00092A9B"/>
    <w:rsid w:val="00092BF7"/>
    <w:rsid w:val="00092C3E"/>
    <w:rsid w:val="00092EAE"/>
    <w:rsid w:val="000930C5"/>
    <w:rsid w:val="00093B14"/>
    <w:rsid w:val="00093ED8"/>
    <w:rsid w:val="00094057"/>
    <w:rsid w:val="0009414D"/>
    <w:rsid w:val="000944AB"/>
    <w:rsid w:val="00094742"/>
    <w:rsid w:val="000947AD"/>
    <w:rsid w:val="0009486D"/>
    <w:rsid w:val="00094CB7"/>
    <w:rsid w:val="00095180"/>
    <w:rsid w:val="000953FB"/>
    <w:rsid w:val="000957C5"/>
    <w:rsid w:val="000962E0"/>
    <w:rsid w:val="000963F9"/>
    <w:rsid w:val="00096645"/>
    <w:rsid w:val="00096850"/>
    <w:rsid w:val="00096ABB"/>
    <w:rsid w:val="000972FB"/>
    <w:rsid w:val="00097427"/>
    <w:rsid w:val="00097AB4"/>
    <w:rsid w:val="000A02FE"/>
    <w:rsid w:val="000A0347"/>
    <w:rsid w:val="000A05FD"/>
    <w:rsid w:val="000A0C2B"/>
    <w:rsid w:val="000A0C60"/>
    <w:rsid w:val="000A1A8F"/>
    <w:rsid w:val="000A2A33"/>
    <w:rsid w:val="000A3636"/>
    <w:rsid w:val="000A3B84"/>
    <w:rsid w:val="000A3F57"/>
    <w:rsid w:val="000A41B2"/>
    <w:rsid w:val="000A45F4"/>
    <w:rsid w:val="000A6410"/>
    <w:rsid w:val="000A6907"/>
    <w:rsid w:val="000A7153"/>
    <w:rsid w:val="000A760B"/>
    <w:rsid w:val="000A79A4"/>
    <w:rsid w:val="000A79CC"/>
    <w:rsid w:val="000A7B81"/>
    <w:rsid w:val="000B026D"/>
    <w:rsid w:val="000B0B8D"/>
    <w:rsid w:val="000B11CE"/>
    <w:rsid w:val="000B1A06"/>
    <w:rsid w:val="000B1D9A"/>
    <w:rsid w:val="000B2600"/>
    <w:rsid w:val="000B332C"/>
    <w:rsid w:val="000B3685"/>
    <w:rsid w:val="000B4035"/>
    <w:rsid w:val="000B4051"/>
    <w:rsid w:val="000B4449"/>
    <w:rsid w:val="000B4776"/>
    <w:rsid w:val="000B4F72"/>
    <w:rsid w:val="000B5029"/>
    <w:rsid w:val="000B6E2E"/>
    <w:rsid w:val="000B70A7"/>
    <w:rsid w:val="000B7EC8"/>
    <w:rsid w:val="000C009A"/>
    <w:rsid w:val="000C0389"/>
    <w:rsid w:val="000C0DFD"/>
    <w:rsid w:val="000C1AA1"/>
    <w:rsid w:val="000C1DB0"/>
    <w:rsid w:val="000C234E"/>
    <w:rsid w:val="000C3383"/>
    <w:rsid w:val="000C4549"/>
    <w:rsid w:val="000C468A"/>
    <w:rsid w:val="000C47DF"/>
    <w:rsid w:val="000C486E"/>
    <w:rsid w:val="000C5053"/>
    <w:rsid w:val="000C54C1"/>
    <w:rsid w:val="000C5859"/>
    <w:rsid w:val="000C66D2"/>
    <w:rsid w:val="000C6F7C"/>
    <w:rsid w:val="000C71BD"/>
    <w:rsid w:val="000C7284"/>
    <w:rsid w:val="000C773F"/>
    <w:rsid w:val="000C7974"/>
    <w:rsid w:val="000C7AFE"/>
    <w:rsid w:val="000D00CD"/>
    <w:rsid w:val="000D024B"/>
    <w:rsid w:val="000D02AC"/>
    <w:rsid w:val="000D0DB8"/>
    <w:rsid w:val="000D16FD"/>
    <w:rsid w:val="000D1810"/>
    <w:rsid w:val="000D1F0F"/>
    <w:rsid w:val="000D339F"/>
    <w:rsid w:val="000D3FEF"/>
    <w:rsid w:val="000D49AF"/>
    <w:rsid w:val="000D49CC"/>
    <w:rsid w:val="000D4A9C"/>
    <w:rsid w:val="000D6088"/>
    <w:rsid w:val="000D6102"/>
    <w:rsid w:val="000D6174"/>
    <w:rsid w:val="000D6CD4"/>
    <w:rsid w:val="000D70E2"/>
    <w:rsid w:val="000D7768"/>
    <w:rsid w:val="000D77D0"/>
    <w:rsid w:val="000D7CF8"/>
    <w:rsid w:val="000E0246"/>
    <w:rsid w:val="000E0865"/>
    <w:rsid w:val="000E0BA7"/>
    <w:rsid w:val="000E14CF"/>
    <w:rsid w:val="000E1512"/>
    <w:rsid w:val="000E1BE5"/>
    <w:rsid w:val="000E28FC"/>
    <w:rsid w:val="000E2B13"/>
    <w:rsid w:val="000E2E4A"/>
    <w:rsid w:val="000E30EC"/>
    <w:rsid w:val="000E3625"/>
    <w:rsid w:val="000E3BAC"/>
    <w:rsid w:val="000E3C16"/>
    <w:rsid w:val="000E41B7"/>
    <w:rsid w:val="000E4328"/>
    <w:rsid w:val="000E605D"/>
    <w:rsid w:val="000E67A4"/>
    <w:rsid w:val="000E67A5"/>
    <w:rsid w:val="000E6B6F"/>
    <w:rsid w:val="000E6D71"/>
    <w:rsid w:val="000E6E1D"/>
    <w:rsid w:val="000E727A"/>
    <w:rsid w:val="000E739F"/>
    <w:rsid w:val="000E7C0C"/>
    <w:rsid w:val="000E7C2C"/>
    <w:rsid w:val="000F066E"/>
    <w:rsid w:val="000F0898"/>
    <w:rsid w:val="000F090F"/>
    <w:rsid w:val="000F096F"/>
    <w:rsid w:val="000F12D3"/>
    <w:rsid w:val="000F13E4"/>
    <w:rsid w:val="000F141A"/>
    <w:rsid w:val="000F22CF"/>
    <w:rsid w:val="000F2742"/>
    <w:rsid w:val="000F2877"/>
    <w:rsid w:val="000F28B8"/>
    <w:rsid w:val="000F30FE"/>
    <w:rsid w:val="000F33F7"/>
    <w:rsid w:val="000F4D26"/>
    <w:rsid w:val="000F5437"/>
    <w:rsid w:val="000F5ED8"/>
    <w:rsid w:val="000F5FB8"/>
    <w:rsid w:val="000F6D15"/>
    <w:rsid w:val="000F6D9F"/>
    <w:rsid w:val="00100047"/>
    <w:rsid w:val="001010D0"/>
    <w:rsid w:val="001024B8"/>
    <w:rsid w:val="00102538"/>
    <w:rsid w:val="0010259E"/>
    <w:rsid w:val="0010260A"/>
    <w:rsid w:val="00102862"/>
    <w:rsid w:val="0010287C"/>
    <w:rsid w:val="00102ECA"/>
    <w:rsid w:val="00103628"/>
    <w:rsid w:val="001038BC"/>
    <w:rsid w:val="001040A6"/>
    <w:rsid w:val="00104AD3"/>
    <w:rsid w:val="00105377"/>
    <w:rsid w:val="00105ADA"/>
    <w:rsid w:val="00105B1A"/>
    <w:rsid w:val="00105DBD"/>
    <w:rsid w:val="00105E3E"/>
    <w:rsid w:val="001063D8"/>
    <w:rsid w:val="00106BC7"/>
    <w:rsid w:val="00107164"/>
    <w:rsid w:val="0010781F"/>
    <w:rsid w:val="001101C4"/>
    <w:rsid w:val="0011034A"/>
    <w:rsid w:val="0011077A"/>
    <w:rsid w:val="00110A85"/>
    <w:rsid w:val="0011124E"/>
    <w:rsid w:val="0011138E"/>
    <w:rsid w:val="00113143"/>
    <w:rsid w:val="00113566"/>
    <w:rsid w:val="00113A26"/>
    <w:rsid w:val="00115409"/>
    <w:rsid w:val="0011561F"/>
    <w:rsid w:val="00116306"/>
    <w:rsid w:val="001169CD"/>
    <w:rsid w:val="00116C77"/>
    <w:rsid w:val="00120025"/>
    <w:rsid w:val="00120CD9"/>
    <w:rsid w:val="001215C7"/>
    <w:rsid w:val="001215FD"/>
    <w:rsid w:val="00121751"/>
    <w:rsid w:val="00122090"/>
    <w:rsid w:val="001220EE"/>
    <w:rsid w:val="0012236F"/>
    <w:rsid w:val="00122B32"/>
    <w:rsid w:val="00122C39"/>
    <w:rsid w:val="00122FD4"/>
    <w:rsid w:val="00123253"/>
    <w:rsid w:val="00123589"/>
    <w:rsid w:val="00124018"/>
    <w:rsid w:val="001241F8"/>
    <w:rsid w:val="00124219"/>
    <w:rsid w:val="001249FE"/>
    <w:rsid w:val="001253B3"/>
    <w:rsid w:val="001254CF"/>
    <w:rsid w:val="00125C70"/>
    <w:rsid w:val="00125D43"/>
    <w:rsid w:val="00125FA8"/>
    <w:rsid w:val="00126346"/>
    <w:rsid w:val="00126518"/>
    <w:rsid w:val="00126836"/>
    <w:rsid w:val="00126D86"/>
    <w:rsid w:val="00127589"/>
    <w:rsid w:val="00127C73"/>
    <w:rsid w:val="00127E22"/>
    <w:rsid w:val="001301CF"/>
    <w:rsid w:val="0013065C"/>
    <w:rsid w:val="00130922"/>
    <w:rsid w:val="00130DB9"/>
    <w:rsid w:val="00130EF5"/>
    <w:rsid w:val="00131919"/>
    <w:rsid w:val="00131A07"/>
    <w:rsid w:val="00131BCB"/>
    <w:rsid w:val="00131E9A"/>
    <w:rsid w:val="001333C2"/>
    <w:rsid w:val="001333F8"/>
    <w:rsid w:val="001336AB"/>
    <w:rsid w:val="0013395F"/>
    <w:rsid w:val="00133D6B"/>
    <w:rsid w:val="00134723"/>
    <w:rsid w:val="0013484C"/>
    <w:rsid w:val="00134ACE"/>
    <w:rsid w:val="00134AEF"/>
    <w:rsid w:val="001350A3"/>
    <w:rsid w:val="001360F6"/>
    <w:rsid w:val="0013632C"/>
    <w:rsid w:val="00136636"/>
    <w:rsid w:val="0013684F"/>
    <w:rsid w:val="00136E3B"/>
    <w:rsid w:val="00137455"/>
    <w:rsid w:val="0013796D"/>
    <w:rsid w:val="0013796E"/>
    <w:rsid w:val="00140288"/>
    <w:rsid w:val="001402AC"/>
    <w:rsid w:val="001404B9"/>
    <w:rsid w:val="001404EA"/>
    <w:rsid w:val="00140C55"/>
    <w:rsid w:val="00141174"/>
    <w:rsid w:val="0014119E"/>
    <w:rsid w:val="001413FC"/>
    <w:rsid w:val="00142A29"/>
    <w:rsid w:val="00142A59"/>
    <w:rsid w:val="001430AA"/>
    <w:rsid w:val="001431E2"/>
    <w:rsid w:val="00143AED"/>
    <w:rsid w:val="00143CDA"/>
    <w:rsid w:val="00143D26"/>
    <w:rsid w:val="0014418C"/>
    <w:rsid w:val="00145087"/>
    <w:rsid w:val="001455A7"/>
    <w:rsid w:val="0014575A"/>
    <w:rsid w:val="00145765"/>
    <w:rsid w:val="00145902"/>
    <w:rsid w:val="00145B7C"/>
    <w:rsid w:val="00145C6D"/>
    <w:rsid w:val="00145D88"/>
    <w:rsid w:val="00145DB8"/>
    <w:rsid w:val="001469B3"/>
    <w:rsid w:val="00146E92"/>
    <w:rsid w:val="0014704F"/>
    <w:rsid w:val="00147205"/>
    <w:rsid w:val="001478F7"/>
    <w:rsid w:val="00147A9B"/>
    <w:rsid w:val="00150416"/>
    <w:rsid w:val="00150568"/>
    <w:rsid w:val="001508B7"/>
    <w:rsid w:val="00151101"/>
    <w:rsid w:val="00151BD8"/>
    <w:rsid w:val="00151E29"/>
    <w:rsid w:val="00152378"/>
    <w:rsid w:val="001523D3"/>
    <w:rsid w:val="00152CEA"/>
    <w:rsid w:val="00152F47"/>
    <w:rsid w:val="001531FF"/>
    <w:rsid w:val="00153DAE"/>
    <w:rsid w:val="00154073"/>
    <w:rsid w:val="0015425E"/>
    <w:rsid w:val="00154A55"/>
    <w:rsid w:val="00154D7C"/>
    <w:rsid w:val="0015539F"/>
    <w:rsid w:val="0015584D"/>
    <w:rsid w:val="00155AE5"/>
    <w:rsid w:val="00155B1A"/>
    <w:rsid w:val="00155CF8"/>
    <w:rsid w:val="00155FAB"/>
    <w:rsid w:val="00156237"/>
    <w:rsid w:val="0015623C"/>
    <w:rsid w:val="00156378"/>
    <w:rsid w:val="001569EC"/>
    <w:rsid w:val="00156C68"/>
    <w:rsid w:val="00156CBB"/>
    <w:rsid w:val="00156CCE"/>
    <w:rsid w:val="00156D64"/>
    <w:rsid w:val="001572EF"/>
    <w:rsid w:val="00157A10"/>
    <w:rsid w:val="00157F60"/>
    <w:rsid w:val="00157F91"/>
    <w:rsid w:val="001600AD"/>
    <w:rsid w:val="001602F6"/>
    <w:rsid w:val="001602F8"/>
    <w:rsid w:val="00160587"/>
    <w:rsid w:val="00160846"/>
    <w:rsid w:val="00161AA3"/>
    <w:rsid w:val="00161BED"/>
    <w:rsid w:val="0016216B"/>
    <w:rsid w:val="00163F7E"/>
    <w:rsid w:val="001659F1"/>
    <w:rsid w:val="00165C87"/>
    <w:rsid w:val="001660DB"/>
    <w:rsid w:val="001661B1"/>
    <w:rsid w:val="00167659"/>
    <w:rsid w:val="00167F2D"/>
    <w:rsid w:val="00170F35"/>
    <w:rsid w:val="0017101C"/>
    <w:rsid w:val="00171D14"/>
    <w:rsid w:val="00171D69"/>
    <w:rsid w:val="001720CD"/>
    <w:rsid w:val="001721FF"/>
    <w:rsid w:val="001739BD"/>
    <w:rsid w:val="001746B0"/>
    <w:rsid w:val="00174799"/>
    <w:rsid w:val="00174A3D"/>
    <w:rsid w:val="001755A2"/>
    <w:rsid w:val="00176335"/>
    <w:rsid w:val="001765AC"/>
    <w:rsid w:val="0017676F"/>
    <w:rsid w:val="00176BFB"/>
    <w:rsid w:val="00176F5B"/>
    <w:rsid w:val="00177828"/>
    <w:rsid w:val="00181DED"/>
    <w:rsid w:val="00182044"/>
    <w:rsid w:val="00182049"/>
    <w:rsid w:val="00182E44"/>
    <w:rsid w:val="001830A9"/>
    <w:rsid w:val="001831B0"/>
    <w:rsid w:val="001832D4"/>
    <w:rsid w:val="00183387"/>
    <w:rsid w:val="0018412E"/>
    <w:rsid w:val="00185206"/>
    <w:rsid w:val="00185777"/>
    <w:rsid w:val="001859B0"/>
    <w:rsid w:val="00185C00"/>
    <w:rsid w:val="00185C20"/>
    <w:rsid w:val="0018604C"/>
    <w:rsid w:val="00186371"/>
    <w:rsid w:val="00186879"/>
    <w:rsid w:val="00187762"/>
    <w:rsid w:val="00187993"/>
    <w:rsid w:val="0019064D"/>
    <w:rsid w:val="00190ECF"/>
    <w:rsid w:val="00191A01"/>
    <w:rsid w:val="00191B19"/>
    <w:rsid w:val="00191BF9"/>
    <w:rsid w:val="00192A9C"/>
    <w:rsid w:val="00192B3A"/>
    <w:rsid w:val="00192C2A"/>
    <w:rsid w:val="00192D45"/>
    <w:rsid w:val="00192E24"/>
    <w:rsid w:val="00193642"/>
    <w:rsid w:val="00194874"/>
    <w:rsid w:val="001954F2"/>
    <w:rsid w:val="00197D2D"/>
    <w:rsid w:val="00197D7B"/>
    <w:rsid w:val="001A03C7"/>
    <w:rsid w:val="001A0679"/>
    <w:rsid w:val="001A1180"/>
    <w:rsid w:val="001A1C76"/>
    <w:rsid w:val="001A227A"/>
    <w:rsid w:val="001A3010"/>
    <w:rsid w:val="001A3217"/>
    <w:rsid w:val="001A3731"/>
    <w:rsid w:val="001A39FC"/>
    <w:rsid w:val="001A3B82"/>
    <w:rsid w:val="001A475C"/>
    <w:rsid w:val="001A4C40"/>
    <w:rsid w:val="001A55E6"/>
    <w:rsid w:val="001A6349"/>
    <w:rsid w:val="001A6910"/>
    <w:rsid w:val="001A7978"/>
    <w:rsid w:val="001A7FB0"/>
    <w:rsid w:val="001B03AF"/>
    <w:rsid w:val="001B0EFA"/>
    <w:rsid w:val="001B11B0"/>
    <w:rsid w:val="001B1745"/>
    <w:rsid w:val="001B1A19"/>
    <w:rsid w:val="001B2099"/>
    <w:rsid w:val="001B244C"/>
    <w:rsid w:val="001B2730"/>
    <w:rsid w:val="001B2A25"/>
    <w:rsid w:val="001B2F19"/>
    <w:rsid w:val="001B36CB"/>
    <w:rsid w:val="001B40AB"/>
    <w:rsid w:val="001B4D46"/>
    <w:rsid w:val="001B5740"/>
    <w:rsid w:val="001B5A7C"/>
    <w:rsid w:val="001B5ECE"/>
    <w:rsid w:val="001B60C3"/>
    <w:rsid w:val="001B69C8"/>
    <w:rsid w:val="001B6A56"/>
    <w:rsid w:val="001C02D9"/>
    <w:rsid w:val="001C097B"/>
    <w:rsid w:val="001C17DA"/>
    <w:rsid w:val="001C226B"/>
    <w:rsid w:val="001C2D17"/>
    <w:rsid w:val="001C403D"/>
    <w:rsid w:val="001C4045"/>
    <w:rsid w:val="001C4153"/>
    <w:rsid w:val="001C452A"/>
    <w:rsid w:val="001C466D"/>
    <w:rsid w:val="001C489D"/>
    <w:rsid w:val="001C4CD3"/>
    <w:rsid w:val="001C675B"/>
    <w:rsid w:val="001C68EF"/>
    <w:rsid w:val="001C68FC"/>
    <w:rsid w:val="001C71B2"/>
    <w:rsid w:val="001C7496"/>
    <w:rsid w:val="001C7F90"/>
    <w:rsid w:val="001D0ED2"/>
    <w:rsid w:val="001D23BB"/>
    <w:rsid w:val="001D26DF"/>
    <w:rsid w:val="001D2708"/>
    <w:rsid w:val="001D2F12"/>
    <w:rsid w:val="001D306F"/>
    <w:rsid w:val="001D344E"/>
    <w:rsid w:val="001D3AC8"/>
    <w:rsid w:val="001D47C0"/>
    <w:rsid w:val="001D4D8D"/>
    <w:rsid w:val="001D50E3"/>
    <w:rsid w:val="001D60C3"/>
    <w:rsid w:val="001D6529"/>
    <w:rsid w:val="001D6931"/>
    <w:rsid w:val="001D6986"/>
    <w:rsid w:val="001D6AFB"/>
    <w:rsid w:val="001D728C"/>
    <w:rsid w:val="001D72B4"/>
    <w:rsid w:val="001D73D4"/>
    <w:rsid w:val="001E01A3"/>
    <w:rsid w:val="001E0C13"/>
    <w:rsid w:val="001E0D2A"/>
    <w:rsid w:val="001E0E24"/>
    <w:rsid w:val="001E1A10"/>
    <w:rsid w:val="001E1F49"/>
    <w:rsid w:val="001E2C7D"/>
    <w:rsid w:val="001E2E8F"/>
    <w:rsid w:val="001E3435"/>
    <w:rsid w:val="001E477E"/>
    <w:rsid w:val="001E4BBA"/>
    <w:rsid w:val="001E5028"/>
    <w:rsid w:val="001E5DB5"/>
    <w:rsid w:val="001E648A"/>
    <w:rsid w:val="001E731D"/>
    <w:rsid w:val="001F030A"/>
    <w:rsid w:val="001F1548"/>
    <w:rsid w:val="001F15E5"/>
    <w:rsid w:val="001F16A3"/>
    <w:rsid w:val="001F2139"/>
    <w:rsid w:val="001F2BC8"/>
    <w:rsid w:val="001F31D0"/>
    <w:rsid w:val="001F39D9"/>
    <w:rsid w:val="001F3D41"/>
    <w:rsid w:val="001F3EE4"/>
    <w:rsid w:val="001F434B"/>
    <w:rsid w:val="001F4377"/>
    <w:rsid w:val="001F46A2"/>
    <w:rsid w:val="001F4D90"/>
    <w:rsid w:val="001F51EF"/>
    <w:rsid w:val="001F5D9F"/>
    <w:rsid w:val="001F5FB9"/>
    <w:rsid w:val="001F60EB"/>
    <w:rsid w:val="001F659B"/>
    <w:rsid w:val="001F660F"/>
    <w:rsid w:val="001F670B"/>
    <w:rsid w:val="001F6E1D"/>
    <w:rsid w:val="001F73C1"/>
    <w:rsid w:val="001F74E1"/>
    <w:rsid w:val="001F752B"/>
    <w:rsid w:val="001F7654"/>
    <w:rsid w:val="001F7693"/>
    <w:rsid w:val="001F769A"/>
    <w:rsid w:val="001F7DDD"/>
    <w:rsid w:val="001F7E7B"/>
    <w:rsid w:val="00200229"/>
    <w:rsid w:val="002003EC"/>
    <w:rsid w:val="00200D61"/>
    <w:rsid w:val="00201289"/>
    <w:rsid w:val="0020137E"/>
    <w:rsid w:val="00201887"/>
    <w:rsid w:val="00201AEC"/>
    <w:rsid w:val="00202FC5"/>
    <w:rsid w:val="0020346F"/>
    <w:rsid w:val="00204A96"/>
    <w:rsid w:val="00205670"/>
    <w:rsid w:val="0020581C"/>
    <w:rsid w:val="00205F64"/>
    <w:rsid w:val="00206208"/>
    <w:rsid w:val="0020625C"/>
    <w:rsid w:val="00206820"/>
    <w:rsid w:val="00206879"/>
    <w:rsid w:val="00206C0D"/>
    <w:rsid w:val="00207396"/>
    <w:rsid w:val="0020740C"/>
    <w:rsid w:val="00207707"/>
    <w:rsid w:val="002077F7"/>
    <w:rsid w:val="00211B12"/>
    <w:rsid w:val="00211F0E"/>
    <w:rsid w:val="00212335"/>
    <w:rsid w:val="00212358"/>
    <w:rsid w:val="00212865"/>
    <w:rsid w:val="0021293A"/>
    <w:rsid w:val="00212A05"/>
    <w:rsid w:val="00212BC1"/>
    <w:rsid w:val="002137C5"/>
    <w:rsid w:val="002142E6"/>
    <w:rsid w:val="00215220"/>
    <w:rsid w:val="002161E0"/>
    <w:rsid w:val="00216A4D"/>
    <w:rsid w:val="00216F2C"/>
    <w:rsid w:val="00217194"/>
    <w:rsid w:val="0021745D"/>
    <w:rsid w:val="002178DA"/>
    <w:rsid w:val="00217F3E"/>
    <w:rsid w:val="00220043"/>
    <w:rsid w:val="00220AFE"/>
    <w:rsid w:val="00220D82"/>
    <w:rsid w:val="00221C9B"/>
    <w:rsid w:val="0022220A"/>
    <w:rsid w:val="0022295B"/>
    <w:rsid w:val="00222E16"/>
    <w:rsid w:val="002231C2"/>
    <w:rsid w:val="00223242"/>
    <w:rsid w:val="00223D0B"/>
    <w:rsid w:val="00223D80"/>
    <w:rsid w:val="002242D0"/>
    <w:rsid w:val="00224513"/>
    <w:rsid w:val="00224BDC"/>
    <w:rsid w:val="0022525A"/>
    <w:rsid w:val="00225304"/>
    <w:rsid w:val="002256F7"/>
    <w:rsid w:val="002262CA"/>
    <w:rsid w:val="002270B8"/>
    <w:rsid w:val="0022770C"/>
    <w:rsid w:val="00230052"/>
    <w:rsid w:val="00230938"/>
    <w:rsid w:val="0023261C"/>
    <w:rsid w:val="0023305F"/>
    <w:rsid w:val="0023307B"/>
    <w:rsid w:val="00233501"/>
    <w:rsid w:val="002337C8"/>
    <w:rsid w:val="00233EBB"/>
    <w:rsid w:val="0023408B"/>
    <w:rsid w:val="00234CDB"/>
    <w:rsid w:val="002354A1"/>
    <w:rsid w:val="002357C8"/>
    <w:rsid w:val="0023590C"/>
    <w:rsid w:val="002362BD"/>
    <w:rsid w:val="00236350"/>
    <w:rsid w:val="0023702E"/>
    <w:rsid w:val="00237044"/>
    <w:rsid w:val="00237A64"/>
    <w:rsid w:val="00237FAE"/>
    <w:rsid w:val="002404C7"/>
    <w:rsid w:val="00240A71"/>
    <w:rsid w:val="00240DD9"/>
    <w:rsid w:val="00241F13"/>
    <w:rsid w:val="002424A6"/>
    <w:rsid w:val="00242945"/>
    <w:rsid w:val="0024353C"/>
    <w:rsid w:val="00243691"/>
    <w:rsid w:val="00243863"/>
    <w:rsid w:val="002443DF"/>
    <w:rsid w:val="00244666"/>
    <w:rsid w:val="00244A99"/>
    <w:rsid w:val="00244C48"/>
    <w:rsid w:val="00244D51"/>
    <w:rsid w:val="002459B8"/>
    <w:rsid w:val="00245B40"/>
    <w:rsid w:val="00246758"/>
    <w:rsid w:val="00246D05"/>
    <w:rsid w:val="00246D64"/>
    <w:rsid w:val="002502AB"/>
    <w:rsid w:val="0025139D"/>
    <w:rsid w:val="00252109"/>
    <w:rsid w:val="002525DE"/>
    <w:rsid w:val="00252E2B"/>
    <w:rsid w:val="00253705"/>
    <w:rsid w:val="00253BB5"/>
    <w:rsid w:val="00254CA1"/>
    <w:rsid w:val="0025559B"/>
    <w:rsid w:val="0025576E"/>
    <w:rsid w:val="00255785"/>
    <w:rsid w:val="00255E3C"/>
    <w:rsid w:val="002564F4"/>
    <w:rsid w:val="00256ED8"/>
    <w:rsid w:val="002571AE"/>
    <w:rsid w:val="00257996"/>
    <w:rsid w:val="00260193"/>
    <w:rsid w:val="0026043E"/>
    <w:rsid w:val="002611C3"/>
    <w:rsid w:val="00261255"/>
    <w:rsid w:val="002625AD"/>
    <w:rsid w:val="002626DF"/>
    <w:rsid w:val="0026300F"/>
    <w:rsid w:val="0026302F"/>
    <w:rsid w:val="00263453"/>
    <w:rsid w:val="002639BE"/>
    <w:rsid w:val="002649ED"/>
    <w:rsid w:val="00264FE9"/>
    <w:rsid w:val="002661F0"/>
    <w:rsid w:val="0026645A"/>
    <w:rsid w:val="00266E98"/>
    <w:rsid w:val="00266EDB"/>
    <w:rsid w:val="00266F18"/>
    <w:rsid w:val="0027028C"/>
    <w:rsid w:val="002704B0"/>
    <w:rsid w:val="002707F5"/>
    <w:rsid w:val="002708EF"/>
    <w:rsid w:val="00271427"/>
    <w:rsid w:val="00271525"/>
    <w:rsid w:val="00271548"/>
    <w:rsid w:val="00272091"/>
    <w:rsid w:val="002720AD"/>
    <w:rsid w:val="002725AF"/>
    <w:rsid w:val="002727D8"/>
    <w:rsid w:val="0027323C"/>
    <w:rsid w:val="0027491F"/>
    <w:rsid w:val="00275579"/>
    <w:rsid w:val="00275AA4"/>
    <w:rsid w:val="00276514"/>
    <w:rsid w:val="002773EA"/>
    <w:rsid w:val="00277C4D"/>
    <w:rsid w:val="00280096"/>
    <w:rsid w:val="0028040E"/>
    <w:rsid w:val="00280FFE"/>
    <w:rsid w:val="002810AF"/>
    <w:rsid w:val="002813ED"/>
    <w:rsid w:val="00281452"/>
    <w:rsid w:val="00281938"/>
    <w:rsid w:val="00281BBC"/>
    <w:rsid w:val="00281ECF"/>
    <w:rsid w:val="0028255C"/>
    <w:rsid w:val="002829F3"/>
    <w:rsid w:val="00282AD3"/>
    <w:rsid w:val="00282AF5"/>
    <w:rsid w:val="00282E73"/>
    <w:rsid w:val="002832F6"/>
    <w:rsid w:val="00283456"/>
    <w:rsid w:val="00283476"/>
    <w:rsid w:val="002836C5"/>
    <w:rsid w:val="00284D1D"/>
    <w:rsid w:val="00285993"/>
    <w:rsid w:val="002859C8"/>
    <w:rsid w:val="00285E87"/>
    <w:rsid w:val="0028656B"/>
    <w:rsid w:val="002868FE"/>
    <w:rsid w:val="00286FA1"/>
    <w:rsid w:val="002870DF"/>
    <w:rsid w:val="0028723D"/>
    <w:rsid w:val="00287BD2"/>
    <w:rsid w:val="00290C86"/>
    <w:rsid w:val="002910D7"/>
    <w:rsid w:val="0029187F"/>
    <w:rsid w:val="00291953"/>
    <w:rsid w:val="002919DB"/>
    <w:rsid w:val="00291BAA"/>
    <w:rsid w:val="00292627"/>
    <w:rsid w:val="00292F45"/>
    <w:rsid w:val="00293A8D"/>
    <w:rsid w:val="002947AE"/>
    <w:rsid w:val="00294871"/>
    <w:rsid w:val="0029540D"/>
    <w:rsid w:val="00295AD0"/>
    <w:rsid w:val="00295F87"/>
    <w:rsid w:val="002965A3"/>
    <w:rsid w:val="00296F84"/>
    <w:rsid w:val="002A00E5"/>
    <w:rsid w:val="002A034A"/>
    <w:rsid w:val="002A06E3"/>
    <w:rsid w:val="002A164C"/>
    <w:rsid w:val="002A1814"/>
    <w:rsid w:val="002A2C1F"/>
    <w:rsid w:val="002A3341"/>
    <w:rsid w:val="002A3D23"/>
    <w:rsid w:val="002A411B"/>
    <w:rsid w:val="002A4752"/>
    <w:rsid w:val="002A48EC"/>
    <w:rsid w:val="002A4A1D"/>
    <w:rsid w:val="002A4A3C"/>
    <w:rsid w:val="002A501A"/>
    <w:rsid w:val="002A52B3"/>
    <w:rsid w:val="002A5A51"/>
    <w:rsid w:val="002A5BD0"/>
    <w:rsid w:val="002A6EA2"/>
    <w:rsid w:val="002A7550"/>
    <w:rsid w:val="002A75D7"/>
    <w:rsid w:val="002A7C80"/>
    <w:rsid w:val="002B0682"/>
    <w:rsid w:val="002B0BFA"/>
    <w:rsid w:val="002B0D94"/>
    <w:rsid w:val="002B0E21"/>
    <w:rsid w:val="002B1E0A"/>
    <w:rsid w:val="002B1E3D"/>
    <w:rsid w:val="002B2166"/>
    <w:rsid w:val="002B2315"/>
    <w:rsid w:val="002B28F3"/>
    <w:rsid w:val="002B31AA"/>
    <w:rsid w:val="002B353B"/>
    <w:rsid w:val="002B3558"/>
    <w:rsid w:val="002B38E6"/>
    <w:rsid w:val="002B3E28"/>
    <w:rsid w:val="002B4523"/>
    <w:rsid w:val="002B4F04"/>
    <w:rsid w:val="002B4F40"/>
    <w:rsid w:val="002B53E6"/>
    <w:rsid w:val="002B6404"/>
    <w:rsid w:val="002B76B4"/>
    <w:rsid w:val="002B7CF7"/>
    <w:rsid w:val="002C003B"/>
    <w:rsid w:val="002C052B"/>
    <w:rsid w:val="002C05F0"/>
    <w:rsid w:val="002C06E4"/>
    <w:rsid w:val="002C1218"/>
    <w:rsid w:val="002C12BA"/>
    <w:rsid w:val="002C196D"/>
    <w:rsid w:val="002C1D81"/>
    <w:rsid w:val="002C2780"/>
    <w:rsid w:val="002C2FBB"/>
    <w:rsid w:val="002C422B"/>
    <w:rsid w:val="002C4F69"/>
    <w:rsid w:val="002C5027"/>
    <w:rsid w:val="002C5A4F"/>
    <w:rsid w:val="002C5BE8"/>
    <w:rsid w:val="002C5DFB"/>
    <w:rsid w:val="002C5FA2"/>
    <w:rsid w:val="002C6609"/>
    <w:rsid w:val="002C67F4"/>
    <w:rsid w:val="002C6933"/>
    <w:rsid w:val="002C6B4A"/>
    <w:rsid w:val="002C7408"/>
    <w:rsid w:val="002C7C7C"/>
    <w:rsid w:val="002C7D82"/>
    <w:rsid w:val="002C7FB3"/>
    <w:rsid w:val="002D1560"/>
    <w:rsid w:val="002D183A"/>
    <w:rsid w:val="002D1F08"/>
    <w:rsid w:val="002D391D"/>
    <w:rsid w:val="002D392B"/>
    <w:rsid w:val="002D400E"/>
    <w:rsid w:val="002D411E"/>
    <w:rsid w:val="002D456E"/>
    <w:rsid w:val="002D4703"/>
    <w:rsid w:val="002D485B"/>
    <w:rsid w:val="002D4AF2"/>
    <w:rsid w:val="002D4F3B"/>
    <w:rsid w:val="002D5B1C"/>
    <w:rsid w:val="002D5BA4"/>
    <w:rsid w:val="002D5EBF"/>
    <w:rsid w:val="002D63CF"/>
    <w:rsid w:val="002D661E"/>
    <w:rsid w:val="002D6DB5"/>
    <w:rsid w:val="002D7334"/>
    <w:rsid w:val="002D7483"/>
    <w:rsid w:val="002E043B"/>
    <w:rsid w:val="002E0631"/>
    <w:rsid w:val="002E0D84"/>
    <w:rsid w:val="002E15C1"/>
    <w:rsid w:val="002E20A3"/>
    <w:rsid w:val="002E241A"/>
    <w:rsid w:val="002E2752"/>
    <w:rsid w:val="002E306C"/>
    <w:rsid w:val="002E3357"/>
    <w:rsid w:val="002E3917"/>
    <w:rsid w:val="002E40EC"/>
    <w:rsid w:val="002E42A1"/>
    <w:rsid w:val="002E47D6"/>
    <w:rsid w:val="002E4E63"/>
    <w:rsid w:val="002E4F1F"/>
    <w:rsid w:val="002E5379"/>
    <w:rsid w:val="002E5426"/>
    <w:rsid w:val="002E594F"/>
    <w:rsid w:val="002E656D"/>
    <w:rsid w:val="002E7D8F"/>
    <w:rsid w:val="002F0699"/>
    <w:rsid w:val="002F0CB0"/>
    <w:rsid w:val="002F1576"/>
    <w:rsid w:val="002F1FA1"/>
    <w:rsid w:val="002F206A"/>
    <w:rsid w:val="002F342E"/>
    <w:rsid w:val="002F37E9"/>
    <w:rsid w:val="002F49A5"/>
    <w:rsid w:val="002F4C86"/>
    <w:rsid w:val="002F5112"/>
    <w:rsid w:val="002F65E8"/>
    <w:rsid w:val="002F66C8"/>
    <w:rsid w:val="002F6E22"/>
    <w:rsid w:val="002F6F16"/>
    <w:rsid w:val="002F74FA"/>
    <w:rsid w:val="002F75AB"/>
    <w:rsid w:val="002F79DA"/>
    <w:rsid w:val="002F7F19"/>
    <w:rsid w:val="00300757"/>
    <w:rsid w:val="00300C15"/>
    <w:rsid w:val="003012FB"/>
    <w:rsid w:val="00301984"/>
    <w:rsid w:val="00302067"/>
    <w:rsid w:val="00302686"/>
    <w:rsid w:val="0030288C"/>
    <w:rsid w:val="003029A0"/>
    <w:rsid w:val="00302B22"/>
    <w:rsid w:val="003030BC"/>
    <w:rsid w:val="00303975"/>
    <w:rsid w:val="00303BE8"/>
    <w:rsid w:val="00303C23"/>
    <w:rsid w:val="00304033"/>
    <w:rsid w:val="00304D7A"/>
    <w:rsid w:val="00304D80"/>
    <w:rsid w:val="00305272"/>
    <w:rsid w:val="003052BE"/>
    <w:rsid w:val="003059D4"/>
    <w:rsid w:val="00305B20"/>
    <w:rsid w:val="0030665B"/>
    <w:rsid w:val="00307140"/>
    <w:rsid w:val="00307926"/>
    <w:rsid w:val="00310109"/>
    <w:rsid w:val="003102F8"/>
    <w:rsid w:val="00310393"/>
    <w:rsid w:val="00310D65"/>
    <w:rsid w:val="003116FF"/>
    <w:rsid w:val="0031178F"/>
    <w:rsid w:val="0031189F"/>
    <w:rsid w:val="00311945"/>
    <w:rsid w:val="00311DF4"/>
    <w:rsid w:val="003125BF"/>
    <w:rsid w:val="003131A7"/>
    <w:rsid w:val="0031489F"/>
    <w:rsid w:val="003148E1"/>
    <w:rsid w:val="00314D14"/>
    <w:rsid w:val="003153BF"/>
    <w:rsid w:val="00315D66"/>
    <w:rsid w:val="00316116"/>
    <w:rsid w:val="00316809"/>
    <w:rsid w:val="00317A1C"/>
    <w:rsid w:val="003213E3"/>
    <w:rsid w:val="00321717"/>
    <w:rsid w:val="0032207B"/>
    <w:rsid w:val="0032331C"/>
    <w:rsid w:val="003235E9"/>
    <w:rsid w:val="0032476B"/>
    <w:rsid w:val="0032489A"/>
    <w:rsid w:val="00325218"/>
    <w:rsid w:val="0032696D"/>
    <w:rsid w:val="00326D4A"/>
    <w:rsid w:val="00327C7D"/>
    <w:rsid w:val="0033046D"/>
    <w:rsid w:val="003314A3"/>
    <w:rsid w:val="00331700"/>
    <w:rsid w:val="003317F4"/>
    <w:rsid w:val="00331D2B"/>
    <w:rsid w:val="00331E06"/>
    <w:rsid w:val="00332503"/>
    <w:rsid w:val="003325A1"/>
    <w:rsid w:val="00332958"/>
    <w:rsid w:val="00333BF1"/>
    <w:rsid w:val="003340A7"/>
    <w:rsid w:val="003340F4"/>
    <w:rsid w:val="00334836"/>
    <w:rsid w:val="00334E97"/>
    <w:rsid w:val="00334FE7"/>
    <w:rsid w:val="003369E2"/>
    <w:rsid w:val="00336F86"/>
    <w:rsid w:val="0034004C"/>
    <w:rsid w:val="00340726"/>
    <w:rsid w:val="0034089D"/>
    <w:rsid w:val="003409A8"/>
    <w:rsid w:val="003413A8"/>
    <w:rsid w:val="003427AF"/>
    <w:rsid w:val="003428A7"/>
    <w:rsid w:val="00342950"/>
    <w:rsid w:val="00342E19"/>
    <w:rsid w:val="00343097"/>
    <w:rsid w:val="00345416"/>
    <w:rsid w:val="003454E3"/>
    <w:rsid w:val="003456E8"/>
    <w:rsid w:val="00345830"/>
    <w:rsid w:val="00346306"/>
    <w:rsid w:val="00346A37"/>
    <w:rsid w:val="00346E02"/>
    <w:rsid w:val="00346FE9"/>
    <w:rsid w:val="0034710D"/>
    <w:rsid w:val="00347126"/>
    <w:rsid w:val="003477D6"/>
    <w:rsid w:val="00347D01"/>
    <w:rsid w:val="00350545"/>
    <w:rsid w:val="0035082B"/>
    <w:rsid w:val="00350DE2"/>
    <w:rsid w:val="00350F62"/>
    <w:rsid w:val="00351574"/>
    <w:rsid w:val="00351EE7"/>
    <w:rsid w:val="00352209"/>
    <w:rsid w:val="00352606"/>
    <w:rsid w:val="00352878"/>
    <w:rsid w:val="00353B56"/>
    <w:rsid w:val="003546BD"/>
    <w:rsid w:val="0035479E"/>
    <w:rsid w:val="00354943"/>
    <w:rsid w:val="00354A03"/>
    <w:rsid w:val="00355525"/>
    <w:rsid w:val="00355764"/>
    <w:rsid w:val="003562AB"/>
    <w:rsid w:val="003565B6"/>
    <w:rsid w:val="003566D8"/>
    <w:rsid w:val="00356C2C"/>
    <w:rsid w:val="00356C75"/>
    <w:rsid w:val="00356E0F"/>
    <w:rsid w:val="003571E7"/>
    <w:rsid w:val="00357518"/>
    <w:rsid w:val="0035797F"/>
    <w:rsid w:val="00357EAB"/>
    <w:rsid w:val="00360FCE"/>
    <w:rsid w:val="00361299"/>
    <w:rsid w:val="003618AB"/>
    <w:rsid w:val="003626F9"/>
    <w:rsid w:val="003634EA"/>
    <w:rsid w:val="00363B48"/>
    <w:rsid w:val="00363C40"/>
    <w:rsid w:val="003642E1"/>
    <w:rsid w:val="003647A6"/>
    <w:rsid w:val="003648F1"/>
    <w:rsid w:val="00364D43"/>
    <w:rsid w:val="00364E74"/>
    <w:rsid w:val="00365598"/>
    <w:rsid w:val="00365927"/>
    <w:rsid w:val="00366138"/>
    <w:rsid w:val="00366143"/>
    <w:rsid w:val="003662BC"/>
    <w:rsid w:val="00366458"/>
    <w:rsid w:val="00366ABF"/>
    <w:rsid w:val="003674EE"/>
    <w:rsid w:val="0036752D"/>
    <w:rsid w:val="00367932"/>
    <w:rsid w:val="00367E3E"/>
    <w:rsid w:val="003701C5"/>
    <w:rsid w:val="00370461"/>
    <w:rsid w:val="003707B1"/>
    <w:rsid w:val="00371724"/>
    <w:rsid w:val="00371C3B"/>
    <w:rsid w:val="00371F35"/>
    <w:rsid w:val="00371F8B"/>
    <w:rsid w:val="003722C1"/>
    <w:rsid w:val="00372EFC"/>
    <w:rsid w:val="003746ED"/>
    <w:rsid w:val="003748E1"/>
    <w:rsid w:val="003752C0"/>
    <w:rsid w:val="003757E5"/>
    <w:rsid w:val="00375F37"/>
    <w:rsid w:val="00376808"/>
    <w:rsid w:val="00376BC8"/>
    <w:rsid w:val="00376BDC"/>
    <w:rsid w:val="00376F0F"/>
    <w:rsid w:val="003770BE"/>
    <w:rsid w:val="00377147"/>
    <w:rsid w:val="00377780"/>
    <w:rsid w:val="0038075F"/>
    <w:rsid w:val="0038098E"/>
    <w:rsid w:val="00380A38"/>
    <w:rsid w:val="00381298"/>
    <w:rsid w:val="00381C03"/>
    <w:rsid w:val="00381E1F"/>
    <w:rsid w:val="00381ECB"/>
    <w:rsid w:val="003824B3"/>
    <w:rsid w:val="00382A10"/>
    <w:rsid w:val="00382F36"/>
    <w:rsid w:val="00383012"/>
    <w:rsid w:val="003833CA"/>
    <w:rsid w:val="00383EE7"/>
    <w:rsid w:val="00384F14"/>
    <w:rsid w:val="00384FB5"/>
    <w:rsid w:val="0038505F"/>
    <w:rsid w:val="00385376"/>
    <w:rsid w:val="003853E9"/>
    <w:rsid w:val="00385E6F"/>
    <w:rsid w:val="003861D2"/>
    <w:rsid w:val="00386956"/>
    <w:rsid w:val="00386DEE"/>
    <w:rsid w:val="0038742F"/>
    <w:rsid w:val="00387F9B"/>
    <w:rsid w:val="0039007D"/>
    <w:rsid w:val="00390703"/>
    <w:rsid w:val="00390BF0"/>
    <w:rsid w:val="003911E5"/>
    <w:rsid w:val="00391599"/>
    <w:rsid w:val="0039163D"/>
    <w:rsid w:val="00391852"/>
    <w:rsid w:val="003922FE"/>
    <w:rsid w:val="00392E13"/>
    <w:rsid w:val="00392FE1"/>
    <w:rsid w:val="00393B9D"/>
    <w:rsid w:val="00393C1B"/>
    <w:rsid w:val="00394787"/>
    <w:rsid w:val="003948EB"/>
    <w:rsid w:val="0039493F"/>
    <w:rsid w:val="00394AC5"/>
    <w:rsid w:val="003952B1"/>
    <w:rsid w:val="003962D6"/>
    <w:rsid w:val="003965DC"/>
    <w:rsid w:val="003A0396"/>
    <w:rsid w:val="003A0556"/>
    <w:rsid w:val="003A0883"/>
    <w:rsid w:val="003A0B4F"/>
    <w:rsid w:val="003A0DC9"/>
    <w:rsid w:val="003A1F28"/>
    <w:rsid w:val="003A212C"/>
    <w:rsid w:val="003A27ED"/>
    <w:rsid w:val="003A3397"/>
    <w:rsid w:val="003A369C"/>
    <w:rsid w:val="003A37E5"/>
    <w:rsid w:val="003A47A0"/>
    <w:rsid w:val="003A4BED"/>
    <w:rsid w:val="003A4F63"/>
    <w:rsid w:val="003A508D"/>
    <w:rsid w:val="003A50E0"/>
    <w:rsid w:val="003A57A1"/>
    <w:rsid w:val="003A673B"/>
    <w:rsid w:val="003B0C6C"/>
    <w:rsid w:val="003B1137"/>
    <w:rsid w:val="003B2426"/>
    <w:rsid w:val="003B24D0"/>
    <w:rsid w:val="003B2D9A"/>
    <w:rsid w:val="003B2F3B"/>
    <w:rsid w:val="003B30A1"/>
    <w:rsid w:val="003B3522"/>
    <w:rsid w:val="003B3A62"/>
    <w:rsid w:val="003B4000"/>
    <w:rsid w:val="003B4541"/>
    <w:rsid w:val="003B5D0D"/>
    <w:rsid w:val="003B6498"/>
    <w:rsid w:val="003B6D36"/>
    <w:rsid w:val="003B71B9"/>
    <w:rsid w:val="003B72DE"/>
    <w:rsid w:val="003B763E"/>
    <w:rsid w:val="003B797D"/>
    <w:rsid w:val="003C0045"/>
    <w:rsid w:val="003C005E"/>
    <w:rsid w:val="003C03DD"/>
    <w:rsid w:val="003C0E21"/>
    <w:rsid w:val="003C1EC7"/>
    <w:rsid w:val="003C2231"/>
    <w:rsid w:val="003C295D"/>
    <w:rsid w:val="003C2A8E"/>
    <w:rsid w:val="003C31D2"/>
    <w:rsid w:val="003C3532"/>
    <w:rsid w:val="003C3554"/>
    <w:rsid w:val="003C42A0"/>
    <w:rsid w:val="003C4B16"/>
    <w:rsid w:val="003C4D75"/>
    <w:rsid w:val="003C560F"/>
    <w:rsid w:val="003C5972"/>
    <w:rsid w:val="003C5A84"/>
    <w:rsid w:val="003C5DC6"/>
    <w:rsid w:val="003C5E74"/>
    <w:rsid w:val="003C5F26"/>
    <w:rsid w:val="003C6CF2"/>
    <w:rsid w:val="003C7539"/>
    <w:rsid w:val="003C7829"/>
    <w:rsid w:val="003C7BC1"/>
    <w:rsid w:val="003C7C8B"/>
    <w:rsid w:val="003D044D"/>
    <w:rsid w:val="003D047C"/>
    <w:rsid w:val="003D0D09"/>
    <w:rsid w:val="003D0D97"/>
    <w:rsid w:val="003D2697"/>
    <w:rsid w:val="003D3950"/>
    <w:rsid w:val="003D3B0D"/>
    <w:rsid w:val="003D3B75"/>
    <w:rsid w:val="003D3DE0"/>
    <w:rsid w:val="003D3EF2"/>
    <w:rsid w:val="003D3F11"/>
    <w:rsid w:val="003D4758"/>
    <w:rsid w:val="003D4DC9"/>
    <w:rsid w:val="003D5413"/>
    <w:rsid w:val="003D5549"/>
    <w:rsid w:val="003D567C"/>
    <w:rsid w:val="003D62A4"/>
    <w:rsid w:val="003D6459"/>
    <w:rsid w:val="003D6804"/>
    <w:rsid w:val="003D6D20"/>
    <w:rsid w:val="003D713A"/>
    <w:rsid w:val="003D767A"/>
    <w:rsid w:val="003D79F4"/>
    <w:rsid w:val="003E01CF"/>
    <w:rsid w:val="003E041B"/>
    <w:rsid w:val="003E152F"/>
    <w:rsid w:val="003E1ECE"/>
    <w:rsid w:val="003E1FD2"/>
    <w:rsid w:val="003E268B"/>
    <w:rsid w:val="003E3101"/>
    <w:rsid w:val="003E35C6"/>
    <w:rsid w:val="003E3797"/>
    <w:rsid w:val="003E42E0"/>
    <w:rsid w:val="003E4315"/>
    <w:rsid w:val="003E4695"/>
    <w:rsid w:val="003E4D32"/>
    <w:rsid w:val="003E4D3C"/>
    <w:rsid w:val="003E53C8"/>
    <w:rsid w:val="003E6C6D"/>
    <w:rsid w:val="003E749D"/>
    <w:rsid w:val="003F005A"/>
    <w:rsid w:val="003F071C"/>
    <w:rsid w:val="003F0921"/>
    <w:rsid w:val="003F09B5"/>
    <w:rsid w:val="003F09BC"/>
    <w:rsid w:val="003F0E2C"/>
    <w:rsid w:val="003F13E2"/>
    <w:rsid w:val="003F140A"/>
    <w:rsid w:val="003F2496"/>
    <w:rsid w:val="003F2705"/>
    <w:rsid w:val="003F28EE"/>
    <w:rsid w:val="003F2CC2"/>
    <w:rsid w:val="003F52DE"/>
    <w:rsid w:val="003F5483"/>
    <w:rsid w:val="003F55FA"/>
    <w:rsid w:val="003F59A7"/>
    <w:rsid w:val="003F5B4D"/>
    <w:rsid w:val="003F6F97"/>
    <w:rsid w:val="003F72BB"/>
    <w:rsid w:val="004006BA"/>
    <w:rsid w:val="00400B71"/>
    <w:rsid w:val="00400F34"/>
    <w:rsid w:val="0040208F"/>
    <w:rsid w:val="00402447"/>
    <w:rsid w:val="00403B1E"/>
    <w:rsid w:val="00404FFE"/>
    <w:rsid w:val="00405D50"/>
    <w:rsid w:val="00406AE0"/>
    <w:rsid w:val="00406CD0"/>
    <w:rsid w:val="00406D7D"/>
    <w:rsid w:val="00406DCD"/>
    <w:rsid w:val="004078BD"/>
    <w:rsid w:val="00407C15"/>
    <w:rsid w:val="00410349"/>
    <w:rsid w:val="00410519"/>
    <w:rsid w:val="004107E2"/>
    <w:rsid w:val="00410CAF"/>
    <w:rsid w:val="0041126C"/>
    <w:rsid w:val="00411307"/>
    <w:rsid w:val="0041197D"/>
    <w:rsid w:val="00411A35"/>
    <w:rsid w:val="004127E0"/>
    <w:rsid w:val="00413041"/>
    <w:rsid w:val="004145E9"/>
    <w:rsid w:val="004151D4"/>
    <w:rsid w:val="00415560"/>
    <w:rsid w:val="00415709"/>
    <w:rsid w:val="0041577D"/>
    <w:rsid w:val="00415C47"/>
    <w:rsid w:val="0041628D"/>
    <w:rsid w:val="004162B4"/>
    <w:rsid w:val="0041679F"/>
    <w:rsid w:val="00416A43"/>
    <w:rsid w:val="00416D0B"/>
    <w:rsid w:val="00417E8E"/>
    <w:rsid w:val="0042061E"/>
    <w:rsid w:val="004207FA"/>
    <w:rsid w:val="00420A18"/>
    <w:rsid w:val="00421770"/>
    <w:rsid w:val="00421EB0"/>
    <w:rsid w:val="00422160"/>
    <w:rsid w:val="00422B6A"/>
    <w:rsid w:val="00423298"/>
    <w:rsid w:val="004237B6"/>
    <w:rsid w:val="0042394D"/>
    <w:rsid w:val="00423AAE"/>
    <w:rsid w:val="00423F2B"/>
    <w:rsid w:val="00424A42"/>
    <w:rsid w:val="0042506E"/>
    <w:rsid w:val="00425772"/>
    <w:rsid w:val="004263BC"/>
    <w:rsid w:val="00426427"/>
    <w:rsid w:val="0042682A"/>
    <w:rsid w:val="00426B49"/>
    <w:rsid w:val="00426CC9"/>
    <w:rsid w:val="00426EEC"/>
    <w:rsid w:val="00427C74"/>
    <w:rsid w:val="00430D49"/>
    <w:rsid w:val="00431BEA"/>
    <w:rsid w:val="004326F6"/>
    <w:rsid w:val="00432D38"/>
    <w:rsid w:val="00433847"/>
    <w:rsid w:val="00433C59"/>
    <w:rsid w:val="00433D38"/>
    <w:rsid w:val="00433D61"/>
    <w:rsid w:val="004340D5"/>
    <w:rsid w:val="004353F9"/>
    <w:rsid w:val="00435FE6"/>
    <w:rsid w:val="004361FC"/>
    <w:rsid w:val="0043628A"/>
    <w:rsid w:val="00437653"/>
    <w:rsid w:val="00440100"/>
    <w:rsid w:val="004429DB"/>
    <w:rsid w:val="00442E81"/>
    <w:rsid w:val="0044375F"/>
    <w:rsid w:val="00445202"/>
    <w:rsid w:val="00445F76"/>
    <w:rsid w:val="00446328"/>
    <w:rsid w:val="00446EE3"/>
    <w:rsid w:val="0044767A"/>
    <w:rsid w:val="004477B0"/>
    <w:rsid w:val="00447A81"/>
    <w:rsid w:val="00450CDC"/>
    <w:rsid w:val="004510E4"/>
    <w:rsid w:val="004513E7"/>
    <w:rsid w:val="0045154A"/>
    <w:rsid w:val="004522A2"/>
    <w:rsid w:val="00452520"/>
    <w:rsid w:val="00452CA9"/>
    <w:rsid w:val="00452EA8"/>
    <w:rsid w:val="0045370C"/>
    <w:rsid w:val="00453964"/>
    <w:rsid w:val="00453EE2"/>
    <w:rsid w:val="00454E49"/>
    <w:rsid w:val="00455B2A"/>
    <w:rsid w:val="00456285"/>
    <w:rsid w:val="0045659B"/>
    <w:rsid w:val="00456953"/>
    <w:rsid w:val="00457107"/>
    <w:rsid w:val="004572C8"/>
    <w:rsid w:val="004579E9"/>
    <w:rsid w:val="00460596"/>
    <w:rsid w:val="004609EF"/>
    <w:rsid w:val="00460F57"/>
    <w:rsid w:val="00461A55"/>
    <w:rsid w:val="00462BCF"/>
    <w:rsid w:val="00463168"/>
    <w:rsid w:val="00463543"/>
    <w:rsid w:val="0046408F"/>
    <w:rsid w:val="004643F0"/>
    <w:rsid w:val="004647A8"/>
    <w:rsid w:val="00464D85"/>
    <w:rsid w:val="00465C53"/>
    <w:rsid w:val="00465FDF"/>
    <w:rsid w:val="004662CB"/>
    <w:rsid w:val="0046633C"/>
    <w:rsid w:val="0046684E"/>
    <w:rsid w:val="00466A02"/>
    <w:rsid w:val="00466DC8"/>
    <w:rsid w:val="00467B93"/>
    <w:rsid w:val="00467C2C"/>
    <w:rsid w:val="004710F5"/>
    <w:rsid w:val="00471889"/>
    <w:rsid w:val="00471A9E"/>
    <w:rsid w:val="00473004"/>
    <w:rsid w:val="00473993"/>
    <w:rsid w:val="00473F45"/>
    <w:rsid w:val="00474FB2"/>
    <w:rsid w:val="00475292"/>
    <w:rsid w:val="0047596C"/>
    <w:rsid w:val="00475ABC"/>
    <w:rsid w:val="0047669C"/>
    <w:rsid w:val="00476A16"/>
    <w:rsid w:val="00476A9A"/>
    <w:rsid w:val="00476E9B"/>
    <w:rsid w:val="00477069"/>
    <w:rsid w:val="004775B9"/>
    <w:rsid w:val="004809D5"/>
    <w:rsid w:val="0048106E"/>
    <w:rsid w:val="004813F5"/>
    <w:rsid w:val="0048177B"/>
    <w:rsid w:val="0048267A"/>
    <w:rsid w:val="00482FDF"/>
    <w:rsid w:val="004830E1"/>
    <w:rsid w:val="00484748"/>
    <w:rsid w:val="00484A91"/>
    <w:rsid w:val="00485AFA"/>
    <w:rsid w:val="00485D46"/>
    <w:rsid w:val="004863E6"/>
    <w:rsid w:val="0048656D"/>
    <w:rsid w:val="004866B1"/>
    <w:rsid w:val="004870BF"/>
    <w:rsid w:val="00490CAD"/>
    <w:rsid w:val="00491ECA"/>
    <w:rsid w:val="0049208D"/>
    <w:rsid w:val="00492097"/>
    <w:rsid w:val="0049211F"/>
    <w:rsid w:val="004923A0"/>
    <w:rsid w:val="0049249C"/>
    <w:rsid w:val="0049283B"/>
    <w:rsid w:val="00492E25"/>
    <w:rsid w:val="004931F8"/>
    <w:rsid w:val="004934D9"/>
    <w:rsid w:val="00493583"/>
    <w:rsid w:val="004937BD"/>
    <w:rsid w:val="00493B2A"/>
    <w:rsid w:val="00494106"/>
    <w:rsid w:val="004943B6"/>
    <w:rsid w:val="00494934"/>
    <w:rsid w:val="00495785"/>
    <w:rsid w:val="004959B3"/>
    <w:rsid w:val="00496161"/>
    <w:rsid w:val="0049628B"/>
    <w:rsid w:val="00496B28"/>
    <w:rsid w:val="0049788B"/>
    <w:rsid w:val="00497A9D"/>
    <w:rsid w:val="004A0090"/>
    <w:rsid w:val="004A07F8"/>
    <w:rsid w:val="004A0E00"/>
    <w:rsid w:val="004A1153"/>
    <w:rsid w:val="004A12EE"/>
    <w:rsid w:val="004A1FE6"/>
    <w:rsid w:val="004A2492"/>
    <w:rsid w:val="004A28D8"/>
    <w:rsid w:val="004A2B68"/>
    <w:rsid w:val="004A2BFD"/>
    <w:rsid w:val="004A2E5C"/>
    <w:rsid w:val="004A3192"/>
    <w:rsid w:val="004A3B52"/>
    <w:rsid w:val="004A40BB"/>
    <w:rsid w:val="004A4629"/>
    <w:rsid w:val="004A5547"/>
    <w:rsid w:val="004A5691"/>
    <w:rsid w:val="004A5DE9"/>
    <w:rsid w:val="004A5E3C"/>
    <w:rsid w:val="004A63E5"/>
    <w:rsid w:val="004A643B"/>
    <w:rsid w:val="004A6C62"/>
    <w:rsid w:val="004A6FD1"/>
    <w:rsid w:val="004A7293"/>
    <w:rsid w:val="004A7D31"/>
    <w:rsid w:val="004B05E1"/>
    <w:rsid w:val="004B0787"/>
    <w:rsid w:val="004B0A20"/>
    <w:rsid w:val="004B1933"/>
    <w:rsid w:val="004B2775"/>
    <w:rsid w:val="004B2A49"/>
    <w:rsid w:val="004B2D55"/>
    <w:rsid w:val="004B2D79"/>
    <w:rsid w:val="004B3C62"/>
    <w:rsid w:val="004B3CF1"/>
    <w:rsid w:val="004B3EB4"/>
    <w:rsid w:val="004B4000"/>
    <w:rsid w:val="004B445D"/>
    <w:rsid w:val="004B47CA"/>
    <w:rsid w:val="004B4D19"/>
    <w:rsid w:val="004B547E"/>
    <w:rsid w:val="004B5731"/>
    <w:rsid w:val="004B631F"/>
    <w:rsid w:val="004B7073"/>
    <w:rsid w:val="004B73AD"/>
    <w:rsid w:val="004B761C"/>
    <w:rsid w:val="004B7D56"/>
    <w:rsid w:val="004C00B2"/>
    <w:rsid w:val="004C0207"/>
    <w:rsid w:val="004C197B"/>
    <w:rsid w:val="004C1986"/>
    <w:rsid w:val="004C1AE6"/>
    <w:rsid w:val="004C1E67"/>
    <w:rsid w:val="004C1E80"/>
    <w:rsid w:val="004C1E90"/>
    <w:rsid w:val="004C22CB"/>
    <w:rsid w:val="004C23B6"/>
    <w:rsid w:val="004C285A"/>
    <w:rsid w:val="004C2B50"/>
    <w:rsid w:val="004C2BCF"/>
    <w:rsid w:val="004C3838"/>
    <w:rsid w:val="004C41D8"/>
    <w:rsid w:val="004C4C71"/>
    <w:rsid w:val="004C51F3"/>
    <w:rsid w:val="004C5850"/>
    <w:rsid w:val="004C5C7C"/>
    <w:rsid w:val="004C644C"/>
    <w:rsid w:val="004C6D1F"/>
    <w:rsid w:val="004C70CE"/>
    <w:rsid w:val="004C733A"/>
    <w:rsid w:val="004C73C5"/>
    <w:rsid w:val="004C759F"/>
    <w:rsid w:val="004C7C74"/>
    <w:rsid w:val="004D0257"/>
    <w:rsid w:val="004D058E"/>
    <w:rsid w:val="004D0C4B"/>
    <w:rsid w:val="004D0CAA"/>
    <w:rsid w:val="004D1080"/>
    <w:rsid w:val="004D1277"/>
    <w:rsid w:val="004D12BB"/>
    <w:rsid w:val="004D1751"/>
    <w:rsid w:val="004D1957"/>
    <w:rsid w:val="004D3198"/>
    <w:rsid w:val="004D3798"/>
    <w:rsid w:val="004D61E2"/>
    <w:rsid w:val="004D6353"/>
    <w:rsid w:val="004D6B00"/>
    <w:rsid w:val="004D6C9D"/>
    <w:rsid w:val="004E008E"/>
    <w:rsid w:val="004E01AC"/>
    <w:rsid w:val="004E05BD"/>
    <w:rsid w:val="004E090A"/>
    <w:rsid w:val="004E0C6C"/>
    <w:rsid w:val="004E1DC1"/>
    <w:rsid w:val="004E27C8"/>
    <w:rsid w:val="004E2BC7"/>
    <w:rsid w:val="004E2BD8"/>
    <w:rsid w:val="004E2DBA"/>
    <w:rsid w:val="004E3126"/>
    <w:rsid w:val="004E3771"/>
    <w:rsid w:val="004E4413"/>
    <w:rsid w:val="004E52B0"/>
    <w:rsid w:val="004E5F38"/>
    <w:rsid w:val="004E6002"/>
    <w:rsid w:val="004E616D"/>
    <w:rsid w:val="004E6975"/>
    <w:rsid w:val="004E75B2"/>
    <w:rsid w:val="004E7A48"/>
    <w:rsid w:val="004E7ABB"/>
    <w:rsid w:val="004E7BD0"/>
    <w:rsid w:val="004E7DF0"/>
    <w:rsid w:val="004F00AC"/>
    <w:rsid w:val="004F0CEF"/>
    <w:rsid w:val="004F1B56"/>
    <w:rsid w:val="004F1D83"/>
    <w:rsid w:val="004F26D4"/>
    <w:rsid w:val="004F3129"/>
    <w:rsid w:val="004F33A6"/>
    <w:rsid w:val="004F3945"/>
    <w:rsid w:val="004F481E"/>
    <w:rsid w:val="004F4939"/>
    <w:rsid w:val="004F4C66"/>
    <w:rsid w:val="004F5241"/>
    <w:rsid w:val="004F5CEC"/>
    <w:rsid w:val="004F5DB0"/>
    <w:rsid w:val="004F70E0"/>
    <w:rsid w:val="004F71F0"/>
    <w:rsid w:val="004F71F4"/>
    <w:rsid w:val="004F74C2"/>
    <w:rsid w:val="004F781F"/>
    <w:rsid w:val="004F7D70"/>
    <w:rsid w:val="00500138"/>
    <w:rsid w:val="00500898"/>
    <w:rsid w:val="00500BB4"/>
    <w:rsid w:val="00500EE2"/>
    <w:rsid w:val="0050109F"/>
    <w:rsid w:val="005018BA"/>
    <w:rsid w:val="00501C7D"/>
    <w:rsid w:val="00501FA8"/>
    <w:rsid w:val="0050326B"/>
    <w:rsid w:val="0050373E"/>
    <w:rsid w:val="00503756"/>
    <w:rsid w:val="00503E94"/>
    <w:rsid w:val="00504F05"/>
    <w:rsid w:val="0050552E"/>
    <w:rsid w:val="005056BC"/>
    <w:rsid w:val="00505940"/>
    <w:rsid w:val="005063C4"/>
    <w:rsid w:val="00506809"/>
    <w:rsid w:val="005068D3"/>
    <w:rsid w:val="0050786A"/>
    <w:rsid w:val="005078DB"/>
    <w:rsid w:val="00507F78"/>
    <w:rsid w:val="0051003A"/>
    <w:rsid w:val="00510360"/>
    <w:rsid w:val="005107A8"/>
    <w:rsid w:val="005110BA"/>
    <w:rsid w:val="00512BE8"/>
    <w:rsid w:val="00512FAA"/>
    <w:rsid w:val="00513582"/>
    <w:rsid w:val="0051359C"/>
    <w:rsid w:val="00513A8B"/>
    <w:rsid w:val="00514085"/>
    <w:rsid w:val="00514275"/>
    <w:rsid w:val="0051435D"/>
    <w:rsid w:val="00514615"/>
    <w:rsid w:val="005153A0"/>
    <w:rsid w:val="005153ED"/>
    <w:rsid w:val="00515B9E"/>
    <w:rsid w:val="00515E9D"/>
    <w:rsid w:val="00516F0C"/>
    <w:rsid w:val="005176B1"/>
    <w:rsid w:val="00517AC7"/>
    <w:rsid w:val="00517CA1"/>
    <w:rsid w:val="00517F25"/>
    <w:rsid w:val="005200F7"/>
    <w:rsid w:val="0052011A"/>
    <w:rsid w:val="0052049C"/>
    <w:rsid w:val="005205AC"/>
    <w:rsid w:val="00520C46"/>
    <w:rsid w:val="0052137A"/>
    <w:rsid w:val="0052250B"/>
    <w:rsid w:val="0052250C"/>
    <w:rsid w:val="005226AE"/>
    <w:rsid w:val="005227AE"/>
    <w:rsid w:val="00522A26"/>
    <w:rsid w:val="00523209"/>
    <w:rsid w:val="0052350A"/>
    <w:rsid w:val="005238C1"/>
    <w:rsid w:val="00524BC0"/>
    <w:rsid w:val="00525B6D"/>
    <w:rsid w:val="00526BF2"/>
    <w:rsid w:val="00526BF7"/>
    <w:rsid w:val="00527218"/>
    <w:rsid w:val="005277BE"/>
    <w:rsid w:val="00527A59"/>
    <w:rsid w:val="00527ABB"/>
    <w:rsid w:val="00527E9B"/>
    <w:rsid w:val="00527F2E"/>
    <w:rsid w:val="0053026E"/>
    <w:rsid w:val="0053198A"/>
    <w:rsid w:val="005319D6"/>
    <w:rsid w:val="00532390"/>
    <w:rsid w:val="005326D1"/>
    <w:rsid w:val="00532737"/>
    <w:rsid w:val="00532E05"/>
    <w:rsid w:val="00533B3F"/>
    <w:rsid w:val="00533FF0"/>
    <w:rsid w:val="00534D02"/>
    <w:rsid w:val="005356EB"/>
    <w:rsid w:val="0053583A"/>
    <w:rsid w:val="00535D8B"/>
    <w:rsid w:val="00535F56"/>
    <w:rsid w:val="0053650B"/>
    <w:rsid w:val="0053714D"/>
    <w:rsid w:val="005376DD"/>
    <w:rsid w:val="005378AB"/>
    <w:rsid w:val="00537E76"/>
    <w:rsid w:val="0054016A"/>
    <w:rsid w:val="00540236"/>
    <w:rsid w:val="00540762"/>
    <w:rsid w:val="0054098E"/>
    <w:rsid w:val="00540E12"/>
    <w:rsid w:val="00540E48"/>
    <w:rsid w:val="005410F0"/>
    <w:rsid w:val="0054129E"/>
    <w:rsid w:val="00541672"/>
    <w:rsid w:val="005419AC"/>
    <w:rsid w:val="00541D46"/>
    <w:rsid w:val="00542445"/>
    <w:rsid w:val="00543143"/>
    <w:rsid w:val="005435DD"/>
    <w:rsid w:val="005435E2"/>
    <w:rsid w:val="005439FE"/>
    <w:rsid w:val="00543AF7"/>
    <w:rsid w:val="00543E3E"/>
    <w:rsid w:val="00545078"/>
    <w:rsid w:val="00545FB3"/>
    <w:rsid w:val="005463EB"/>
    <w:rsid w:val="0054659A"/>
    <w:rsid w:val="00546740"/>
    <w:rsid w:val="00547DA7"/>
    <w:rsid w:val="00550CBF"/>
    <w:rsid w:val="005512F4"/>
    <w:rsid w:val="00551D97"/>
    <w:rsid w:val="00551E48"/>
    <w:rsid w:val="005527B8"/>
    <w:rsid w:val="0055305E"/>
    <w:rsid w:val="00553508"/>
    <w:rsid w:val="00554038"/>
    <w:rsid w:val="005541BA"/>
    <w:rsid w:val="005545C1"/>
    <w:rsid w:val="00554BB5"/>
    <w:rsid w:val="00555081"/>
    <w:rsid w:val="0055539F"/>
    <w:rsid w:val="00555406"/>
    <w:rsid w:val="00555922"/>
    <w:rsid w:val="00555966"/>
    <w:rsid w:val="00556304"/>
    <w:rsid w:val="0055684C"/>
    <w:rsid w:val="0055760E"/>
    <w:rsid w:val="00557B91"/>
    <w:rsid w:val="005603AC"/>
    <w:rsid w:val="00560620"/>
    <w:rsid w:val="00561B3B"/>
    <w:rsid w:val="00562B21"/>
    <w:rsid w:val="00562CFF"/>
    <w:rsid w:val="00562FC9"/>
    <w:rsid w:val="0056323E"/>
    <w:rsid w:val="005639D9"/>
    <w:rsid w:val="00563B3F"/>
    <w:rsid w:val="00563ECB"/>
    <w:rsid w:val="00563EDB"/>
    <w:rsid w:val="00564026"/>
    <w:rsid w:val="005641E9"/>
    <w:rsid w:val="005644E0"/>
    <w:rsid w:val="00564A34"/>
    <w:rsid w:val="00564F99"/>
    <w:rsid w:val="005657FA"/>
    <w:rsid w:val="005665A4"/>
    <w:rsid w:val="00566A04"/>
    <w:rsid w:val="00566A17"/>
    <w:rsid w:val="00566B48"/>
    <w:rsid w:val="00566DC3"/>
    <w:rsid w:val="0056726A"/>
    <w:rsid w:val="0057013A"/>
    <w:rsid w:val="00570336"/>
    <w:rsid w:val="00570436"/>
    <w:rsid w:val="005708E0"/>
    <w:rsid w:val="005713F7"/>
    <w:rsid w:val="00571BD4"/>
    <w:rsid w:val="00572269"/>
    <w:rsid w:val="00572792"/>
    <w:rsid w:val="005727A5"/>
    <w:rsid w:val="00572CF2"/>
    <w:rsid w:val="00572DDC"/>
    <w:rsid w:val="00574BFE"/>
    <w:rsid w:val="00574C8B"/>
    <w:rsid w:val="005750D3"/>
    <w:rsid w:val="00575B5E"/>
    <w:rsid w:val="00575D6D"/>
    <w:rsid w:val="00575F17"/>
    <w:rsid w:val="00576117"/>
    <w:rsid w:val="00576289"/>
    <w:rsid w:val="00576DDD"/>
    <w:rsid w:val="005770EE"/>
    <w:rsid w:val="0057713B"/>
    <w:rsid w:val="00577DBB"/>
    <w:rsid w:val="00577F8E"/>
    <w:rsid w:val="00580156"/>
    <w:rsid w:val="00582A78"/>
    <w:rsid w:val="00582B71"/>
    <w:rsid w:val="00582F9B"/>
    <w:rsid w:val="0058300C"/>
    <w:rsid w:val="0058326E"/>
    <w:rsid w:val="005837D4"/>
    <w:rsid w:val="0058388D"/>
    <w:rsid w:val="00583CCD"/>
    <w:rsid w:val="00583FDE"/>
    <w:rsid w:val="00584E36"/>
    <w:rsid w:val="005855A3"/>
    <w:rsid w:val="00585D8D"/>
    <w:rsid w:val="0058653A"/>
    <w:rsid w:val="005865DE"/>
    <w:rsid w:val="00586811"/>
    <w:rsid w:val="00586BC9"/>
    <w:rsid w:val="0058705F"/>
    <w:rsid w:val="00587E02"/>
    <w:rsid w:val="0059014E"/>
    <w:rsid w:val="00590725"/>
    <w:rsid w:val="005907C5"/>
    <w:rsid w:val="00590D15"/>
    <w:rsid w:val="00590F57"/>
    <w:rsid w:val="00591748"/>
    <w:rsid w:val="00591926"/>
    <w:rsid w:val="00591F25"/>
    <w:rsid w:val="00593026"/>
    <w:rsid w:val="00593610"/>
    <w:rsid w:val="005938C5"/>
    <w:rsid w:val="00593BDA"/>
    <w:rsid w:val="00593D3A"/>
    <w:rsid w:val="00593DFC"/>
    <w:rsid w:val="0059404F"/>
    <w:rsid w:val="00594B9A"/>
    <w:rsid w:val="00595997"/>
    <w:rsid w:val="00595B2F"/>
    <w:rsid w:val="00595B43"/>
    <w:rsid w:val="00595D93"/>
    <w:rsid w:val="005969E0"/>
    <w:rsid w:val="0059792E"/>
    <w:rsid w:val="00597A1C"/>
    <w:rsid w:val="00597E62"/>
    <w:rsid w:val="005A038B"/>
    <w:rsid w:val="005A0CE2"/>
    <w:rsid w:val="005A0E54"/>
    <w:rsid w:val="005A1A7F"/>
    <w:rsid w:val="005A1B16"/>
    <w:rsid w:val="005A28EA"/>
    <w:rsid w:val="005A3544"/>
    <w:rsid w:val="005A367D"/>
    <w:rsid w:val="005A376E"/>
    <w:rsid w:val="005A3EAC"/>
    <w:rsid w:val="005A40A2"/>
    <w:rsid w:val="005A430D"/>
    <w:rsid w:val="005A45B1"/>
    <w:rsid w:val="005A4A97"/>
    <w:rsid w:val="005A5C8A"/>
    <w:rsid w:val="005A5CD7"/>
    <w:rsid w:val="005A5D96"/>
    <w:rsid w:val="005A69AC"/>
    <w:rsid w:val="005A6ACE"/>
    <w:rsid w:val="005B0522"/>
    <w:rsid w:val="005B05E7"/>
    <w:rsid w:val="005B0747"/>
    <w:rsid w:val="005B0757"/>
    <w:rsid w:val="005B0EA2"/>
    <w:rsid w:val="005B1060"/>
    <w:rsid w:val="005B11EC"/>
    <w:rsid w:val="005B1FA3"/>
    <w:rsid w:val="005B20C3"/>
    <w:rsid w:val="005B299A"/>
    <w:rsid w:val="005B2F03"/>
    <w:rsid w:val="005B32F4"/>
    <w:rsid w:val="005B3BDB"/>
    <w:rsid w:val="005B4E7C"/>
    <w:rsid w:val="005B51DC"/>
    <w:rsid w:val="005B5877"/>
    <w:rsid w:val="005B62E5"/>
    <w:rsid w:val="005B6D40"/>
    <w:rsid w:val="005B6E9A"/>
    <w:rsid w:val="005B6ED2"/>
    <w:rsid w:val="005B724E"/>
    <w:rsid w:val="005B7B0D"/>
    <w:rsid w:val="005C0765"/>
    <w:rsid w:val="005C0BD4"/>
    <w:rsid w:val="005C21E5"/>
    <w:rsid w:val="005C2E33"/>
    <w:rsid w:val="005C3AF0"/>
    <w:rsid w:val="005C4378"/>
    <w:rsid w:val="005C45F6"/>
    <w:rsid w:val="005C5025"/>
    <w:rsid w:val="005C5652"/>
    <w:rsid w:val="005C5DF6"/>
    <w:rsid w:val="005C648E"/>
    <w:rsid w:val="005C6826"/>
    <w:rsid w:val="005C7342"/>
    <w:rsid w:val="005C7542"/>
    <w:rsid w:val="005C7D05"/>
    <w:rsid w:val="005D044B"/>
    <w:rsid w:val="005D1398"/>
    <w:rsid w:val="005D1589"/>
    <w:rsid w:val="005D1B28"/>
    <w:rsid w:val="005D2993"/>
    <w:rsid w:val="005D2C95"/>
    <w:rsid w:val="005D2D77"/>
    <w:rsid w:val="005D3A73"/>
    <w:rsid w:val="005D3AA1"/>
    <w:rsid w:val="005D3D7B"/>
    <w:rsid w:val="005D41A3"/>
    <w:rsid w:val="005D475D"/>
    <w:rsid w:val="005D4C67"/>
    <w:rsid w:val="005D5288"/>
    <w:rsid w:val="005D54C9"/>
    <w:rsid w:val="005D5AB0"/>
    <w:rsid w:val="005D5DC5"/>
    <w:rsid w:val="005D5F49"/>
    <w:rsid w:val="005D6420"/>
    <w:rsid w:val="005D676A"/>
    <w:rsid w:val="005D6A82"/>
    <w:rsid w:val="005D6DE6"/>
    <w:rsid w:val="005D7DE0"/>
    <w:rsid w:val="005D7FE3"/>
    <w:rsid w:val="005E0021"/>
    <w:rsid w:val="005E04C4"/>
    <w:rsid w:val="005E1027"/>
    <w:rsid w:val="005E14D9"/>
    <w:rsid w:val="005E36AE"/>
    <w:rsid w:val="005E374C"/>
    <w:rsid w:val="005E3A39"/>
    <w:rsid w:val="005E3A43"/>
    <w:rsid w:val="005E3AA5"/>
    <w:rsid w:val="005E45A1"/>
    <w:rsid w:val="005E5420"/>
    <w:rsid w:val="005E6382"/>
    <w:rsid w:val="005E64A3"/>
    <w:rsid w:val="005E6BAC"/>
    <w:rsid w:val="005E7224"/>
    <w:rsid w:val="005E7559"/>
    <w:rsid w:val="005E76EB"/>
    <w:rsid w:val="005E7A4B"/>
    <w:rsid w:val="005F0290"/>
    <w:rsid w:val="005F061E"/>
    <w:rsid w:val="005F15B7"/>
    <w:rsid w:val="005F1DA5"/>
    <w:rsid w:val="005F1E9B"/>
    <w:rsid w:val="005F1F67"/>
    <w:rsid w:val="005F219E"/>
    <w:rsid w:val="005F25D1"/>
    <w:rsid w:val="005F25E4"/>
    <w:rsid w:val="005F2950"/>
    <w:rsid w:val="005F2B8D"/>
    <w:rsid w:val="005F2F53"/>
    <w:rsid w:val="005F2F65"/>
    <w:rsid w:val="005F34AE"/>
    <w:rsid w:val="005F3778"/>
    <w:rsid w:val="005F3D0E"/>
    <w:rsid w:val="005F3FDF"/>
    <w:rsid w:val="005F5222"/>
    <w:rsid w:val="005F6DBE"/>
    <w:rsid w:val="005F714F"/>
    <w:rsid w:val="005F7694"/>
    <w:rsid w:val="005F7EA8"/>
    <w:rsid w:val="005F7ED0"/>
    <w:rsid w:val="00600F51"/>
    <w:rsid w:val="00601BEB"/>
    <w:rsid w:val="00602156"/>
    <w:rsid w:val="0060256A"/>
    <w:rsid w:val="006041D7"/>
    <w:rsid w:val="00604591"/>
    <w:rsid w:val="006048D0"/>
    <w:rsid w:val="00605613"/>
    <w:rsid w:val="00605A1F"/>
    <w:rsid w:val="00605F80"/>
    <w:rsid w:val="006063A7"/>
    <w:rsid w:val="006069C2"/>
    <w:rsid w:val="00606EE5"/>
    <w:rsid w:val="00606F31"/>
    <w:rsid w:val="00607388"/>
    <w:rsid w:val="006078F6"/>
    <w:rsid w:val="00610110"/>
    <w:rsid w:val="00610355"/>
    <w:rsid w:val="00610765"/>
    <w:rsid w:val="006110B5"/>
    <w:rsid w:val="006118DD"/>
    <w:rsid w:val="00611E34"/>
    <w:rsid w:val="0061224E"/>
    <w:rsid w:val="006129F8"/>
    <w:rsid w:val="00612D7E"/>
    <w:rsid w:val="00612E9D"/>
    <w:rsid w:val="006130C5"/>
    <w:rsid w:val="00613BC7"/>
    <w:rsid w:val="00614068"/>
    <w:rsid w:val="00614EEB"/>
    <w:rsid w:val="0061525E"/>
    <w:rsid w:val="0061540A"/>
    <w:rsid w:val="00615F3D"/>
    <w:rsid w:val="0061633B"/>
    <w:rsid w:val="0061642D"/>
    <w:rsid w:val="0061668C"/>
    <w:rsid w:val="00616B3C"/>
    <w:rsid w:val="0061786A"/>
    <w:rsid w:val="00617E35"/>
    <w:rsid w:val="00617F6A"/>
    <w:rsid w:val="006206D6"/>
    <w:rsid w:val="00620DB2"/>
    <w:rsid w:val="0062142C"/>
    <w:rsid w:val="006217BA"/>
    <w:rsid w:val="0062188B"/>
    <w:rsid w:val="00621D60"/>
    <w:rsid w:val="00622815"/>
    <w:rsid w:val="0062290B"/>
    <w:rsid w:val="00622ACB"/>
    <w:rsid w:val="00622DD9"/>
    <w:rsid w:val="00622E53"/>
    <w:rsid w:val="0062407B"/>
    <w:rsid w:val="0062490F"/>
    <w:rsid w:val="00625023"/>
    <w:rsid w:val="00625329"/>
    <w:rsid w:val="00626101"/>
    <w:rsid w:val="00626474"/>
    <w:rsid w:val="00627021"/>
    <w:rsid w:val="00630615"/>
    <w:rsid w:val="0063084B"/>
    <w:rsid w:val="00630FAF"/>
    <w:rsid w:val="0063111E"/>
    <w:rsid w:val="006313C4"/>
    <w:rsid w:val="00631E52"/>
    <w:rsid w:val="006325D7"/>
    <w:rsid w:val="0063289B"/>
    <w:rsid w:val="00632937"/>
    <w:rsid w:val="0063305D"/>
    <w:rsid w:val="00633C43"/>
    <w:rsid w:val="00633C5B"/>
    <w:rsid w:val="00634058"/>
    <w:rsid w:val="00634152"/>
    <w:rsid w:val="006343C3"/>
    <w:rsid w:val="006349CC"/>
    <w:rsid w:val="00634CB0"/>
    <w:rsid w:val="00634EFD"/>
    <w:rsid w:val="00635058"/>
    <w:rsid w:val="00635458"/>
    <w:rsid w:val="00635484"/>
    <w:rsid w:val="006357BD"/>
    <w:rsid w:val="00635D3E"/>
    <w:rsid w:val="00636C25"/>
    <w:rsid w:val="00636D8C"/>
    <w:rsid w:val="00636F4E"/>
    <w:rsid w:val="00637345"/>
    <w:rsid w:val="00637575"/>
    <w:rsid w:val="006375D4"/>
    <w:rsid w:val="00640059"/>
    <w:rsid w:val="006402A5"/>
    <w:rsid w:val="00640CF1"/>
    <w:rsid w:val="00640DCD"/>
    <w:rsid w:val="0064184A"/>
    <w:rsid w:val="0064188D"/>
    <w:rsid w:val="006418C6"/>
    <w:rsid w:val="00642417"/>
    <w:rsid w:val="006425AF"/>
    <w:rsid w:val="006425CF"/>
    <w:rsid w:val="006437DE"/>
    <w:rsid w:val="00643B04"/>
    <w:rsid w:val="00643E77"/>
    <w:rsid w:val="00644245"/>
    <w:rsid w:val="006445AB"/>
    <w:rsid w:val="0064480E"/>
    <w:rsid w:val="00645D47"/>
    <w:rsid w:val="006462B0"/>
    <w:rsid w:val="00646333"/>
    <w:rsid w:val="006470AE"/>
    <w:rsid w:val="006472D1"/>
    <w:rsid w:val="006501E6"/>
    <w:rsid w:val="00650273"/>
    <w:rsid w:val="00650805"/>
    <w:rsid w:val="00650824"/>
    <w:rsid w:val="00650F4F"/>
    <w:rsid w:val="006510E6"/>
    <w:rsid w:val="006517DC"/>
    <w:rsid w:val="00651FDF"/>
    <w:rsid w:val="0065201C"/>
    <w:rsid w:val="0065284A"/>
    <w:rsid w:val="00652D45"/>
    <w:rsid w:val="00653A0F"/>
    <w:rsid w:val="00653AD0"/>
    <w:rsid w:val="00653D10"/>
    <w:rsid w:val="00653DC5"/>
    <w:rsid w:val="006548BC"/>
    <w:rsid w:val="00654ADC"/>
    <w:rsid w:val="00654B6E"/>
    <w:rsid w:val="0065565B"/>
    <w:rsid w:val="006556F8"/>
    <w:rsid w:val="00655876"/>
    <w:rsid w:val="00655DDF"/>
    <w:rsid w:val="00655E32"/>
    <w:rsid w:val="00656281"/>
    <w:rsid w:val="006568AC"/>
    <w:rsid w:val="00656BC9"/>
    <w:rsid w:val="00656DE6"/>
    <w:rsid w:val="00656EE6"/>
    <w:rsid w:val="00657EB7"/>
    <w:rsid w:val="00660101"/>
    <w:rsid w:val="00660311"/>
    <w:rsid w:val="0066114B"/>
    <w:rsid w:val="006616D7"/>
    <w:rsid w:val="00661DD5"/>
    <w:rsid w:val="00662349"/>
    <w:rsid w:val="00662594"/>
    <w:rsid w:val="006626A5"/>
    <w:rsid w:val="006630A5"/>
    <w:rsid w:val="00663188"/>
    <w:rsid w:val="006634A2"/>
    <w:rsid w:val="006638DF"/>
    <w:rsid w:val="006647C3"/>
    <w:rsid w:val="00664AB6"/>
    <w:rsid w:val="00664FC0"/>
    <w:rsid w:val="006653A9"/>
    <w:rsid w:val="00667086"/>
    <w:rsid w:val="0066761E"/>
    <w:rsid w:val="00670069"/>
    <w:rsid w:val="00671052"/>
    <w:rsid w:val="00671CE2"/>
    <w:rsid w:val="006723BC"/>
    <w:rsid w:val="00672689"/>
    <w:rsid w:val="006726E8"/>
    <w:rsid w:val="0067274C"/>
    <w:rsid w:val="00673266"/>
    <w:rsid w:val="006739EB"/>
    <w:rsid w:val="0067506C"/>
    <w:rsid w:val="00675631"/>
    <w:rsid w:val="00675A3F"/>
    <w:rsid w:val="00675FAD"/>
    <w:rsid w:val="006763B0"/>
    <w:rsid w:val="006767A2"/>
    <w:rsid w:val="00676938"/>
    <w:rsid w:val="006769C9"/>
    <w:rsid w:val="006778ED"/>
    <w:rsid w:val="00677A32"/>
    <w:rsid w:val="00677D9D"/>
    <w:rsid w:val="00677F00"/>
    <w:rsid w:val="0068006D"/>
    <w:rsid w:val="00680099"/>
    <w:rsid w:val="00680799"/>
    <w:rsid w:val="00680E92"/>
    <w:rsid w:val="00681126"/>
    <w:rsid w:val="00681E56"/>
    <w:rsid w:val="00682254"/>
    <w:rsid w:val="00682D29"/>
    <w:rsid w:val="00683A43"/>
    <w:rsid w:val="00683BED"/>
    <w:rsid w:val="00683D44"/>
    <w:rsid w:val="00683E5B"/>
    <w:rsid w:val="00683E82"/>
    <w:rsid w:val="0068431C"/>
    <w:rsid w:val="0068438F"/>
    <w:rsid w:val="00684F1D"/>
    <w:rsid w:val="0068508F"/>
    <w:rsid w:val="00685170"/>
    <w:rsid w:val="0068542B"/>
    <w:rsid w:val="00685AA8"/>
    <w:rsid w:val="00686983"/>
    <w:rsid w:val="00687166"/>
    <w:rsid w:val="00687242"/>
    <w:rsid w:val="006872CA"/>
    <w:rsid w:val="00687714"/>
    <w:rsid w:val="00687A62"/>
    <w:rsid w:val="00690421"/>
    <w:rsid w:val="00690D01"/>
    <w:rsid w:val="00691046"/>
    <w:rsid w:val="0069243A"/>
    <w:rsid w:val="0069256F"/>
    <w:rsid w:val="00692D72"/>
    <w:rsid w:val="006939A5"/>
    <w:rsid w:val="00693A3F"/>
    <w:rsid w:val="00694826"/>
    <w:rsid w:val="0069521E"/>
    <w:rsid w:val="006957C0"/>
    <w:rsid w:val="0069586E"/>
    <w:rsid w:val="00695EB6"/>
    <w:rsid w:val="006963AB"/>
    <w:rsid w:val="006963CC"/>
    <w:rsid w:val="00696CAA"/>
    <w:rsid w:val="006A0144"/>
    <w:rsid w:val="006A0469"/>
    <w:rsid w:val="006A0714"/>
    <w:rsid w:val="006A0C80"/>
    <w:rsid w:val="006A1274"/>
    <w:rsid w:val="006A1DA5"/>
    <w:rsid w:val="006A2537"/>
    <w:rsid w:val="006A2B21"/>
    <w:rsid w:val="006A312F"/>
    <w:rsid w:val="006A3187"/>
    <w:rsid w:val="006A4269"/>
    <w:rsid w:val="006A4679"/>
    <w:rsid w:val="006A4EA2"/>
    <w:rsid w:val="006A4FCE"/>
    <w:rsid w:val="006A52DC"/>
    <w:rsid w:val="006A5538"/>
    <w:rsid w:val="006A5C1D"/>
    <w:rsid w:val="006A62ED"/>
    <w:rsid w:val="006A76B6"/>
    <w:rsid w:val="006A786E"/>
    <w:rsid w:val="006A7C23"/>
    <w:rsid w:val="006A7CBD"/>
    <w:rsid w:val="006A7FB7"/>
    <w:rsid w:val="006B0E32"/>
    <w:rsid w:val="006B16AD"/>
    <w:rsid w:val="006B195A"/>
    <w:rsid w:val="006B1C6F"/>
    <w:rsid w:val="006B2113"/>
    <w:rsid w:val="006B2705"/>
    <w:rsid w:val="006B2B67"/>
    <w:rsid w:val="006B371A"/>
    <w:rsid w:val="006B37BB"/>
    <w:rsid w:val="006B3B8C"/>
    <w:rsid w:val="006B3BC7"/>
    <w:rsid w:val="006B46F2"/>
    <w:rsid w:val="006B48F7"/>
    <w:rsid w:val="006B5F16"/>
    <w:rsid w:val="006B66A2"/>
    <w:rsid w:val="006B6C17"/>
    <w:rsid w:val="006B6D9A"/>
    <w:rsid w:val="006B6F41"/>
    <w:rsid w:val="006B6F9C"/>
    <w:rsid w:val="006B73E7"/>
    <w:rsid w:val="006B7683"/>
    <w:rsid w:val="006C041E"/>
    <w:rsid w:val="006C1037"/>
    <w:rsid w:val="006C1080"/>
    <w:rsid w:val="006C11D5"/>
    <w:rsid w:val="006C2A1F"/>
    <w:rsid w:val="006C33B5"/>
    <w:rsid w:val="006C3466"/>
    <w:rsid w:val="006C38AA"/>
    <w:rsid w:val="006C3FEA"/>
    <w:rsid w:val="006C4119"/>
    <w:rsid w:val="006C4431"/>
    <w:rsid w:val="006C493D"/>
    <w:rsid w:val="006C532B"/>
    <w:rsid w:val="006C54D8"/>
    <w:rsid w:val="006C5638"/>
    <w:rsid w:val="006C5EF3"/>
    <w:rsid w:val="006C68C2"/>
    <w:rsid w:val="006C6E17"/>
    <w:rsid w:val="006C6EFF"/>
    <w:rsid w:val="006C795D"/>
    <w:rsid w:val="006C7C70"/>
    <w:rsid w:val="006D059D"/>
    <w:rsid w:val="006D06ED"/>
    <w:rsid w:val="006D1992"/>
    <w:rsid w:val="006D1AD6"/>
    <w:rsid w:val="006D1D3A"/>
    <w:rsid w:val="006D2E71"/>
    <w:rsid w:val="006D2ED5"/>
    <w:rsid w:val="006D342F"/>
    <w:rsid w:val="006D377C"/>
    <w:rsid w:val="006D3DAF"/>
    <w:rsid w:val="006D44FB"/>
    <w:rsid w:val="006D553D"/>
    <w:rsid w:val="006D5737"/>
    <w:rsid w:val="006D6F33"/>
    <w:rsid w:val="006D7029"/>
    <w:rsid w:val="006E0483"/>
    <w:rsid w:val="006E0623"/>
    <w:rsid w:val="006E0899"/>
    <w:rsid w:val="006E16CB"/>
    <w:rsid w:val="006E1AB5"/>
    <w:rsid w:val="006E1B0E"/>
    <w:rsid w:val="006E2519"/>
    <w:rsid w:val="006E3336"/>
    <w:rsid w:val="006E3797"/>
    <w:rsid w:val="006E3CCB"/>
    <w:rsid w:val="006E454C"/>
    <w:rsid w:val="006E45B8"/>
    <w:rsid w:val="006E48F6"/>
    <w:rsid w:val="006E550A"/>
    <w:rsid w:val="006E6133"/>
    <w:rsid w:val="006E6C75"/>
    <w:rsid w:val="006E6CF4"/>
    <w:rsid w:val="006E742F"/>
    <w:rsid w:val="006F00C5"/>
    <w:rsid w:val="006F09CE"/>
    <w:rsid w:val="006F0E68"/>
    <w:rsid w:val="006F12E5"/>
    <w:rsid w:val="006F153B"/>
    <w:rsid w:val="006F1916"/>
    <w:rsid w:val="006F213A"/>
    <w:rsid w:val="006F239F"/>
    <w:rsid w:val="006F2B99"/>
    <w:rsid w:val="006F2D03"/>
    <w:rsid w:val="006F3267"/>
    <w:rsid w:val="006F396A"/>
    <w:rsid w:val="006F421A"/>
    <w:rsid w:val="006F450E"/>
    <w:rsid w:val="006F4BB2"/>
    <w:rsid w:val="006F51B7"/>
    <w:rsid w:val="006F5765"/>
    <w:rsid w:val="006F5D21"/>
    <w:rsid w:val="006F5F45"/>
    <w:rsid w:val="006F5FCE"/>
    <w:rsid w:val="006F6804"/>
    <w:rsid w:val="006F76F9"/>
    <w:rsid w:val="0070027F"/>
    <w:rsid w:val="00700888"/>
    <w:rsid w:val="00700ABD"/>
    <w:rsid w:val="00700CA8"/>
    <w:rsid w:val="00701326"/>
    <w:rsid w:val="00701700"/>
    <w:rsid w:val="00701D08"/>
    <w:rsid w:val="00702349"/>
    <w:rsid w:val="0070237A"/>
    <w:rsid w:val="00702887"/>
    <w:rsid w:val="007029C1"/>
    <w:rsid w:val="00703D30"/>
    <w:rsid w:val="00703F84"/>
    <w:rsid w:val="0070440F"/>
    <w:rsid w:val="00704B75"/>
    <w:rsid w:val="00704B89"/>
    <w:rsid w:val="00704D88"/>
    <w:rsid w:val="00704E08"/>
    <w:rsid w:val="007053C6"/>
    <w:rsid w:val="00705461"/>
    <w:rsid w:val="00705494"/>
    <w:rsid w:val="007064B0"/>
    <w:rsid w:val="0070671F"/>
    <w:rsid w:val="00707501"/>
    <w:rsid w:val="007076ED"/>
    <w:rsid w:val="007078AB"/>
    <w:rsid w:val="00710845"/>
    <w:rsid w:val="00711A86"/>
    <w:rsid w:val="0071272A"/>
    <w:rsid w:val="00713334"/>
    <w:rsid w:val="007134E4"/>
    <w:rsid w:val="00714755"/>
    <w:rsid w:val="00714972"/>
    <w:rsid w:val="0071550A"/>
    <w:rsid w:val="007167A7"/>
    <w:rsid w:val="007167F8"/>
    <w:rsid w:val="00716DBA"/>
    <w:rsid w:val="00717256"/>
    <w:rsid w:val="00717385"/>
    <w:rsid w:val="007176DC"/>
    <w:rsid w:val="00717847"/>
    <w:rsid w:val="00717FD4"/>
    <w:rsid w:val="007205F0"/>
    <w:rsid w:val="00720E65"/>
    <w:rsid w:val="00721052"/>
    <w:rsid w:val="0072122E"/>
    <w:rsid w:val="00721821"/>
    <w:rsid w:val="00722028"/>
    <w:rsid w:val="00722839"/>
    <w:rsid w:val="00722AC1"/>
    <w:rsid w:val="00723964"/>
    <w:rsid w:val="007241BD"/>
    <w:rsid w:val="0072421F"/>
    <w:rsid w:val="00724262"/>
    <w:rsid w:val="00724806"/>
    <w:rsid w:val="0072481B"/>
    <w:rsid w:val="0072489B"/>
    <w:rsid w:val="00724FB5"/>
    <w:rsid w:val="00724FBB"/>
    <w:rsid w:val="007258D5"/>
    <w:rsid w:val="00725F91"/>
    <w:rsid w:val="00726998"/>
    <w:rsid w:val="00727709"/>
    <w:rsid w:val="00727761"/>
    <w:rsid w:val="00730029"/>
    <w:rsid w:val="0073054E"/>
    <w:rsid w:val="00730723"/>
    <w:rsid w:val="00730FD4"/>
    <w:rsid w:val="00731C7A"/>
    <w:rsid w:val="007323D9"/>
    <w:rsid w:val="00732436"/>
    <w:rsid w:val="00734271"/>
    <w:rsid w:val="007345F9"/>
    <w:rsid w:val="0073518C"/>
    <w:rsid w:val="00735333"/>
    <w:rsid w:val="007354CE"/>
    <w:rsid w:val="00735DFF"/>
    <w:rsid w:val="0073609C"/>
    <w:rsid w:val="00736709"/>
    <w:rsid w:val="0073698A"/>
    <w:rsid w:val="00737168"/>
    <w:rsid w:val="00737459"/>
    <w:rsid w:val="00737B79"/>
    <w:rsid w:val="0074029E"/>
    <w:rsid w:val="00741210"/>
    <w:rsid w:val="00741331"/>
    <w:rsid w:val="0074157B"/>
    <w:rsid w:val="00741836"/>
    <w:rsid w:val="00742578"/>
    <w:rsid w:val="00742B9E"/>
    <w:rsid w:val="007431AA"/>
    <w:rsid w:val="00743294"/>
    <w:rsid w:val="007432BA"/>
    <w:rsid w:val="00743382"/>
    <w:rsid w:val="00744026"/>
    <w:rsid w:val="00744755"/>
    <w:rsid w:val="00744EEA"/>
    <w:rsid w:val="00745C1B"/>
    <w:rsid w:val="00745FD9"/>
    <w:rsid w:val="007464A7"/>
    <w:rsid w:val="00746FA3"/>
    <w:rsid w:val="00747BEA"/>
    <w:rsid w:val="00750B42"/>
    <w:rsid w:val="00750C1D"/>
    <w:rsid w:val="00750D29"/>
    <w:rsid w:val="00750E00"/>
    <w:rsid w:val="00750F2C"/>
    <w:rsid w:val="00751742"/>
    <w:rsid w:val="00751B52"/>
    <w:rsid w:val="007523FA"/>
    <w:rsid w:val="00752927"/>
    <w:rsid w:val="00752A0C"/>
    <w:rsid w:val="00752A34"/>
    <w:rsid w:val="00752C6C"/>
    <w:rsid w:val="0075305C"/>
    <w:rsid w:val="007530E2"/>
    <w:rsid w:val="00753462"/>
    <w:rsid w:val="00753D5D"/>
    <w:rsid w:val="00753F0F"/>
    <w:rsid w:val="00753F3F"/>
    <w:rsid w:val="00753FE1"/>
    <w:rsid w:val="007540D4"/>
    <w:rsid w:val="007543A1"/>
    <w:rsid w:val="007544E2"/>
    <w:rsid w:val="0075452F"/>
    <w:rsid w:val="00754E96"/>
    <w:rsid w:val="007551EE"/>
    <w:rsid w:val="00755C62"/>
    <w:rsid w:val="0075622D"/>
    <w:rsid w:val="007564F3"/>
    <w:rsid w:val="00756894"/>
    <w:rsid w:val="00757084"/>
    <w:rsid w:val="007577BE"/>
    <w:rsid w:val="0075781A"/>
    <w:rsid w:val="007578F3"/>
    <w:rsid w:val="00757BCD"/>
    <w:rsid w:val="00757E11"/>
    <w:rsid w:val="00761029"/>
    <w:rsid w:val="0076122D"/>
    <w:rsid w:val="007614DF"/>
    <w:rsid w:val="0076150D"/>
    <w:rsid w:val="00761846"/>
    <w:rsid w:val="00761C5B"/>
    <w:rsid w:val="00761EA5"/>
    <w:rsid w:val="007626F2"/>
    <w:rsid w:val="00762B06"/>
    <w:rsid w:val="00762C52"/>
    <w:rsid w:val="00762C6B"/>
    <w:rsid w:val="0076371F"/>
    <w:rsid w:val="00763858"/>
    <w:rsid w:val="007645E3"/>
    <w:rsid w:val="007648D7"/>
    <w:rsid w:val="00764DC6"/>
    <w:rsid w:val="00764DCB"/>
    <w:rsid w:val="00764E0D"/>
    <w:rsid w:val="0076519C"/>
    <w:rsid w:val="00765F43"/>
    <w:rsid w:val="007660CA"/>
    <w:rsid w:val="00766DE4"/>
    <w:rsid w:val="00767A2A"/>
    <w:rsid w:val="00767D17"/>
    <w:rsid w:val="007702C0"/>
    <w:rsid w:val="00770F4E"/>
    <w:rsid w:val="007713AF"/>
    <w:rsid w:val="00771710"/>
    <w:rsid w:val="00771BB6"/>
    <w:rsid w:val="007730A1"/>
    <w:rsid w:val="007731BA"/>
    <w:rsid w:val="007734A5"/>
    <w:rsid w:val="00773B23"/>
    <w:rsid w:val="00774099"/>
    <w:rsid w:val="00774347"/>
    <w:rsid w:val="007743A3"/>
    <w:rsid w:val="00774695"/>
    <w:rsid w:val="00775571"/>
    <w:rsid w:val="00776650"/>
    <w:rsid w:val="00776970"/>
    <w:rsid w:val="00776A5F"/>
    <w:rsid w:val="00777D26"/>
    <w:rsid w:val="00781071"/>
    <w:rsid w:val="00781D16"/>
    <w:rsid w:val="00781D2E"/>
    <w:rsid w:val="00782865"/>
    <w:rsid w:val="00782BB4"/>
    <w:rsid w:val="00782FC4"/>
    <w:rsid w:val="007838F2"/>
    <w:rsid w:val="00783901"/>
    <w:rsid w:val="00784FB4"/>
    <w:rsid w:val="00784FF6"/>
    <w:rsid w:val="007868BF"/>
    <w:rsid w:val="0078757E"/>
    <w:rsid w:val="00787995"/>
    <w:rsid w:val="0079039F"/>
    <w:rsid w:val="007904BA"/>
    <w:rsid w:val="007904FD"/>
    <w:rsid w:val="00790A24"/>
    <w:rsid w:val="00790C20"/>
    <w:rsid w:val="007911B8"/>
    <w:rsid w:val="0079126A"/>
    <w:rsid w:val="00791DA3"/>
    <w:rsid w:val="00791EA9"/>
    <w:rsid w:val="00792101"/>
    <w:rsid w:val="0079235A"/>
    <w:rsid w:val="0079273E"/>
    <w:rsid w:val="00792EE8"/>
    <w:rsid w:val="00793444"/>
    <w:rsid w:val="0079361F"/>
    <w:rsid w:val="007941BB"/>
    <w:rsid w:val="00794C17"/>
    <w:rsid w:val="00795116"/>
    <w:rsid w:val="0079544F"/>
    <w:rsid w:val="00795636"/>
    <w:rsid w:val="00795773"/>
    <w:rsid w:val="007958E7"/>
    <w:rsid w:val="00795D1D"/>
    <w:rsid w:val="00795DD4"/>
    <w:rsid w:val="00796E93"/>
    <w:rsid w:val="00797493"/>
    <w:rsid w:val="007A0861"/>
    <w:rsid w:val="007A0A5F"/>
    <w:rsid w:val="007A1715"/>
    <w:rsid w:val="007A28A1"/>
    <w:rsid w:val="007A3339"/>
    <w:rsid w:val="007A336C"/>
    <w:rsid w:val="007A3427"/>
    <w:rsid w:val="007A3625"/>
    <w:rsid w:val="007A36D7"/>
    <w:rsid w:val="007A37F5"/>
    <w:rsid w:val="007A3B6C"/>
    <w:rsid w:val="007A3F11"/>
    <w:rsid w:val="007A47BE"/>
    <w:rsid w:val="007A4C07"/>
    <w:rsid w:val="007A54E2"/>
    <w:rsid w:val="007A57DC"/>
    <w:rsid w:val="007A595D"/>
    <w:rsid w:val="007A5D4D"/>
    <w:rsid w:val="007A6AB8"/>
    <w:rsid w:val="007A6ABC"/>
    <w:rsid w:val="007A6FF4"/>
    <w:rsid w:val="007A71C5"/>
    <w:rsid w:val="007A73D6"/>
    <w:rsid w:val="007A74C6"/>
    <w:rsid w:val="007A75A8"/>
    <w:rsid w:val="007A7C57"/>
    <w:rsid w:val="007B0821"/>
    <w:rsid w:val="007B0864"/>
    <w:rsid w:val="007B12A4"/>
    <w:rsid w:val="007B1476"/>
    <w:rsid w:val="007B2530"/>
    <w:rsid w:val="007B2DCD"/>
    <w:rsid w:val="007B30D4"/>
    <w:rsid w:val="007B3B3D"/>
    <w:rsid w:val="007B3E55"/>
    <w:rsid w:val="007B402E"/>
    <w:rsid w:val="007B451D"/>
    <w:rsid w:val="007B49C0"/>
    <w:rsid w:val="007B50A7"/>
    <w:rsid w:val="007B5253"/>
    <w:rsid w:val="007B5F6D"/>
    <w:rsid w:val="007B5F6E"/>
    <w:rsid w:val="007B6228"/>
    <w:rsid w:val="007B634B"/>
    <w:rsid w:val="007B63F1"/>
    <w:rsid w:val="007B6AE3"/>
    <w:rsid w:val="007B6C04"/>
    <w:rsid w:val="007B6C24"/>
    <w:rsid w:val="007B6CE4"/>
    <w:rsid w:val="007B708C"/>
    <w:rsid w:val="007B793C"/>
    <w:rsid w:val="007B79E6"/>
    <w:rsid w:val="007B7F1E"/>
    <w:rsid w:val="007C0849"/>
    <w:rsid w:val="007C0857"/>
    <w:rsid w:val="007C1988"/>
    <w:rsid w:val="007C1B90"/>
    <w:rsid w:val="007C2195"/>
    <w:rsid w:val="007C2470"/>
    <w:rsid w:val="007C2FF5"/>
    <w:rsid w:val="007C3178"/>
    <w:rsid w:val="007C3514"/>
    <w:rsid w:val="007C358B"/>
    <w:rsid w:val="007C38EF"/>
    <w:rsid w:val="007C3908"/>
    <w:rsid w:val="007C3979"/>
    <w:rsid w:val="007C58C5"/>
    <w:rsid w:val="007C5F21"/>
    <w:rsid w:val="007C6503"/>
    <w:rsid w:val="007C6D3E"/>
    <w:rsid w:val="007C70FB"/>
    <w:rsid w:val="007C7E5D"/>
    <w:rsid w:val="007D0D91"/>
    <w:rsid w:val="007D1953"/>
    <w:rsid w:val="007D30FD"/>
    <w:rsid w:val="007D33F1"/>
    <w:rsid w:val="007D3BB3"/>
    <w:rsid w:val="007D4034"/>
    <w:rsid w:val="007D4B74"/>
    <w:rsid w:val="007D5658"/>
    <w:rsid w:val="007D5975"/>
    <w:rsid w:val="007D65C2"/>
    <w:rsid w:val="007D755E"/>
    <w:rsid w:val="007D7F0A"/>
    <w:rsid w:val="007E0503"/>
    <w:rsid w:val="007E10DC"/>
    <w:rsid w:val="007E1427"/>
    <w:rsid w:val="007E1B92"/>
    <w:rsid w:val="007E285D"/>
    <w:rsid w:val="007E2EE1"/>
    <w:rsid w:val="007E356E"/>
    <w:rsid w:val="007E40B0"/>
    <w:rsid w:val="007E45D0"/>
    <w:rsid w:val="007E47D0"/>
    <w:rsid w:val="007E4B10"/>
    <w:rsid w:val="007E4DC6"/>
    <w:rsid w:val="007E5035"/>
    <w:rsid w:val="007E559E"/>
    <w:rsid w:val="007E56FD"/>
    <w:rsid w:val="007E63B9"/>
    <w:rsid w:val="007E6815"/>
    <w:rsid w:val="007E69AA"/>
    <w:rsid w:val="007E69C4"/>
    <w:rsid w:val="007E712C"/>
    <w:rsid w:val="007E7272"/>
    <w:rsid w:val="007E7D4A"/>
    <w:rsid w:val="007E7EBF"/>
    <w:rsid w:val="007F087D"/>
    <w:rsid w:val="007F0E7A"/>
    <w:rsid w:val="007F1971"/>
    <w:rsid w:val="007F1B10"/>
    <w:rsid w:val="007F1C06"/>
    <w:rsid w:val="007F1DA6"/>
    <w:rsid w:val="007F230F"/>
    <w:rsid w:val="007F258F"/>
    <w:rsid w:val="007F27F2"/>
    <w:rsid w:val="007F2BB3"/>
    <w:rsid w:val="007F2ED8"/>
    <w:rsid w:val="007F2F22"/>
    <w:rsid w:val="007F37EE"/>
    <w:rsid w:val="007F3D09"/>
    <w:rsid w:val="007F4071"/>
    <w:rsid w:val="007F4803"/>
    <w:rsid w:val="007F4AAD"/>
    <w:rsid w:val="007F4D86"/>
    <w:rsid w:val="007F4EC7"/>
    <w:rsid w:val="007F4F94"/>
    <w:rsid w:val="007F51E1"/>
    <w:rsid w:val="007F5402"/>
    <w:rsid w:val="007F560A"/>
    <w:rsid w:val="007F57F7"/>
    <w:rsid w:val="007F5EF5"/>
    <w:rsid w:val="007F6389"/>
    <w:rsid w:val="007F63C7"/>
    <w:rsid w:val="007F6430"/>
    <w:rsid w:val="007F69BD"/>
    <w:rsid w:val="007F7033"/>
    <w:rsid w:val="007F738B"/>
    <w:rsid w:val="007F7669"/>
    <w:rsid w:val="007F7AAE"/>
    <w:rsid w:val="008009DF"/>
    <w:rsid w:val="0080231D"/>
    <w:rsid w:val="0080269C"/>
    <w:rsid w:val="0080270B"/>
    <w:rsid w:val="00802950"/>
    <w:rsid w:val="00803A4A"/>
    <w:rsid w:val="00803D3B"/>
    <w:rsid w:val="00803F86"/>
    <w:rsid w:val="00804159"/>
    <w:rsid w:val="0080484B"/>
    <w:rsid w:val="00805151"/>
    <w:rsid w:val="00805701"/>
    <w:rsid w:val="008058C8"/>
    <w:rsid w:val="00806012"/>
    <w:rsid w:val="00806070"/>
    <w:rsid w:val="00806380"/>
    <w:rsid w:val="00806B2F"/>
    <w:rsid w:val="00806C5C"/>
    <w:rsid w:val="008074AE"/>
    <w:rsid w:val="0080763B"/>
    <w:rsid w:val="008107E9"/>
    <w:rsid w:val="00810963"/>
    <w:rsid w:val="00810C7A"/>
    <w:rsid w:val="00810F3F"/>
    <w:rsid w:val="00811C97"/>
    <w:rsid w:val="00811E57"/>
    <w:rsid w:val="00811FF6"/>
    <w:rsid w:val="00812105"/>
    <w:rsid w:val="008133D0"/>
    <w:rsid w:val="008139A1"/>
    <w:rsid w:val="00813A3C"/>
    <w:rsid w:val="00813C65"/>
    <w:rsid w:val="0081413A"/>
    <w:rsid w:val="00814815"/>
    <w:rsid w:val="00814A69"/>
    <w:rsid w:val="00814BF0"/>
    <w:rsid w:val="00814C17"/>
    <w:rsid w:val="008164C7"/>
    <w:rsid w:val="0081670B"/>
    <w:rsid w:val="00816C98"/>
    <w:rsid w:val="00816D64"/>
    <w:rsid w:val="00817261"/>
    <w:rsid w:val="00817F57"/>
    <w:rsid w:val="0082017D"/>
    <w:rsid w:val="00820C4C"/>
    <w:rsid w:val="00820C8D"/>
    <w:rsid w:val="00820DD0"/>
    <w:rsid w:val="00821128"/>
    <w:rsid w:val="00821BA7"/>
    <w:rsid w:val="00822728"/>
    <w:rsid w:val="008248E3"/>
    <w:rsid w:val="008250B9"/>
    <w:rsid w:val="008251F1"/>
    <w:rsid w:val="00825A32"/>
    <w:rsid w:val="00825D2D"/>
    <w:rsid w:val="00825D5E"/>
    <w:rsid w:val="0082634B"/>
    <w:rsid w:val="008263DB"/>
    <w:rsid w:val="00826770"/>
    <w:rsid w:val="00826AEF"/>
    <w:rsid w:val="00826F2B"/>
    <w:rsid w:val="00827006"/>
    <w:rsid w:val="00827815"/>
    <w:rsid w:val="0082796D"/>
    <w:rsid w:val="00827E6F"/>
    <w:rsid w:val="008301CD"/>
    <w:rsid w:val="0083033C"/>
    <w:rsid w:val="008307AD"/>
    <w:rsid w:val="008314B4"/>
    <w:rsid w:val="0083150D"/>
    <w:rsid w:val="008315FE"/>
    <w:rsid w:val="0083178F"/>
    <w:rsid w:val="00831BAC"/>
    <w:rsid w:val="00832966"/>
    <w:rsid w:val="008332F8"/>
    <w:rsid w:val="00833920"/>
    <w:rsid w:val="00833EB3"/>
    <w:rsid w:val="008345B6"/>
    <w:rsid w:val="00834CA2"/>
    <w:rsid w:val="00834E24"/>
    <w:rsid w:val="0083532C"/>
    <w:rsid w:val="008353D9"/>
    <w:rsid w:val="008357B0"/>
    <w:rsid w:val="0083634E"/>
    <w:rsid w:val="0083687F"/>
    <w:rsid w:val="008368B4"/>
    <w:rsid w:val="008369BB"/>
    <w:rsid w:val="00836BD6"/>
    <w:rsid w:val="00836D8A"/>
    <w:rsid w:val="00837743"/>
    <w:rsid w:val="00837BC1"/>
    <w:rsid w:val="00837DAD"/>
    <w:rsid w:val="00837F2A"/>
    <w:rsid w:val="00840228"/>
    <w:rsid w:val="0084041B"/>
    <w:rsid w:val="00840CD7"/>
    <w:rsid w:val="00840D4B"/>
    <w:rsid w:val="00840EB0"/>
    <w:rsid w:val="00840F98"/>
    <w:rsid w:val="00842A92"/>
    <w:rsid w:val="00842FAE"/>
    <w:rsid w:val="00843295"/>
    <w:rsid w:val="0084368B"/>
    <w:rsid w:val="008439AD"/>
    <w:rsid w:val="00843F4D"/>
    <w:rsid w:val="00844A63"/>
    <w:rsid w:val="008459B2"/>
    <w:rsid w:val="008464CC"/>
    <w:rsid w:val="008465A5"/>
    <w:rsid w:val="00847078"/>
    <w:rsid w:val="00847788"/>
    <w:rsid w:val="0084792D"/>
    <w:rsid w:val="00847DA0"/>
    <w:rsid w:val="0085001F"/>
    <w:rsid w:val="008508C6"/>
    <w:rsid w:val="008510BD"/>
    <w:rsid w:val="0085173D"/>
    <w:rsid w:val="00851B78"/>
    <w:rsid w:val="00851FAF"/>
    <w:rsid w:val="0085220F"/>
    <w:rsid w:val="0085314B"/>
    <w:rsid w:val="008539B3"/>
    <w:rsid w:val="00853CF8"/>
    <w:rsid w:val="00854E7A"/>
    <w:rsid w:val="00854EAA"/>
    <w:rsid w:val="00854EE8"/>
    <w:rsid w:val="00856996"/>
    <w:rsid w:val="008573EE"/>
    <w:rsid w:val="008578DC"/>
    <w:rsid w:val="00857A53"/>
    <w:rsid w:val="00860647"/>
    <w:rsid w:val="00861879"/>
    <w:rsid w:val="00862098"/>
    <w:rsid w:val="00862172"/>
    <w:rsid w:val="00862702"/>
    <w:rsid w:val="00862992"/>
    <w:rsid w:val="00862E90"/>
    <w:rsid w:val="00863906"/>
    <w:rsid w:val="00863D03"/>
    <w:rsid w:val="0086476F"/>
    <w:rsid w:val="00864978"/>
    <w:rsid w:val="00864C00"/>
    <w:rsid w:val="00864F62"/>
    <w:rsid w:val="00865243"/>
    <w:rsid w:val="00866064"/>
    <w:rsid w:val="008665C6"/>
    <w:rsid w:val="0086694B"/>
    <w:rsid w:val="00866B44"/>
    <w:rsid w:val="00866EBC"/>
    <w:rsid w:val="00866FA3"/>
    <w:rsid w:val="0086712B"/>
    <w:rsid w:val="00867B1A"/>
    <w:rsid w:val="00870F9B"/>
    <w:rsid w:val="00870F9F"/>
    <w:rsid w:val="00871F23"/>
    <w:rsid w:val="00872194"/>
    <w:rsid w:val="0087245A"/>
    <w:rsid w:val="00872608"/>
    <w:rsid w:val="00872AE3"/>
    <w:rsid w:val="00872DE9"/>
    <w:rsid w:val="00873249"/>
    <w:rsid w:val="00873B81"/>
    <w:rsid w:val="0087453E"/>
    <w:rsid w:val="00874A92"/>
    <w:rsid w:val="00874C57"/>
    <w:rsid w:val="008757CC"/>
    <w:rsid w:val="00875B22"/>
    <w:rsid w:val="00875C78"/>
    <w:rsid w:val="00875D9D"/>
    <w:rsid w:val="00876743"/>
    <w:rsid w:val="00876C76"/>
    <w:rsid w:val="0087718F"/>
    <w:rsid w:val="00877203"/>
    <w:rsid w:val="00880D36"/>
    <w:rsid w:val="008817D1"/>
    <w:rsid w:val="00881844"/>
    <w:rsid w:val="0088186C"/>
    <w:rsid w:val="0088212B"/>
    <w:rsid w:val="00882482"/>
    <w:rsid w:val="00882FDB"/>
    <w:rsid w:val="00883437"/>
    <w:rsid w:val="00883F1F"/>
    <w:rsid w:val="00884DEE"/>
    <w:rsid w:val="00885449"/>
    <w:rsid w:val="008857D1"/>
    <w:rsid w:val="00885949"/>
    <w:rsid w:val="008863FF"/>
    <w:rsid w:val="008866DC"/>
    <w:rsid w:val="00886C15"/>
    <w:rsid w:val="00886C1E"/>
    <w:rsid w:val="00887899"/>
    <w:rsid w:val="00887FBC"/>
    <w:rsid w:val="00890892"/>
    <w:rsid w:val="00890BEF"/>
    <w:rsid w:val="00890DBA"/>
    <w:rsid w:val="00891A9D"/>
    <w:rsid w:val="00892ADD"/>
    <w:rsid w:val="0089358C"/>
    <w:rsid w:val="008941AC"/>
    <w:rsid w:val="0089447C"/>
    <w:rsid w:val="00895301"/>
    <w:rsid w:val="008958F2"/>
    <w:rsid w:val="00895B06"/>
    <w:rsid w:val="008963D8"/>
    <w:rsid w:val="00897E98"/>
    <w:rsid w:val="008A0332"/>
    <w:rsid w:val="008A03E3"/>
    <w:rsid w:val="008A05AC"/>
    <w:rsid w:val="008A0866"/>
    <w:rsid w:val="008A0D1B"/>
    <w:rsid w:val="008A191D"/>
    <w:rsid w:val="008A196E"/>
    <w:rsid w:val="008A1D1A"/>
    <w:rsid w:val="008A257D"/>
    <w:rsid w:val="008A2F53"/>
    <w:rsid w:val="008A3129"/>
    <w:rsid w:val="008A37F6"/>
    <w:rsid w:val="008A387A"/>
    <w:rsid w:val="008A4329"/>
    <w:rsid w:val="008A57BA"/>
    <w:rsid w:val="008A58DA"/>
    <w:rsid w:val="008A59B1"/>
    <w:rsid w:val="008A5A8A"/>
    <w:rsid w:val="008A5E08"/>
    <w:rsid w:val="008A73E5"/>
    <w:rsid w:val="008A761C"/>
    <w:rsid w:val="008A7820"/>
    <w:rsid w:val="008B14A7"/>
    <w:rsid w:val="008B1AC9"/>
    <w:rsid w:val="008B22DC"/>
    <w:rsid w:val="008B2505"/>
    <w:rsid w:val="008B26B9"/>
    <w:rsid w:val="008B3338"/>
    <w:rsid w:val="008B3984"/>
    <w:rsid w:val="008B3D3E"/>
    <w:rsid w:val="008B42E7"/>
    <w:rsid w:val="008B51B7"/>
    <w:rsid w:val="008B52FE"/>
    <w:rsid w:val="008B604E"/>
    <w:rsid w:val="008B64A1"/>
    <w:rsid w:val="008B6895"/>
    <w:rsid w:val="008B6C34"/>
    <w:rsid w:val="008B75AB"/>
    <w:rsid w:val="008B7617"/>
    <w:rsid w:val="008B7F5D"/>
    <w:rsid w:val="008C0135"/>
    <w:rsid w:val="008C0469"/>
    <w:rsid w:val="008C097E"/>
    <w:rsid w:val="008C0A99"/>
    <w:rsid w:val="008C0B9B"/>
    <w:rsid w:val="008C1BAD"/>
    <w:rsid w:val="008C1E2C"/>
    <w:rsid w:val="008C2D28"/>
    <w:rsid w:val="008C37F4"/>
    <w:rsid w:val="008C47E4"/>
    <w:rsid w:val="008C489F"/>
    <w:rsid w:val="008C4D1A"/>
    <w:rsid w:val="008C4FB2"/>
    <w:rsid w:val="008C5661"/>
    <w:rsid w:val="008C59E4"/>
    <w:rsid w:val="008C5EC6"/>
    <w:rsid w:val="008C6033"/>
    <w:rsid w:val="008C61CC"/>
    <w:rsid w:val="008C6BD4"/>
    <w:rsid w:val="008C6D01"/>
    <w:rsid w:val="008C6E60"/>
    <w:rsid w:val="008C7C10"/>
    <w:rsid w:val="008C7D3B"/>
    <w:rsid w:val="008D002F"/>
    <w:rsid w:val="008D06C7"/>
    <w:rsid w:val="008D07BD"/>
    <w:rsid w:val="008D0A28"/>
    <w:rsid w:val="008D13EA"/>
    <w:rsid w:val="008D18E6"/>
    <w:rsid w:val="008D1B33"/>
    <w:rsid w:val="008D28D8"/>
    <w:rsid w:val="008D2D5B"/>
    <w:rsid w:val="008D2FF0"/>
    <w:rsid w:val="008D31CC"/>
    <w:rsid w:val="008D35BB"/>
    <w:rsid w:val="008D38EE"/>
    <w:rsid w:val="008D39DB"/>
    <w:rsid w:val="008D3D0E"/>
    <w:rsid w:val="008D3DDC"/>
    <w:rsid w:val="008D40EE"/>
    <w:rsid w:val="008D468C"/>
    <w:rsid w:val="008D4725"/>
    <w:rsid w:val="008D49D8"/>
    <w:rsid w:val="008D6143"/>
    <w:rsid w:val="008D646C"/>
    <w:rsid w:val="008D646E"/>
    <w:rsid w:val="008D6505"/>
    <w:rsid w:val="008D6E57"/>
    <w:rsid w:val="008D7270"/>
    <w:rsid w:val="008E1485"/>
    <w:rsid w:val="008E278D"/>
    <w:rsid w:val="008E4599"/>
    <w:rsid w:val="008E4A48"/>
    <w:rsid w:val="008E5955"/>
    <w:rsid w:val="008E5DB9"/>
    <w:rsid w:val="008E60D1"/>
    <w:rsid w:val="008E6656"/>
    <w:rsid w:val="008E6662"/>
    <w:rsid w:val="008E6C8E"/>
    <w:rsid w:val="008E6F9D"/>
    <w:rsid w:val="008E7D9A"/>
    <w:rsid w:val="008F0268"/>
    <w:rsid w:val="008F0459"/>
    <w:rsid w:val="008F0664"/>
    <w:rsid w:val="008F0AFD"/>
    <w:rsid w:val="008F1530"/>
    <w:rsid w:val="008F23F3"/>
    <w:rsid w:val="008F250A"/>
    <w:rsid w:val="008F255D"/>
    <w:rsid w:val="008F27A4"/>
    <w:rsid w:val="008F2A56"/>
    <w:rsid w:val="008F2CD5"/>
    <w:rsid w:val="008F3280"/>
    <w:rsid w:val="008F3327"/>
    <w:rsid w:val="008F3F9D"/>
    <w:rsid w:val="008F44D2"/>
    <w:rsid w:val="008F472C"/>
    <w:rsid w:val="008F4D96"/>
    <w:rsid w:val="008F5114"/>
    <w:rsid w:val="008F54AE"/>
    <w:rsid w:val="008F5B66"/>
    <w:rsid w:val="008F5BF7"/>
    <w:rsid w:val="008F637E"/>
    <w:rsid w:val="008F66FA"/>
    <w:rsid w:val="008F6AAB"/>
    <w:rsid w:val="008F74E6"/>
    <w:rsid w:val="008F7C28"/>
    <w:rsid w:val="0090025A"/>
    <w:rsid w:val="009007F2"/>
    <w:rsid w:val="00900A35"/>
    <w:rsid w:val="00900FC8"/>
    <w:rsid w:val="00901208"/>
    <w:rsid w:val="0090148B"/>
    <w:rsid w:val="009014CA"/>
    <w:rsid w:val="00902AE0"/>
    <w:rsid w:val="00902B85"/>
    <w:rsid w:val="0090315C"/>
    <w:rsid w:val="0090366A"/>
    <w:rsid w:val="00903775"/>
    <w:rsid w:val="0090418B"/>
    <w:rsid w:val="009042C2"/>
    <w:rsid w:val="00904CB4"/>
    <w:rsid w:val="00904F6F"/>
    <w:rsid w:val="009051DD"/>
    <w:rsid w:val="009066EC"/>
    <w:rsid w:val="009067A9"/>
    <w:rsid w:val="00906D4E"/>
    <w:rsid w:val="0090717A"/>
    <w:rsid w:val="009104A8"/>
    <w:rsid w:val="009104CF"/>
    <w:rsid w:val="00910732"/>
    <w:rsid w:val="00910C1F"/>
    <w:rsid w:val="00910E3D"/>
    <w:rsid w:val="00910EF9"/>
    <w:rsid w:val="00911760"/>
    <w:rsid w:val="00911D05"/>
    <w:rsid w:val="00911DF7"/>
    <w:rsid w:val="0091206C"/>
    <w:rsid w:val="009123B9"/>
    <w:rsid w:val="00912A03"/>
    <w:rsid w:val="00912FD6"/>
    <w:rsid w:val="00913D60"/>
    <w:rsid w:val="00913F09"/>
    <w:rsid w:val="00913F4A"/>
    <w:rsid w:val="00914182"/>
    <w:rsid w:val="00914D42"/>
    <w:rsid w:val="00915000"/>
    <w:rsid w:val="009155D8"/>
    <w:rsid w:val="00915AFC"/>
    <w:rsid w:val="0091636B"/>
    <w:rsid w:val="00916AAB"/>
    <w:rsid w:val="00916FAE"/>
    <w:rsid w:val="0091716B"/>
    <w:rsid w:val="009175F2"/>
    <w:rsid w:val="00917D8B"/>
    <w:rsid w:val="00920600"/>
    <w:rsid w:val="00921503"/>
    <w:rsid w:val="0092175F"/>
    <w:rsid w:val="00921991"/>
    <w:rsid w:val="00921BDA"/>
    <w:rsid w:val="0092215B"/>
    <w:rsid w:val="0092257D"/>
    <w:rsid w:val="009228D8"/>
    <w:rsid w:val="00922D78"/>
    <w:rsid w:val="00922F29"/>
    <w:rsid w:val="009240F6"/>
    <w:rsid w:val="0092412C"/>
    <w:rsid w:val="00924374"/>
    <w:rsid w:val="009243AB"/>
    <w:rsid w:val="00924542"/>
    <w:rsid w:val="00924569"/>
    <w:rsid w:val="00924BF3"/>
    <w:rsid w:val="00924E54"/>
    <w:rsid w:val="009251EC"/>
    <w:rsid w:val="00925949"/>
    <w:rsid w:val="00925D2D"/>
    <w:rsid w:val="00925D9F"/>
    <w:rsid w:val="009275CA"/>
    <w:rsid w:val="00927EA4"/>
    <w:rsid w:val="00927F5A"/>
    <w:rsid w:val="00927F63"/>
    <w:rsid w:val="00930836"/>
    <w:rsid w:val="00930870"/>
    <w:rsid w:val="009309E9"/>
    <w:rsid w:val="00930E1E"/>
    <w:rsid w:val="00931D30"/>
    <w:rsid w:val="00932D91"/>
    <w:rsid w:val="009333D8"/>
    <w:rsid w:val="00933E50"/>
    <w:rsid w:val="009349A7"/>
    <w:rsid w:val="00934CDA"/>
    <w:rsid w:val="00935D2A"/>
    <w:rsid w:val="00936205"/>
    <w:rsid w:val="00936702"/>
    <w:rsid w:val="0093738B"/>
    <w:rsid w:val="009379F7"/>
    <w:rsid w:val="00937C61"/>
    <w:rsid w:val="00937C73"/>
    <w:rsid w:val="00937E5D"/>
    <w:rsid w:val="009400D7"/>
    <w:rsid w:val="009405A6"/>
    <w:rsid w:val="00940E11"/>
    <w:rsid w:val="009410EC"/>
    <w:rsid w:val="00941D65"/>
    <w:rsid w:val="00942453"/>
    <w:rsid w:val="009427D7"/>
    <w:rsid w:val="00942EBB"/>
    <w:rsid w:val="00943743"/>
    <w:rsid w:val="00944078"/>
    <w:rsid w:val="00944D93"/>
    <w:rsid w:val="00945DC3"/>
    <w:rsid w:val="009461FD"/>
    <w:rsid w:val="009467DB"/>
    <w:rsid w:val="009472F9"/>
    <w:rsid w:val="00947431"/>
    <w:rsid w:val="00950139"/>
    <w:rsid w:val="0095043A"/>
    <w:rsid w:val="00950562"/>
    <w:rsid w:val="00950BD9"/>
    <w:rsid w:val="009511C8"/>
    <w:rsid w:val="009512CC"/>
    <w:rsid w:val="00951304"/>
    <w:rsid w:val="00951735"/>
    <w:rsid w:val="00952292"/>
    <w:rsid w:val="009523D7"/>
    <w:rsid w:val="00952913"/>
    <w:rsid w:val="00952C97"/>
    <w:rsid w:val="00953115"/>
    <w:rsid w:val="0095314D"/>
    <w:rsid w:val="009532AE"/>
    <w:rsid w:val="009549A3"/>
    <w:rsid w:val="0095504D"/>
    <w:rsid w:val="009552E5"/>
    <w:rsid w:val="00956EDC"/>
    <w:rsid w:val="0095770F"/>
    <w:rsid w:val="00957D25"/>
    <w:rsid w:val="009601D0"/>
    <w:rsid w:val="00960324"/>
    <w:rsid w:val="00960B5D"/>
    <w:rsid w:val="0096135A"/>
    <w:rsid w:val="0096140D"/>
    <w:rsid w:val="00961955"/>
    <w:rsid w:val="00962D20"/>
    <w:rsid w:val="009630F5"/>
    <w:rsid w:val="009633E8"/>
    <w:rsid w:val="00963FF8"/>
    <w:rsid w:val="00964B65"/>
    <w:rsid w:val="00965C04"/>
    <w:rsid w:val="00965F9A"/>
    <w:rsid w:val="00966209"/>
    <w:rsid w:val="009667B0"/>
    <w:rsid w:val="00966C5C"/>
    <w:rsid w:val="00966F75"/>
    <w:rsid w:val="00967892"/>
    <w:rsid w:val="00970B9E"/>
    <w:rsid w:val="00970DBF"/>
    <w:rsid w:val="00971CF2"/>
    <w:rsid w:val="00971F06"/>
    <w:rsid w:val="00971F58"/>
    <w:rsid w:val="0097271D"/>
    <w:rsid w:val="0097291F"/>
    <w:rsid w:val="00972D2D"/>
    <w:rsid w:val="0097315A"/>
    <w:rsid w:val="00973188"/>
    <w:rsid w:val="009741A4"/>
    <w:rsid w:val="0097532E"/>
    <w:rsid w:val="009756CE"/>
    <w:rsid w:val="009761D4"/>
    <w:rsid w:val="0097650A"/>
    <w:rsid w:val="009769BD"/>
    <w:rsid w:val="00976DFB"/>
    <w:rsid w:val="00977166"/>
    <w:rsid w:val="009771CA"/>
    <w:rsid w:val="00977273"/>
    <w:rsid w:val="00977BC6"/>
    <w:rsid w:val="009809F6"/>
    <w:rsid w:val="00980A2A"/>
    <w:rsid w:val="00982029"/>
    <w:rsid w:val="00982D7F"/>
    <w:rsid w:val="009837BC"/>
    <w:rsid w:val="00983817"/>
    <w:rsid w:val="00984473"/>
    <w:rsid w:val="00984B30"/>
    <w:rsid w:val="00984F0A"/>
    <w:rsid w:val="00985050"/>
    <w:rsid w:val="0098565E"/>
    <w:rsid w:val="00985AB9"/>
    <w:rsid w:val="00986403"/>
    <w:rsid w:val="0098672C"/>
    <w:rsid w:val="00986F8E"/>
    <w:rsid w:val="00987002"/>
    <w:rsid w:val="00987537"/>
    <w:rsid w:val="00987A03"/>
    <w:rsid w:val="00987E98"/>
    <w:rsid w:val="00987F62"/>
    <w:rsid w:val="00990002"/>
    <w:rsid w:val="00990930"/>
    <w:rsid w:val="00991171"/>
    <w:rsid w:val="0099132A"/>
    <w:rsid w:val="0099139E"/>
    <w:rsid w:val="00991BBB"/>
    <w:rsid w:val="00991DB4"/>
    <w:rsid w:val="00991FBB"/>
    <w:rsid w:val="009922A3"/>
    <w:rsid w:val="009922C4"/>
    <w:rsid w:val="00992D9E"/>
    <w:rsid w:val="00993183"/>
    <w:rsid w:val="0099321A"/>
    <w:rsid w:val="00994772"/>
    <w:rsid w:val="00995CA6"/>
    <w:rsid w:val="009960E7"/>
    <w:rsid w:val="009961DF"/>
    <w:rsid w:val="00996619"/>
    <w:rsid w:val="00996951"/>
    <w:rsid w:val="009969EC"/>
    <w:rsid w:val="00996BBF"/>
    <w:rsid w:val="00996C38"/>
    <w:rsid w:val="00996CB9"/>
    <w:rsid w:val="00997994"/>
    <w:rsid w:val="00997FBD"/>
    <w:rsid w:val="009A05F5"/>
    <w:rsid w:val="009A0D49"/>
    <w:rsid w:val="009A1215"/>
    <w:rsid w:val="009A12AE"/>
    <w:rsid w:val="009A1BEA"/>
    <w:rsid w:val="009A31E7"/>
    <w:rsid w:val="009A3B3A"/>
    <w:rsid w:val="009A3DA3"/>
    <w:rsid w:val="009A402F"/>
    <w:rsid w:val="009A408C"/>
    <w:rsid w:val="009A4187"/>
    <w:rsid w:val="009A4534"/>
    <w:rsid w:val="009A4C45"/>
    <w:rsid w:val="009A4C85"/>
    <w:rsid w:val="009A4F34"/>
    <w:rsid w:val="009A51F1"/>
    <w:rsid w:val="009A5DC8"/>
    <w:rsid w:val="009A6346"/>
    <w:rsid w:val="009A6D7B"/>
    <w:rsid w:val="009A7477"/>
    <w:rsid w:val="009A7FAF"/>
    <w:rsid w:val="009B0518"/>
    <w:rsid w:val="009B0901"/>
    <w:rsid w:val="009B094A"/>
    <w:rsid w:val="009B14D8"/>
    <w:rsid w:val="009B1A3B"/>
    <w:rsid w:val="009B2916"/>
    <w:rsid w:val="009B294F"/>
    <w:rsid w:val="009B3128"/>
    <w:rsid w:val="009B3155"/>
    <w:rsid w:val="009B3197"/>
    <w:rsid w:val="009B31A1"/>
    <w:rsid w:val="009B32AB"/>
    <w:rsid w:val="009B4F76"/>
    <w:rsid w:val="009B4FA4"/>
    <w:rsid w:val="009B5481"/>
    <w:rsid w:val="009B699B"/>
    <w:rsid w:val="009B77D2"/>
    <w:rsid w:val="009C0150"/>
    <w:rsid w:val="009C1B65"/>
    <w:rsid w:val="009C231B"/>
    <w:rsid w:val="009C2DA4"/>
    <w:rsid w:val="009C36AB"/>
    <w:rsid w:val="009C4718"/>
    <w:rsid w:val="009C4956"/>
    <w:rsid w:val="009C4A22"/>
    <w:rsid w:val="009C4FB3"/>
    <w:rsid w:val="009C51C0"/>
    <w:rsid w:val="009C530C"/>
    <w:rsid w:val="009C5570"/>
    <w:rsid w:val="009C55D9"/>
    <w:rsid w:val="009C5996"/>
    <w:rsid w:val="009C5EF5"/>
    <w:rsid w:val="009C6C9A"/>
    <w:rsid w:val="009C76BA"/>
    <w:rsid w:val="009C7E82"/>
    <w:rsid w:val="009C7F26"/>
    <w:rsid w:val="009D00A9"/>
    <w:rsid w:val="009D06C0"/>
    <w:rsid w:val="009D0F40"/>
    <w:rsid w:val="009D0FE9"/>
    <w:rsid w:val="009D1457"/>
    <w:rsid w:val="009D1752"/>
    <w:rsid w:val="009D19BF"/>
    <w:rsid w:val="009D1ABA"/>
    <w:rsid w:val="009D25CC"/>
    <w:rsid w:val="009D25E5"/>
    <w:rsid w:val="009D2AA1"/>
    <w:rsid w:val="009D2AE1"/>
    <w:rsid w:val="009D2C74"/>
    <w:rsid w:val="009D2D16"/>
    <w:rsid w:val="009D2E4C"/>
    <w:rsid w:val="009D3F2E"/>
    <w:rsid w:val="009D4414"/>
    <w:rsid w:val="009D454D"/>
    <w:rsid w:val="009D4927"/>
    <w:rsid w:val="009D4E76"/>
    <w:rsid w:val="009D532F"/>
    <w:rsid w:val="009D53EA"/>
    <w:rsid w:val="009D5A91"/>
    <w:rsid w:val="009D5C60"/>
    <w:rsid w:val="009D5DAD"/>
    <w:rsid w:val="009D62CD"/>
    <w:rsid w:val="009D6AE8"/>
    <w:rsid w:val="009D6DCA"/>
    <w:rsid w:val="009D6E65"/>
    <w:rsid w:val="009D7455"/>
    <w:rsid w:val="009D765C"/>
    <w:rsid w:val="009D76D7"/>
    <w:rsid w:val="009E0888"/>
    <w:rsid w:val="009E0DEF"/>
    <w:rsid w:val="009E113B"/>
    <w:rsid w:val="009E14C9"/>
    <w:rsid w:val="009E1794"/>
    <w:rsid w:val="009E186D"/>
    <w:rsid w:val="009E18DF"/>
    <w:rsid w:val="009E2F4E"/>
    <w:rsid w:val="009E31B6"/>
    <w:rsid w:val="009E31FB"/>
    <w:rsid w:val="009E34C6"/>
    <w:rsid w:val="009E411B"/>
    <w:rsid w:val="009E4F51"/>
    <w:rsid w:val="009E51B9"/>
    <w:rsid w:val="009E55B5"/>
    <w:rsid w:val="009E67C9"/>
    <w:rsid w:val="009E6D56"/>
    <w:rsid w:val="009E729C"/>
    <w:rsid w:val="009E757F"/>
    <w:rsid w:val="009E7A99"/>
    <w:rsid w:val="009E7B5D"/>
    <w:rsid w:val="009E7BA9"/>
    <w:rsid w:val="009F04D2"/>
    <w:rsid w:val="009F0763"/>
    <w:rsid w:val="009F0A7C"/>
    <w:rsid w:val="009F0EC2"/>
    <w:rsid w:val="009F2064"/>
    <w:rsid w:val="009F2B82"/>
    <w:rsid w:val="009F34A0"/>
    <w:rsid w:val="009F368B"/>
    <w:rsid w:val="009F42FE"/>
    <w:rsid w:val="009F4AF8"/>
    <w:rsid w:val="009F50A6"/>
    <w:rsid w:val="009F5AF4"/>
    <w:rsid w:val="009F722D"/>
    <w:rsid w:val="009F73A9"/>
    <w:rsid w:val="009F73CE"/>
    <w:rsid w:val="009F7805"/>
    <w:rsid w:val="009F7B2B"/>
    <w:rsid w:val="009F7F70"/>
    <w:rsid w:val="00A00091"/>
    <w:rsid w:val="00A002B0"/>
    <w:rsid w:val="00A0067F"/>
    <w:rsid w:val="00A006CB"/>
    <w:rsid w:val="00A0127E"/>
    <w:rsid w:val="00A012B1"/>
    <w:rsid w:val="00A01768"/>
    <w:rsid w:val="00A01DC7"/>
    <w:rsid w:val="00A020A8"/>
    <w:rsid w:val="00A0245A"/>
    <w:rsid w:val="00A03732"/>
    <w:rsid w:val="00A039E6"/>
    <w:rsid w:val="00A04231"/>
    <w:rsid w:val="00A05192"/>
    <w:rsid w:val="00A05441"/>
    <w:rsid w:val="00A05779"/>
    <w:rsid w:val="00A05830"/>
    <w:rsid w:val="00A0596E"/>
    <w:rsid w:val="00A059A4"/>
    <w:rsid w:val="00A05CC2"/>
    <w:rsid w:val="00A05DA5"/>
    <w:rsid w:val="00A064C4"/>
    <w:rsid w:val="00A0694B"/>
    <w:rsid w:val="00A06D47"/>
    <w:rsid w:val="00A071ED"/>
    <w:rsid w:val="00A075F3"/>
    <w:rsid w:val="00A07829"/>
    <w:rsid w:val="00A07911"/>
    <w:rsid w:val="00A100BD"/>
    <w:rsid w:val="00A102D4"/>
    <w:rsid w:val="00A1075F"/>
    <w:rsid w:val="00A10F3B"/>
    <w:rsid w:val="00A11BAB"/>
    <w:rsid w:val="00A12922"/>
    <w:rsid w:val="00A12E75"/>
    <w:rsid w:val="00A12F04"/>
    <w:rsid w:val="00A13D95"/>
    <w:rsid w:val="00A14609"/>
    <w:rsid w:val="00A14814"/>
    <w:rsid w:val="00A15146"/>
    <w:rsid w:val="00A1590B"/>
    <w:rsid w:val="00A15B39"/>
    <w:rsid w:val="00A1616E"/>
    <w:rsid w:val="00A16513"/>
    <w:rsid w:val="00A16969"/>
    <w:rsid w:val="00A16AB0"/>
    <w:rsid w:val="00A16C98"/>
    <w:rsid w:val="00A171B2"/>
    <w:rsid w:val="00A175B7"/>
    <w:rsid w:val="00A17864"/>
    <w:rsid w:val="00A203EF"/>
    <w:rsid w:val="00A208E8"/>
    <w:rsid w:val="00A2094C"/>
    <w:rsid w:val="00A20EA2"/>
    <w:rsid w:val="00A21614"/>
    <w:rsid w:val="00A2176F"/>
    <w:rsid w:val="00A21C77"/>
    <w:rsid w:val="00A21D3F"/>
    <w:rsid w:val="00A22C8A"/>
    <w:rsid w:val="00A234F1"/>
    <w:rsid w:val="00A2394E"/>
    <w:rsid w:val="00A24B8D"/>
    <w:rsid w:val="00A24E29"/>
    <w:rsid w:val="00A253CF"/>
    <w:rsid w:val="00A25428"/>
    <w:rsid w:val="00A25656"/>
    <w:rsid w:val="00A25BF1"/>
    <w:rsid w:val="00A26294"/>
    <w:rsid w:val="00A26480"/>
    <w:rsid w:val="00A27051"/>
    <w:rsid w:val="00A276F4"/>
    <w:rsid w:val="00A302AA"/>
    <w:rsid w:val="00A303B0"/>
    <w:rsid w:val="00A3108E"/>
    <w:rsid w:val="00A31A99"/>
    <w:rsid w:val="00A31CC3"/>
    <w:rsid w:val="00A32419"/>
    <w:rsid w:val="00A33092"/>
    <w:rsid w:val="00A33A4A"/>
    <w:rsid w:val="00A33FAD"/>
    <w:rsid w:val="00A35555"/>
    <w:rsid w:val="00A35E9B"/>
    <w:rsid w:val="00A364DB"/>
    <w:rsid w:val="00A36C18"/>
    <w:rsid w:val="00A36CAA"/>
    <w:rsid w:val="00A37262"/>
    <w:rsid w:val="00A3729E"/>
    <w:rsid w:val="00A37329"/>
    <w:rsid w:val="00A40E43"/>
    <w:rsid w:val="00A412C1"/>
    <w:rsid w:val="00A412FC"/>
    <w:rsid w:val="00A42710"/>
    <w:rsid w:val="00A42B65"/>
    <w:rsid w:val="00A42EC7"/>
    <w:rsid w:val="00A42EDF"/>
    <w:rsid w:val="00A43830"/>
    <w:rsid w:val="00A44096"/>
    <w:rsid w:val="00A4415D"/>
    <w:rsid w:val="00A44181"/>
    <w:rsid w:val="00A44485"/>
    <w:rsid w:val="00A4575C"/>
    <w:rsid w:val="00A462AB"/>
    <w:rsid w:val="00A463A5"/>
    <w:rsid w:val="00A469B0"/>
    <w:rsid w:val="00A4735A"/>
    <w:rsid w:val="00A475C0"/>
    <w:rsid w:val="00A47B92"/>
    <w:rsid w:val="00A5082C"/>
    <w:rsid w:val="00A50B5C"/>
    <w:rsid w:val="00A51345"/>
    <w:rsid w:val="00A526E8"/>
    <w:rsid w:val="00A526FC"/>
    <w:rsid w:val="00A529FD"/>
    <w:rsid w:val="00A52B92"/>
    <w:rsid w:val="00A53172"/>
    <w:rsid w:val="00A53676"/>
    <w:rsid w:val="00A543BE"/>
    <w:rsid w:val="00A55C30"/>
    <w:rsid w:val="00A55C6D"/>
    <w:rsid w:val="00A562EB"/>
    <w:rsid w:val="00A56449"/>
    <w:rsid w:val="00A57CD4"/>
    <w:rsid w:val="00A6022D"/>
    <w:rsid w:val="00A6080D"/>
    <w:rsid w:val="00A60D14"/>
    <w:rsid w:val="00A63BFC"/>
    <w:rsid w:val="00A642B3"/>
    <w:rsid w:val="00A659E4"/>
    <w:rsid w:val="00A660D6"/>
    <w:rsid w:val="00A67257"/>
    <w:rsid w:val="00A67606"/>
    <w:rsid w:val="00A67640"/>
    <w:rsid w:val="00A67E5B"/>
    <w:rsid w:val="00A67F0D"/>
    <w:rsid w:val="00A72746"/>
    <w:rsid w:val="00A72FC4"/>
    <w:rsid w:val="00A73154"/>
    <w:rsid w:val="00A73BD1"/>
    <w:rsid w:val="00A73C13"/>
    <w:rsid w:val="00A74E22"/>
    <w:rsid w:val="00A7532B"/>
    <w:rsid w:val="00A75A02"/>
    <w:rsid w:val="00A75ED5"/>
    <w:rsid w:val="00A761AD"/>
    <w:rsid w:val="00A76B73"/>
    <w:rsid w:val="00A76BF0"/>
    <w:rsid w:val="00A76D67"/>
    <w:rsid w:val="00A77A46"/>
    <w:rsid w:val="00A77C20"/>
    <w:rsid w:val="00A77E4C"/>
    <w:rsid w:val="00A803F7"/>
    <w:rsid w:val="00A80562"/>
    <w:rsid w:val="00A809E8"/>
    <w:rsid w:val="00A80C0C"/>
    <w:rsid w:val="00A80C7A"/>
    <w:rsid w:val="00A82015"/>
    <w:rsid w:val="00A82C96"/>
    <w:rsid w:val="00A82E10"/>
    <w:rsid w:val="00A8304E"/>
    <w:rsid w:val="00A83C18"/>
    <w:rsid w:val="00A83DCA"/>
    <w:rsid w:val="00A84187"/>
    <w:rsid w:val="00A84909"/>
    <w:rsid w:val="00A8549D"/>
    <w:rsid w:val="00A85641"/>
    <w:rsid w:val="00A8657F"/>
    <w:rsid w:val="00A91717"/>
    <w:rsid w:val="00A91DBB"/>
    <w:rsid w:val="00A91DD3"/>
    <w:rsid w:val="00A92C2B"/>
    <w:rsid w:val="00A92E5A"/>
    <w:rsid w:val="00A9368D"/>
    <w:rsid w:val="00A94068"/>
    <w:rsid w:val="00A94545"/>
    <w:rsid w:val="00A95060"/>
    <w:rsid w:val="00A95519"/>
    <w:rsid w:val="00A9567D"/>
    <w:rsid w:val="00A963B1"/>
    <w:rsid w:val="00A966EA"/>
    <w:rsid w:val="00A96A2D"/>
    <w:rsid w:val="00A96CF5"/>
    <w:rsid w:val="00A96D17"/>
    <w:rsid w:val="00A96FE3"/>
    <w:rsid w:val="00A979BF"/>
    <w:rsid w:val="00AA03A9"/>
    <w:rsid w:val="00AA07E7"/>
    <w:rsid w:val="00AA0B8E"/>
    <w:rsid w:val="00AA0C26"/>
    <w:rsid w:val="00AA1227"/>
    <w:rsid w:val="00AA13C8"/>
    <w:rsid w:val="00AA1496"/>
    <w:rsid w:val="00AA179B"/>
    <w:rsid w:val="00AA1896"/>
    <w:rsid w:val="00AA1A13"/>
    <w:rsid w:val="00AA220A"/>
    <w:rsid w:val="00AA324D"/>
    <w:rsid w:val="00AA4390"/>
    <w:rsid w:val="00AA44D0"/>
    <w:rsid w:val="00AA44FF"/>
    <w:rsid w:val="00AA47C3"/>
    <w:rsid w:val="00AA54B4"/>
    <w:rsid w:val="00AA5C38"/>
    <w:rsid w:val="00AA6040"/>
    <w:rsid w:val="00AA613F"/>
    <w:rsid w:val="00AA6BFD"/>
    <w:rsid w:val="00AA7154"/>
    <w:rsid w:val="00AB0721"/>
    <w:rsid w:val="00AB24CC"/>
    <w:rsid w:val="00AB3110"/>
    <w:rsid w:val="00AB39C5"/>
    <w:rsid w:val="00AB43D2"/>
    <w:rsid w:val="00AB4650"/>
    <w:rsid w:val="00AB475C"/>
    <w:rsid w:val="00AB4CAB"/>
    <w:rsid w:val="00AB4EB8"/>
    <w:rsid w:val="00AB50CA"/>
    <w:rsid w:val="00AB53CD"/>
    <w:rsid w:val="00AB544F"/>
    <w:rsid w:val="00AB548B"/>
    <w:rsid w:val="00AB5F1F"/>
    <w:rsid w:val="00AB5F97"/>
    <w:rsid w:val="00AB6485"/>
    <w:rsid w:val="00AB6647"/>
    <w:rsid w:val="00AB71DC"/>
    <w:rsid w:val="00AB784E"/>
    <w:rsid w:val="00AB7A66"/>
    <w:rsid w:val="00AB7B3C"/>
    <w:rsid w:val="00AB7DC3"/>
    <w:rsid w:val="00AC030B"/>
    <w:rsid w:val="00AC04E4"/>
    <w:rsid w:val="00AC0BAA"/>
    <w:rsid w:val="00AC194B"/>
    <w:rsid w:val="00AC1C86"/>
    <w:rsid w:val="00AC1F05"/>
    <w:rsid w:val="00AC213C"/>
    <w:rsid w:val="00AC2238"/>
    <w:rsid w:val="00AC25B4"/>
    <w:rsid w:val="00AC25E0"/>
    <w:rsid w:val="00AC2801"/>
    <w:rsid w:val="00AC3267"/>
    <w:rsid w:val="00AC3567"/>
    <w:rsid w:val="00AC3D11"/>
    <w:rsid w:val="00AC40D7"/>
    <w:rsid w:val="00AC42F0"/>
    <w:rsid w:val="00AC43AE"/>
    <w:rsid w:val="00AC44F2"/>
    <w:rsid w:val="00AC48DD"/>
    <w:rsid w:val="00AC56A1"/>
    <w:rsid w:val="00AC5C9F"/>
    <w:rsid w:val="00AC6496"/>
    <w:rsid w:val="00AC70F2"/>
    <w:rsid w:val="00AC72DF"/>
    <w:rsid w:val="00AD01DD"/>
    <w:rsid w:val="00AD0865"/>
    <w:rsid w:val="00AD0C31"/>
    <w:rsid w:val="00AD1B86"/>
    <w:rsid w:val="00AD20C9"/>
    <w:rsid w:val="00AD245B"/>
    <w:rsid w:val="00AD2E2F"/>
    <w:rsid w:val="00AD3EBC"/>
    <w:rsid w:val="00AD3F80"/>
    <w:rsid w:val="00AD461E"/>
    <w:rsid w:val="00AD4F4F"/>
    <w:rsid w:val="00AD53FE"/>
    <w:rsid w:val="00AD6281"/>
    <w:rsid w:val="00AD6808"/>
    <w:rsid w:val="00AD76B2"/>
    <w:rsid w:val="00AD7C3A"/>
    <w:rsid w:val="00AD7E77"/>
    <w:rsid w:val="00AD7EC5"/>
    <w:rsid w:val="00AD7FB5"/>
    <w:rsid w:val="00AE0937"/>
    <w:rsid w:val="00AE0CDE"/>
    <w:rsid w:val="00AE0D4B"/>
    <w:rsid w:val="00AE1199"/>
    <w:rsid w:val="00AE1B57"/>
    <w:rsid w:val="00AE2580"/>
    <w:rsid w:val="00AE2729"/>
    <w:rsid w:val="00AE2E3E"/>
    <w:rsid w:val="00AE2F08"/>
    <w:rsid w:val="00AE37B0"/>
    <w:rsid w:val="00AE3D68"/>
    <w:rsid w:val="00AE4EB6"/>
    <w:rsid w:val="00AE51F6"/>
    <w:rsid w:val="00AE57BF"/>
    <w:rsid w:val="00AE5894"/>
    <w:rsid w:val="00AE5A42"/>
    <w:rsid w:val="00AE60E6"/>
    <w:rsid w:val="00AE6150"/>
    <w:rsid w:val="00AE6823"/>
    <w:rsid w:val="00AE7771"/>
    <w:rsid w:val="00AE781B"/>
    <w:rsid w:val="00AE79E1"/>
    <w:rsid w:val="00AF059D"/>
    <w:rsid w:val="00AF11B1"/>
    <w:rsid w:val="00AF165A"/>
    <w:rsid w:val="00AF1820"/>
    <w:rsid w:val="00AF1915"/>
    <w:rsid w:val="00AF19F3"/>
    <w:rsid w:val="00AF211B"/>
    <w:rsid w:val="00AF2E7E"/>
    <w:rsid w:val="00AF32EF"/>
    <w:rsid w:val="00AF3952"/>
    <w:rsid w:val="00AF3A03"/>
    <w:rsid w:val="00AF41DD"/>
    <w:rsid w:val="00AF44D0"/>
    <w:rsid w:val="00AF4D33"/>
    <w:rsid w:val="00AF4D36"/>
    <w:rsid w:val="00AF4EB8"/>
    <w:rsid w:val="00AF5EEE"/>
    <w:rsid w:val="00AF61F4"/>
    <w:rsid w:val="00AF6274"/>
    <w:rsid w:val="00AF63AE"/>
    <w:rsid w:val="00AF6C25"/>
    <w:rsid w:val="00AF7434"/>
    <w:rsid w:val="00AF74E6"/>
    <w:rsid w:val="00AF78B2"/>
    <w:rsid w:val="00AF7B82"/>
    <w:rsid w:val="00AF7EC5"/>
    <w:rsid w:val="00B00044"/>
    <w:rsid w:val="00B008DA"/>
    <w:rsid w:val="00B00D8B"/>
    <w:rsid w:val="00B0113F"/>
    <w:rsid w:val="00B0130D"/>
    <w:rsid w:val="00B02DF8"/>
    <w:rsid w:val="00B030A3"/>
    <w:rsid w:val="00B0364F"/>
    <w:rsid w:val="00B0393B"/>
    <w:rsid w:val="00B03A69"/>
    <w:rsid w:val="00B040A5"/>
    <w:rsid w:val="00B04A38"/>
    <w:rsid w:val="00B056D9"/>
    <w:rsid w:val="00B05B8C"/>
    <w:rsid w:val="00B0624C"/>
    <w:rsid w:val="00B0661E"/>
    <w:rsid w:val="00B067AB"/>
    <w:rsid w:val="00B06E82"/>
    <w:rsid w:val="00B07114"/>
    <w:rsid w:val="00B07152"/>
    <w:rsid w:val="00B07846"/>
    <w:rsid w:val="00B078C7"/>
    <w:rsid w:val="00B07D55"/>
    <w:rsid w:val="00B11015"/>
    <w:rsid w:val="00B114AD"/>
    <w:rsid w:val="00B119BA"/>
    <w:rsid w:val="00B11A8D"/>
    <w:rsid w:val="00B11C9D"/>
    <w:rsid w:val="00B11D33"/>
    <w:rsid w:val="00B135A6"/>
    <w:rsid w:val="00B1392C"/>
    <w:rsid w:val="00B13AFB"/>
    <w:rsid w:val="00B1407C"/>
    <w:rsid w:val="00B1437E"/>
    <w:rsid w:val="00B15635"/>
    <w:rsid w:val="00B15A74"/>
    <w:rsid w:val="00B15A98"/>
    <w:rsid w:val="00B16DF0"/>
    <w:rsid w:val="00B205DD"/>
    <w:rsid w:val="00B20ADF"/>
    <w:rsid w:val="00B20CAF"/>
    <w:rsid w:val="00B217B3"/>
    <w:rsid w:val="00B21C28"/>
    <w:rsid w:val="00B21F84"/>
    <w:rsid w:val="00B22598"/>
    <w:rsid w:val="00B2275C"/>
    <w:rsid w:val="00B22852"/>
    <w:rsid w:val="00B22EC6"/>
    <w:rsid w:val="00B230FA"/>
    <w:rsid w:val="00B23BE7"/>
    <w:rsid w:val="00B2422A"/>
    <w:rsid w:val="00B2424C"/>
    <w:rsid w:val="00B247A4"/>
    <w:rsid w:val="00B247AF"/>
    <w:rsid w:val="00B24C21"/>
    <w:rsid w:val="00B24DA7"/>
    <w:rsid w:val="00B25207"/>
    <w:rsid w:val="00B2536E"/>
    <w:rsid w:val="00B255E8"/>
    <w:rsid w:val="00B2568F"/>
    <w:rsid w:val="00B256E6"/>
    <w:rsid w:val="00B2576D"/>
    <w:rsid w:val="00B25F50"/>
    <w:rsid w:val="00B26AF3"/>
    <w:rsid w:val="00B26BF7"/>
    <w:rsid w:val="00B27229"/>
    <w:rsid w:val="00B27A70"/>
    <w:rsid w:val="00B27F78"/>
    <w:rsid w:val="00B27FC6"/>
    <w:rsid w:val="00B301DE"/>
    <w:rsid w:val="00B309F3"/>
    <w:rsid w:val="00B30FEA"/>
    <w:rsid w:val="00B31165"/>
    <w:rsid w:val="00B31A3F"/>
    <w:rsid w:val="00B3209C"/>
    <w:rsid w:val="00B32C3E"/>
    <w:rsid w:val="00B32DE7"/>
    <w:rsid w:val="00B32DED"/>
    <w:rsid w:val="00B3307A"/>
    <w:rsid w:val="00B33245"/>
    <w:rsid w:val="00B346E9"/>
    <w:rsid w:val="00B35CE8"/>
    <w:rsid w:val="00B368CB"/>
    <w:rsid w:val="00B36B39"/>
    <w:rsid w:val="00B37D51"/>
    <w:rsid w:val="00B402EF"/>
    <w:rsid w:val="00B4245F"/>
    <w:rsid w:val="00B42979"/>
    <w:rsid w:val="00B42C3B"/>
    <w:rsid w:val="00B42C5F"/>
    <w:rsid w:val="00B42EA2"/>
    <w:rsid w:val="00B42F56"/>
    <w:rsid w:val="00B4351D"/>
    <w:rsid w:val="00B43C06"/>
    <w:rsid w:val="00B43D8A"/>
    <w:rsid w:val="00B43DC6"/>
    <w:rsid w:val="00B44260"/>
    <w:rsid w:val="00B4472A"/>
    <w:rsid w:val="00B44CD2"/>
    <w:rsid w:val="00B44F89"/>
    <w:rsid w:val="00B4559B"/>
    <w:rsid w:val="00B4594C"/>
    <w:rsid w:val="00B46514"/>
    <w:rsid w:val="00B46D0D"/>
    <w:rsid w:val="00B46F4C"/>
    <w:rsid w:val="00B4760C"/>
    <w:rsid w:val="00B47849"/>
    <w:rsid w:val="00B50A1D"/>
    <w:rsid w:val="00B50F67"/>
    <w:rsid w:val="00B512D9"/>
    <w:rsid w:val="00B5130D"/>
    <w:rsid w:val="00B51983"/>
    <w:rsid w:val="00B51C13"/>
    <w:rsid w:val="00B51D39"/>
    <w:rsid w:val="00B51E58"/>
    <w:rsid w:val="00B523CA"/>
    <w:rsid w:val="00B523FB"/>
    <w:rsid w:val="00B5259F"/>
    <w:rsid w:val="00B5266D"/>
    <w:rsid w:val="00B53429"/>
    <w:rsid w:val="00B539C3"/>
    <w:rsid w:val="00B53E76"/>
    <w:rsid w:val="00B5407A"/>
    <w:rsid w:val="00B54A6B"/>
    <w:rsid w:val="00B55726"/>
    <w:rsid w:val="00B557C0"/>
    <w:rsid w:val="00B55E5C"/>
    <w:rsid w:val="00B55FE0"/>
    <w:rsid w:val="00B56B8C"/>
    <w:rsid w:val="00B57243"/>
    <w:rsid w:val="00B57C51"/>
    <w:rsid w:val="00B57E59"/>
    <w:rsid w:val="00B608A6"/>
    <w:rsid w:val="00B60C89"/>
    <w:rsid w:val="00B610BF"/>
    <w:rsid w:val="00B611E9"/>
    <w:rsid w:val="00B6131A"/>
    <w:rsid w:val="00B621C2"/>
    <w:rsid w:val="00B625DF"/>
    <w:rsid w:val="00B62E44"/>
    <w:rsid w:val="00B6323E"/>
    <w:rsid w:val="00B63474"/>
    <w:rsid w:val="00B63B6C"/>
    <w:rsid w:val="00B63C20"/>
    <w:rsid w:val="00B641F8"/>
    <w:rsid w:val="00B6433D"/>
    <w:rsid w:val="00B6463F"/>
    <w:rsid w:val="00B65145"/>
    <w:rsid w:val="00B654CA"/>
    <w:rsid w:val="00B65522"/>
    <w:rsid w:val="00B65CCB"/>
    <w:rsid w:val="00B669F6"/>
    <w:rsid w:val="00B66D4E"/>
    <w:rsid w:val="00B67E02"/>
    <w:rsid w:val="00B70535"/>
    <w:rsid w:val="00B70AE9"/>
    <w:rsid w:val="00B70D7A"/>
    <w:rsid w:val="00B7120F"/>
    <w:rsid w:val="00B71468"/>
    <w:rsid w:val="00B719D4"/>
    <w:rsid w:val="00B71E28"/>
    <w:rsid w:val="00B71F1A"/>
    <w:rsid w:val="00B72366"/>
    <w:rsid w:val="00B726BA"/>
    <w:rsid w:val="00B7281E"/>
    <w:rsid w:val="00B73954"/>
    <w:rsid w:val="00B73C47"/>
    <w:rsid w:val="00B73DC0"/>
    <w:rsid w:val="00B73DD7"/>
    <w:rsid w:val="00B748F3"/>
    <w:rsid w:val="00B74DCC"/>
    <w:rsid w:val="00B75245"/>
    <w:rsid w:val="00B75554"/>
    <w:rsid w:val="00B760B0"/>
    <w:rsid w:val="00B7688B"/>
    <w:rsid w:val="00B77307"/>
    <w:rsid w:val="00B779D8"/>
    <w:rsid w:val="00B77F59"/>
    <w:rsid w:val="00B814F1"/>
    <w:rsid w:val="00B818BD"/>
    <w:rsid w:val="00B81DDE"/>
    <w:rsid w:val="00B8201D"/>
    <w:rsid w:val="00B8242B"/>
    <w:rsid w:val="00B82841"/>
    <w:rsid w:val="00B82952"/>
    <w:rsid w:val="00B82962"/>
    <w:rsid w:val="00B82EE9"/>
    <w:rsid w:val="00B8384B"/>
    <w:rsid w:val="00B85E9A"/>
    <w:rsid w:val="00B87410"/>
    <w:rsid w:val="00B8744B"/>
    <w:rsid w:val="00B877A7"/>
    <w:rsid w:val="00B902ED"/>
    <w:rsid w:val="00B9089B"/>
    <w:rsid w:val="00B90BDC"/>
    <w:rsid w:val="00B9168C"/>
    <w:rsid w:val="00B92B37"/>
    <w:rsid w:val="00B95008"/>
    <w:rsid w:val="00B95744"/>
    <w:rsid w:val="00B95AEB"/>
    <w:rsid w:val="00B95EF5"/>
    <w:rsid w:val="00B966C3"/>
    <w:rsid w:val="00B96CD2"/>
    <w:rsid w:val="00B96F5E"/>
    <w:rsid w:val="00B979F9"/>
    <w:rsid w:val="00BA00EA"/>
    <w:rsid w:val="00BA0977"/>
    <w:rsid w:val="00BA0D59"/>
    <w:rsid w:val="00BA1419"/>
    <w:rsid w:val="00BA148E"/>
    <w:rsid w:val="00BA1537"/>
    <w:rsid w:val="00BA19D1"/>
    <w:rsid w:val="00BA1AFB"/>
    <w:rsid w:val="00BA1BF1"/>
    <w:rsid w:val="00BA385C"/>
    <w:rsid w:val="00BA3DF9"/>
    <w:rsid w:val="00BA3EAE"/>
    <w:rsid w:val="00BA3FEB"/>
    <w:rsid w:val="00BA5651"/>
    <w:rsid w:val="00BA5716"/>
    <w:rsid w:val="00BA68E6"/>
    <w:rsid w:val="00BA6D8E"/>
    <w:rsid w:val="00BA72AA"/>
    <w:rsid w:val="00BA7761"/>
    <w:rsid w:val="00BA7958"/>
    <w:rsid w:val="00BA7C28"/>
    <w:rsid w:val="00BB01AD"/>
    <w:rsid w:val="00BB0899"/>
    <w:rsid w:val="00BB0ABC"/>
    <w:rsid w:val="00BB0DF5"/>
    <w:rsid w:val="00BB1210"/>
    <w:rsid w:val="00BB1596"/>
    <w:rsid w:val="00BB1774"/>
    <w:rsid w:val="00BB31D3"/>
    <w:rsid w:val="00BB38DB"/>
    <w:rsid w:val="00BB3B17"/>
    <w:rsid w:val="00BB3E79"/>
    <w:rsid w:val="00BB4614"/>
    <w:rsid w:val="00BB4AC4"/>
    <w:rsid w:val="00BB4E99"/>
    <w:rsid w:val="00BB52B0"/>
    <w:rsid w:val="00BB5A2A"/>
    <w:rsid w:val="00BB76FF"/>
    <w:rsid w:val="00BB7DFD"/>
    <w:rsid w:val="00BC01F2"/>
    <w:rsid w:val="00BC066F"/>
    <w:rsid w:val="00BC211C"/>
    <w:rsid w:val="00BC229C"/>
    <w:rsid w:val="00BC34E6"/>
    <w:rsid w:val="00BC3B5D"/>
    <w:rsid w:val="00BC3D73"/>
    <w:rsid w:val="00BC4244"/>
    <w:rsid w:val="00BC48A5"/>
    <w:rsid w:val="00BC516F"/>
    <w:rsid w:val="00BC5384"/>
    <w:rsid w:val="00BC59FF"/>
    <w:rsid w:val="00BC67B2"/>
    <w:rsid w:val="00BC6D99"/>
    <w:rsid w:val="00BC7180"/>
    <w:rsid w:val="00BC749A"/>
    <w:rsid w:val="00BC753C"/>
    <w:rsid w:val="00BC7AC2"/>
    <w:rsid w:val="00BC7AEA"/>
    <w:rsid w:val="00BD0034"/>
    <w:rsid w:val="00BD006F"/>
    <w:rsid w:val="00BD05E6"/>
    <w:rsid w:val="00BD10B8"/>
    <w:rsid w:val="00BD11EB"/>
    <w:rsid w:val="00BD1EDD"/>
    <w:rsid w:val="00BD27A9"/>
    <w:rsid w:val="00BD2A9F"/>
    <w:rsid w:val="00BD3084"/>
    <w:rsid w:val="00BD321B"/>
    <w:rsid w:val="00BD3470"/>
    <w:rsid w:val="00BD34BB"/>
    <w:rsid w:val="00BD391A"/>
    <w:rsid w:val="00BD41F2"/>
    <w:rsid w:val="00BD44BC"/>
    <w:rsid w:val="00BD4BB0"/>
    <w:rsid w:val="00BD5067"/>
    <w:rsid w:val="00BD50C5"/>
    <w:rsid w:val="00BD512E"/>
    <w:rsid w:val="00BD5B4A"/>
    <w:rsid w:val="00BD5E46"/>
    <w:rsid w:val="00BD6765"/>
    <w:rsid w:val="00BD70F4"/>
    <w:rsid w:val="00BD7465"/>
    <w:rsid w:val="00BD78E2"/>
    <w:rsid w:val="00BE098B"/>
    <w:rsid w:val="00BE16FE"/>
    <w:rsid w:val="00BE1837"/>
    <w:rsid w:val="00BE20D1"/>
    <w:rsid w:val="00BE2BC1"/>
    <w:rsid w:val="00BE2DA0"/>
    <w:rsid w:val="00BE3284"/>
    <w:rsid w:val="00BE37D3"/>
    <w:rsid w:val="00BE3FEB"/>
    <w:rsid w:val="00BE4980"/>
    <w:rsid w:val="00BE4C5D"/>
    <w:rsid w:val="00BE542E"/>
    <w:rsid w:val="00BE5DD3"/>
    <w:rsid w:val="00BE6AE5"/>
    <w:rsid w:val="00BE72C9"/>
    <w:rsid w:val="00BE7318"/>
    <w:rsid w:val="00BF0332"/>
    <w:rsid w:val="00BF06AC"/>
    <w:rsid w:val="00BF0A49"/>
    <w:rsid w:val="00BF198A"/>
    <w:rsid w:val="00BF1F5A"/>
    <w:rsid w:val="00BF2AEB"/>
    <w:rsid w:val="00BF3386"/>
    <w:rsid w:val="00BF3479"/>
    <w:rsid w:val="00BF3630"/>
    <w:rsid w:val="00BF4314"/>
    <w:rsid w:val="00BF4402"/>
    <w:rsid w:val="00BF4687"/>
    <w:rsid w:val="00BF4892"/>
    <w:rsid w:val="00BF5A0E"/>
    <w:rsid w:val="00BF6178"/>
    <w:rsid w:val="00BF61AE"/>
    <w:rsid w:val="00BF6348"/>
    <w:rsid w:val="00BF6641"/>
    <w:rsid w:val="00BF69DC"/>
    <w:rsid w:val="00BF6E88"/>
    <w:rsid w:val="00BF7668"/>
    <w:rsid w:val="00BF7835"/>
    <w:rsid w:val="00C00D30"/>
    <w:rsid w:val="00C01143"/>
    <w:rsid w:val="00C016E7"/>
    <w:rsid w:val="00C024F0"/>
    <w:rsid w:val="00C02B63"/>
    <w:rsid w:val="00C02DF4"/>
    <w:rsid w:val="00C031C8"/>
    <w:rsid w:val="00C0322B"/>
    <w:rsid w:val="00C0369B"/>
    <w:rsid w:val="00C039B7"/>
    <w:rsid w:val="00C03CFA"/>
    <w:rsid w:val="00C046B3"/>
    <w:rsid w:val="00C04D98"/>
    <w:rsid w:val="00C04FA5"/>
    <w:rsid w:val="00C05BCD"/>
    <w:rsid w:val="00C06353"/>
    <w:rsid w:val="00C06CAF"/>
    <w:rsid w:val="00C076D3"/>
    <w:rsid w:val="00C07861"/>
    <w:rsid w:val="00C07AB0"/>
    <w:rsid w:val="00C07D73"/>
    <w:rsid w:val="00C11774"/>
    <w:rsid w:val="00C1180A"/>
    <w:rsid w:val="00C1261A"/>
    <w:rsid w:val="00C134EF"/>
    <w:rsid w:val="00C14036"/>
    <w:rsid w:val="00C14059"/>
    <w:rsid w:val="00C145D9"/>
    <w:rsid w:val="00C1463C"/>
    <w:rsid w:val="00C15D13"/>
    <w:rsid w:val="00C16C8A"/>
    <w:rsid w:val="00C16D39"/>
    <w:rsid w:val="00C172E9"/>
    <w:rsid w:val="00C17E8C"/>
    <w:rsid w:val="00C17F41"/>
    <w:rsid w:val="00C20489"/>
    <w:rsid w:val="00C20501"/>
    <w:rsid w:val="00C20680"/>
    <w:rsid w:val="00C20738"/>
    <w:rsid w:val="00C20E6E"/>
    <w:rsid w:val="00C2171B"/>
    <w:rsid w:val="00C21AA4"/>
    <w:rsid w:val="00C2381D"/>
    <w:rsid w:val="00C23E29"/>
    <w:rsid w:val="00C240FC"/>
    <w:rsid w:val="00C24825"/>
    <w:rsid w:val="00C25637"/>
    <w:rsid w:val="00C2624E"/>
    <w:rsid w:val="00C2625E"/>
    <w:rsid w:val="00C2644A"/>
    <w:rsid w:val="00C2660A"/>
    <w:rsid w:val="00C2741F"/>
    <w:rsid w:val="00C2777B"/>
    <w:rsid w:val="00C27D42"/>
    <w:rsid w:val="00C302EB"/>
    <w:rsid w:val="00C30A1A"/>
    <w:rsid w:val="00C30D42"/>
    <w:rsid w:val="00C31E54"/>
    <w:rsid w:val="00C32450"/>
    <w:rsid w:val="00C32977"/>
    <w:rsid w:val="00C32FBB"/>
    <w:rsid w:val="00C330B5"/>
    <w:rsid w:val="00C3355D"/>
    <w:rsid w:val="00C337BF"/>
    <w:rsid w:val="00C33E04"/>
    <w:rsid w:val="00C3426E"/>
    <w:rsid w:val="00C342CB"/>
    <w:rsid w:val="00C34676"/>
    <w:rsid w:val="00C349A5"/>
    <w:rsid w:val="00C34ED6"/>
    <w:rsid w:val="00C3503E"/>
    <w:rsid w:val="00C35DCC"/>
    <w:rsid w:val="00C376EF"/>
    <w:rsid w:val="00C37CC1"/>
    <w:rsid w:val="00C40B30"/>
    <w:rsid w:val="00C40F20"/>
    <w:rsid w:val="00C41056"/>
    <w:rsid w:val="00C416FF"/>
    <w:rsid w:val="00C423A0"/>
    <w:rsid w:val="00C42C69"/>
    <w:rsid w:val="00C42DCE"/>
    <w:rsid w:val="00C439F7"/>
    <w:rsid w:val="00C43B36"/>
    <w:rsid w:val="00C441DE"/>
    <w:rsid w:val="00C44241"/>
    <w:rsid w:val="00C4471E"/>
    <w:rsid w:val="00C44A6E"/>
    <w:rsid w:val="00C453BD"/>
    <w:rsid w:val="00C45F37"/>
    <w:rsid w:val="00C46039"/>
    <w:rsid w:val="00C465DE"/>
    <w:rsid w:val="00C4736D"/>
    <w:rsid w:val="00C47E51"/>
    <w:rsid w:val="00C47F81"/>
    <w:rsid w:val="00C50180"/>
    <w:rsid w:val="00C505D3"/>
    <w:rsid w:val="00C50C76"/>
    <w:rsid w:val="00C50DF4"/>
    <w:rsid w:val="00C518C9"/>
    <w:rsid w:val="00C519F1"/>
    <w:rsid w:val="00C51DDC"/>
    <w:rsid w:val="00C51FAA"/>
    <w:rsid w:val="00C52342"/>
    <w:rsid w:val="00C52EE8"/>
    <w:rsid w:val="00C53851"/>
    <w:rsid w:val="00C53BCA"/>
    <w:rsid w:val="00C53E9A"/>
    <w:rsid w:val="00C55991"/>
    <w:rsid w:val="00C55ADA"/>
    <w:rsid w:val="00C56605"/>
    <w:rsid w:val="00C5675B"/>
    <w:rsid w:val="00C56F5D"/>
    <w:rsid w:val="00C5707F"/>
    <w:rsid w:val="00C5761F"/>
    <w:rsid w:val="00C57768"/>
    <w:rsid w:val="00C57AE5"/>
    <w:rsid w:val="00C57B97"/>
    <w:rsid w:val="00C57CA6"/>
    <w:rsid w:val="00C602D6"/>
    <w:rsid w:val="00C606F7"/>
    <w:rsid w:val="00C60886"/>
    <w:rsid w:val="00C608B2"/>
    <w:rsid w:val="00C60B2D"/>
    <w:rsid w:val="00C612F7"/>
    <w:rsid w:val="00C61E83"/>
    <w:rsid w:val="00C623C6"/>
    <w:rsid w:val="00C624DC"/>
    <w:rsid w:val="00C627CA"/>
    <w:rsid w:val="00C62C8F"/>
    <w:rsid w:val="00C62EA3"/>
    <w:rsid w:val="00C630A3"/>
    <w:rsid w:val="00C630E5"/>
    <w:rsid w:val="00C63ADF"/>
    <w:rsid w:val="00C63CBB"/>
    <w:rsid w:val="00C641DF"/>
    <w:rsid w:val="00C64792"/>
    <w:rsid w:val="00C64843"/>
    <w:rsid w:val="00C64B04"/>
    <w:rsid w:val="00C64D79"/>
    <w:rsid w:val="00C6526D"/>
    <w:rsid w:val="00C65A32"/>
    <w:rsid w:val="00C66744"/>
    <w:rsid w:val="00C678AA"/>
    <w:rsid w:val="00C67952"/>
    <w:rsid w:val="00C7073B"/>
    <w:rsid w:val="00C70E9B"/>
    <w:rsid w:val="00C71453"/>
    <w:rsid w:val="00C715D6"/>
    <w:rsid w:val="00C727BF"/>
    <w:rsid w:val="00C73479"/>
    <w:rsid w:val="00C73853"/>
    <w:rsid w:val="00C73A52"/>
    <w:rsid w:val="00C746CB"/>
    <w:rsid w:val="00C74745"/>
    <w:rsid w:val="00C753CE"/>
    <w:rsid w:val="00C7593B"/>
    <w:rsid w:val="00C7698D"/>
    <w:rsid w:val="00C76AED"/>
    <w:rsid w:val="00C7700D"/>
    <w:rsid w:val="00C77679"/>
    <w:rsid w:val="00C77D7A"/>
    <w:rsid w:val="00C77DCD"/>
    <w:rsid w:val="00C77E58"/>
    <w:rsid w:val="00C80735"/>
    <w:rsid w:val="00C8128A"/>
    <w:rsid w:val="00C81CEF"/>
    <w:rsid w:val="00C8241E"/>
    <w:rsid w:val="00C8304E"/>
    <w:rsid w:val="00C835F1"/>
    <w:rsid w:val="00C83777"/>
    <w:rsid w:val="00C83A62"/>
    <w:rsid w:val="00C83E5D"/>
    <w:rsid w:val="00C850BB"/>
    <w:rsid w:val="00C8620B"/>
    <w:rsid w:val="00C8621A"/>
    <w:rsid w:val="00C86689"/>
    <w:rsid w:val="00C86780"/>
    <w:rsid w:val="00C86C68"/>
    <w:rsid w:val="00C86D68"/>
    <w:rsid w:val="00C87161"/>
    <w:rsid w:val="00C873ED"/>
    <w:rsid w:val="00C876EE"/>
    <w:rsid w:val="00C87CFC"/>
    <w:rsid w:val="00C87E6F"/>
    <w:rsid w:val="00C90142"/>
    <w:rsid w:val="00C907C2"/>
    <w:rsid w:val="00C9156D"/>
    <w:rsid w:val="00C91A1D"/>
    <w:rsid w:val="00C91EC4"/>
    <w:rsid w:val="00C922B2"/>
    <w:rsid w:val="00C9235D"/>
    <w:rsid w:val="00C92401"/>
    <w:rsid w:val="00C92E12"/>
    <w:rsid w:val="00C92FBB"/>
    <w:rsid w:val="00C93022"/>
    <w:rsid w:val="00C932A9"/>
    <w:rsid w:val="00C93420"/>
    <w:rsid w:val="00C93429"/>
    <w:rsid w:val="00C936C2"/>
    <w:rsid w:val="00C94257"/>
    <w:rsid w:val="00C949D3"/>
    <w:rsid w:val="00C94FF9"/>
    <w:rsid w:val="00C95228"/>
    <w:rsid w:val="00C955EB"/>
    <w:rsid w:val="00C95F34"/>
    <w:rsid w:val="00C967FA"/>
    <w:rsid w:val="00C96FCC"/>
    <w:rsid w:val="00C97701"/>
    <w:rsid w:val="00CA03DD"/>
    <w:rsid w:val="00CA04E5"/>
    <w:rsid w:val="00CA071F"/>
    <w:rsid w:val="00CA0C72"/>
    <w:rsid w:val="00CA108D"/>
    <w:rsid w:val="00CA1618"/>
    <w:rsid w:val="00CA2475"/>
    <w:rsid w:val="00CA2C4F"/>
    <w:rsid w:val="00CA3381"/>
    <w:rsid w:val="00CA3A27"/>
    <w:rsid w:val="00CA3E4B"/>
    <w:rsid w:val="00CA4256"/>
    <w:rsid w:val="00CA44D1"/>
    <w:rsid w:val="00CA48DE"/>
    <w:rsid w:val="00CA4D45"/>
    <w:rsid w:val="00CA50C8"/>
    <w:rsid w:val="00CA62A9"/>
    <w:rsid w:val="00CA6641"/>
    <w:rsid w:val="00CA69CA"/>
    <w:rsid w:val="00CA70EA"/>
    <w:rsid w:val="00CA7D59"/>
    <w:rsid w:val="00CA7E5E"/>
    <w:rsid w:val="00CB01A1"/>
    <w:rsid w:val="00CB0646"/>
    <w:rsid w:val="00CB0ABA"/>
    <w:rsid w:val="00CB0BB9"/>
    <w:rsid w:val="00CB0DBD"/>
    <w:rsid w:val="00CB1E05"/>
    <w:rsid w:val="00CB1E8D"/>
    <w:rsid w:val="00CB1F5B"/>
    <w:rsid w:val="00CB26CC"/>
    <w:rsid w:val="00CB2EFF"/>
    <w:rsid w:val="00CB3D51"/>
    <w:rsid w:val="00CB415F"/>
    <w:rsid w:val="00CB4276"/>
    <w:rsid w:val="00CB4B85"/>
    <w:rsid w:val="00CB5D30"/>
    <w:rsid w:val="00CB5F2C"/>
    <w:rsid w:val="00CB6FE2"/>
    <w:rsid w:val="00CB70E7"/>
    <w:rsid w:val="00CB7552"/>
    <w:rsid w:val="00CB7ADB"/>
    <w:rsid w:val="00CC0CB4"/>
    <w:rsid w:val="00CC0D13"/>
    <w:rsid w:val="00CC0EEE"/>
    <w:rsid w:val="00CC0FAF"/>
    <w:rsid w:val="00CC10EE"/>
    <w:rsid w:val="00CC163A"/>
    <w:rsid w:val="00CC1AE9"/>
    <w:rsid w:val="00CC26A3"/>
    <w:rsid w:val="00CC33FE"/>
    <w:rsid w:val="00CC37A0"/>
    <w:rsid w:val="00CC3D27"/>
    <w:rsid w:val="00CC3F91"/>
    <w:rsid w:val="00CC4122"/>
    <w:rsid w:val="00CC463F"/>
    <w:rsid w:val="00CC4765"/>
    <w:rsid w:val="00CC4D12"/>
    <w:rsid w:val="00CC5213"/>
    <w:rsid w:val="00CC568C"/>
    <w:rsid w:val="00CC5885"/>
    <w:rsid w:val="00CC59D7"/>
    <w:rsid w:val="00CC66F9"/>
    <w:rsid w:val="00CC6BA6"/>
    <w:rsid w:val="00CC7AFD"/>
    <w:rsid w:val="00CC7C11"/>
    <w:rsid w:val="00CD00E1"/>
    <w:rsid w:val="00CD0A1F"/>
    <w:rsid w:val="00CD0F5E"/>
    <w:rsid w:val="00CD124B"/>
    <w:rsid w:val="00CD2807"/>
    <w:rsid w:val="00CD2A5A"/>
    <w:rsid w:val="00CD3616"/>
    <w:rsid w:val="00CD38D3"/>
    <w:rsid w:val="00CD39D9"/>
    <w:rsid w:val="00CD4498"/>
    <w:rsid w:val="00CD5044"/>
    <w:rsid w:val="00CD59CF"/>
    <w:rsid w:val="00CD5A9B"/>
    <w:rsid w:val="00CD6176"/>
    <w:rsid w:val="00CD6226"/>
    <w:rsid w:val="00CD77CD"/>
    <w:rsid w:val="00CD7CE6"/>
    <w:rsid w:val="00CD7E0E"/>
    <w:rsid w:val="00CE01F7"/>
    <w:rsid w:val="00CE0512"/>
    <w:rsid w:val="00CE0965"/>
    <w:rsid w:val="00CE27B4"/>
    <w:rsid w:val="00CE2853"/>
    <w:rsid w:val="00CE3AD4"/>
    <w:rsid w:val="00CE3C60"/>
    <w:rsid w:val="00CE4129"/>
    <w:rsid w:val="00CE425C"/>
    <w:rsid w:val="00CE515E"/>
    <w:rsid w:val="00CE5220"/>
    <w:rsid w:val="00CE5621"/>
    <w:rsid w:val="00CE5D8F"/>
    <w:rsid w:val="00CE689F"/>
    <w:rsid w:val="00CE6EE4"/>
    <w:rsid w:val="00CE7A5B"/>
    <w:rsid w:val="00CE7C40"/>
    <w:rsid w:val="00CE7D61"/>
    <w:rsid w:val="00CF048D"/>
    <w:rsid w:val="00CF09E1"/>
    <w:rsid w:val="00CF15B6"/>
    <w:rsid w:val="00CF177D"/>
    <w:rsid w:val="00CF206C"/>
    <w:rsid w:val="00CF2667"/>
    <w:rsid w:val="00CF29E2"/>
    <w:rsid w:val="00CF343D"/>
    <w:rsid w:val="00CF379F"/>
    <w:rsid w:val="00CF3885"/>
    <w:rsid w:val="00CF479C"/>
    <w:rsid w:val="00CF52EA"/>
    <w:rsid w:val="00CF5318"/>
    <w:rsid w:val="00CF5D1F"/>
    <w:rsid w:val="00CF6964"/>
    <w:rsid w:val="00CF699D"/>
    <w:rsid w:val="00CF6F67"/>
    <w:rsid w:val="00CF7352"/>
    <w:rsid w:val="00CF744E"/>
    <w:rsid w:val="00CF7E64"/>
    <w:rsid w:val="00D00F8C"/>
    <w:rsid w:val="00D01BA3"/>
    <w:rsid w:val="00D01BFC"/>
    <w:rsid w:val="00D0353B"/>
    <w:rsid w:val="00D036FC"/>
    <w:rsid w:val="00D03D85"/>
    <w:rsid w:val="00D04253"/>
    <w:rsid w:val="00D04CC9"/>
    <w:rsid w:val="00D04FD6"/>
    <w:rsid w:val="00D05615"/>
    <w:rsid w:val="00D0569D"/>
    <w:rsid w:val="00D05CC7"/>
    <w:rsid w:val="00D06237"/>
    <w:rsid w:val="00D06DDE"/>
    <w:rsid w:val="00D06DF9"/>
    <w:rsid w:val="00D0755F"/>
    <w:rsid w:val="00D10958"/>
    <w:rsid w:val="00D10AEC"/>
    <w:rsid w:val="00D10FE6"/>
    <w:rsid w:val="00D1141B"/>
    <w:rsid w:val="00D1161E"/>
    <w:rsid w:val="00D118BD"/>
    <w:rsid w:val="00D11E4D"/>
    <w:rsid w:val="00D1304F"/>
    <w:rsid w:val="00D13C62"/>
    <w:rsid w:val="00D14204"/>
    <w:rsid w:val="00D1454F"/>
    <w:rsid w:val="00D146E1"/>
    <w:rsid w:val="00D1499B"/>
    <w:rsid w:val="00D152FD"/>
    <w:rsid w:val="00D158C2"/>
    <w:rsid w:val="00D15A56"/>
    <w:rsid w:val="00D1630D"/>
    <w:rsid w:val="00D16871"/>
    <w:rsid w:val="00D16876"/>
    <w:rsid w:val="00D1710E"/>
    <w:rsid w:val="00D17539"/>
    <w:rsid w:val="00D17746"/>
    <w:rsid w:val="00D203DE"/>
    <w:rsid w:val="00D20968"/>
    <w:rsid w:val="00D2098D"/>
    <w:rsid w:val="00D20A37"/>
    <w:rsid w:val="00D20CB6"/>
    <w:rsid w:val="00D21B56"/>
    <w:rsid w:val="00D22493"/>
    <w:rsid w:val="00D23B4B"/>
    <w:rsid w:val="00D25181"/>
    <w:rsid w:val="00D25407"/>
    <w:rsid w:val="00D2574F"/>
    <w:rsid w:val="00D25B0D"/>
    <w:rsid w:val="00D25C3E"/>
    <w:rsid w:val="00D25C84"/>
    <w:rsid w:val="00D25EC0"/>
    <w:rsid w:val="00D27034"/>
    <w:rsid w:val="00D27469"/>
    <w:rsid w:val="00D2751C"/>
    <w:rsid w:val="00D27A0A"/>
    <w:rsid w:val="00D30504"/>
    <w:rsid w:val="00D30CA1"/>
    <w:rsid w:val="00D316F2"/>
    <w:rsid w:val="00D318E5"/>
    <w:rsid w:val="00D31C1C"/>
    <w:rsid w:val="00D32157"/>
    <w:rsid w:val="00D323D0"/>
    <w:rsid w:val="00D32782"/>
    <w:rsid w:val="00D32C58"/>
    <w:rsid w:val="00D34216"/>
    <w:rsid w:val="00D34252"/>
    <w:rsid w:val="00D3459A"/>
    <w:rsid w:val="00D34CFC"/>
    <w:rsid w:val="00D3539E"/>
    <w:rsid w:val="00D35E53"/>
    <w:rsid w:val="00D368B5"/>
    <w:rsid w:val="00D37A72"/>
    <w:rsid w:val="00D37EF0"/>
    <w:rsid w:val="00D37F55"/>
    <w:rsid w:val="00D40ACA"/>
    <w:rsid w:val="00D40B80"/>
    <w:rsid w:val="00D40C50"/>
    <w:rsid w:val="00D42695"/>
    <w:rsid w:val="00D42957"/>
    <w:rsid w:val="00D42B96"/>
    <w:rsid w:val="00D43060"/>
    <w:rsid w:val="00D43364"/>
    <w:rsid w:val="00D434D3"/>
    <w:rsid w:val="00D44058"/>
    <w:rsid w:val="00D440AF"/>
    <w:rsid w:val="00D44100"/>
    <w:rsid w:val="00D44421"/>
    <w:rsid w:val="00D4445A"/>
    <w:rsid w:val="00D446D8"/>
    <w:rsid w:val="00D44B88"/>
    <w:rsid w:val="00D45417"/>
    <w:rsid w:val="00D45523"/>
    <w:rsid w:val="00D456BE"/>
    <w:rsid w:val="00D467C1"/>
    <w:rsid w:val="00D46C28"/>
    <w:rsid w:val="00D46EC8"/>
    <w:rsid w:val="00D473FC"/>
    <w:rsid w:val="00D474E5"/>
    <w:rsid w:val="00D474FE"/>
    <w:rsid w:val="00D47AD3"/>
    <w:rsid w:val="00D47F93"/>
    <w:rsid w:val="00D508BC"/>
    <w:rsid w:val="00D50B53"/>
    <w:rsid w:val="00D512C2"/>
    <w:rsid w:val="00D516BB"/>
    <w:rsid w:val="00D5189B"/>
    <w:rsid w:val="00D51E52"/>
    <w:rsid w:val="00D52284"/>
    <w:rsid w:val="00D525BD"/>
    <w:rsid w:val="00D52629"/>
    <w:rsid w:val="00D52944"/>
    <w:rsid w:val="00D52ECE"/>
    <w:rsid w:val="00D530B8"/>
    <w:rsid w:val="00D53718"/>
    <w:rsid w:val="00D538F4"/>
    <w:rsid w:val="00D5390F"/>
    <w:rsid w:val="00D53D28"/>
    <w:rsid w:val="00D54BD0"/>
    <w:rsid w:val="00D55C2E"/>
    <w:rsid w:val="00D55F1A"/>
    <w:rsid w:val="00D56499"/>
    <w:rsid w:val="00D5673A"/>
    <w:rsid w:val="00D56807"/>
    <w:rsid w:val="00D56841"/>
    <w:rsid w:val="00D56D4D"/>
    <w:rsid w:val="00D572A6"/>
    <w:rsid w:val="00D57C02"/>
    <w:rsid w:val="00D6009E"/>
    <w:rsid w:val="00D611D7"/>
    <w:rsid w:val="00D61EF4"/>
    <w:rsid w:val="00D62189"/>
    <w:rsid w:val="00D62BD7"/>
    <w:rsid w:val="00D6415F"/>
    <w:rsid w:val="00D6471A"/>
    <w:rsid w:val="00D6593D"/>
    <w:rsid w:val="00D65EA7"/>
    <w:rsid w:val="00D6640B"/>
    <w:rsid w:val="00D66874"/>
    <w:rsid w:val="00D670E1"/>
    <w:rsid w:val="00D6716F"/>
    <w:rsid w:val="00D67313"/>
    <w:rsid w:val="00D673E5"/>
    <w:rsid w:val="00D67632"/>
    <w:rsid w:val="00D7026E"/>
    <w:rsid w:val="00D7059B"/>
    <w:rsid w:val="00D7099C"/>
    <w:rsid w:val="00D70A35"/>
    <w:rsid w:val="00D7144E"/>
    <w:rsid w:val="00D71B7E"/>
    <w:rsid w:val="00D72188"/>
    <w:rsid w:val="00D72A4C"/>
    <w:rsid w:val="00D72E94"/>
    <w:rsid w:val="00D72EF6"/>
    <w:rsid w:val="00D7347F"/>
    <w:rsid w:val="00D73CCB"/>
    <w:rsid w:val="00D7450F"/>
    <w:rsid w:val="00D74986"/>
    <w:rsid w:val="00D74BD9"/>
    <w:rsid w:val="00D74DF2"/>
    <w:rsid w:val="00D7597B"/>
    <w:rsid w:val="00D75B64"/>
    <w:rsid w:val="00D76161"/>
    <w:rsid w:val="00D762A9"/>
    <w:rsid w:val="00D763A4"/>
    <w:rsid w:val="00D76760"/>
    <w:rsid w:val="00D76842"/>
    <w:rsid w:val="00D7689E"/>
    <w:rsid w:val="00D76AFD"/>
    <w:rsid w:val="00D76BC1"/>
    <w:rsid w:val="00D76BFA"/>
    <w:rsid w:val="00D76E4E"/>
    <w:rsid w:val="00D779F4"/>
    <w:rsid w:val="00D77A90"/>
    <w:rsid w:val="00D77DD9"/>
    <w:rsid w:val="00D808F3"/>
    <w:rsid w:val="00D80904"/>
    <w:rsid w:val="00D8109F"/>
    <w:rsid w:val="00D81126"/>
    <w:rsid w:val="00D815E8"/>
    <w:rsid w:val="00D81F7E"/>
    <w:rsid w:val="00D825AC"/>
    <w:rsid w:val="00D825EC"/>
    <w:rsid w:val="00D83299"/>
    <w:rsid w:val="00D84228"/>
    <w:rsid w:val="00D84696"/>
    <w:rsid w:val="00D849B0"/>
    <w:rsid w:val="00D84BCF"/>
    <w:rsid w:val="00D8513C"/>
    <w:rsid w:val="00D85992"/>
    <w:rsid w:val="00D85C02"/>
    <w:rsid w:val="00D86442"/>
    <w:rsid w:val="00D86780"/>
    <w:rsid w:val="00D8698B"/>
    <w:rsid w:val="00D86B26"/>
    <w:rsid w:val="00D86B39"/>
    <w:rsid w:val="00D87CA1"/>
    <w:rsid w:val="00D906A5"/>
    <w:rsid w:val="00D9087B"/>
    <w:rsid w:val="00D90BB9"/>
    <w:rsid w:val="00D912B5"/>
    <w:rsid w:val="00D918A9"/>
    <w:rsid w:val="00D91B30"/>
    <w:rsid w:val="00D91C63"/>
    <w:rsid w:val="00D91EA6"/>
    <w:rsid w:val="00D92034"/>
    <w:rsid w:val="00D922C6"/>
    <w:rsid w:val="00D928A4"/>
    <w:rsid w:val="00D92C58"/>
    <w:rsid w:val="00D93199"/>
    <w:rsid w:val="00D93A9B"/>
    <w:rsid w:val="00D93C68"/>
    <w:rsid w:val="00D95666"/>
    <w:rsid w:val="00D95A86"/>
    <w:rsid w:val="00D9644C"/>
    <w:rsid w:val="00D96CFD"/>
    <w:rsid w:val="00D974A3"/>
    <w:rsid w:val="00D97577"/>
    <w:rsid w:val="00DA000B"/>
    <w:rsid w:val="00DA00B2"/>
    <w:rsid w:val="00DA07F9"/>
    <w:rsid w:val="00DA10E9"/>
    <w:rsid w:val="00DA292B"/>
    <w:rsid w:val="00DA39B3"/>
    <w:rsid w:val="00DA3A70"/>
    <w:rsid w:val="00DA3C5E"/>
    <w:rsid w:val="00DA3E88"/>
    <w:rsid w:val="00DA45E5"/>
    <w:rsid w:val="00DA4839"/>
    <w:rsid w:val="00DA4E43"/>
    <w:rsid w:val="00DA59F7"/>
    <w:rsid w:val="00DA5E13"/>
    <w:rsid w:val="00DA5ED3"/>
    <w:rsid w:val="00DA604F"/>
    <w:rsid w:val="00DA64CA"/>
    <w:rsid w:val="00DA69B7"/>
    <w:rsid w:val="00DA7630"/>
    <w:rsid w:val="00DA7901"/>
    <w:rsid w:val="00DB017D"/>
    <w:rsid w:val="00DB1863"/>
    <w:rsid w:val="00DB26F0"/>
    <w:rsid w:val="00DB2A2D"/>
    <w:rsid w:val="00DB3823"/>
    <w:rsid w:val="00DB44AA"/>
    <w:rsid w:val="00DB54F2"/>
    <w:rsid w:val="00DB706D"/>
    <w:rsid w:val="00DB7253"/>
    <w:rsid w:val="00DB73F2"/>
    <w:rsid w:val="00DB7655"/>
    <w:rsid w:val="00DB76D1"/>
    <w:rsid w:val="00DB78DE"/>
    <w:rsid w:val="00DB7BAD"/>
    <w:rsid w:val="00DC05EC"/>
    <w:rsid w:val="00DC1392"/>
    <w:rsid w:val="00DC15A6"/>
    <w:rsid w:val="00DC1948"/>
    <w:rsid w:val="00DC1DE2"/>
    <w:rsid w:val="00DC23B9"/>
    <w:rsid w:val="00DC23D5"/>
    <w:rsid w:val="00DC2D21"/>
    <w:rsid w:val="00DC3C94"/>
    <w:rsid w:val="00DC3DBB"/>
    <w:rsid w:val="00DC4702"/>
    <w:rsid w:val="00DC4895"/>
    <w:rsid w:val="00DC4E0A"/>
    <w:rsid w:val="00DC4F02"/>
    <w:rsid w:val="00DC5BFA"/>
    <w:rsid w:val="00DC5CD0"/>
    <w:rsid w:val="00DC5CE1"/>
    <w:rsid w:val="00DC67B3"/>
    <w:rsid w:val="00DC6882"/>
    <w:rsid w:val="00DC73BD"/>
    <w:rsid w:val="00DC7570"/>
    <w:rsid w:val="00DC7681"/>
    <w:rsid w:val="00DC7CA9"/>
    <w:rsid w:val="00DC7CC8"/>
    <w:rsid w:val="00DD0A26"/>
    <w:rsid w:val="00DD0F65"/>
    <w:rsid w:val="00DD137A"/>
    <w:rsid w:val="00DD2AA1"/>
    <w:rsid w:val="00DD2AF6"/>
    <w:rsid w:val="00DD3C6F"/>
    <w:rsid w:val="00DD400F"/>
    <w:rsid w:val="00DD5270"/>
    <w:rsid w:val="00DD52DA"/>
    <w:rsid w:val="00DD5898"/>
    <w:rsid w:val="00DD58D8"/>
    <w:rsid w:val="00DD5CB8"/>
    <w:rsid w:val="00DD612A"/>
    <w:rsid w:val="00DD638F"/>
    <w:rsid w:val="00DD6BF2"/>
    <w:rsid w:val="00DD792B"/>
    <w:rsid w:val="00DD7998"/>
    <w:rsid w:val="00DD7BA4"/>
    <w:rsid w:val="00DD7E37"/>
    <w:rsid w:val="00DE02FA"/>
    <w:rsid w:val="00DE1288"/>
    <w:rsid w:val="00DE1289"/>
    <w:rsid w:val="00DE26F2"/>
    <w:rsid w:val="00DE2F57"/>
    <w:rsid w:val="00DE3180"/>
    <w:rsid w:val="00DE38BA"/>
    <w:rsid w:val="00DE3FA3"/>
    <w:rsid w:val="00DE53D1"/>
    <w:rsid w:val="00DE5C86"/>
    <w:rsid w:val="00DE7910"/>
    <w:rsid w:val="00DE79A3"/>
    <w:rsid w:val="00DF0365"/>
    <w:rsid w:val="00DF0C53"/>
    <w:rsid w:val="00DF0E0F"/>
    <w:rsid w:val="00DF1349"/>
    <w:rsid w:val="00DF191E"/>
    <w:rsid w:val="00DF1BC0"/>
    <w:rsid w:val="00DF1FA2"/>
    <w:rsid w:val="00DF208C"/>
    <w:rsid w:val="00DF242E"/>
    <w:rsid w:val="00DF3B96"/>
    <w:rsid w:val="00DF3CC3"/>
    <w:rsid w:val="00DF3D7E"/>
    <w:rsid w:val="00DF45F1"/>
    <w:rsid w:val="00DF4BD0"/>
    <w:rsid w:val="00DF5213"/>
    <w:rsid w:val="00DF6201"/>
    <w:rsid w:val="00DF6B81"/>
    <w:rsid w:val="00DF7005"/>
    <w:rsid w:val="00DF755B"/>
    <w:rsid w:val="00DF7B20"/>
    <w:rsid w:val="00DF7F49"/>
    <w:rsid w:val="00E006A5"/>
    <w:rsid w:val="00E01EFA"/>
    <w:rsid w:val="00E02398"/>
    <w:rsid w:val="00E038F3"/>
    <w:rsid w:val="00E03CEF"/>
    <w:rsid w:val="00E042B6"/>
    <w:rsid w:val="00E04E93"/>
    <w:rsid w:val="00E050F6"/>
    <w:rsid w:val="00E05F3E"/>
    <w:rsid w:val="00E06A98"/>
    <w:rsid w:val="00E06B8A"/>
    <w:rsid w:val="00E06E7A"/>
    <w:rsid w:val="00E0725A"/>
    <w:rsid w:val="00E0756A"/>
    <w:rsid w:val="00E077ED"/>
    <w:rsid w:val="00E078D3"/>
    <w:rsid w:val="00E07FE8"/>
    <w:rsid w:val="00E102CD"/>
    <w:rsid w:val="00E1093B"/>
    <w:rsid w:val="00E10CBA"/>
    <w:rsid w:val="00E10F53"/>
    <w:rsid w:val="00E111CF"/>
    <w:rsid w:val="00E11E5C"/>
    <w:rsid w:val="00E126F6"/>
    <w:rsid w:val="00E12AA9"/>
    <w:rsid w:val="00E12F25"/>
    <w:rsid w:val="00E12FA9"/>
    <w:rsid w:val="00E13114"/>
    <w:rsid w:val="00E13152"/>
    <w:rsid w:val="00E13460"/>
    <w:rsid w:val="00E13674"/>
    <w:rsid w:val="00E142F3"/>
    <w:rsid w:val="00E14481"/>
    <w:rsid w:val="00E149E6"/>
    <w:rsid w:val="00E14DF8"/>
    <w:rsid w:val="00E14F2A"/>
    <w:rsid w:val="00E153A3"/>
    <w:rsid w:val="00E157DF"/>
    <w:rsid w:val="00E164D0"/>
    <w:rsid w:val="00E16E53"/>
    <w:rsid w:val="00E17437"/>
    <w:rsid w:val="00E17AEA"/>
    <w:rsid w:val="00E17CDF"/>
    <w:rsid w:val="00E17E15"/>
    <w:rsid w:val="00E2004D"/>
    <w:rsid w:val="00E2051D"/>
    <w:rsid w:val="00E20ADA"/>
    <w:rsid w:val="00E2189B"/>
    <w:rsid w:val="00E2251E"/>
    <w:rsid w:val="00E22668"/>
    <w:rsid w:val="00E2383E"/>
    <w:rsid w:val="00E24865"/>
    <w:rsid w:val="00E25812"/>
    <w:rsid w:val="00E25AC3"/>
    <w:rsid w:val="00E262E7"/>
    <w:rsid w:val="00E26418"/>
    <w:rsid w:val="00E26555"/>
    <w:rsid w:val="00E265CC"/>
    <w:rsid w:val="00E26FE5"/>
    <w:rsid w:val="00E273B4"/>
    <w:rsid w:val="00E277C2"/>
    <w:rsid w:val="00E27C05"/>
    <w:rsid w:val="00E309DA"/>
    <w:rsid w:val="00E31063"/>
    <w:rsid w:val="00E31443"/>
    <w:rsid w:val="00E31CFC"/>
    <w:rsid w:val="00E32A0D"/>
    <w:rsid w:val="00E32A7A"/>
    <w:rsid w:val="00E331F9"/>
    <w:rsid w:val="00E33B99"/>
    <w:rsid w:val="00E34218"/>
    <w:rsid w:val="00E345A3"/>
    <w:rsid w:val="00E347BE"/>
    <w:rsid w:val="00E34829"/>
    <w:rsid w:val="00E3519E"/>
    <w:rsid w:val="00E354F8"/>
    <w:rsid w:val="00E358FB"/>
    <w:rsid w:val="00E3608B"/>
    <w:rsid w:val="00E360B4"/>
    <w:rsid w:val="00E36166"/>
    <w:rsid w:val="00E365D4"/>
    <w:rsid w:val="00E365F1"/>
    <w:rsid w:val="00E372FC"/>
    <w:rsid w:val="00E379CE"/>
    <w:rsid w:val="00E4001C"/>
    <w:rsid w:val="00E40044"/>
    <w:rsid w:val="00E404BB"/>
    <w:rsid w:val="00E40A0E"/>
    <w:rsid w:val="00E41E93"/>
    <w:rsid w:val="00E41F6E"/>
    <w:rsid w:val="00E423F0"/>
    <w:rsid w:val="00E42781"/>
    <w:rsid w:val="00E427AC"/>
    <w:rsid w:val="00E439FD"/>
    <w:rsid w:val="00E43E67"/>
    <w:rsid w:val="00E44348"/>
    <w:rsid w:val="00E44426"/>
    <w:rsid w:val="00E44B60"/>
    <w:rsid w:val="00E44D8D"/>
    <w:rsid w:val="00E45E53"/>
    <w:rsid w:val="00E461B7"/>
    <w:rsid w:val="00E46461"/>
    <w:rsid w:val="00E47110"/>
    <w:rsid w:val="00E47DA2"/>
    <w:rsid w:val="00E50A2B"/>
    <w:rsid w:val="00E50B66"/>
    <w:rsid w:val="00E50E31"/>
    <w:rsid w:val="00E50E46"/>
    <w:rsid w:val="00E517BC"/>
    <w:rsid w:val="00E51DB2"/>
    <w:rsid w:val="00E52164"/>
    <w:rsid w:val="00E52669"/>
    <w:rsid w:val="00E526B8"/>
    <w:rsid w:val="00E529CE"/>
    <w:rsid w:val="00E52E26"/>
    <w:rsid w:val="00E530FF"/>
    <w:rsid w:val="00E543DF"/>
    <w:rsid w:val="00E5448A"/>
    <w:rsid w:val="00E54AD2"/>
    <w:rsid w:val="00E5663E"/>
    <w:rsid w:val="00E569FA"/>
    <w:rsid w:val="00E577C7"/>
    <w:rsid w:val="00E601A0"/>
    <w:rsid w:val="00E60777"/>
    <w:rsid w:val="00E60AB4"/>
    <w:rsid w:val="00E60BEB"/>
    <w:rsid w:val="00E60C50"/>
    <w:rsid w:val="00E60C80"/>
    <w:rsid w:val="00E60E5E"/>
    <w:rsid w:val="00E61416"/>
    <w:rsid w:val="00E61A47"/>
    <w:rsid w:val="00E61AE1"/>
    <w:rsid w:val="00E61B65"/>
    <w:rsid w:val="00E6229D"/>
    <w:rsid w:val="00E62AA1"/>
    <w:rsid w:val="00E63102"/>
    <w:rsid w:val="00E63268"/>
    <w:rsid w:val="00E63399"/>
    <w:rsid w:val="00E635F4"/>
    <w:rsid w:val="00E63DE4"/>
    <w:rsid w:val="00E641F0"/>
    <w:rsid w:val="00E64904"/>
    <w:rsid w:val="00E65612"/>
    <w:rsid w:val="00E6567D"/>
    <w:rsid w:val="00E65F36"/>
    <w:rsid w:val="00E66E18"/>
    <w:rsid w:val="00E67272"/>
    <w:rsid w:val="00E6728F"/>
    <w:rsid w:val="00E708B8"/>
    <w:rsid w:val="00E7133B"/>
    <w:rsid w:val="00E713CD"/>
    <w:rsid w:val="00E7158E"/>
    <w:rsid w:val="00E71CDB"/>
    <w:rsid w:val="00E720D0"/>
    <w:rsid w:val="00E729D9"/>
    <w:rsid w:val="00E72F52"/>
    <w:rsid w:val="00E734F4"/>
    <w:rsid w:val="00E73776"/>
    <w:rsid w:val="00E73814"/>
    <w:rsid w:val="00E73B85"/>
    <w:rsid w:val="00E74167"/>
    <w:rsid w:val="00E7430D"/>
    <w:rsid w:val="00E7437D"/>
    <w:rsid w:val="00E74C3C"/>
    <w:rsid w:val="00E75363"/>
    <w:rsid w:val="00E75D34"/>
    <w:rsid w:val="00E767A1"/>
    <w:rsid w:val="00E76CA7"/>
    <w:rsid w:val="00E77DB4"/>
    <w:rsid w:val="00E8004B"/>
    <w:rsid w:val="00E80651"/>
    <w:rsid w:val="00E80A4C"/>
    <w:rsid w:val="00E80C0E"/>
    <w:rsid w:val="00E813B0"/>
    <w:rsid w:val="00E818A3"/>
    <w:rsid w:val="00E82C01"/>
    <w:rsid w:val="00E833D3"/>
    <w:rsid w:val="00E837E5"/>
    <w:rsid w:val="00E838CC"/>
    <w:rsid w:val="00E84602"/>
    <w:rsid w:val="00E84687"/>
    <w:rsid w:val="00E84B62"/>
    <w:rsid w:val="00E85047"/>
    <w:rsid w:val="00E854D1"/>
    <w:rsid w:val="00E85866"/>
    <w:rsid w:val="00E85A30"/>
    <w:rsid w:val="00E85E66"/>
    <w:rsid w:val="00E860D7"/>
    <w:rsid w:val="00E86A89"/>
    <w:rsid w:val="00E87070"/>
    <w:rsid w:val="00E90708"/>
    <w:rsid w:val="00E912A6"/>
    <w:rsid w:val="00E921C8"/>
    <w:rsid w:val="00E92420"/>
    <w:rsid w:val="00E92D60"/>
    <w:rsid w:val="00E93590"/>
    <w:rsid w:val="00E93E50"/>
    <w:rsid w:val="00E93F3E"/>
    <w:rsid w:val="00E94980"/>
    <w:rsid w:val="00E94B15"/>
    <w:rsid w:val="00E95924"/>
    <w:rsid w:val="00E95A92"/>
    <w:rsid w:val="00E965F8"/>
    <w:rsid w:val="00E97178"/>
    <w:rsid w:val="00E978C7"/>
    <w:rsid w:val="00E97930"/>
    <w:rsid w:val="00EA0220"/>
    <w:rsid w:val="00EA155B"/>
    <w:rsid w:val="00EA15DF"/>
    <w:rsid w:val="00EA256A"/>
    <w:rsid w:val="00EA2DE8"/>
    <w:rsid w:val="00EA2E14"/>
    <w:rsid w:val="00EA2F06"/>
    <w:rsid w:val="00EA31F2"/>
    <w:rsid w:val="00EA32D2"/>
    <w:rsid w:val="00EA3307"/>
    <w:rsid w:val="00EA36D3"/>
    <w:rsid w:val="00EA3C04"/>
    <w:rsid w:val="00EA3F24"/>
    <w:rsid w:val="00EA410A"/>
    <w:rsid w:val="00EA42DD"/>
    <w:rsid w:val="00EA47A5"/>
    <w:rsid w:val="00EA494E"/>
    <w:rsid w:val="00EA4C9C"/>
    <w:rsid w:val="00EA4DE6"/>
    <w:rsid w:val="00EA569D"/>
    <w:rsid w:val="00EA5AE9"/>
    <w:rsid w:val="00EA5CD4"/>
    <w:rsid w:val="00EA5D5E"/>
    <w:rsid w:val="00EA6B7B"/>
    <w:rsid w:val="00EA6C77"/>
    <w:rsid w:val="00EB04FA"/>
    <w:rsid w:val="00EB07E6"/>
    <w:rsid w:val="00EB0B69"/>
    <w:rsid w:val="00EB2153"/>
    <w:rsid w:val="00EB36D8"/>
    <w:rsid w:val="00EB3E14"/>
    <w:rsid w:val="00EB4019"/>
    <w:rsid w:val="00EB456C"/>
    <w:rsid w:val="00EB459C"/>
    <w:rsid w:val="00EB4911"/>
    <w:rsid w:val="00EB5AC7"/>
    <w:rsid w:val="00EB5D48"/>
    <w:rsid w:val="00EB6139"/>
    <w:rsid w:val="00EB63A5"/>
    <w:rsid w:val="00EB65E4"/>
    <w:rsid w:val="00EB6983"/>
    <w:rsid w:val="00EB6BF8"/>
    <w:rsid w:val="00EB6CFB"/>
    <w:rsid w:val="00EB6EA8"/>
    <w:rsid w:val="00EB75B5"/>
    <w:rsid w:val="00EB7A14"/>
    <w:rsid w:val="00EB7C02"/>
    <w:rsid w:val="00EB7DC5"/>
    <w:rsid w:val="00EC0F5D"/>
    <w:rsid w:val="00EC1525"/>
    <w:rsid w:val="00EC2195"/>
    <w:rsid w:val="00EC2F25"/>
    <w:rsid w:val="00EC3141"/>
    <w:rsid w:val="00EC3414"/>
    <w:rsid w:val="00EC39A6"/>
    <w:rsid w:val="00EC4C53"/>
    <w:rsid w:val="00EC4E7C"/>
    <w:rsid w:val="00EC534F"/>
    <w:rsid w:val="00EC53F9"/>
    <w:rsid w:val="00EC5B58"/>
    <w:rsid w:val="00EC7205"/>
    <w:rsid w:val="00EC758D"/>
    <w:rsid w:val="00EC7CB9"/>
    <w:rsid w:val="00ED02FA"/>
    <w:rsid w:val="00ED05E7"/>
    <w:rsid w:val="00ED0681"/>
    <w:rsid w:val="00ED0960"/>
    <w:rsid w:val="00ED0AF6"/>
    <w:rsid w:val="00ED1239"/>
    <w:rsid w:val="00ED1BE7"/>
    <w:rsid w:val="00ED25C8"/>
    <w:rsid w:val="00ED2743"/>
    <w:rsid w:val="00ED2A28"/>
    <w:rsid w:val="00ED2F44"/>
    <w:rsid w:val="00ED3918"/>
    <w:rsid w:val="00ED3F3D"/>
    <w:rsid w:val="00ED443F"/>
    <w:rsid w:val="00ED4536"/>
    <w:rsid w:val="00ED4AD7"/>
    <w:rsid w:val="00ED54B3"/>
    <w:rsid w:val="00ED5916"/>
    <w:rsid w:val="00ED7352"/>
    <w:rsid w:val="00ED767B"/>
    <w:rsid w:val="00ED79F2"/>
    <w:rsid w:val="00ED7EDE"/>
    <w:rsid w:val="00EE0095"/>
    <w:rsid w:val="00EE0E58"/>
    <w:rsid w:val="00EE1989"/>
    <w:rsid w:val="00EE1EDC"/>
    <w:rsid w:val="00EE290F"/>
    <w:rsid w:val="00EE2A11"/>
    <w:rsid w:val="00EE34C1"/>
    <w:rsid w:val="00EE41C6"/>
    <w:rsid w:val="00EE41E0"/>
    <w:rsid w:val="00EE44E1"/>
    <w:rsid w:val="00EE49C4"/>
    <w:rsid w:val="00EE55D1"/>
    <w:rsid w:val="00EE563C"/>
    <w:rsid w:val="00EE6B73"/>
    <w:rsid w:val="00EE70A6"/>
    <w:rsid w:val="00EE7C44"/>
    <w:rsid w:val="00EE7F45"/>
    <w:rsid w:val="00EF25AF"/>
    <w:rsid w:val="00EF323A"/>
    <w:rsid w:val="00EF3543"/>
    <w:rsid w:val="00EF4EC9"/>
    <w:rsid w:val="00EF51E4"/>
    <w:rsid w:val="00EF571A"/>
    <w:rsid w:val="00EF62CC"/>
    <w:rsid w:val="00EF651C"/>
    <w:rsid w:val="00EF6584"/>
    <w:rsid w:val="00EF6A48"/>
    <w:rsid w:val="00EF6C81"/>
    <w:rsid w:val="00EF6E25"/>
    <w:rsid w:val="00EF6FEE"/>
    <w:rsid w:val="00EF7AA4"/>
    <w:rsid w:val="00EF7AB6"/>
    <w:rsid w:val="00F0024C"/>
    <w:rsid w:val="00F012BD"/>
    <w:rsid w:val="00F014EF"/>
    <w:rsid w:val="00F021DA"/>
    <w:rsid w:val="00F02521"/>
    <w:rsid w:val="00F0259A"/>
    <w:rsid w:val="00F02A7C"/>
    <w:rsid w:val="00F03D1D"/>
    <w:rsid w:val="00F03F9D"/>
    <w:rsid w:val="00F043B1"/>
    <w:rsid w:val="00F047EC"/>
    <w:rsid w:val="00F04F22"/>
    <w:rsid w:val="00F05279"/>
    <w:rsid w:val="00F06652"/>
    <w:rsid w:val="00F07156"/>
    <w:rsid w:val="00F07F07"/>
    <w:rsid w:val="00F102AA"/>
    <w:rsid w:val="00F1074F"/>
    <w:rsid w:val="00F1078C"/>
    <w:rsid w:val="00F1093A"/>
    <w:rsid w:val="00F10AB2"/>
    <w:rsid w:val="00F10B81"/>
    <w:rsid w:val="00F10F40"/>
    <w:rsid w:val="00F10F6F"/>
    <w:rsid w:val="00F1106E"/>
    <w:rsid w:val="00F110CD"/>
    <w:rsid w:val="00F115AD"/>
    <w:rsid w:val="00F1177E"/>
    <w:rsid w:val="00F12537"/>
    <w:rsid w:val="00F12A3F"/>
    <w:rsid w:val="00F13094"/>
    <w:rsid w:val="00F13CDE"/>
    <w:rsid w:val="00F14CC7"/>
    <w:rsid w:val="00F153E2"/>
    <w:rsid w:val="00F1564A"/>
    <w:rsid w:val="00F15A8C"/>
    <w:rsid w:val="00F163C2"/>
    <w:rsid w:val="00F16C8B"/>
    <w:rsid w:val="00F1793D"/>
    <w:rsid w:val="00F17B14"/>
    <w:rsid w:val="00F17FB5"/>
    <w:rsid w:val="00F20245"/>
    <w:rsid w:val="00F20CC3"/>
    <w:rsid w:val="00F20E40"/>
    <w:rsid w:val="00F21099"/>
    <w:rsid w:val="00F214CF"/>
    <w:rsid w:val="00F216F2"/>
    <w:rsid w:val="00F2336D"/>
    <w:rsid w:val="00F24AA9"/>
    <w:rsid w:val="00F24D04"/>
    <w:rsid w:val="00F254CF"/>
    <w:rsid w:val="00F25DAE"/>
    <w:rsid w:val="00F26467"/>
    <w:rsid w:val="00F2778C"/>
    <w:rsid w:val="00F27A7E"/>
    <w:rsid w:val="00F27E9F"/>
    <w:rsid w:val="00F30B54"/>
    <w:rsid w:val="00F31654"/>
    <w:rsid w:val="00F318D6"/>
    <w:rsid w:val="00F32AF9"/>
    <w:rsid w:val="00F32E9A"/>
    <w:rsid w:val="00F3345E"/>
    <w:rsid w:val="00F3354D"/>
    <w:rsid w:val="00F3369B"/>
    <w:rsid w:val="00F3371A"/>
    <w:rsid w:val="00F338F7"/>
    <w:rsid w:val="00F33AF3"/>
    <w:rsid w:val="00F33E12"/>
    <w:rsid w:val="00F33F1F"/>
    <w:rsid w:val="00F34233"/>
    <w:rsid w:val="00F34414"/>
    <w:rsid w:val="00F3479C"/>
    <w:rsid w:val="00F35F5B"/>
    <w:rsid w:val="00F361A3"/>
    <w:rsid w:val="00F36DC2"/>
    <w:rsid w:val="00F36DD1"/>
    <w:rsid w:val="00F36F92"/>
    <w:rsid w:val="00F372EA"/>
    <w:rsid w:val="00F37E34"/>
    <w:rsid w:val="00F37F32"/>
    <w:rsid w:val="00F4092B"/>
    <w:rsid w:val="00F412EA"/>
    <w:rsid w:val="00F41695"/>
    <w:rsid w:val="00F416AE"/>
    <w:rsid w:val="00F42FC3"/>
    <w:rsid w:val="00F44241"/>
    <w:rsid w:val="00F449DA"/>
    <w:rsid w:val="00F44ADA"/>
    <w:rsid w:val="00F4519B"/>
    <w:rsid w:val="00F46171"/>
    <w:rsid w:val="00F46C93"/>
    <w:rsid w:val="00F4783C"/>
    <w:rsid w:val="00F47931"/>
    <w:rsid w:val="00F47E80"/>
    <w:rsid w:val="00F50117"/>
    <w:rsid w:val="00F5049D"/>
    <w:rsid w:val="00F5079E"/>
    <w:rsid w:val="00F51438"/>
    <w:rsid w:val="00F515B5"/>
    <w:rsid w:val="00F534CF"/>
    <w:rsid w:val="00F54AE8"/>
    <w:rsid w:val="00F55139"/>
    <w:rsid w:val="00F55377"/>
    <w:rsid w:val="00F557FB"/>
    <w:rsid w:val="00F55A74"/>
    <w:rsid w:val="00F567C0"/>
    <w:rsid w:val="00F56920"/>
    <w:rsid w:val="00F609DC"/>
    <w:rsid w:val="00F60ACE"/>
    <w:rsid w:val="00F60DC9"/>
    <w:rsid w:val="00F61A3D"/>
    <w:rsid w:val="00F6329E"/>
    <w:rsid w:val="00F6331B"/>
    <w:rsid w:val="00F63AB6"/>
    <w:rsid w:val="00F63B5E"/>
    <w:rsid w:val="00F64121"/>
    <w:rsid w:val="00F64EFD"/>
    <w:rsid w:val="00F66D8F"/>
    <w:rsid w:val="00F67D34"/>
    <w:rsid w:val="00F67DF9"/>
    <w:rsid w:val="00F707ED"/>
    <w:rsid w:val="00F70B45"/>
    <w:rsid w:val="00F70F30"/>
    <w:rsid w:val="00F710D5"/>
    <w:rsid w:val="00F7153C"/>
    <w:rsid w:val="00F715D8"/>
    <w:rsid w:val="00F71EC3"/>
    <w:rsid w:val="00F71F63"/>
    <w:rsid w:val="00F724A4"/>
    <w:rsid w:val="00F72898"/>
    <w:rsid w:val="00F72D8B"/>
    <w:rsid w:val="00F72E26"/>
    <w:rsid w:val="00F72F57"/>
    <w:rsid w:val="00F73655"/>
    <w:rsid w:val="00F739A0"/>
    <w:rsid w:val="00F73CC1"/>
    <w:rsid w:val="00F74005"/>
    <w:rsid w:val="00F745C6"/>
    <w:rsid w:val="00F74B24"/>
    <w:rsid w:val="00F74F09"/>
    <w:rsid w:val="00F75048"/>
    <w:rsid w:val="00F750C2"/>
    <w:rsid w:val="00F75715"/>
    <w:rsid w:val="00F7587A"/>
    <w:rsid w:val="00F75F0E"/>
    <w:rsid w:val="00F76DF6"/>
    <w:rsid w:val="00F76EAC"/>
    <w:rsid w:val="00F77768"/>
    <w:rsid w:val="00F779AE"/>
    <w:rsid w:val="00F77A33"/>
    <w:rsid w:val="00F8079D"/>
    <w:rsid w:val="00F80BFF"/>
    <w:rsid w:val="00F80E71"/>
    <w:rsid w:val="00F81496"/>
    <w:rsid w:val="00F81FAD"/>
    <w:rsid w:val="00F822C0"/>
    <w:rsid w:val="00F8287A"/>
    <w:rsid w:val="00F82F94"/>
    <w:rsid w:val="00F834A1"/>
    <w:rsid w:val="00F83E50"/>
    <w:rsid w:val="00F84A4C"/>
    <w:rsid w:val="00F84B2D"/>
    <w:rsid w:val="00F857B1"/>
    <w:rsid w:val="00F86038"/>
    <w:rsid w:val="00F862CE"/>
    <w:rsid w:val="00F90273"/>
    <w:rsid w:val="00F9041D"/>
    <w:rsid w:val="00F9067C"/>
    <w:rsid w:val="00F90DF3"/>
    <w:rsid w:val="00F90FD8"/>
    <w:rsid w:val="00F91081"/>
    <w:rsid w:val="00F910B8"/>
    <w:rsid w:val="00F91AA5"/>
    <w:rsid w:val="00F91ACF"/>
    <w:rsid w:val="00F91EE5"/>
    <w:rsid w:val="00F923DD"/>
    <w:rsid w:val="00F92905"/>
    <w:rsid w:val="00F937C2"/>
    <w:rsid w:val="00F93A03"/>
    <w:rsid w:val="00F93B67"/>
    <w:rsid w:val="00F94E85"/>
    <w:rsid w:val="00F95658"/>
    <w:rsid w:val="00F95E71"/>
    <w:rsid w:val="00F96034"/>
    <w:rsid w:val="00F96724"/>
    <w:rsid w:val="00F96BFE"/>
    <w:rsid w:val="00F9711D"/>
    <w:rsid w:val="00F9789D"/>
    <w:rsid w:val="00F97995"/>
    <w:rsid w:val="00FA067D"/>
    <w:rsid w:val="00FA189F"/>
    <w:rsid w:val="00FA22B4"/>
    <w:rsid w:val="00FA231F"/>
    <w:rsid w:val="00FA234A"/>
    <w:rsid w:val="00FA2593"/>
    <w:rsid w:val="00FA2D86"/>
    <w:rsid w:val="00FA3375"/>
    <w:rsid w:val="00FA4096"/>
    <w:rsid w:val="00FA4280"/>
    <w:rsid w:val="00FA5523"/>
    <w:rsid w:val="00FA5ABD"/>
    <w:rsid w:val="00FA5BF3"/>
    <w:rsid w:val="00FA5C08"/>
    <w:rsid w:val="00FA7472"/>
    <w:rsid w:val="00FA798E"/>
    <w:rsid w:val="00FA7E3A"/>
    <w:rsid w:val="00FA7F18"/>
    <w:rsid w:val="00FB0D21"/>
    <w:rsid w:val="00FB19F1"/>
    <w:rsid w:val="00FB1EDC"/>
    <w:rsid w:val="00FB2145"/>
    <w:rsid w:val="00FB22C6"/>
    <w:rsid w:val="00FB2337"/>
    <w:rsid w:val="00FB28EE"/>
    <w:rsid w:val="00FB3160"/>
    <w:rsid w:val="00FB32EE"/>
    <w:rsid w:val="00FB39E3"/>
    <w:rsid w:val="00FB3A39"/>
    <w:rsid w:val="00FB3D2F"/>
    <w:rsid w:val="00FB3EB0"/>
    <w:rsid w:val="00FB4307"/>
    <w:rsid w:val="00FB4336"/>
    <w:rsid w:val="00FB4907"/>
    <w:rsid w:val="00FB4922"/>
    <w:rsid w:val="00FB4B4D"/>
    <w:rsid w:val="00FB57E9"/>
    <w:rsid w:val="00FB5A4C"/>
    <w:rsid w:val="00FB5D63"/>
    <w:rsid w:val="00FB5E6C"/>
    <w:rsid w:val="00FB5F7D"/>
    <w:rsid w:val="00FB60AE"/>
    <w:rsid w:val="00FB7753"/>
    <w:rsid w:val="00FB7B5B"/>
    <w:rsid w:val="00FC03FE"/>
    <w:rsid w:val="00FC09C4"/>
    <w:rsid w:val="00FC1146"/>
    <w:rsid w:val="00FC1182"/>
    <w:rsid w:val="00FC2177"/>
    <w:rsid w:val="00FC236A"/>
    <w:rsid w:val="00FC269A"/>
    <w:rsid w:val="00FC2B06"/>
    <w:rsid w:val="00FC3AE0"/>
    <w:rsid w:val="00FC3B86"/>
    <w:rsid w:val="00FC41AD"/>
    <w:rsid w:val="00FC47FE"/>
    <w:rsid w:val="00FC5ADF"/>
    <w:rsid w:val="00FC5FF8"/>
    <w:rsid w:val="00FC6044"/>
    <w:rsid w:val="00FC61C1"/>
    <w:rsid w:val="00FC7670"/>
    <w:rsid w:val="00FC7C41"/>
    <w:rsid w:val="00FD0979"/>
    <w:rsid w:val="00FD0AB9"/>
    <w:rsid w:val="00FD0F94"/>
    <w:rsid w:val="00FD136F"/>
    <w:rsid w:val="00FD145E"/>
    <w:rsid w:val="00FD1A22"/>
    <w:rsid w:val="00FD1E62"/>
    <w:rsid w:val="00FD2194"/>
    <w:rsid w:val="00FD22E4"/>
    <w:rsid w:val="00FD24F7"/>
    <w:rsid w:val="00FD2758"/>
    <w:rsid w:val="00FD295E"/>
    <w:rsid w:val="00FD332B"/>
    <w:rsid w:val="00FD36C3"/>
    <w:rsid w:val="00FD37F7"/>
    <w:rsid w:val="00FD4E7C"/>
    <w:rsid w:val="00FD5409"/>
    <w:rsid w:val="00FD57C6"/>
    <w:rsid w:val="00FD57E6"/>
    <w:rsid w:val="00FD5A85"/>
    <w:rsid w:val="00FD5CC0"/>
    <w:rsid w:val="00FD63BE"/>
    <w:rsid w:val="00FD65C9"/>
    <w:rsid w:val="00FD7673"/>
    <w:rsid w:val="00FD7B57"/>
    <w:rsid w:val="00FD7BA1"/>
    <w:rsid w:val="00FD7D14"/>
    <w:rsid w:val="00FD7D66"/>
    <w:rsid w:val="00FE0677"/>
    <w:rsid w:val="00FE09CF"/>
    <w:rsid w:val="00FE1470"/>
    <w:rsid w:val="00FE16FA"/>
    <w:rsid w:val="00FE1902"/>
    <w:rsid w:val="00FE21B9"/>
    <w:rsid w:val="00FE3B55"/>
    <w:rsid w:val="00FE4328"/>
    <w:rsid w:val="00FE460D"/>
    <w:rsid w:val="00FE4674"/>
    <w:rsid w:val="00FE4C5B"/>
    <w:rsid w:val="00FE4DDB"/>
    <w:rsid w:val="00FE5679"/>
    <w:rsid w:val="00FE598A"/>
    <w:rsid w:val="00FE5AAB"/>
    <w:rsid w:val="00FE5B43"/>
    <w:rsid w:val="00FE606C"/>
    <w:rsid w:val="00FE611E"/>
    <w:rsid w:val="00FE6507"/>
    <w:rsid w:val="00FE6623"/>
    <w:rsid w:val="00FE7B99"/>
    <w:rsid w:val="00FE7BA0"/>
    <w:rsid w:val="00FF0079"/>
    <w:rsid w:val="00FF0845"/>
    <w:rsid w:val="00FF0D2D"/>
    <w:rsid w:val="00FF10E9"/>
    <w:rsid w:val="00FF14AE"/>
    <w:rsid w:val="00FF1558"/>
    <w:rsid w:val="00FF2202"/>
    <w:rsid w:val="00FF2257"/>
    <w:rsid w:val="00FF2C6D"/>
    <w:rsid w:val="00FF2E04"/>
    <w:rsid w:val="00FF3D92"/>
    <w:rsid w:val="00FF457C"/>
    <w:rsid w:val="00FF5FF6"/>
    <w:rsid w:val="00FF78ED"/>
    <w:rsid w:val="011B6997"/>
    <w:rsid w:val="012C2953"/>
    <w:rsid w:val="01813E34"/>
    <w:rsid w:val="01935F80"/>
    <w:rsid w:val="01EA61AC"/>
    <w:rsid w:val="01FD42EF"/>
    <w:rsid w:val="029E1610"/>
    <w:rsid w:val="02C80459"/>
    <w:rsid w:val="02D037B2"/>
    <w:rsid w:val="03112547"/>
    <w:rsid w:val="03196F07"/>
    <w:rsid w:val="031E62CB"/>
    <w:rsid w:val="03830824"/>
    <w:rsid w:val="03D8291E"/>
    <w:rsid w:val="03E56DE9"/>
    <w:rsid w:val="04232572"/>
    <w:rsid w:val="0424262D"/>
    <w:rsid w:val="04333FF8"/>
    <w:rsid w:val="046F543B"/>
    <w:rsid w:val="04FA1211"/>
    <w:rsid w:val="051F459A"/>
    <w:rsid w:val="0539495C"/>
    <w:rsid w:val="06020126"/>
    <w:rsid w:val="07207B83"/>
    <w:rsid w:val="077E558A"/>
    <w:rsid w:val="078A03D3"/>
    <w:rsid w:val="07C338E5"/>
    <w:rsid w:val="08080051"/>
    <w:rsid w:val="08142172"/>
    <w:rsid w:val="08633B40"/>
    <w:rsid w:val="08907F1B"/>
    <w:rsid w:val="08A76D63"/>
    <w:rsid w:val="09297778"/>
    <w:rsid w:val="09607856"/>
    <w:rsid w:val="098A1833"/>
    <w:rsid w:val="098B5E4D"/>
    <w:rsid w:val="09976CDD"/>
    <w:rsid w:val="09ED2E9B"/>
    <w:rsid w:val="0A1313FB"/>
    <w:rsid w:val="0A225FBB"/>
    <w:rsid w:val="0AA479FE"/>
    <w:rsid w:val="0AA93538"/>
    <w:rsid w:val="0AAB0D8C"/>
    <w:rsid w:val="0AC0410C"/>
    <w:rsid w:val="0AD57BB7"/>
    <w:rsid w:val="0B230693"/>
    <w:rsid w:val="0B3A2110"/>
    <w:rsid w:val="0B6D73F9"/>
    <w:rsid w:val="0BB524BE"/>
    <w:rsid w:val="0BED010C"/>
    <w:rsid w:val="0C0544CC"/>
    <w:rsid w:val="0C5079C8"/>
    <w:rsid w:val="0C8573BB"/>
    <w:rsid w:val="0CAC4582"/>
    <w:rsid w:val="0CBB1737"/>
    <w:rsid w:val="0CD13DC2"/>
    <w:rsid w:val="0D576FA9"/>
    <w:rsid w:val="0DB553D3"/>
    <w:rsid w:val="0DE844D5"/>
    <w:rsid w:val="0DED5386"/>
    <w:rsid w:val="0E1C70B3"/>
    <w:rsid w:val="0F80394E"/>
    <w:rsid w:val="0F865924"/>
    <w:rsid w:val="0FD3668F"/>
    <w:rsid w:val="0FF354B8"/>
    <w:rsid w:val="100116B7"/>
    <w:rsid w:val="101629B7"/>
    <w:rsid w:val="10726761"/>
    <w:rsid w:val="107345BF"/>
    <w:rsid w:val="10CD64C1"/>
    <w:rsid w:val="11477335"/>
    <w:rsid w:val="114D2894"/>
    <w:rsid w:val="116B70E9"/>
    <w:rsid w:val="117702AA"/>
    <w:rsid w:val="1185410A"/>
    <w:rsid w:val="119F2CCD"/>
    <w:rsid w:val="121A2353"/>
    <w:rsid w:val="12465A44"/>
    <w:rsid w:val="124B075F"/>
    <w:rsid w:val="12B46E52"/>
    <w:rsid w:val="12D0182C"/>
    <w:rsid w:val="13320958"/>
    <w:rsid w:val="13B862C8"/>
    <w:rsid w:val="13D1738A"/>
    <w:rsid w:val="13D6141A"/>
    <w:rsid w:val="13E46BAF"/>
    <w:rsid w:val="140275A9"/>
    <w:rsid w:val="14072DAB"/>
    <w:rsid w:val="143C0CA7"/>
    <w:rsid w:val="14453217"/>
    <w:rsid w:val="146B6E96"/>
    <w:rsid w:val="14761E84"/>
    <w:rsid w:val="14CD1A23"/>
    <w:rsid w:val="15077521"/>
    <w:rsid w:val="15570FCF"/>
    <w:rsid w:val="15AF54A9"/>
    <w:rsid w:val="15C34A07"/>
    <w:rsid w:val="15C70A44"/>
    <w:rsid w:val="15FA6724"/>
    <w:rsid w:val="163B0AEA"/>
    <w:rsid w:val="165B7DDA"/>
    <w:rsid w:val="169528F0"/>
    <w:rsid w:val="16970A1B"/>
    <w:rsid w:val="169C53D2"/>
    <w:rsid w:val="17512B78"/>
    <w:rsid w:val="176A5B2B"/>
    <w:rsid w:val="17717966"/>
    <w:rsid w:val="17C83B3E"/>
    <w:rsid w:val="17CE4301"/>
    <w:rsid w:val="18A25AA1"/>
    <w:rsid w:val="18D82117"/>
    <w:rsid w:val="19575C3B"/>
    <w:rsid w:val="1968609A"/>
    <w:rsid w:val="19720CC7"/>
    <w:rsid w:val="197C1B46"/>
    <w:rsid w:val="197E141A"/>
    <w:rsid w:val="19E219A9"/>
    <w:rsid w:val="1A1B4EBB"/>
    <w:rsid w:val="1A2333AC"/>
    <w:rsid w:val="1AB8095B"/>
    <w:rsid w:val="1AE27BBC"/>
    <w:rsid w:val="1B746F78"/>
    <w:rsid w:val="1C511E83"/>
    <w:rsid w:val="1CC77DC9"/>
    <w:rsid w:val="1D297400"/>
    <w:rsid w:val="1D6B43AB"/>
    <w:rsid w:val="1D9F5E03"/>
    <w:rsid w:val="1E1D56A5"/>
    <w:rsid w:val="1E276524"/>
    <w:rsid w:val="1E4470D6"/>
    <w:rsid w:val="1E4A3FC0"/>
    <w:rsid w:val="1E8A1ABE"/>
    <w:rsid w:val="1EFA7794"/>
    <w:rsid w:val="1EFD6D3E"/>
    <w:rsid w:val="1F166BCD"/>
    <w:rsid w:val="1F34517D"/>
    <w:rsid w:val="1FC75F31"/>
    <w:rsid w:val="1FED554B"/>
    <w:rsid w:val="1FF32470"/>
    <w:rsid w:val="200C59D1"/>
    <w:rsid w:val="205B24B5"/>
    <w:rsid w:val="20776834"/>
    <w:rsid w:val="20827A42"/>
    <w:rsid w:val="20847C5E"/>
    <w:rsid w:val="21470C8B"/>
    <w:rsid w:val="217B74C7"/>
    <w:rsid w:val="219043E0"/>
    <w:rsid w:val="219B4C15"/>
    <w:rsid w:val="21A24032"/>
    <w:rsid w:val="21A33643"/>
    <w:rsid w:val="21A67760"/>
    <w:rsid w:val="223873CD"/>
    <w:rsid w:val="223905D4"/>
    <w:rsid w:val="22420412"/>
    <w:rsid w:val="225343BF"/>
    <w:rsid w:val="22964740"/>
    <w:rsid w:val="22C407E5"/>
    <w:rsid w:val="22D84365"/>
    <w:rsid w:val="2341374C"/>
    <w:rsid w:val="248A57BA"/>
    <w:rsid w:val="24E231A5"/>
    <w:rsid w:val="24EF136E"/>
    <w:rsid w:val="25AD37B3"/>
    <w:rsid w:val="25DA632B"/>
    <w:rsid w:val="2677791D"/>
    <w:rsid w:val="26881812"/>
    <w:rsid w:val="26A941CF"/>
    <w:rsid w:val="26CF7759"/>
    <w:rsid w:val="26D34CA4"/>
    <w:rsid w:val="26E159E4"/>
    <w:rsid w:val="27343DE2"/>
    <w:rsid w:val="27CA56B2"/>
    <w:rsid w:val="287F6CB8"/>
    <w:rsid w:val="2883323E"/>
    <w:rsid w:val="28B409B4"/>
    <w:rsid w:val="28E57B4E"/>
    <w:rsid w:val="2923729D"/>
    <w:rsid w:val="29D137E8"/>
    <w:rsid w:val="2A4346E5"/>
    <w:rsid w:val="2A585A8F"/>
    <w:rsid w:val="2A73774B"/>
    <w:rsid w:val="2ABD513F"/>
    <w:rsid w:val="2AE86F41"/>
    <w:rsid w:val="2B011EAB"/>
    <w:rsid w:val="2B951700"/>
    <w:rsid w:val="2B9E594C"/>
    <w:rsid w:val="2BD66E93"/>
    <w:rsid w:val="2BF75852"/>
    <w:rsid w:val="2BFF63EA"/>
    <w:rsid w:val="2C2045B2"/>
    <w:rsid w:val="2CC22372"/>
    <w:rsid w:val="2D2D51D9"/>
    <w:rsid w:val="2D450775"/>
    <w:rsid w:val="2DCD5952"/>
    <w:rsid w:val="2E0B376C"/>
    <w:rsid w:val="2E3C6AFB"/>
    <w:rsid w:val="2E7E4EF0"/>
    <w:rsid w:val="2EAC037F"/>
    <w:rsid w:val="2EB15996"/>
    <w:rsid w:val="2EB21E3A"/>
    <w:rsid w:val="2ED203AA"/>
    <w:rsid w:val="2ED2428A"/>
    <w:rsid w:val="2F154177"/>
    <w:rsid w:val="2F334F91"/>
    <w:rsid w:val="2FB614B6"/>
    <w:rsid w:val="2FD54DF0"/>
    <w:rsid w:val="2FD61BDC"/>
    <w:rsid w:val="2FE34275"/>
    <w:rsid w:val="2FE60E90"/>
    <w:rsid w:val="3071793D"/>
    <w:rsid w:val="30DB07C7"/>
    <w:rsid w:val="31BD21FC"/>
    <w:rsid w:val="31F96B78"/>
    <w:rsid w:val="32172305"/>
    <w:rsid w:val="3231295E"/>
    <w:rsid w:val="32C1089D"/>
    <w:rsid w:val="32C6467E"/>
    <w:rsid w:val="33602717"/>
    <w:rsid w:val="336E3E55"/>
    <w:rsid w:val="337551E4"/>
    <w:rsid w:val="33AF6948"/>
    <w:rsid w:val="33DA0FFE"/>
    <w:rsid w:val="345319C9"/>
    <w:rsid w:val="3482405C"/>
    <w:rsid w:val="34E83F98"/>
    <w:rsid w:val="34EC7728"/>
    <w:rsid w:val="34EE34A0"/>
    <w:rsid w:val="35B9552F"/>
    <w:rsid w:val="35D50769"/>
    <w:rsid w:val="35DC4C80"/>
    <w:rsid w:val="361138EA"/>
    <w:rsid w:val="36893E87"/>
    <w:rsid w:val="36DE790E"/>
    <w:rsid w:val="373F6695"/>
    <w:rsid w:val="377E6CB2"/>
    <w:rsid w:val="37FE7E9E"/>
    <w:rsid w:val="38143B85"/>
    <w:rsid w:val="38211DDE"/>
    <w:rsid w:val="383E5CE6"/>
    <w:rsid w:val="38621630"/>
    <w:rsid w:val="389148D7"/>
    <w:rsid w:val="3928505E"/>
    <w:rsid w:val="394A3A7F"/>
    <w:rsid w:val="39677CC5"/>
    <w:rsid w:val="39783971"/>
    <w:rsid w:val="39D13875"/>
    <w:rsid w:val="39D97DF0"/>
    <w:rsid w:val="3AA36ADA"/>
    <w:rsid w:val="3ADB0022"/>
    <w:rsid w:val="3AEC222F"/>
    <w:rsid w:val="3B191717"/>
    <w:rsid w:val="3B2C1F3C"/>
    <w:rsid w:val="3B314929"/>
    <w:rsid w:val="3BB865B6"/>
    <w:rsid w:val="3BE949C1"/>
    <w:rsid w:val="3C127E7E"/>
    <w:rsid w:val="3C39361A"/>
    <w:rsid w:val="3C5A58BF"/>
    <w:rsid w:val="3D2048C0"/>
    <w:rsid w:val="3D761F66"/>
    <w:rsid w:val="3D7D258C"/>
    <w:rsid w:val="3DA94C73"/>
    <w:rsid w:val="3DDE6E86"/>
    <w:rsid w:val="3EA071C8"/>
    <w:rsid w:val="3F0B229B"/>
    <w:rsid w:val="3F1B1335"/>
    <w:rsid w:val="3F406FEE"/>
    <w:rsid w:val="3F7A6514"/>
    <w:rsid w:val="40362758"/>
    <w:rsid w:val="4036630F"/>
    <w:rsid w:val="40905D53"/>
    <w:rsid w:val="41B31DA8"/>
    <w:rsid w:val="41CE6B33"/>
    <w:rsid w:val="420279D0"/>
    <w:rsid w:val="42290526"/>
    <w:rsid w:val="4269060A"/>
    <w:rsid w:val="42C31D0B"/>
    <w:rsid w:val="43E019DA"/>
    <w:rsid w:val="43EC14F2"/>
    <w:rsid w:val="43FE5B41"/>
    <w:rsid w:val="442B201A"/>
    <w:rsid w:val="44476729"/>
    <w:rsid w:val="444C3D3F"/>
    <w:rsid w:val="44E53F39"/>
    <w:rsid w:val="451E1B7F"/>
    <w:rsid w:val="45441E26"/>
    <w:rsid w:val="45F51445"/>
    <w:rsid w:val="4614088C"/>
    <w:rsid w:val="462C5BD6"/>
    <w:rsid w:val="46725DBE"/>
    <w:rsid w:val="474D3CF7"/>
    <w:rsid w:val="47567D12"/>
    <w:rsid w:val="48207847"/>
    <w:rsid w:val="48286871"/>
    <w:rsid w:val="48547666"/>
    <w:rsid w:val="48584704"/>
    <w:rsid w:val="485E04E5"/>
    <w:rsid w:val="48617FAB"/>
    <w:rsid w:val="48976699"/>
    <w:rsid w:val="48A96D19"/>
    <w:rsid w:val="48BE721F"/>
    <w:rsid w:val="49033566"/>
    <w:rsid w:val="49935F6C"/>
    <w:rsid w:val="49A563CB"/>
    <w:rsid w:val="49B67944"/>
    <w:rsid w:val="4A3A4AAD"/>
    <w:rsid w:val="4AB51F9A"/>
    <w:rsid w:val="4AD470E5"/>
    <w:rsid w:val="4AF40D20"/>
    <w:rsid w:val="4BB01057"/>
    <w:rsid w:val="4BE96317"/>
    <w:rsid w:val="4C285091"/>
    <w:rsid w:val="4C350E18"/>
    <w:rsid w:val="4C642ED4"/>
    <w:rsid w:val="4C9C09CE"/>
    <w:rsid w:val="4C9D5A7F"/>
    <w:rsid w:val="4CB77648"/>
    <w:rsid w:val="4CD64AED"/>
    <w:rsid w:val="4CE33DEC"/>
    <w:rsid w:val="4D185106"/>
    <w:rsid w:val="4DD76D6F"/>
    <w:rsid w:val="4E062E10"/>
    <w:rsid w:val="4E643FAD"/>
    <w:rsid w:val="4E6D7A65"/>
    <w:rsid w:val="4EA2737D"/>
    <w:rsid w:val="4EB726FD"/>
    <w:rsid w:val="4EC254B1"/>
    <w:rsid w:val="4ECD3CCE"/>
    <w:rsid w:val="4F005E52"/>
    <w:rsid w:val="4F1A491E"/>
    <w:rsid w:val="4F5E0746"/>
    <w:rsid w:val="4F6F4D85"/>
    <w:rsid w:val="4F7B13E5"/>
    <w:rsid w:val="4F995778"/>
    <w:rsid w:val="4FAB2D2D"/>
    <w:rsid w:val="4FF414EF"/>
    <w:rsid w:val="50081462"/>
    <w:rsid w:val="500B1776"/>
    <w:rsid w:val="50632B3C"/>
    <w:rsid w:val="50CD4459"/>
    <w:rsid w:val="51114346"/>
    <w:rsid w:val="512A5408"/>
    <w:rsid w:val="513B7615"/>
    <w:rsid w:val="513F53A8"/>
    <w:rsid w:val="51616A07"/>
    <w:rsid w:val="51C615D4"/>
    <w:rsid w:val="52120E1B"/>
    <w:rsid w:val="5221680B"/>
    <w:rsid w:val="523C4021"/>
    <w:rsid w:val="52E1348B"/>
    <w:rsid w:val="52E31D12"/>
    <w:rsid w:val="52E635B0"/>
    <w:rsid w:val="538451A4"/>
    <w:rsid w:val="53A21BCD"/>
    <w:rsid w:val="53F01402"/>
    <w:rsid w:val="54033DF7"/>
    <w:rsid w:val="541923F1"/>
    <w:rsid w:val="548B440F"/>
    <w:rsid w:val="55347BC5"/>
    <w:rsid w:val="55690BF5"/>
    <w:rsid w:val="55AD6B1D"/>
    <w:rsid w:val="55CE6CAA"/>
    <w:rsid w:val="55D81C32"/>
    <w:rsid w:val="56391E54"/>
    <w:rsid w:val="563A433F"/>
    <w:rsid w:val="56DF202B"/>
    <w:rsid w:val="56F87E6F"/>
    <w:rsid w:val="56FF2E93"/>
    <w:rsid w:val="57714879"/>
    <w:rsid w:val="577D0987"/>
    <w:rsid w:val="584414A5"/>
    <w:rsid w:val="58737694"/>
    <w:rsid w:val="58D41F75"/>
    <w:rsid w:val="599E20CA"/>
    <w:rsid w:val="5A8D6063"/>
    <w:rsid w:val="5BF81170"/>
    <w:rsid w:val="5C2F5FC8"/>
    <w:rsid w:val="5C484871"/>
    <w:rsid w:val="5C4C1EEF"/>
    <w:rsid w:val="5C5123E2"/>
    <w:rsid w:val="5C535B42"/>
    <w:rsid w:val="5CA81058"/>
    <w:rsid w:val="5CB7545C"/>
    <w:rsid w:val="5D07484F"/>
    <w:rsid w:val="5D0E7FEF"/>
    <w:rsid w:val="5D1F3040"/>
    <w:rsid w:val="5D244E40"/>
    <w:rsid w:val="5D9C04D0"/>
    <w:rsid w:val="5DB1138B"/>
    <w:rsid w:val="5DE40B16"/>
    <w:rsid w:val="5E6261E1"/>
    <w:rsid w:val="5EBD3D5F"/>
    <w:rsid w:val="5EC65184"/>
    <w:rsid w:val="5EEC1F4F"/>
    <w:rsid w:val="5FB87F5A"/>
    <w:rsid w:val="5FBF57BB"/>
    <w:rsid w:val="5FCF5BAA"/>
    <w:rsid w:val="6056334E"/>
    <w:rsid w:val="6073393E"/>
    <w:rsid w:val="609676C4"/>
    <w:rsid w:val="6149239F"/>
    <w:rsid w:val="615E35D8"/>
    <w:rsid w:val="61F425AF"/>
    <w:rsid w:val="61FF43C4"/>
    <w:rsid w:val="625B7B17"/>
    <w:rsid w:val="628A3F58"/>
    <w:rsid w:val="62917095"/>
    <w:rsid w:val="62BE046C"/>
    <w:rsid w:val="62F67840"/>
    <w:rsid w:val="631C5109"/>
    <w:rsid w:val="63414F5F"/>
    <w:rsid w:val="63DD12B7"/>
    <w:rsid w:val="64790450"/>
    <w:rsid w:val="64D67929"/>
    <w:rsid w:val="65420B1A"/>
    <w:rsid w:val="658837F4"/>
    <w:rsid w:val="65F34EF1"/>
    <w:rsid w:val="66345740"/>
    <w:rsid w:val="6648206A"/>
    <w:rsid w:val="664E4903"/>
    <w:rsid w:val="665C20B0"/>
    <w:rsid w:val="6675048B"/>
    <w:rsid w:val="66A001EE"/>
    <w:rsid w:val="674C3ED2"/>
    <w:rsid w:val="675F4168"/>
    <w:rsid w:val="67674868"/>
    <w:rsid w:val="681F15E7"/>
    <w:rsid w:val="6844781F"/>
    <w:rsid w:val="684921C0"/>
    <w:rsid w:val="68817BAC"/>
    <w:rsid w:val="689A2A1B"/>
    <w:rsid w:val="68CD2DF1"/>
    <w:rsid w:val="68E00D76"/>
    <w:rsid w:val="69036813"/>
    <w:rsid w:val="697D4817"/>
    <w:rsid w:val="6A2133F4"/>
    <w:rsid w:val="6A8F238D"/>
    <w:rsid w:val="6B0D3978"/>
    <w:rsid w:val="6B517D09"/>
    <w:rsid w:val="6B633598"/>
    <w:rsid w:val="6BAC7409"/>
    <w:rsid w:val="6BCB23F3"/>
    <w:rsid w:val="6BF54284"/>
    <w:rsid w:val="6C354F35"/>
    <w:rsid w:val="6C702411"/>
    <w:rsid w:val="6CB93DB8"/>
    <w:rsid w:val="6CB95B66"/>
    <w:rsid w:val="6D632ACD"/>
    <w:rsid w:val="6D7C5FAF"/>
    <w:rsid w:val="6DAA4DD7"/>
    <w:rsid w:val="6DB602F7"/>
    <w:rsid w:val="6DB776A8"/>
    <w:rsid w:val="6DD61B41"/>
    <w:rsid w:val="6DD8201C"/>
    <w:rsid w:val="6DEE7A91"/>
    <w:rsid w:val="6E421387"/>
    <w:rsid w:val="6E510020"/>
    <w:rsid w:val="6E7F4B8D"/>
    <w:rsid w:val="6EDC1FE0"/>
    <w:rsid w:val="6F266C57"/>
    <w:rsid w:val="6F327E52"/>
    <w:rsid w:val="6F955253"/>
    <w:rsid w:val="6FA57BA6"/>
    <w:rsid w:val="6FB9378E"/>
    <w:rsid w:val="6FCE04BD"/>
    <w:rsid w:val="6FD8277F"/>
    <w:rsid w:val="70303096"/>
    <w:rsid w:val="70371FDD"/>
    <w:rsid w:val="70A258A0"/>
    <w:rsid w:val="70B850AF"/>
    <w:rsid w:val="70C40F7D"/>
    <w:rsid w:val="70F25AEA"/>
    <w:rsid w:val="71630796"/>
    <w:rsid w:val="71687B5B"/>
    <w:rsid w:val="717A5E64"/>
    <w:rsid w:val="71AA2B3A"/>
    <w:rsid w:val="72042CE6"/>
    <w:rsid w:val="72183C41"/>
    <w:rsid w:val="722506A9"/>
    <w:rsid w:val="72631C4D"/>
    <w:rsid w:val="72A2709C"/>
    <w:rsid w:val="733040F9"/>
    <w:rsid w:val="736B2825"/>
    <w:rsid w:val="73FC5756"/>
    <w:rsid w:val="740F0761"/>
    <w:rsid w:val="744F5002"/>
    <w:rsid w:val="746422B8"/>
    <w:rsid w:val="747A6EA3"/>
    <w:rsid w:val="74B80B91"/>
    <w:rsid w:val="75297601"/>
    <w:rsid w:val="752B5127"/>
    <w:rsid w:val="758111EB"/>
    <w:rsid w:val="7587441A"/>
    <w:rsid w:val="758835EC"/>
    <w:rsid w:val="75E43528"/>
    <w:rsid w:val="75EB4167"/>
    <w:rsid w:val="76366479"/>
    <w:rsid w:val="76504D7D"/>
    <w:rsid w:val="7672617F"/>
    <w:rsid w:val="76956516"/>
    <w:rsid w:val="769B62DC"/>
    <w:rsid w:val="76D20A0A"/>
    <w:rsid w:val="76DD1439"/>
    <w:rsid w:val="76E879DB"/>
    <w:rsid w:val="77020109"/>
    <w:rsid w:val="771118DE"/>
    <w:rsid w:val="77852348"/>
    <w:rsid w:val="77BA284C"/>
    <w:rsid w:val="77BE04D4"/>
    <w:rsid w:val="78065069"/>
    <w:rsid w:val="78961451"/>
    <w:rsid w:val="789E035F"/>
    <w:rsid w:val="790A7C54"/>
    <w:rsid w:val="79442C5B"/>
    <w:rsid w:val="79641838"/>
    <w:rsid w:val="797A48CF"/>
    <w:rsid w:val="79831687"/>
    <w:rsid w:val="798E3ED6"/>
    <w:rsid w:val="79914DBC"/>
    <w:rsid w:val="79963891"/>
    <w:rsid w:val="79966F44"/>
    <w:rsid w:val="7A0E5017"/>
    <w:rsid w:val="7A434CC1"/>
    <w:rsid w:val="7AD93DFB"/>
    <w:rsid w:val="7AE61EE4"/>
    <w:rsid w:val="7AEE0561"/>
    <w:rsid w:val="7B101C3B"/>
    <w:rsid w:val="7B503B39"/>
    <w:rsid w:val="7B5A6766"/>
    <w:rsid w:val="7B7B7D8A"/>
    <w:rsid w:val="7BD77DB7"/>
    <w:rsid w:val="7C8F243F"/>
    <w:rsid w:val="7CC105F7"/>
    <w:rsid w:val="7CC52305"/>
    <w:rsid w:val="7CFD2585"/>
    <w:rsid w:val="7D663B84"/>
    <w:rsid w:val="7D80622C"/>
    <w:rsid w:val="7DB6A75D"/>
    <w:rsid w:val="7E0F37E6"/>
    <w:rsid w:val="7E447540"/>
    <w:rsid w:val="7E516471"/>
    <w:rsid w:val="7E555BFC"/>
    <w:rsid w:val="7E7044F2"/>
    <w:rsid w:val="7E865AC4"/>
    <w:rsid w:val="7E88183C"/>
    <w:rsid w:val="7ECB1EA2"/>
    <w:rsid w:val="7F1B1AC8"/>
    <w:rsid w:val="7F4B5E84"/>
    <w:rsid w:val="9E95B179"/>
    <w:rsid w:val="A76F60F1"/>
    <w:rsid w:val="B7EFE5F2"/>
    <w:rsid w:val="DCF43813"/>
    <w:rsid w:val="E6F5DD26"/>
    <w:rsid w:val="EFFF3B08"/>
    <w:rsid w:val="FDBFA456"/>
    <w:rsid w:val="FFE75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40"/>
    <w:qFormat/>
    <w:uiPriority w:val="0"/>
    <w:pPr>
      <w:keepNext/>
      <w:keepLines/>
      <w:spacing w:before="260" w:after="260" w:line="413" w:lineRule="auto"/>
      <w:outlineLvl w:val="1"/>
    </w:pPr>
    <w:rPr>
      <w:rFonts w:ascii="Arial" w:hAnsi="Arial" w:eastAsia="黑体"/>
      <w:b/>
      <w:sz w:val="32"/>
      <w:szCs w:val="20"/>
    </w:rPr>
  </w:style>
  <w:style w:type="paragraph" w:styleId="4">
    <w:name w:val="heading 3"/>
    <w:basedOn w:val="1"/>
    <w:next w:val="1"/>
    <w:link w:val="41"/>
    <w:qFormat/>
    <w:uiPriority w:val="0"/>
    <w:pPr>
      <w:keepNext/>
      <w:keepLines/>
      <w:spacing w:before="260" w:after="260" w:line="413" w:lineRule="auto"/>
      <w:outlineLvl w:val="2"/>
    </w:pPr>
    <w:rPr>
      <w:rFonts w:ascii="Times New Roman" w:hAnsi="Times New Roman"/>
      <w:b/>
      <w:sz w:val="32"/>
      <w:szCs w:val="20"/>
    </w:rPr>
  </w:style>
  <w:style w:type="paragraph" w:styleId="5">
    <w:name w:val="heading 4"/>
    <w:basedOn w:val="1"/>
    <w:next w:val="1"/>
    <w:link w:val="46"/>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42"/>
    <w:qFormat/>
    <w:uiPriority w:val="0"/>
    <w:pPr>
      <w:keepNext/>
      <w:keepLines/>
      <w:spacing w:before="280" w:after="290" w:line="376" w:lineRule="auto"/>
      <w:outlineLvl w:val="4"/>
    </w:pPr>
    <w:rPr>
      <w:b/>
      <w:bCs/>
      <w:sz w:val="28"/>
      <w:szCs w:val="28"/>
    </w:rPr>
  </w:style>
  <w:style w:type="paragraph" w:styleId="7">
    <w:name w:val="heading 6"/>
    <w:basedOn w:val="1"/>
    <w:next w:val="1"/>
    <w:link w:val="47"/>
    <w:qFormat/>
    <w:uiPriority w:val="0"/>
    <w:pPr>
      <w:keepNext/>
      <w:keepLines/>
      <w:spacing w:before="240" w:after="64" w:line="320" w:lineRule="auto"/>
      <w:outlineLvl w:val="5"/>
    </w:pPr>
    <w:rPr>
      <w:rFonts w:ascii="Cambria" w:hAnsi="Cambria"/>
      <w:b/>
      <w:bCs/>
      <w:szCs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style>
  <w:style w:type="paragraph" w:styleId="9">
    <w:name w:val="Normal Indent"/>
    <w:basedOn w:val="1"/>
    <w:link w:val="48"/>
    <w:qFormat/>
    <w:uiPriority w:val="0"/>
    <w:pPr>
      <w:ind w:firstLine="420"/>
    </w:pPr>
    <w:rPr>
      <w:rFonts w:ascii="Times New Roman" w:hAnsi="Times New Roman"/>
      <w:szCs w:val="20"/>
    </w:rPr>
  </w:style>
  <w:style w:type="paragraph" w:styleId="10">
    <w:name w:val="Document Map"/>
    <w:basedOn w:val="1"/>
    <w:qFormat/>
    <w:uiPriority w:val="0"/>
    <w:pPr>
      <w:shd w:val="clear" w:color="auto" w:fill="000080"/>
    </w:pPr>
    <w:rPr>
      <w:rFonts w:ascii="Times New Roman" w:hAnsi="Times New Roman"/>
      <w:sz w:val="30"/>
      <w:szCs w:val="20"/>
    </w:rPr>
  </w:style>
  <w:style w:type="paragraph" w:styleId="11">
    <w:name w:val="annotation text"/>
    <w:basedOn w:val="1"/>
    <w:link w:val="49"/>
    <w:qFormat/>
    <w:uiPriority w:val="99"/>
  </w:style>
  <w:style w:type="paragraph" w:styleId="12">
    <w:name w:val="Body Text"/>
    <w:basedOn w:val="1"/>
    <w:next w:val="1"/>
    <w:link w:val="50"/>
    <w:qFormat/>
    <w:uiPriority w:val="0"/>
    <w:pPr>
      <w:spacing w:after="120"/>
    </w:pPr>
  </w:style>
  <w:style w:type="paragraph" w:styleId="13">
    <w:name w:val="Body Text Indent"/>
    <w:basedOn w:val="1"/>
    <w:link w:val="51"/>
    <w:qFormat/>
    <w:uiPriority w:val="0"/>
    <w:pPr>
      <w:spacing w:line="480" w:lineRule="exact"/>
      <w:ind w:firstLine="549" w:firstLineChars="196"/>
    </w:pPr>
    <w:rPr>
      <w:rFonts w:ascii="仿宋_GB2312" w:hAnsi="Times New Roman" w:eastAsia="仿宋_GB2312" w:cs="Arial"/>
      <w:color w:val="000000"/>
      <w:sz w:val="28"/>
      <w:szCs w:val="24"/>
    </w:rPr>
  </w:style>
  <w:style w:type="paragraph" w:styleId="14">
    <w:name w:val="toc 5"/>
    <w:basedOn w:val="1"/>
    <w:next w:val="1"/>
    <w:unhideWhenUsed/>
    <w:qFormat/>
    <w:uiPriority w:val="39"/>
    <w:pPr>
      <w:ind w:left="1680" w:leftChars="800"/>
    </w:pPr>
  </w:style>
  <w:style w:type="paragraph" w:styleId="15">
    <w:name w:val="toc 3"/>
    <w:basedOn w:val="1"/>
    <w:next w:val="1"/>
    <w:qFormat/>
    <w:uiPriority w:val="39"/>
    <w:pPr>
      <w:tabs>
        <w:tab w:val="right" w:leader="dot" w:pos="9061"/>
      </w:tabs>
      <w:ind w:firstLine="602" w:firstLineChars="301"/>
    </w:pPr>
    <w:rPr>
      <w:rFonts w:ascii="Times New Roman" w:hAnsi="Times New Roman"/>
      <w:i/>
      <w:sz w:val="20"/>
      <w:szCs w:val="20"/>
    </w:rPr>
  </w:style>
  <w:style w:type="paragraph" w:styleId="16">
    <w:name w:val="Plain Text"/>
    <w:basedOn w:val="1"/>
    <w:next w:val="5"/>
    <w:link w:val="52"/>
    <w:qFormat/>
    <w:uiPriority w:val="0"/>
    <w:pPr>
      <w:adjustRightInd w:val="0"/>
      <w:spacing w:line="312" w:lineRule="atLeast"/>
      <w:textAlignment w:val="baseline"/>
    </w:pPr>
    <w:rPr>
      <w:rFonts w:ascii="宋体" w:hAnsi="Courier New"/>
      <w:kern w:val="0"/>
      <w:szCs w:val="20"/>
    </w:rPr>
  </w:style>
  <w:style w:type="paragraph" w:styleId="17">
    <w:name w:val="toc 8"/>
    <w:basedOn w:val="1"/>
    <w:next w:val="1"/>
    <w:unhideWhenUsed/>
    <w:qFormat/>
    <w:uiPriority w:val="39"/>
    <w:pPr>
      <w:ind w:left="2940" w:leftChars="1400"/>
    </w:pPr>
  </w:style>
  <w:style w:type="paragraph" w:styleId="18">
    <w:name w:val="Date"/>
    <w:basedOn w:val="1"/>
    <w:next w:val="1"/>
    <w:qFormat/>
    <w:uiPriority w:val="0"/>
    <w:rPr>
      <w:rFonts w:ascii="宋体" w:hAnsi="Times New Roman"/>
      <w:color w:val="000000"/>
      <w:kern w:val="0"/>
      <w:sz w:val="30"/>
      <w:szCs w:val="20"/>
    </w:rPr>
  </w:style>
  <w:style w:type="paragraph" w:styleId="19">
    <w:name w:val="Body Text Indent 2"/>
    <w:basedOn w:val="1"/>
    <w:qFormat/>
    <w:uiPriority w:val="0"/>
    <w:pPr>
      <w:autoSpaceDE w:val="0"/>
      <w:autoSpaceDN w:val="0"/>
      <w:adjustRightInd w:val="0"/>
      <w:ind w:left="1260" w:hanging="660"/>
    </w:pPr>
    <w:rPr>
      <w:rFonts w:ascii="方正仿宋简体" w:hAnsi="Times New Roman" w:eastAsia="方正仿宋简体"/>
      <w:color w:val="000000"/>
      <w:kern w:val="0"/>
      <w:sz w:val="30"/>
      <w:szCs w:val="20"/>
    </w:rPr>
  </w:style>
  <w:style w:type="paragraph" w:styleId="20">
    <w:name w:val="Balloon Text"/>
    <w:basedOn w:val="1"/>
    <w:qFormat/>
    <w:uiPriority w:val="0"/>
    <w:rPr>
      <w:rFonts w:ascii="Times New Roman" w:hAnsi="Times New Roman"/>
      <w:sz w:val="18"/>
      <w:szCs w:val="20"/>
    </w:rPr>
  </w:style>
  <w:style w:type="paragraph" w:styleId="21">
    <w:name w:val="footer"/>
    <w:basedOn w:val="1"/>
    <w:link w:val="53"/>
    <w:qFormat/>
    <w:uiPriority w:val="99"/>
    <w:pPr>
      <w:tabs>
        <w:tab w:val="center" w:pos="4153"/>
        <w:tab w:val="right" w:pos="8306"/>
      </w:tabs>
      <w:snapToGrid w:val="0"/>
    </w:pPr>
    <w:rPr>
      <w:rFonts w:ascii="Times New Roman" w:hAnsi="Times New Roman"/>
      <w:sz w:val="18"/>
      <w:szCs w:val="20"/>
    </w:rPr>
  </w:style>
  <w:style w:type="paragraph" w:styleId="22">
    <w:name w:val="header"/>
    <w:basedOn w:val="1"/>
    <w:link w:val="54"/>
    <w:qFormat/>
    <w:uiPriority w:val="99"/>
    <w:pPr>
      <w:pBdr>
        <w:bottom w:val="single" w:color="auto" w:sz="6" w:space="1"/>
      </w:pBdr>
      <w:tabs>
        <w:tab w:val="center" w:pos="4153"/>
        <w:tab w:val="right" w:pos="8306"/>
      </w:tabs>
      <w:snapToGrid w:val="0"/>
      <w:jc w:val="center"/>
    </w:pPr>
    <w:rPr>
      <w:rFonts w:ascii="Times New Roman" w:hAnsi="Times New Roman"/>
      <w:sz w:val="18"/>
      <w:szCs w:val="20"/>
    </w:rPr>
  </w:style>
  <w:style w:type="paragraph" w:styleId="23">
    <w:name w:val="toc 1"/>
    <w:basedOn w:val="1"/>
    <w:next w:val="1"/>
    <w:qFormat/>
    <w:uiPriority w:val="39"/>
    <w:pPr>
      <w:autoSpaceDE w:val="0"/>
      <w:autoSpaceDN w:val="0"/>
      <w:adjustRightInd w:val="0"/>
      <w:spacing w:line="420" w:lineRule="exact"/>
    </w:pPr>
    <w:rPr>
      <w:rFonts w:ascii="宋体" w:hAnsi="宋体"/>
      <w:caps/>
      <w:kern w:val="0"/>
      <w:sz w:val="28"/>
      <w:szCs w:val="20"/>
    </w:rPr>
  </w:style>
  <w:style w:type="paragraph" w:styleId="24">
    <w:name w:val="toc 4"/>
    <w:basedOn w:val="1"/>
    <w:next w:val="1"/>
    <w:unhideWhenUsed/>
    <w:qFormat/>
    <w:uiPriority w:val="39"/>
    <w:pPr>
      <w:ind w:left="1260" w:leftChars="600"/>
    </w:pPr>
  </w:style>
  <w:style w:type="paragraph" w:styleId="25">
    <w:name w:val="toc 6"/>
    <w:basedOn w:val="1"/>
    <w:next w:val="1"/>
    <w:unhideWhenUsed/>
    <w:qFormat/>
    <w:uiPriority w:val="39"/>
    <w:pPr>
      <w:ind w:left="2100" w:leftChars="1000"/>
    </w:pPr>
  </w:style>
  <w:style w:type="paragraph" w:styleId="26">
    <w:name w:val="Body Text Indent 3"/>
    <w:basedOn w:val="1"/>
    <w:qFormat/>
    <w:uiPriority w:val="0"/>
    <w:pPr>
      <w:autoSpaceDE w:val="0"/>
      <w:autoSpaceDN w:val="0"/>
      <w:adjustRightInd w:val="0"/>
      <w:spacing w:line="360" w:lineRule="exact"/>
      <w:ind w:firstLine="600"/>
    </w:pPr>
    <w:rPr>
      <w:rFonts w:ascii="方正仿宋简体" w:hAnsi="Times New Roman" w:eastAsia="方正仿宋简体"/>
      <w:color w:val="000000"/>
      <w:kern w:val="0"/>
      <w:sz w:val="28"/>
      <w:szCs w:val="20"/>
    </w:rPr>
  </w:style>
  <w:style w:type="paragraph" w:styleId="27">
    <w:name w:val="toc 2"/>
    <w:basedOn w:val="1"/>
    <w:next w:val="1"/>
    <w:qFormat/>
    <w:uiPriority w:val="39"/>
    <w:pPr>
      <w:tabs>
        <w:tab w:val="right" w:leader="dot" w:pos="9061"/>
      </w:tabs>
      <w:ind w:firstLine="601" w:firstLineChars="286"/>
    </w:pPr>
    <w:rPr>
      <w:rFonts w:ascii="楷体_GB2312" w:hAnsi="Times New Roman" w:eastAsia="楷体_GB2312"/>
      <w:smallCaps/>
      <w:kern w:val="0"/>
      <w:szCs w:val="20"/>
    </w:rPr>
  </w:style>
  <w:style w:type="paragraph" w:styleId="28">
    <w:name w:val="toc 9"/>
    <w:basedOn w:val="1"/>
    <w:next w:val="1"/>
    <w:unhideWhenUsed/>
    <w:qFormat/>
    <w:uiPriority w:val="39"/>
    <w:pPr>
      <w:ind w:left="3360" w:leftChars="1600"/>
    </w:pPr>
  </w:style>
  <w:style w:type="paragraph" w:styleId="29">
    <w:name w:val="Title"/>
    <w:basedOn w:val="1"/>
    <w:next w:val="1"/>
    <w:link w:val="55"/>
    <w:qFormat/>
    <w:uiPriority w:val="10"/>
    <w:pPr>
      <w:spacing w:before="240" w:after="60"/>
      <w:jc w:val="center"/>
      <w:outlineLvl w:val="0"/>
    </w:pPr>
    <w:rPr>
      <w:rFonts w:ascii="Cambria" w:hAnsi="Cambria"/>
      <w:b/>
      <w:bCs/>
      <w:sz w:val="32"/>
      <w:szCs w:val="32"/>
    </w:rPr>
  </w:style>
  <w:style w:type="paragraph" w:styleId="30">
    <w:name w:val="annotation subject"/>
    <w:basedOn w:val="11"/>
    <w:next w:val="11"/>
    <w:link w:val="56"/>
    <w:qFormat/>
    <w:uiPriority w:val="0"/>
    <w:rPr>
      <w:b/>
      <w:bCs/>
    </w:rPr>
  </w:style>
  <w:style w:type="paragraph" w:styleId="31">
    <w:name w:val="Body Text First Indent"/>
    <w:basedOn w:val="12"/>
    <w:link w:val="57"/>
    <w:qFormat/>
    <w:uiPriority w:val="0"/>
    <w:pPr>
      <w:ind w:firstLine="420" w:firstLineChars="100"/>
    </w:pPr>
  </w:style>
  <w:style w:type="paragraph" w:styleId="32">
    <w:name w:val="Body Text First Indent 2"/>
    <w:basedOn w:val="13"/>
    <w:unhideWhenUsed/>
    <w:qFormat/>
    <w:uiPriority w:val="99"/>
    <w:pPr>
      <w:ind w:firstLine="420"/>
    </w:pPr>
    <w:rPr>
      <w:rFonts w:eastAsia="宋体"/>
    </w:rPr>
  </w:style>
  <w:style w:type="table" w:styleId="34">
    <w:name w:val="Table Grid"/>
    <w:basedOn w:val="3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22"/>
    <w:rPr>
      <w:b/>
      <w:bCs/>
    </w:rPr>
  </w:style>
  <w:style w:type="character" w:styleId="37">
    <w:name w:val="page number"/>
    <w:qFormat/>
    <w:uiPriority w:val="0"/>
  </w:style>
  <w:style w:type="character" w:styleId="38">
    <w:name w:val="Hyperlink"/>
    <w:qFormat/>
    <w:uiPriority w:val="99"/>
    <w:rPr>
      <w:color w:val="0000FF"/>
      <w:u w:val="single"/>
    </w:rPr>
  </w:style>
  <w:style w:type="character" w:styleId="39">
    <w:name w:val="annotation reference"/>
    <w:qFormat/>
    <w:uiPriority w:val="99"/>
    <w:rPr>
      <w:sz w:val="21"/>
      <w:szCs w:val="21"/>
    </w:rPr>
  </w:style>
  <w:style w:type="character" w:customStyle="1" w:styleId="40">
    <w:name w:val="标题 2 字符"/>
    <w:link w:val="3"/>
    <w:qFormat/>
    <w:uiPriority w:val="0"/>
    <w:rPr>
      <w:rFonts w:ascii="Arial" w:hAnsi="Arial" w:eastAsia="黑体"/>
      <w:b/>
      <w:sz w:val="32"/>
      <w:szCs w:val="20"/>
    </w:rPr>
  </w:style>
  <w:style w:type="character" w:customStyle="1" w:styleId="41">
    <w:name w:val="标题 3 字符"/>
    <w:link w:val="4"/>
    <w:qFormat/>
    <w:uiPriority w:val="0"/>
    <w:rPr>
      <w:rFonts w:ascii="Times New Roman" w:hAnsi="Times New Roman"/>
      <w:b/>
      <w:sz w:val="32"/>
      <w:szCs w:val="20"/>
    </w:rPr>
  </w:style>
  <w:style w:type="character" w:customStyle="1" w:styleId="42">
    <w:name w:val="标题 5 字符"/>
    <w:link w:val="6"/>
    <w:qFormat/>
    <w:uiPriority w:val="0"/>
    <w:rPr>
      <w:rFonts w:ascii="Calibri" w:hAnsi="Calibri"/>
      <w:b/>
      <w:bCs/>
      <w:kern w:val="2"/>
      <w:sz w:val="28"/>
      <w:szCs w:val="28"/>
    </w:rPr>
  </w:style>
  <w:style w:type="paragraph" w:customStyle="1" w:styleId="43">
    <w:name w:val="样式1"/>
    <w:basedOn w:val="1"/>
    <w:qFormat/>
    <w:uiPriority w:val="0"/>
    <w:pPr>
      <w:spacing w:before="120" w:after="120" w:line="300" w:lineRule="auto"/>
    </w:pPr>
    <w:rPr>
      <w:rFonts w:ascii="宋体" w:hAnsi="宋体"/>
      <w:b/>
      <w:sz w:val="24"/>
      <w:szCs w:val="20"/>
    </w:rPr>
  </w:style>
  <w:style w:type="paragraph" w:customStyle="1" w:styleId="4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正文-公1"/>
    <w:basedOn w:val="1"/>
    <w:qFormat/>
    <w:uiPriority w:val="0"/>
    <w:pPr>
      <w:ind w:firstLine="200" w:firstLineChars="200"/>
    </w:pPr>
    <w:rPr>
      <w:rFonts w:eastAsia="仿宋_GB2312"/>
    </w:rPr>
  </w:style>
  <w:style w:type="character" w:customStyle="1" w:styleId="46">
    <w:name w:val="标题 4 字符"/>
    <w:link w:val="5"/>
    <w:qFormat/>
    <w:uiPriority w:val="0"/>
    <w:rPr>
      <w:rFonts w:ascii="Cambria" w:hAnsi="Cambria" w:eastAsia="宋体" w:cs="Times New Roman"/>
      <w:b/>
      <w:bCs/>
      <w:kern w:val="2"/>
      <w:sz w:val="28"/>
      <w:szCs w:val="28"/>
    </w:rPr>
  </w:style>
  <w:style w:type="character" w:customStyle="1" w:styleId="47">
    <w:name w:val="标题 6 字符"/>
    <w:link w:val="7"/>
    <w:semiHidden/>
    <w:qFormat/>
    <w:uiPriority w:val="0"/>
    <w:rPr>
      <w:rFonts w:ascii="Cambria" w:hAnsi="Cambria" w:eastAsia="宋体" w:cs="Times New Roman"/>
      <w:b/>
      <w:bCs/>
      <w:kern w:val="2"/>
      <w:sz w:val="24"/>
      <w:szCs w:val="24"/>
    </w:rPr>
  </w:style>
  <w:style w:type="character" w:customStyle="1" w:styleId="48">
    <w:name w:val="正文缩进 字符"/>
    <w:link w:val="9"/>
    <w:qFormat/>
    <w:uiPriority w:val="0"/>
    <w:rPr>
      <w:kern w:val="2"/>
      <w:sz w:val="21"/>
    </w:rPr>
  </w:style>
  <w:style w:type="character" w:customStyle="1" w:styleId="49">
    <w:name w:val="批注文字 字符"/>
    <w:link w:val="11"/>
    <w:qFormat/>
    <w:uiPriority w:val="99"/>
    <w:rPr>
      <w:rFonts w:ascii="Calibri" w:hAnsi="Calibri"/>
      <w:kern w:val="2"/>
      <w:sz w:val="21"/>
      <w:szCs w:val="22"/>
    </w:rPr>
  </w:style>
  <w:style w:type="character" w:customStyle="1" w:styleId="50">
    <w:name w:val="正文文本 字符"/>
    <w:link w:val="12"/>
    <w:qFormat/>
    <w:uiPriority w:val="0"/>
    <w:rPr>
      <w:rFonts w:ascii="Calibri" w:hAnsi="Calibri"/>
      <w:kern w:val="2"/>
      <w:sz w:val="21"/>
      <w:szCs w:val="22"/>
    </w:rPr>
  </w:style>
  <w:style w:type="character" w:customStyle="1" w:styleId="51">
    <w:name w:val="正文文本缩进 字符"/>
    <w:link w:val="13"/>
    <w:qFormat/>
    <w:locked/>
    <w:uiPriority w:val="0"/>
    <w:rPr>
      <w:rFonts w:ascii="仿宋_GB2312" w:eastAsia="仿宋_GB2312" w:cs="Arial"/>
      <w:color w:val="000000"/>
      <w:kern w:val="2"/>
      <w:sz w:val="28"/>
      <w:szCs w:val="24"/>
      <w:lang w:val="en-US" w:eastAsia="zh-CN" w:bidi="ar-SA"/>
    </w:rPr>
  </w:style>
  <w:style w:type="character" w:customStyle="1" w:styleId="52">
    <w:name w:val="纯文本 字符"/>
    <w:link w:val="16"/>
    <w:qFormat/>
    <w:uiPriority w:val="0"/>
    <w:rPr>
      <w:rFonts w:ascii="宋体" w:hAnsi="Courier New" w:eastAsia="宋体"/>
      <w:sz w:val="21"/>
      <w:lang w:val="en-US" w:eastAsia="zh-CN" w:bidi="ar-SA"/>
    </w:rPr>
  </w:style>
  <w:style w:type="character" w:customStyle="1" w:styleId="53">
    <w:name w:val="页脚 字符"/>
    <w:link w:val="21"/>
    <w:qFormat/>
    <w:uiPriority w:val="99"/>
    <w:rPr>
      <w:kern w:val="2"/>
      <w:sz w:val="18"/>
    </w:rPr>
  </w:style>
  <w:style w:type="character" w:customStyle="1" w:styleId="54">
    <w:name w:val="页眉 字符"/>
    <w:link w:val="22"/>
    <w:qFormat/>
    <w:uiPriority w:val="99"/>
    <w:rPr>
      <w:kern w:val="2"/>
      <w:sz w:val="18"/>
    </w:rPr>
  </w:style>
  <w:style w:type="character" w:customStyle="1" w:styleId="55">
    <w:name w:val="标题 字符"/>
    <w:link w:val="29"/>
    <w:qFormat/>
    <w:uiPriority w:val="10"/>
    <w:rPr>
      <w:rFonts w:ascii="Cambria" w:hAnsi="Cambria" w:cs="Times New Roman"/>
      <w:b/>
      <w:bCs/>
      <w:kern w:val="2"/>
      <w:sz w:val="32"/>
      <w:szCs w:val="32"/>
    </w:rPr>
  </w:style>
  <w:style w:type="character" w:customStyle="1" w:styleId="56">
    <w:name w:val="批注主题 字符"/>
    <w:link w:val="30"/>
    <w:qFormat/>
    <w:uiPriority w:val="0"/>
    <w:rPr>
      <w:rFonts w:ascii="Calibri" w:hAnsi="Calibri"/>
      <w:b/>
      <w:bCs/>
      <w:kern w:val="2"/>
      <w:sz w:val="21"/>
      <w:szCs w:val="22"/>
    </w:rPr>
  </w:style>
  <w:style w:type="character" w:customStyle="1" w:styleId="57">
    <w:name w:val="正文文本首行缩进 字符"/>
    <w:link w:val="31"/>
    <w:qFormat/>
    <w:uiPriority w:val="0"/>
  </w:style>
  <w:style w:type="character" w:customStyle="1" w:styleId="58">
    <w:name w:val="列表段落 字符"/>
    <w:link w:val="59"/>
    <w:qFormat/>
    <w:uiPriority w:val="34"/>
    <w:rPr>
      <w:rFonts w:ascii="Calibri" w:hAnsi="Calibri"/>
      <w:kern w:val="2"/>
      <w:sz w:val="24"/>
      <w:szCs w:val="22"/>
    </w:rPr>
  </w:style>
  <w:style w:type="paragraph" w:styleId="59">
    <w:name w:val="List Paragraph"/>
    <w:basedOn w:val="1"/>
    <w:link w:val="58"/>
    <w:qFormat/>
    <w:uiPriority w:val="34"/>
    <w:pPr>
      <w:ind w:firstLine="420"/>
    </w:pPr>
  </w:style>
  <w:style w:type="character" w:customStyle="1" w:styleId="60">
    <w:name w:val="普通文字1 Char1"/>
    <w:qFormat/>
    <w:uiPriority w:val="0"/>
    <w:rPr>
      <w:rFonts w:ascii="宋体" w:hAnsi="Courier New" w:eastAsia="宋体"/>
      <w:kern w:val="2"/>
      <w:sz w:val="21"/>
      <w:lang w:val="en-US" w:eastAsia="zh-CN" w:bidi="ar-SA"/>
    </w:rPr>
  </w:style>
  <w:style w:type="character" w:customStyle="1" w:styleId="61">
    <w:name w:val="彩色列表 - 强调文字颜色 1 Char"/>
    <w:link w:val="62"/>
    <w:qFormat/>
    <w:uiPriority w:val="34"/>
    <w:rPr>
      <w:rFonts w:ascii="Calibri" w:hAnsi="Calibri"/>
      <w:kern w:val="2"/>
      <w:sz w:val="21"/>
      <w:szCs w:val="22"/>
    </w:rPr>
  </w:style>
  <w:style w:type="paragraph" w:customStyle="1" w:styleId="62">
    <w:name w:val="彩色列表 - 强调文字颜色 11"/>
    <w:basedOn w:val="1"/>
    <w:link w:val="61"/>
    <w:qFormat/>
    <w:uiPriority w:val="34"/>
    <w:pPr>
      <w:ind w:firstLine="420" w:firstLineChars="200"/>
    </w:pPr>
  </w:style>
  <w:style w:type="paragraph" w:customStyle="1" w:styleId="63">
    <w:name w:val="不加黑列表"/>
    <w:basedOn w:val="1"/>
    <w:qFormat/>
    <w:uiPriority w:val="0"/>
    <w:pPr>
      <w:numPr>
        <w:ilvl w:val="0"/>
        <w:numId w:val="1"/>
      </w:numPr>
      <w:ind w:firstLine="0"/>
    </w:pPr>
    <w:rPr>
      <w:kern w:val="0"/>
      <w:sz w:val="24"/>
      <w:szCs w:val="21"/>
    </w:rPr>
  </w:style>
  <w:style w:type="paragraph" w:customStyle="1" w:styleId="64">
    <w:name w:val="标题五"/>
    <w:basedOn w:val="6"/>
    <w:qFormat/>
    <w:uiPriority w:val="0"/>
    <w:pPr>
      <w:ind w:left="402" w:hanging="402" w:hangingChars="200"/>
    </w:pPr>
    <w:rPr>
      <w:rFonts w:ascii="宋体" w:hAnsi="宋体" w:cs="宋体"/>
      <w:b w:val="0"/>
      <w:bCs w:val="0"/>
      <w:color w:val="000000"/>
      <w:kern w:val="0"/>
      <w:sz w:val="24"/>
      <w:szCs w:val="20"/>
    </w:rPr>
  </w:style>
  <w:style w:type="paragraph" w:customStyle="1" w:styleId="65">
    <w:name w:val="2ji"/>
    <w:basedOn w:val="3"/>
    <w:qFormat/>
    <w:uiPriority w:val="0"/>
    <w:pPr>
      <w:adjustRightInd w:val="0"/>
      <w:spacing w:before="0" w:after="0" w:line="360" w:lineRule="auto"/>
      <w:textAlignment w:val="baseline"/>
    </w:pPr>
    <w:rPr>
      <w:rFonts w:ascii="宋体" w:hAnsi="宋体" w:eastAsia="宋体"/>
      <w:bCs/>
      <w:kern w:val="0"/>
      <w:sz w:val="21"/>
      <w:szCs w:val="21"/>
    </w:rPr>
  </w:style>
  <w:style w:type="paragraph" w:customStyle="1" w:styleId="66">
    <w:name w:val="表格文字"/>
    <w:qFormat/>
    <w:uiPriority w:val="0"/>
    <w:pPr>
      <w:widowControl w:val="0"/>
      <w:adjustRightInd w:val="0"/>
      <w:snapToGrid w:val="0"/>
      <w:jc w:val="center"/>
    </w:pPr>
    <w:rPr>
      <w:rFonts w:ascii="宋体" w:hAnsi="宋体" w:eastAsia="宋体" w:cs="宋体"/>
      <w:kern w:val="2"/>
      <w:sz w:val="21"/>
      <w:szCs w:val="21"/>
      <w:lang w:val="en-US" w:eastAsia="zh-CN" w:bidi="ar-SA"/>
    </w:rPr>
  </w:style>
  <w:style w:type="paragraph" w:customStyle="1" w:styleId="67">
    <w:name w:val="Char1"/>
    <w:basedOn w:val="1"/>
    <w:qFormat/>
    <w:uiPriority w:val="0"/>
    <w:pPr>
      <w:widowControl/>
      <w:tabs>
        <w:tab w:val="left" w:pos="509"/>
      </w:tabs>
      <w:spacing w:after="160" w:line="240" w:lineRule="exact"/>
      <w:ind w:left="252"/>
    </w:pPr>
    <w:rPr>
      <w:rFonts w:ascii="Verdana" w:hAnsi="Verdana" w:eastAsia="仿宋_GB2312"/>
      <w:kern w:val="0"/>
      <w:sz w:val="24"/>
      <w:szCs w:val="20"/>
      <w:lang w:eastAsia="en-US"/>
    </w:rPr>
  </w:style>
  <w:style w:type="paragraph" w:customStyle="1" w:styleId="68">
    <w:name w:val="标题44"/>
    <w:basedOn w:val="5"/>
    <w:qFormat/>
    <w:uiPriority w:val="0"/>
    <w:pPr>
      <w:numPr>
        <w:ilvl w:val="0"/>
        <w:numId w:val="2"/>
      </w:numPr>
      <w:spacing w:before="480" w:after="360" w:line="400" w:lineRule="exact"/>
    </w:pPr>
    <w:rPr>
      <w:rFonts w:eastAsia="仿宋"/>
      <w:kern w:val="0"/>
    </w:rPr>
  </w:style>
  <w:style w:type="paragraph" w:customStyle="1" w:styleId="69">
    <w:name w:val="Char"/>
    <w:basedOn w:val="10"/>
    <w:qFormat/>
    <w:uiPriority w:val="0"/>
    <w:pPr>
      <w:widowControl/>
      <w:ind w:firstLine="454"/>
    </w:pPr>
    <w:rPr>
      <w:rFonts w:ascii="Tahoma" w:hAnsi="Tahoma"/>
      <w:kern w:val="0"/>
      <w:sz w:val="24"/>
    </w:rPr>
  </w:style>
  <w:style w:type="paragraph" w:customStyle="1" w:styleId="70">
    <w:name w:val="Inside Address"/>
    <w:basedOn w:val="12"/>
    <w:qFormat/>
    <w:uiPriority w:val="0"/>
    <w:pPr>
      <w:widowControl/>
      <w:overflowPunct w:val="0"/>
      <w:autoSpaceDE w:val="0"/>
      <w:autoSpaceDN w:val="0"/>
      <w:adjustRightInd w:val="0"/>
      <w:spacing w:after="0" w:line="220" w:lineRule="atLeast"/>
      <w:textAlignment w:val="baseline"/>
    </w:pPr>
    <w:rPr>
      <w:rFonts w:ascii="Arial" w:hAnsi="Arial"/>
      <w:spacing w:val="-5"/>
      <w:kern w:val="0"/>
      <w:sz w:val="20"/>
      <w:szCs w:val="20"/>
    </w:rPr>
  </w:style>
  <w:style w:type="paragraph" w:customStyle="1" w:styleId="71">
    <w:name w:val="标题四"/>
    <w:basedOn w:val="5"/>
    <w:qFormat/>
    <w:uiPriority w:val="0"/>
    <w:pPr>
      <w:spacing w:line="360" w:lineRule="auto"/>
      <w:ind w:firstLine="480" w:firstLineChars="200"/>
    </w:pPr>
    <w:rPr>
      <w:rFonts w:ascii="宋体" w:hAnsi="宋体"/>
      <w:color w:val="000000"/>
      <w:kern w:val="0"/>
      <w:sz w:val="24"/>
    </w:rPr>
  </w:style>
  <w:style w:type="paragraph" w:customStyle="1" w:styleId="72">
    <w:name w:val="缺省文本"/>
    <w:basedOn w:val="1"/>
    <w:qFormat/>
    <w:uiPriority w:val="0"/>
    <w:pPr>
      <w:autoSpaceDE w:val="0"/>
      <w:autoSpaceDN w:val="0"/>
      <w:adjustRightInd w:val="0"/>
      <w:spacing w:before="20" w:after="20" w:line="400" w:lineRule="atLeast"/>
      <w:ind w:firstLine="504"/>
    </w:pPr>
    <w:rPr>
      <w:rFonts w:ascii="Times New Roman" w:hAnsi="Times New Roman"/>
      <w:kern w:val="0"/>
      <w:sz w:val="24"/>
      <w:szCs w:val="20"/>
    </w:rPr>
  </w:style>
  <w:style w:type="paragraph" w:customStyle="1" w:styleId="73">
    <w:name w:val="Char2"/>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74">
    <w:name w:val="Char Char Char Char Char Char Char Char Char Char Char Char"/>
    <w:basedOn w:val="1"/>
    <w:qFormat/>
    <w:uiPriority w:val="0"/>
    <w:rPr>
      <w:rFonts w:ascii="宋体" w:hAnsi="宋体" w:cs="Courier New"/>
      <w:sz w:val="32"/>
      <w:szCs w:val="32"/>
    </w:rPr>
  </w:style>
  <w:style w:type="paragraph" w:customStyle="1" w:styleId="75">
    <w:name w:val="Char Char Char Char Char Char Char Char Char Char"/>
    <w:basedOn w:val="1"/>
    <w:qFormat/>
    <w:uiPriority w:val="0"/>
    <w:pPr>
      <w:widowControl/>
      <w:spacing w:after="160" w:line="240" w:lineRule="exact"/>
    </w:pPr>
    <w:rPr>
      <w:rFonts w:ascii="Times New Roman" w:hAnsi="Times New Roman"/>
      <w:szCs w:val="20"/>
    </w:rPr>
  </w:style>
  <w:style w:type="paragraph" w:customStyle="1" w:styleId="76">
    <w:name w:val="_Style 72"/>
    <w:semiHidden/>
    <w:qFormat/>
    <w:uiPriority w:val="99"/>
    <w:rPr>
      <w:rFonts w:ascii="Calibri" w:hAnsi="Calibri" w:eastAsia="宋体" w:cs="Times New Roman"/>
      <w:kern w:val="2"/>
      <w:sz w:val="24"/>
      <w:szCs w:val="22"/>
      <w:lang w:val="en-US" w:eastAsia="zh-CN" w:bidi="ar-SA"/>
    </w:rPr>
  </w:style>
  <w:style w:type="paragraph" w:customStyle="1" w:styleId="77">
    <w:name w:val="_Style 73"/>
    <w:basedOn w:val="2"/>
    <w:next w:val="1"/>
    <w:qFormat/>
    <w:uiPriority w:val="39"/>
    <w:pPr>
      <w:widowControl/>
      <w:spacing w:before="480" w:after="0" w:line="276" w:lineRule="auto"/>
      <w:outlineLvl w:val="9"/>
    </w:pPr>
    <w:rPr>
      <w:rFonts w:ascii="Cambria" w:hAnsi="Cambria"/>
      <w:bCs/>
      <w:color w:val="365F91"/>
      <w:kern w:val="0"/>
      <w:sz w:val="28"/>
      <w:szCs w:val="28"/>
    </w:rPr>
  </w:style>
  <w:style w:type="paragraph" w:customStyle="1" w:styleId="78">
    <w:name w:val="正文_0_0"/>
    <w:qFormat/>
    <w:uiPriority w:val="0"/>
    <w:pPr>
      <w:widowControl w:val="0"/>
      <w:spacing w:line="360" w:lineRule="auto"/>
      <w:jc w:val="both"/>
    </w:pPr>
    <w:rPr>
      <w:rFonts w:ascii="宋体" w:hAnsi="宋体" w:eastAsia="宋体" w:cs="Times New Roman"/>
      <w:kern w:val="2"/>
      <w:sz w:val="21"/>
      <w:szCs w:val="22"/>
      <w:lang w:val="en-US" w:eastAsia="zh-CN" w:bidi="ar-SA"/>
    </w:rPr>
  </w:style>
  <w:style w:type="character" w:customStyle="1" w:styleId="79">
    <w:name w:val="fontstyle01"/>
    <w:basedOn w:val="35"/>
    <w:qFormat/>
    <w:uiPriority w:val="0"/>
    <w:rPr>
      <w:rFonts w:hint="eastAsia" w:ascii="宋体" w:hAnsi="宋体" w:eastAsia="宋体"/>
      <w:color w:val="000000"/>
      <w:sz w:val="22"/>
      <w:szCs w:val="22"/>
    </w:rPr>
  </w:style>
  <w:style w:type="character" w:customStyle="1" w:styleId="80">
    <w:name w:val="fontstyle11"/>
    <w:basedOn w:val="35"/>
    <w:qFormat/>
    <w:uiPriority w:val="0"/>
    <w:rPr>
      <w:rFonts w:hint="default" w:ascii="TimesNewRomanPSMT" w:hAnsi="TimesNewRomanPSMT"/>
      <w:color w:val="000000"/>
      <w:sz w:val="22"/>
      <w:szCs w:val="22"/>
    </w:rPr>
  </w:style>
  <w:style w:type="paragraph" w:customStyle="1" w:styleId="81">
    <w:name w:val="列表段落1"/>
    <w:basedOn w:val="1"/>
    <w:qFormat/>
    <w:uiPriority w:val="34"/>
    <w:pPr>
      <w:ind w:firstLine="420" w:firstLineChars="200"/>
    </w:pPr>
  </w:style>
  <w:style w:type="paragraph" w:customStyle="1" w:styleId="82">
    <w:name w:val="Blockquote"/>
    <w:basedOn w:val="1"/>
    <w:qFormat/>
    <w:uiPriority w:val="0"/>
    <w:pPr>
      <w:autoSpaceDE w:val="0"/>
      <w:autoSpaceDN w:val="0"/>
      <w:adjustRightInd w:val="0"/>
      <w:spacing w:before="100" w:after="100"/>
      <w:ind w:left="360" w:right="36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11751</Words>
  <Characters>12221</Characters>
  <Lines>222</Lines>
  <Paragraphs>62</Paragraphs>
  <TotalTime>1367</TotalTime>
  <ScaleCrop>false</ScaleCrop>
  <LinksUpToDate>false</LinksUpToDate>
  <CharactersWithSpaces>12980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2025-05-09T10:30:00Z</dcterms:created>
  <dc:creator>MC SYSTEM</dc:creator>
  <cp:lastModifiedBy>ㄗs:琴︶ㄣ</cp:lastModifiedBy>
  <cp:lastPrinted>2021-08-03T01:52:00Z</cp:lastPrinted>
  <dcterms:modified xsi:type="dcterms:W3CDTF">2025-05-19T09:11:39Z</dcterms:modified>
  <dc:title>附件3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BD7264EA07A14EFB90550060390B8C49_13</vt:lpwstr>
  </property>
  <property fmtid="{D5CDD505-2E9C-101B-9397-08002B2CF9AE}" pid="4" name="KSOTemplateDocerSaveRecord">
    <vt:lpwstr>eyJoZGlkIjoiZmRmZGYxZWZlZjg1NGJlN2VmODMzMzUyMWJjZGJhOTMiLCJ1c2VySWQiOiIyMzM3MDQxMzgifQ==</vt:lpwstr>
  </property>
</Properties>
</file>