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23845">
      <w:pPr>
        <w:spacing w:line="360" w:lineRule="auto"/>
        <w:ind w:firstLine="560"/>
        <w:rPr>
          <w:rFonts w:hint="eastAsia" w:ascii="仿宋" w:hAnsi="仿宋" w:eastAsia="仿宋" w:cs="仿宋"/>
          <w:color w:val="auto"/>
          <w:sz w:val="28"/>
          <w:szCs w:val="28"/>
          <w:highlight w:val="none"/>
        </w:rPr>
      </w:pPr>
    </w:p>
    <w:p w14:paraId="4E256850">
      <w:pPr>
        <w:spacing w:line="360" w:lineRule="auto"/>
        <w:ind w:firstLine="560"/>
        <w:rPr>
          <w:rFonts w:hint="eastAsia" w:ascii="仿宋" w:hAnsi="仿宋" w:eastAsia="仿宋" w:cs="仿宋"/>
          <w:color w:val="auto"/>
          <w:sz w:val="28"/>
          <w:szCs w:val="28"/>
          <w:highlight w:val="none"/>
        </w:rPr>
      </w:pPr>
    </w:p>
    <w:p w14:paraId="0C1F9637">
      <w:pPr>
        <w:spacing w:line="360" w:lineRule="auto"/>
        <w:ind w:firstLine="560"/>
        <w:rPr>
          <w:rFonts w:hint="eastAsia" w:ascii="仿宋" w:hAnsi="仿宋" w:eastAsia="仿宋" w:cs="仿宋"/>
          <w:b/>
          <w:color w:val="auto"/>
          <w:szCs w:val="21"/>
          <w:highlight w:val="none"/>
          <w:u w:val="single"/>
        </w:rPr>
      </w:pPr>
    </w:p>
    <w:p w14:paraId="32D26498">
      <w:pPr>
        <w:spacing w:after="120" w:line="360" w:lineRule="auto"/>
        <w:jc w:val="center"/>
        <w:rPr>
          <w:rFonts w:hint="eastAsia" w:ascii="方正小标宋简体" w:hAnsi="方正小标宋简体" w:eastAsia="方正小标宋简体" w:cs="方正小标宋简体"/>
          <w:b w:val="0"/>
          <w:bCs/>
          <w:color w:val="auto"/>
          <w:sz w:val="52"/>
          <w:szCs w:val="52"/>
          <w:highlight w:val="none"/>
          <w:lang w:eastAsia="zh-CN"/>
        </w:rPr>
      </w:pPr>
      <w:r>
        <w:rPr>
          <w:rFonts w:hint="eastAsia" w:ascii="方正小标宋简体" w:hAnsi="方正小标宋简体" w:eastAsia="方正小标宋简体" w:cs="方正小标宋简体"/>
          <w:b w:val="0"/>
          <w:bCs/>
          <w:color w:val="auto"/>
          <w:sz w:val="52"/>
          <w:szCs w:val="52"/>
          <w:highlight w:val="none"/>
          <w:lang w:eastAsia="zh-CN"/>
        </w:rPr>
        <w:t>南宁轨道数智科技有限公司</w:t>
      </w:r>
    </w:p>
    <w:p w14:paraId="4C69DFED">
      <w:pPr>
        <w:spacing w:after="120" w:line="360" w:lineRule="auto"/>
        <w:jc w:val="center"/>
        <w:rPr>
          <w:rFonts w:hint="eastAsia" w:ascii="方正小标宋简体" w:hAnsi="方正小标宋简体" w:eastAsia="方正小标宋简体" w:cs="方正小标宋简体"/>
          <w:b w:val="0"/>
          <w:bCs/>
          <w:color w:val="auto"/>
          <w:sz w:val="52"/>
          <w:szCs w:val="52"/>
          <w:highlight w:val="none"/>
        </w:rPr>
      </w:pPr>
      <w:r>
        <w:rPr>
          <w:rFonts w:hint="eastAsia" w:ascii="方正小标宋简体" w:hAnsi="方正小标宋简体" w:eastAsia="方正小标宋简体" w:cs="方正小标宋简体"/>
          <w:b w:val="0"/>
          <w:bCs/>
          <w:color w:val="auto"/>
          <w:sz w:val="52"/>
          <w:szCs w:val="52"/>
          <w:highlight w:val="none"/>
        </w:rPr>
        <w:t>新自营项目整合传播服务</w:t>
      </w:r>
    </w:p>
    <w:p w14:paraId="14C07698">
      <w:pPr>
        <w:spacing w:line="360" w:lineRule="auto"/>
        <w:jc w:val="center"/>
        <w:rPr>
          <w:rFonts w:hint="eastAsia" w:ascii="仿宋" w:hAnsi="仿宋" w:eastAsia="仿宋" w:cs="仿宋"/>
          <w:b/>
          <w:color w:val="auto"/>
          <w:szCs w:val="21"/>
          <w:highlight w:val="none"/>
          <w:u w:val="single"/>
        </w:rPr>
      </w:pPr>
    </w:p>
    <w:p w14:paraId="3692637C">
      <w:pPr>
        <w:spacing w:after="120" w:line="360" w:lineRule="auto"/>
        <w:jc w:val="center"/>
        <w:rPr>
          <w:rFonts w:hint="eastAsia" w:ascii="方正小标宋简体" w:hAnsi="方正小标宋简体" w:eastAsia="方正小标宋简体" w:cs="方正小标宋简体"/>
          <w:b w:val="0"/>
          <w:bCs/>
          <w:color w:val="auto"/>
          <w:sz w:val="40"/>
          <w:szCs w:val="40"/>
          <w:highlight w:val="none"/>
        </w:rPr>
      </w:pPr>
      <w:r>
        <w:rPr>
          <w:rFonts w:hint="eastAsia" w:ascii="方正小标宋简体" w:hAnsi="方正小标宋简体" w:eastAsia="方正小标宋简体" w:cs="方正小标宋简体"/>
          <w:b w:val="0"/>
          <w:bCs/>
          <w:color w:val="auto"/>
          <w:sz w:val="40"/>
          <w:szCs w:val="40"/>
          <w:highlight w:val="none"/>
        </w:rPr>
        <w:t>比选文件</w:t>
      </w:r>
    </w:p>
    <w:p w14:paraId="28FF63B7">
      <w:pPr>
        <w:spacing w:after="120" w:line="360" w:lineRule="auto"/>
        <w:jc w:val="center"/>
        <w:rPr>
          <w:rFonts w:hint="eastAsia" w:ascii="仿宋" w:hAnsi="仿宋" w:eastAsia="仿宋" w:cs="仿宋"/>
          <w:b/>
          <w:color w:val="auto"/>
          <w:sz w:val="32"/>
          <w:szCs w:val="32"/>
          <w:highlight w:val="none"/>
        </w:rPr>
      </w:pPr>
    </w:p>
    <w:p w14:paraId="68A12AE3">
      <w:pPr>
        <w:spacing w:after="120" w:line="360" w:lineRule="auto"/>
        <w:jc w:val="center"/>
        <w:rPr>
          <w:rFonts w:hint="eastAsia" w:ascii="仿宋" w:hAnsi="仿宋" w:eastAsia="仿宋" w:cs="仿宋"/>
          <w:b/>
          <w:color w:val="auto"/>
          <w:sz w:val="32"/>
          <w:szCs w:val="32"/>
          <w:highlight w:val="none"/>
        </w:rPr>
      </w:pPr>
    </w:p>
    <w:p w14:paraId="09F72447">
      <w:pPr>
        <w:spacing w:after="120" w:line="360" w:lineRule="auto"/>
        <w:jc w:val="center"/>
        <w:rPr>
          <w:rFonts w:hint="eastAsia" w:ascii="仿宋" w:hAnsi="仿宋" w:eastAsia="仿宋" w:cs="仿宋"/>
          <w:b/>
          <w:color w:val="auto"/>
          <w:sz w:val="32"/>
          <w:szCs w:val="32"/>
          <w:highlight w:val="none"/>
        </w:rPr>
      </w:pPr>
    </w:p>
    <w:p w14:paraId="69377B27">
      <w:pPr>
        <w:spacing w:after="120" w:line="360" w:lineRule="auto"/>
        <w:jc w:val="center"/>
        <w:rPr>
          <w:rFonts w:hint="eastAsia" w:ascii="仿宋" w:hAnsi="仿宋" w:eastAsia="仿宋" w:cs="仿宋"/>
          <w:b/>
          <w:color w:val="auto"/>
          <w:sz w:val="32"/>
          <w:szCs w:val="32"/>
          <w:highlight w:val="none"/>
        </w:rPr>
      </w:pPr>
    </w:p>
    <w:p w14:paraId="107C6C53">
      <w:pPr>
        <w:spacing w:after="120" w:line="360" w:lineRule="auto"/>
        <w:jc w:val="center"/>
        <w:rPr>
          <w:rFonts w:hint="eastAsia" w:ascii="仿宋" w:hAnsi="仿宋" w:eastAsia="仿宋" w:cs="仿宋"/>
          <w:b/>
          <w:color w:val="auto"/>
          <w:sz w:val="32"/>
          <w:szCs w:val="32"/>
          <w:highlight w:val="none"/>
        </w:rPr>
      </w:pPr>
    </w:p>
    <w:p w14:paraId="105467E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比选人：</w:t>
      </w:r>
      <w:r>
        <w:rPr>
          <w:rFonts w:hint="eastAsia" w:ascii="仿宋" w:hAnsi="仿宋" w:eastAsia="仿宋" w:cs="仿宋"/>
          <w:b/>
          <w:color w:val="auto"/>
          <w:sz w:val="24"/>
          <w:highlight w:val="none"/>
          <w:u w:val="single"/>
          <w:lang w:eastAsia="zh-CN"/>
        </w:rPr>
        <w:t>南宁轨道数智科技有限公司</w:t>
      </w:r>
    </w:p>
    <w:p w14:paraId="1121A6F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u w:val="single"/>
        </w:rPr>
        <w:t>20</w:t>
      </w:r>
      <w:r>
        <w:rPr>
          <w:rFonts w:hint="eastAsia" w:ascii="仿宋" w:hAnsi="仿宋" w:eastAsia="仿宋" w:cs="仿宋"/>
          <w:b/>
          <w:color w:val="auto"/>
          <w:sz w:val="24"/>
          <w:highlight w:val="none"/>
          <w:u w:val="single"/>
          <w:lang w:val="en-US" w:eastAsia="zh-CN"/>
        </w:rPr>
        <w:t>24</w:t>
      </w:r>
      <w:r>
        <w:rPr>
          <w:rFonts w:hint="eastAsia" w:ascii="仿宋" w:hAnsi="仿宋" w:eastAsia="仿宋" w:cs="仿宋"/>
          <w:b/>
          <w:color w:val="auto"/>
          <w:sz w:val="24"/>
          <w:highlight w:val="none"/>
          <w:u w:val="single"/>
        </w:rPr>
        <w:t>年</w:t>
      </w:r>
      <w:r>
        <w:rPr>
          <w:rFonts w:hint="eastAsia" w:ascii="仿宋" w:hAnsi="仿宋" w:eastAsia="仿宋" w:cs="仿宋"/>
          <w:b/>
          <w:color w:val="auto"/>
          <w:sz w:val="24"/>
          <w:highlight w:val="none"/>
          <w:u w:val="single"/>
          <w:lang w:val="en-US" w:eastAsia="zh-CN"/>
        </w:rPr>
        <w:t>12</w:t>
      </w:r>
      <w:r>
        <w:rPr>
          <w:rFonts w:hint="eastAsia" w:ascii="仿宋" w:hAnsi="仿宋" w:eastAsia="仿宋" w:cs="仿宋"/>
          <w:b/>
          <w:color w:val="auto"/>
          <w:sz w:val="24"/>
          <w:highlight w:val="none"/>
          <w:u w:val="single"/>
        </w:rPr>
        <w:t>月</w:t>
      </w:r>
    </w:p>
    <w:p w14:paraId="7634D094">
      <w:pPr>
        <w:spacing w:after="120" w:line="360" w:lineRule="auto"/>
        <w:jc w:val="center"/>
        <w:rPr>
          <w:rFonts w:hint="eastAsia" w:ascii="仿宋" w:hAnsi="仿宋" w:eastAsia="仿宋" w:cs="仿宋"/>
          <w:color w:val="auto"/>
          <w:sz w:val="24"/>
          <w:highlight w:val="none"/>
        </w:rPr>
        <w:sectPr>
          <w:headerReference r:id="rId4" w:type="first"/>
          <w:headerReference r:id="rId3" w:type="default"/>
          <w:footerReference r:id="rId5" w:type="default"/>
          <w:pgSz w:w="11906" w:h="16838"/>
          <w:pgMar w:top="1440" w:right="1701" w:bottom="1440" w:left="1701" w:header="851" w:footer="992" w:gutter="0"/>
          <w:cols w:space="720" w:num="1"/>
          <w:docGrid w:type="linesAndChars" w:linePitch="380" w:charSpace="0"/>
        </w:sectPr>
      </w:pPr>
    </w:p>
    <w:p w14:paraId="6FCC4576">
      <w:pPr>
        <w:spacing w:after="12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目  录</w:t>
      </w:r>
    </w:p>
    <w:p w14:paraId="3F64F983">
      <w:pPr>
        <w:pStyle w:val="31"/>
        <w:tabs>
          <w:tab w:val="right" w:leader="dot" w:pos="8504"/>
          <w:tab w:val="clear" w:pos="567"/>
          <w:tab w:val="clear" w:pos="709"/>
          <w:tab w:val="clear" w:pos="8505"/>
        </w:tabs>
      </w:pPr>
      <w:r>
        <w:rPr>
          <w:rFonts w:hint="eastAsia" w:ascii="仿宋" w:hAnsi="仿宋" w:eastAsia="仿宋" w:cs="仿宋"/>
          <w:bCs/>
          <w:color w:val="auto"/>
          <w:highlight w:val="none"/>
        </w:rPr>
        <w:fldChar w:fldCharType="begin"/>
      </w:r>
      <w:r>
        <w:rPr>
          <w:rFonts w:hint="eastAsia" w:ascii="仿宋" w:hAnsi="仿宋" w:eastAsia="仿宋" w:cs="仿宋"/>
          <w:bCs/>
          <w:color w:val="auto"/>
          <w:highlight w:val="none"/>
        </w:rPr>
        <w:instrText xml:space="preserve"> TOC \o "1-3" \h \z \u </w:instrText>
      </w:r>
      <w:r>
        <w:rPr>
          <w:rFonts w:hint="eastAsia" w:ascii="仿宋" w:hAnsi="仿宋" w:eastAsia="仿宋" w:cs="仿宋"/>
          <w:bCs/>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_Toc2578 </w:instrText>
      </w:r>
      <w:r>
        <w:rPr>
          <w:rFonts w:hint="eastAsia" w:ascii="仿宋" w:hAnsi="仿宋" w:eastAsia="仿宋" w:cs="仿宋"/>
          <w:highlight w:val="none"/>
        </w:rPr>
        <w:fldChar w:fldCharType="separate"/>
      </w:r>
      <w:r>
        <w:rPr>
          <w:rFonts w:hint="eastAsia" w:ascii="仿宋" w:hAnsi="仿宋" w:eastAsia="仿宋" w:cs="仿宋"/>
          <w:bCs w:val="0"/>
          <w:kern w:val="0"/>
          <w:szCs w:val="28"/>
          <w:highlight w:val="none"/>
        </w:rPr>
        <w:t xml:space="preserve">第一章  </w:t>
      </w:r>
      <w:r>
        <w:rPr>
          <w:rFonts w:hint="eastAsia" w:ascii="仿宋" w:hAnsi="仿宋" w:eastAsia="仿宋" w:cs="仿宋"/>
          <w:bCs w:val="0"/>
          <w:kern w:val="0"/>
          <w:szCs w:val="28"/>
          <w:highlight w:val="none"/>
          <w:lang w:val="en-US" w:eastAsia="zh-CN"/>
        </w:rPr>
        <w:t>比选公告</w:t>
      </w:r>
      <w:r>
        <w:tab/>
      </w:r>
      <w:r>
        <w:fldChar w:fldCharType="begin"/>
      </w:r>
      <w:r>
        <w:instrText xml:space="preserve"> PAGEREF _Toc2578 \h </w:instrText>
      </w:r>
      <w:r>
        <w:fldChar w:fldCharType="separate"/>
      </w:r>
      <w:r>
        <w:t>1</w:t>
      </w:r>
      <w:r>
        <w:fldChar w:fldCharType="end"/>
      </w:r>
      <w:r>
        <w:rPr>
          <w:rFonts w:hint="eastAsia" w:ascii="仿宋" w:hAnsi="仿宋" w:eastAsia="仿宋" w:cs="仿宋"/>
          <w:color w:val="auto"/>
          <w:highlight w:val="none"/>
        </w:rPr>
        <w:fldChar w:fldCharType="end"/>
      </w:r>
    </w:p>
    <w:p w14:paraId="26177011">
      <w:pPr>
        <w:pStyle w:val="31"/>
        <w:tabs>
          <w:tab w:val="right" w:leader="dot" w:pos="8504"/>
          <w:tab w:val="clear" w:pos="567"/>
          <w:tab w:val="clear" w:pos="709"/>
          <w:tab w:val="clear" w:pos="850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_Toc26338 </w:instrText>
      </w:r>
      <w:r>
        <w:rPr>
          <w:rFonts w:hint="eastAsia" w:ascii="仿宋" w:hAnsi="仿宋" w:eastAsia="仿宋" w:cs="仿宋"/>
          <w:highlight w:val="none"/>
        </w:rPr>
        <w:fldChar w:fldCharType="separate"/>
      </w:r>
      <w:r>
        <w:rPr>
          <w:rFonts w:hint="eastAsia" w:ascii="仿宋" w:hAnsi="仿宋" w:eastAsia="仿宋" w:cs="仿宋"/>
          <w:bCs w:val="0"/>
          <w:kern w:val="0"/>
          <w:szCs w:val="28"/>
          <w:highlight w:val="none"/>
        </w:rPr>
        <w:t>第</w:t>
      </w:r>
      <w:r>
        <w:rPr>
          <w:rFonts w:hint="default" w:ascii="仿宋" w:hAnsi="仿宋" w:eastAsia="仿宋" w:cs="仿宋"/>
          <w:bCs w:val="0"/>
          <w:kern w:val="0"/>
          <w:szCs w:val="28"/>
          <w:highlight w:val="none"/>
        </w:rPr>
        <w:t>二</w:t>
      </w:r>
      <w:r>
        <w:rPr>
          <w:rFonts w:hint="eastAsia" w:ascii="仿宋" w:hAnsi="仿宋" w:eastAsia="仿宋" w:cs="仿宋"/>
          <w:bCs w:val="0"/>
          <w:kern w:val="0"/>
          <w:szCs w:val="28"/>
          <w:highlight w:val="none"/>
        </w:rPr>
        <w:t>章 参选人须知</w:t>
      </w:r>
      <w:r>
        <w:tab/>
      </w:r>
      <w:r>
        <w:fldChar w:fldCharType="begin"/>
      </w:r>
      <w:r>
        <w:instrText xml:space="preserve"> PAGEREF _Toc26338 \h </w:instrText>
      </w:r>
      <w:r>
        <w:fldChar w:fldCharType="separate"/>
      </w:r>
      <w:r>
        <w:t>4</w:t>
      </w:r>
      <w:r>
        <w:fldChar w:fldCharType="end"/>
      </w:r>
      <w:r>
        <w:rPr>
          <w:rFonts w:hint="eastAsia" w:ascii="仿宋" w:hAnsi="仿宋" w:eastAsia="仿宋" w:cs="仿宋"/>
          <w:color w:val="auto"/>
          <w:highlight w:val="none"/>
        </w:rPr>
        <w:fldChar w:fldCharType="end"/>
      </w:r>
    </w:p>
    <w:p w14:paraId="79FD9739">
      <w:pPr>
        <w:pStyle w:val="36"/>
        <w:tabs>
          <w:tab w:val="right" w:leader="dot" w:pos="8504"/>
          <w:tab w:val="clear" w:pos="567"/>
          <w:tab w:val="clear" w:pos="8505"/>
          <w:tab w:val="clear" w:pos="962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_Toc4316 </w:instrText>
      </w:r>
      <w:r>
        <w:rPr>
          <w:rFonts w:hint="eastAsia" w:ascii="仿宋" w:hAnsi="仿宋" w:eastAsia="仿宋" w:cs="仿宋"/>
          <w:highlight w:val="none"/>
        </w:rPr>
        <w:fldChar w:fldCharType="separate"/>
      </w:r>
      <w:r>
        <w:rPr>
          <w:rFonts w:hint="eastAsia" w:ascii="仿宋" w:hAnsi="仿宋" w:eastAsia="仿宋" w:cs="仿宋"/>
          <w:bCs w:val="0"/>
          <w:szCs w:val="24"/>
          <w:highlight w:val="none"/>
        </w:rPr>
        <w:t>参选人须知前附表</w:t>
      </w:r>
      <w:r>
        <w:tab/>
      </w:r>
      <w:r>
        <w:fldChar w:fldCharType="begin"/>
      </w:r>
      <w:r>
        <w:instrText xml:space="preserve"> PAGEREF _Toc4316 \h </w:instrText>
      </w:r>
      <w:r>
        <w:fldChar w:fldCharType="separate"/>
      </w:r>
      <w:r>
        <w:t>4</w:t>
      </w:r>
      <w:r>
        <w:fldChar w:fldCharType="end"/>
      </w:r>
      <w:r>
        <w:rPr>
          <w:rFonts w:hint="eastAsia" w:ascii="仿宋" w:hAnsi="仿宋" w:eastAsia="仿宋" w:cs="仿宋"/>
          <w:color w:val="auto"/>
          <w:highlight w:val="none"/>
        </w:rPr>
        <w:fldChar w:fldCharType="end"/>
      </w:r>
    </w:p>
    <w:p w14:paraId="14A1E2D0">
      <w:pPr>
        <w:pStyle w:val="31"/>
        <w:tabs>
          <w:tab w:val="right" w:leader="dot" w:pos="8504"/>
          <w:tab w:val="clear" w:pos="567"/>
          <w:tab w:val="clear" w:pos="709"/>
          <w:tab w:val="clear" w:pos="850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_Toc25820 </w:instrText>
      </w:r>
      <w:r>
        <w:rPr>
          <w:rFonts w:hint="eastAsia" w:ascii="仿宋" w:hAnsi="仿宋" w:eastAsia="仿宋" w:cs="仿宋"/>
          <w:highlight w:val="none"/>
        </w:rPr>
        <w:fldChar w:fldCharType="separate"/>
      </w:r>
      <w:r>
        <w:rPr>
          <w:rFonts w:hint="eastAsia" w:ascii="仿宋" w:hAnsi="仿宋" w:eastAsia="仿宋" w:cs="仿宋"/>
          <w:bCs w:val="0"/>
          <w:kern w:val="0"/>
          <w:szCs w:val="28"/>
          <w:highlight w:val="none"/>
        </w:rPr>
        <w:t>第</w:t>
      </w:r>
      <w:r>
        <w:rPr>
          <w:rFonts w:hint="default" w:ascii="仿宋" w:hAnsi="仿宋" w:eastAsia="仿宋" w:cs="仿宋"/>
          <w:bCs w:val="0"/>
          <w:kern w:val="0"/>
          <w:szCs w:val="28"/>
          <w:highlight w:val="none"/>
        </w:rPr>
        <w:t>三</w:t>
      </w:r>
      <w:r>
        <w:rPr>
          <w:rFonts w:hint="eastAsia" w:ascii="仿宋" w:hAnsi="仿宋" w:eastAsia="仿宋" w:cs="仿宋"/>
          <w:bCs w:val="0"/>
          <w:kern w:val="0"/>
          <w:szCs w:val="28"/>
          <w:highlight w:val="none"/>
        </w:rPr>
        <w:t>章 评选办法</w:t>
      </w:r>
      <w:r>
        <w:tab/>
      </w:r>
      <w:r>
        <w:fldChar w:fldCharType="begin"/>
      </w:r>
      <w:r>
        <w:instrText xml:space="preserve"> PAGEREF _Toc25820 \h </w:instrText>
      </w:r>
      <w:r>
        <w:fldChar w:fldCharType="separate"/>
      </w:r>
      <w:r>
        <w:t>16</w:t>
      </w:r>
      <w:r>
        <w:fldChar w:fldCharType="end"/>
      </w:r>
      <w:r>
        <w:rPr>
          <w:rFonts w:hint="eastAsia" w:ascii="仿宋" w:hAnsi="仿宋" w:eastAsia="仿宋" w:cs="仿宋"/>
          <w:color w:val="auto"/>
          <w:highlight w:val="none"/>
        </w:rPr>
        <w:fldChar w:fldCharType="end"/>
      </w:r>
    </w:p>
    <w:p w14:paraId="27737B82">
      <w:pPr>
        <w:pStyle w:val="36"/>
        <w:tabs>
          <w:tab w:val="right" w:leader="dot" w:pos="8504"/>
          <w:tab w:val="clear" w:pos="567"/>
          <w:tab w:val="clear" w:pos="8505"/>
          <w:tab w:val="clear" w:pos="962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_Toc31106 </w:instrText>
      </w:r>
      <w:r>
        <w:rPr>
          <w:rFonts w:hint="eastAsia" w:ascii="仿宋" w:hAnsi="仿宋" w:eastAsia="仿宋" w:cs="仿宋"/>
          <w:highlight w:val="none"/>
        </w:rPr>
        <w:fldChar w:fldCharType="separate"/>
      </w:r>
      <w:r>
        <w:rPr>
          <w:rFonts w:hint="eastAsia" w:ascii="仿宋" w:hAnsi="仿宋" w:eastAsia="仿宋" w:cs="仿宋"/>
          <w:bCs w:val="0"/>
          <w:szCs w:val="24"/>
          <w:highlight w:val="none"/>
        </w:rPr>
        <w:t>评选办法前附表</w:t>
      </w:r>
      <w:r>
        <w:tab/>
      </w:r>
      <w:r>
        <w:fldChar w:fldCharType="begin"/>
      </w:r>
      <w:r>
        <w:instrText xml:space="preserve"> PAGEREF _Toc31106 \h </w:instrText>
      </w:r>
      <w:r>
        <w:fldChar w:fldCharType="separate"/>
      </w:r>
      <w:r>
        <w:t>16</w:t>
      </w:r>
      <w:r>
        <w:fldChar w:fldCharType="end"/>
      </w:r>
      <w:r>
        <w:rPr>
          <w:rFonts w:hint="eastAsia" w:ascii="仿宋" w:hAnsi="仿宋" w:eastAsia="仿宋" w:cs="仿宋"/>
          <w:color w:val="auto"/>
          <w:highlight w:val="none"/>
        </w:rPr>
        <w:fldChar w:fldCharType="end"/>
      </w:r>
    </w:p>
    <w:p w14:paraId="5EF11675">
      <w:pPr>
        <w:pStyle w:val="36"/>
        <w:tabs>
          <w:tab w:val="right" w:leader="dot" w:pos="8504"/>
          <w:tab w:val="clear" w:pos="567"/>
          <w:tab w:val="clear" w:pos="8505"/>
          <w:tab w:val="clear" w:pos="962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_Toc13909 </w:instrText>
      </w:r>
      <w:r>
        <w:rPr>
          <w:rFonts w:hint="eastAsia" w:ascii="仿宋" w:hAnsi="仿宋" w:eastAsia="仿宋" w:cs="仿宋"/>
          <w:highlight w:val="none"/>
        </w:rPr>
        <w:fldChar w:fldCharType="separate"/>
      </w:r>
      <w:r>
        <w:rPr>
          <w:rFonts w:hint="eastAsia" w:ascii="仿宋" w:hAnsi="仿宋" w:eastAsia="仿宋" w:cs="仿宋"/>
          <w:bCs w:val="0"/>
          <w:szCs w:val="24"/>
          <w:highlight w:val="none"/>
        </w:rPr>
        <w:t>评选办法正文</w:t>
      </w:r>
      <w:r>
        <w:tab/>
      </w:r>
      <w:r>
        <w:fldChar w:fldCharType="begin"/>
      </w:r>
      <w:r>
        <w:instrText xml:space="preserve"> PAGEREF _Toc13909 \h </w:instrText>
      </w:r>
      <w:r>
        <w:fldChar w:fldCharType="separate"/>
      </w:r>
      <w:r>
        <w:t>22</w:t>
      </w:r>
      <w:r>
        <w:fldChar w:fldCharType="end"/>
      </w:r>
      <w:r>
        <w:rPr>
          <w:rFonts w:hint="eastAsia" w:ascii="仿宋" w:hAnsi="仿宋" w:eastAsia="仿宋" w:cs="仿宋"/>
          <w:color w:val="auto"/>
          <w:highlight w:val="none"/>
        </w:rPr>
        <w:fldChar w:fldCharType="end"/>
      </w:r>
    </w:p>
    <w:p w14:paraId="01138D9B">
      <w:pPr>
        <w:pStyle w:val="31"/>
        <w:tabs>
          <w:tab w:val="right" w:leader="dot" w:pos="8504"/>
          <w:tab w:val="clear" w:pos="567"/>
          <w:tab w:val="clear" w:pos="709"/>
          <w:tab w:val="clear" w:pos="850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_Toc18810 </w:instrText>
      </w:r>
      <w:r>
        <w:rPr>
          <w:rFonts w:hint="eastAsia" w:ascii="仿宋" w:hAnsi="仿宋" w:eastAsia="仿宋" w:cs="仿宋"/>
          <w:highlight w:val="none"/>
        </w:rPr>
        <w:fldChar w:fldCharType="separate"/>
      </w:r>
      <w:r>
        <w:rPr>
          <w:rFonts w:hint="eastAsia" w:ascii="仿宋" w:hAnsi="仿宋" w:eastAsia="仿宋" w:cs="仿宋"/>
          <w:bCs w:val="0"/>
          <w:kern w:val="0"/>
          <w:szCs w:val="28"/>
          <w:highlight w:val="none"/>
        </w:rPr>
        <w:t>第</w:t>
      </w:r>
      <w:r>
        <w:rPr>
          <w:rFonts w:hint="default" w:ascii="仿宋" w:hAnsi="仿宋" w:eastAsia="仿宋" w:cs="仿宋"/>
          <w:bCs w:val="0"/>
          <w:kern w:val="0"/>
          <w:szCs w:val="28"/>
          <w:highlight w:val="none"/>
        </w:rPr>
        <w:t>四</w:t>
      </w:r>
      <w:r>
        <w:rPr>
          <w:rFonts w:hint="eastAsia" w:ascii="仿宋" w:hAnsi="仿宋" w:eastAsia="仿宋" w:cs="仿宋"/>
          <w:bCs w:val="0"/>
          <w:kern w:val="0"/>
          <w:szCs w:val="28"/>
          <w:highlight w:val="none"/>
        </w:rPr>
        <w:t>章※合同条款</w:t>
      </w:r>
      <w:r>
        <w:tab/>
      </w:r>
      <w:r>
        <w:fldChar w:fldCharType="begin"/>
      </w:r>
      <w:r>
        <w:instrText xml:space="preserve"> PAGEREF _Toc18810 \h </w:instrText>
      </w:r>
      <w:r>
        <w:fldChar w:fldCharType="separate"/>
      </w:r>
      <w:r>
        <w:t>25</w:t>
      </w:r>
      <w:r>
        <w:fldChar w:fldCharType="end"/>
      </w:r>
      <w:r>
        <w:rPr>
          <w:rFonts w:hint="eastAsia" w:ascii="仿宋" w:hAnsi="仿宋" w:eastAsia="仿宋" w:cs="仿宋"/>
          <w:color w:val="auto"/>
          <w:highlight w:val="none"/>
        </w:rPr>
        <w:fldChar w:fldCharType="end"/>
      </w:r>
    </w:p>
    <w:p w14:paraId="1CEE127D">
      <w:pPr>
        <w:pStyle w:val="31"/>
        <w:tabs>
          <w:tab w:val="right" w:leader="dot" w:pos="8504"/>
          <w:tab w:val="clear" w:pos="567"/>
          <w:tab w:val="clear" w:pos="709"/>
          <w:tab w:val="clear" w:pos="850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_Toc17759 </w:instrText>
      </w:r>
      <w:r>
        <w:rPr>
          <w:rFonts w:hint="eastAsia" w:ascii="仿宋" w:hAnsi="仿宋" w:eastAsia="仿宋" w:cs="仿宋"/>
          <w:highlight w:val="none"/>
        </w:rPr>
        <w:fldChar w:fldCharType="separate"/>
      </w:r>
      <w:r>
        <w:rPr>
          <w:rFonts w:hint="eastAsia" w:ascii="仿宋" w:hAnsi="仿宋" w:eastAsia="仿宋" w:cs="仿宋"/>
          <w:bCs w:val="0"/>
          <w:kern w:val="0"/>
          <w:szCs w:val="28"/>
          <w:highlight w:val="none"/>
        </w:rPr>
        <w:t>第</w:t>
      </w:r>
      <w:r>
        <w:rPr>
          <w:rFonts w:hint="default" w:ascii="仿宋" w:hAnsi="仿宋" w:eastAsia="仿宋" w:cs="仿宋"/>
          <w:bCs w:val="0"/>
          <w:kern w:val="0"/>
          <w:szCs w:val="28"/>
          <w:highlight w:val="none"/>
        </w:rPr>
        <w:t>五</w:t>
      </w:r>
      <w:r>
        <w:rPr>
          <w:rFonts w:hint="eastAsia" w:ascii="仿宋" w:hAnsi="仿宋" w:eastAsia="仿宋" w:cs="仿宋"/>
          <w:bCs w:val="0"/>
          <w:kern w:val="0"/>
          <w:szCs w:val="28"/>
          <w:highlight w:val="none"/>
        </w:rPr>
        <w:t>章※技术规范书</w:t>
      </w:r>
      <w:r>
        <w:tab/>
      </w:r>
      <w:r>
        <w:fldChar w:fldCharType="begin"/>
      </w:r>
      <w:r>
        <w:instrText xml:space="preserve"> PAGEREF _Toc17759 \h </w:instrText>
      </w:r>
      <w:r>
        <w:fldChar w:fldCharType="separate"/>
      </w:r>
      <w:r>
        <w:t>39</w:t>
      </w:r>
      <w:r>
        <w:fldChar w:fldCharType="end"/>
      </w:r>
      <w:r>
        <w:rPr>
          <w:rFonts w:hint="eastAsia" w:ascii="仿宋" w:hAnsi="仿宋" w:eastAsia="仿宋" w:cs="仿宋"/>
          <w:color w:val="auto"/>
          <w:highlight w:val="none"/>
        </w:rPr>
        <w:fldChar w:fldCharType="end"/>
      </w:r>
    </w:p>
    <w:p w14:paraId="1957BB14">
      <w:pPr>
        <w:pStyle w:val="31"/>
        <w:tabs>
          <w:tab w:val="right" w:leader="dot" w:pos="8504"/>
          <w:tab w:val="clear" w:pos="567"/>
          <w:tab w:val="clear" w:pos="709"/>
          <w:tab w:val="clear" w:pos="8505"/>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_Toc15140 </w:instrText>
      </w:r>
      <w:r>
        <w:rPr>
          <w:rFonts w:hint="eastAsia" w:ascii="仿宋" w:hAnsi="仿宋" w:eastAsia="仿宋" w:cs="仿宋"/>
          <w:highlight w:val="none"/>
        </w:rPr>
        <w:fldChar w:fldCharType="separate"/>
      </w:r>
      <w:r>
        <w:rPr>
          <w:rFonts w:hint="eastAsia" w:ascii="仿宋" w:hAnsi="仿宋" w:eastAsia="仿宋" w:cs="仿宋"/>
          <w:bCs w:val="0"/>
          <w:kern w:val="0"/>
          <w:szCs w:val="28"/>
          <w:highlight w:val="none"/>
        </w:rPr>
        <w:t>第</w:t>
      </w:r>
      <w:r>
        <w:rPr>
          <w:rFonts w:hint="default" w:ascii="仿宋" w:hAnsi="仿宋" w:eastAsia="仿宋" w:cs="仿宋"/>
          <w:bCs w:val="0"/>
          <w:kern w:val="0"/>
          <w:szCs w:val="28"/>
          <w:highlight w:val="none"/>
        </w:rPr>
        <w:t>六</w:t>
      </w:r>
      <w:r>
        <w:rPr>
          <w:rFonts w:hint="eastAsia" w:ascii="仿宋" w:hAnsi="仿宋" w:eastAsia="仿宋" w:cs="仿宋"/>
          <w:bCs w:val="0"/>
          <w:kern w:val="0"/>
          <w:szCs w:val="28"/>
          <w:highlight w:val="none"/>
        </w:rPr>
        <w:t>章  参选文件格式</w:t>
      </w:r>
      <w:r>
        <w:tab/>
      </w:r>
      <w:r>
        <w:fldChar w:fldCharType="begin"/>
      </w:r>
      <w:r>
        <w:instrText xml:space="preserve"> PAGEREF _Toc15140 \h </w:instrText>
      </w:r>
      <w:r>
        <w:fldChar w:fldCharType="separate"/>
      </w:r>
      <w:r>
        <w:t>44</w:t>
      </w:r>
      <w:r>
        <w:fldChar w:fldCharType="end"/>
      </w:r>
      <w:r>
        <w:rPr>
          <w:rFonts w:hint="eastAsia" w:ascii="仿宋" w:hAnsi="仿宋" w:eastAsia="仿宋" w:cs="仿宋"/>
          <w:color w:val="auto"/>
          <w:highlight w:val="none"/>
        </w:rPr>
        <w:fldChar w:fldCharType="end"/>
      </w:r>
    </w:p>
    <w:p w14:paraId="56F446B0">
      <w:pPr>
        <w:pStyle w:val="36"/>
        <w:tabs>
          <w:tab w:val="right" w:leader="dot" w:pos="8504"/>
          <w:tab w:val="clear" w:pos="567"/>
          <w:tab w:val="clear" w:pos="8505"/>
          <w:tab w:val="clear" w:pos="962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_Toc16679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6.1 </w:t>
      </w:r>
      <w:r>
        <w:rPr>
          <w:rFonts w:hint="eastAsia" w:ascii="仿宋" w:hAnsi="仿宋" w:eastAsia="仿宋" w:cs="仿宋"/>
          <w:highlight w:val="none"/>
          <w:lang w:val="en-US" w:eastAsia="zh-CN"/>
        </w:rPr>
        <w:t>商务</w:t>
      </w:r>
      <w:r>
        <w:rPr>
          <w:rFonts w:hint="eastAsia" w:ascii="仿宋" w:hAnsi="仿宋" w:eastAsia="仿宋" w:cs="仿宋"/>
          <w:highlight w:val="none"/>
        </w:rPr>
        <w:t>分册格式</w:t>
      </w:r>
      <w:r>
        <w:tab/>
      </w:r>
      <w:r>
        <w:fldChar w:fldCharType="begin"/>
      </w:r>
      <w:r>
        <w:instrText xml:space="preserve"> PAGEREF _Toc16679 \h </w:instrText>
      </w:r>
      <w:r>
        <w:fldChar w:fldCharType="separate"/>
      </w:r>
      <w:r>
        <w:t>45</w:t>
      </w:r>
      <w:r>
        <w:fldChar w:fldCharType="end"/>
      </w:r>
      <w:r>
        <w:rPr>
          <w:rFonts w:hint="eastAsia" w:ascii="仿宋" w:hAnsi="仿宋" w:eastAsia="仿宋" w:cs="仿宋"/>
          <w:color w:val="auto"/>
          <w:highlight w:val="none"/>
        </w:rPr>
        <w:fldChar w:fldCharType="end"/>
      </w:r>
    </w:p>
    <w:p w14:paraId="50FFE3F6">
      <w:pPr>
        <w:pStyle w:val="36"/>
        <w:tabs>
          <w:tab w:val="right" w:leader="dot" w:pos="8504"/>
          <w:tab w:val="clear" w:pos="567"/>
          <w:tab w:val="clear" w:pos="8505"/>
          <w:tab w:val="clear" w:pos="962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_Toc19995 </w:instrText>
      </w:r>
      <w:r>
        <w:rPr>
          <w:rFonts w:hint="eastAsia" w:ascii="仿宋" w:hAnsi="仿宋" w:eastAsia="仿宋" w:cs="仿宋"/>
          <w:highlight w:val="none"/>
        </w:rPr>
        <w:fldChar w:fldCharType="separate"/>
      </w:r>
      <w:r>
        <w:rPr>
          <w:rFonts w:hint="eastAsia" w:ascii="仿宋" w:hAnsi="仿宋" w:eastAsia="仿宋" w:cs="仿宋"/>
          <w:highlight w:val="none"/>
        </w:rPr>
        <w:t>6.2技术分册格式</w:t>
      </w:r>
      <w:r>
        <w:tab/>
      </w:r>
      <w:r>
        <w:fldChar w:fldCharType="begin"/>
      </w:r>
      <w:r>
        <w:instrText xml:space="preserve"> PAGEREF _Toc19995 \h </w:instrText>
      </w:r>
      <w:r>
        <w:fldChar w:fldCharType="separate"/>
      </w:r>
      <w:r>
        <w:t>50</w:t>
      </w:r>
      <w:r>
        <w:fldChar w:fldCharType="end"/>
      </w:r>
      <w:r>
        <w:rPr>
          <w:rFonts w:hint="eastAsia" w:ascii="仿宋" w:hAnsi="仿宋" w:eastAsia="仿宋" w:cs="仿宋"/>
          <w:color w:val="auto"/>
          <w:highlight w:val="none"/>
        </w:rPr>
        <w:fldChar w:fldCharType="end"/>
      </w:r>
    </w:p>
    <w:p w14:paraId="36DD9FC0">
      <w:pPr>
        <w:spacing w:after="120" w:line="360" w:lineRule="auto"/>
        <w:rPr>
          <w:rFonts w:hint="eastAsia" w:ascii="仿宋" w:hAnsi="仿宋" w:eastAsia="仿宋" w:cs="仿宋"/>
          <w:color w:val="auto"/>
          <w:sz w:val="24"/>
          <w:highlight w:val="none"/>
        </w:rPr>
        <w:sectPr>
          <w:footerReference r:id="rId6" w:type="default"/>
          <w:pgSz w:w="11906" w:h="16838"/>
          <w:pgMar w:top="1440" w:right="1701" w:bottom="1440" w:left="1701" w:header="851" w:footer="992" w:gutter="0"/>
          <w:pgNumType w:start="1"/>
          <w:cols w:space="720" w:num="1"/>
          <w:docGrid w:type="linesAndChars" w:linePitch="380" w:charSpace="0"/>
        </w:sectPr>
      </w:pPr>
      <w:r>
        <w:rPr>
          <w:rFonts w:hint="eastAsia" w:ascii="仿宋" w:hAnsi="仿宋" w:eastAsia="仿宋" w:cs="仿宋"/>
          <w:color w:val="auto"/>
          <w:highlight w:val="none"/>
        </w:rPr>
        <w:fldChar w:fldCharType="end"/>
      </w:r>
    </w:p>
    <w:p w14:paraId="7D5E91E9">
      <w:pPr>
        <w:pStyle w:val="54"/>
        <w:spacing w:before="240" w:after="120" w:line="360" w:lineRule="auto"/>
        <w:rPr>
          <w:rFonts w:hint="eastAsia" w:ascii="仿宋" w:hAnsi="仿宋" w:eastAsia="仿宋" w:cs="仿宋"/>
          <w:b/>
          <w:bCs w:val="0"/>
          <w:color w:val="auto"/>
          <w:kern w:val="0"/>
          <w:sz w:val="28"/>
          <w:szCs w:val="28"/>
          <w:highlight w:val="none"/>
          <w:lang w:val="en-US"/>
        </w:rPr>
      </w:pPr>
      <w:bookmarkStart w:id="0" w:name="_Toc447188662"/>
      <w:bookmarkStart w:id="1" w:name="_Toc85401335"/>
      <w:bookmarkStart w:id="2" w:name="_Toc447265497"/>
      <w:bookmarkStart w:id="3" w:name="_Toc447265211"/>
      <w:bookmarkStart w:id="4" w:name="_Toc447265797"/>
      <w:bookmarkStart w:id="5" w:name="_Toc13764"/>
      <w:bookmarkStart w:id="6" w:name="_Toc2578"/>
      <w:bookmarkStart w:id="7" w:name="_Toc27886"/>
      <w:bookmarkStart w:id="8" w:name="_Toc9754"/>
      <w:bookmarkStart w:id="9" w:name="_Toc18152"/>
      <w:bookmarkStart w:id="10" w:name="_Toc26299"/>
      <w:r>
        <w:rPr>
          <w:rFonts w:hint="eastAsia" w:ascii="仿宋" w:hAnsi="仿宋" w:eastAsia="仿宋" w:cs="仿宋"/>
          <w:b/>
          <w:bCs w:val="0"/>
          <w:color w:val="auto"/>
          <w:kern w:val="0"/>
          <w:sz w:val="28"/>
          <w:szCs w:val="28"/>
          <w:highlight w:val="none"/>
        </w:rPr>
        <w:t xml:space="preserve">第一章  </w:t>
      </w:r>
      <w:bookmarkEnd w:id="0"/>
      <w:bookmarkEnd w:id="1"/>
      <w:bookmarkEnd w:id="2"/>
      <w:bookmarkEnd w:id="3"/>
      <w:bookmarkEnd w:id="4"/>
      <w:r>
        <w:rPr>
          <w:rFonts w:hint="eastAsia" w:ascii="仿宋" w:hAnsi="仿宋" w:eastAsia="仿宋" w:cs="仿宋"/>
          <w:b/>
          <w:bCs w:val="0"/>
          <w:color w:val="auto"/>
          <w:kern w:val="0"/>
          <w:sz w:val="28"/>
          <w:szCs w:val="28"/>
          <w:highlight w:val="none"/>
          <w:lang w:val="en-US" w:eastAsia="zh-CN"/>
        </w:rPr>
        <w:t>比选公告</w:t>
      </w:r>
      <w:bookmarkEnd w:id="5"/>
      <w:bookmarkEnd w:id="6"/>
      <w:bookmarkEnd w:id="7"/>
      <w:bookmarkEnd w:id="8"/>
      <w:bookmarkEnd w:id="9"/>
      <w:bookmarkEnd w:id="10"/>
    </w:p>
    <w:p w14:paraId="55E1649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一、比选条件</w:t>
      </w:r>
    </w:p>
    <w:p w14:paraId="1816EEB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本比选项目为南宁轨道数智科技有限公司新自营项目整合传播服务项目，比选人为南宁轨道数智科技有限公司，比选项目资金来源为企业自有资金。</w:t>
      </w:r>
    </w:p>
    <w:p w14:paraId="2B73E93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二、项目概况与比选范围</w:t>
      </w:r>
    </w:p>
    <w:p w14:paraId="2BB72E7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项目名称：新自营项目整合传播服务</w:t>
      </w:r>
    </w:p>
    <w:p w14:paraId="2A09EBD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上限价：792000元（含税）。</w:t>
      </w:r>
    </w:p>
    <w:p w14:paraId="4F150E5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合同期：1年。</w:t>
      </w:r>
    </w:p>
    <w:p w14:paraId="7FEF0E9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项目地点：广西南宁市</w:t>
      </w:r>
    </w:p>
    <w:p w14:paraId="5F62A398">
      <w:pPr>
        <w:spacing w:line="580" w:lineRule="exact"/>
        <w:ind w:firstLine="645"/>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color w:val="auto"/>
          <w:sz w:val="21"/>
          <w:szCs w:val="21"/>
          <w:highlight w:val="none"/>
          <w:shd w:val="clear" w:color="auto" w:fill="FFFFFF"/>
          <w:lang w:val="en-US" w:eastAsia="zh-CN"/>
        </w:rPr>
        <w:t>比选范围：</w:t>
      </w:r>
      <w:r>
        <w:rPr>
          <w:rFonts w:hint="eastAsia" w:ascii="仿宋" w:hAnsi="仿宋" w:eastAsia="仿宋" w:cs="仿宋"/>
          <w:b w:val="0"/>
          <w:bCs w:val="0"/>
          <w:color w:val="auto"/>
          <w:kern w:val="0"/>
          <w:sz w:val="21"/>
          <w:szCs w:val="21"/>
          <w:highlight w:val="none"/>
          <w:lang w:val="en-US" w:eastAsia="zh-CN"/>
        </w:rPr>
        <w:t>通过自身各项资源支持，按月为采购单位的品牌传播提供市场策略、创意设计、推广渠道等系统化战略以及全面落地执行，助力采购单位的各项目实现品牌传播的数字化升级和传播内容的高效铺开，有效吸引目标顾客群体，并推动营销活动的创新，进而增强项目的吸引力和竞争力</w:t>
      </w:r>
      <w:r>
        <w:rPr>
          <w:rFonts w:hint="eastAsia" w:ascii="仿宋" w:hAnsi="仿宋" w:eastAsia="仿宋" w:cs="仿宋"/>
          <w:color w:val="auto"/>
          <w:sz w:val="21"/>
          <w:szCs w:val="21"/>
          <w:highlight w:val="none"/>
          <w:lang w:val="en-US" w:eastAsia="zh-CN"/>
        </w:rPr>
        <w:t>。</w:t>
      </w:r>
    </w:p>
    <w:p w14:paraId="679F7E4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三、比选申请人资格要求</w:t>
      </w:r>
    </w:p>
    <w:p w14:paraId="34A64B6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1.参选人须是在中华人民共和国境内注册，合法运作并独立于比选人，具备独立法人资格或依法登记注册的组织，有能力为本项目提供技术服务的能力，具有有效的营业执照或事业单位法人证书。</w:t>
      </w:r>
    </w:p>
    <w:p w14:paraId="601E3C4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2.最近3年内没有受到行政处罚或行业处分。</w:t>
      </w:r>
    </w:p>
    <w:p w14:paraId="2A5B424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3.未被国家、广西壮族自治区、南宁市相关行政主管部门通报停止投标活动，无犯罪行贿记录。</w:t>
      </w:r>
    </w:p>
    <w:p w14:paraId="02B97EE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4.具有良好的商业信誉和健全的财务会计制度，具备较强的风险承受能力。</w:t>
      </w:r>
    </w:p>
    <w:p w14:paraId="193709B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5.有依法缴纳税收和社会保障资金的良好记录。</w:t>
      </w:r>
    </w:p>
    <w:p w14:paraId="0B86AAF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6.本次比选不接受联合体报价；单位负责人为同一人或存在控股、管理关系的不同单位，不得参加同一标段参选或未划分标段的同一比选项目参选。</w:t>
      </w:r>
    </w:p>
    <w:p w14:paraId="749DA88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四、资格审查方式</w:t>
      </w:r>
    </w:p>
    <w:p w14:paraId="7F45E90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本项目对比选申请人的资格审查采用资格后审（或资格预审）方式，只有资格审查合格的比选申请人才有可能被授予合同。</w:t>
      </w:r>
    </w:p>
    <w:p w14:paraId="52641A0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五、比选文件的获取</w:t>
      </w:r>
    </w:p>
    <w:p w14:paraId="375811BB">
      <w:pPr>
        <w:keepNext w:val="0"/>
        <w:keepLines w:val="0"/>
        <w:pageBreakBefore w:val="0"/>
        <w:widowControl w:val="0"/>
        <w:kinsoku/>
        <w:wordWrap/>
        <w:overflowPunct/>
        <w:topLinePunct w:val="0"/>
        <w:autoSpaceDE/>
        <w:autoSpaceDN/>
        <w:bidi w:val="0"/>
        <w:adjustRightInd/>
        <w:snapToGrid/>
        <w:spacing w:line="560" w:lineRule="exact"/>
        <w:ind w:firstLine="396"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pacing w:val="-6"/>
          <w:sz w:val="21"/>
          <w:szCs w:val="21"/>
          <w:highlight w:val="none"/>
          <w:shd w:val="clear" w:color="auto" w:fill="FFFFFF"/>
          <w:lang w:val="en-US" w:eastAsia="zh-CN"/>
        </w:rPr>
        <w:t>本项目实行网上发布电子版比选文件，凡有意参与的潜在比选申请人，请登录南宁轨道数智科技有限公司（https://www.nnsmk.com）的新闻中心中最新公告处下载比选文件。如需领取纸质版比选文件请前往南宁市青秀区凤岭北路111号国际旅游中心C座19楼南宁轨道数智科技有限公司综合部领取。</w:t>
      </w:r>
    </w:p>
    <w:p w14:paraId="5B4F7CA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注：比选申请人如未完整下载相关文件，或由于未及时关注比选文件补充通知（补遗）、答疑等相关项目信息而影响比选申请的，其责任由比选申请人自行承担。</w:t>
      </w:r>
    </w:p>
    <w:p w14:paraId="02E4DAA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六、比选申请截止时间和地点</w:t>
      </w:r>
    </w:p>
    <w:p w14:paraId="1C1E58B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1.比选申请文件须密封后于</w:t>
      </w:r>
      <w:r>
        <w:rPr>
          <w:rFonts w:hint="eastAsia" w:ascii="仿宋" w:hAnsi="仿宋" w:eastAsia="仿宋" w:cs="仿宋"/>
          <w:color w:val="auto"/>
          <w:sz w:val="21"/>
          <w:szCs w:val="21"/>
          <w:highlight w:val="none"/>
          <w:u w:val="single"/>
          <w:shd w:val="clear" w:color="auto" w:fill="FFFFFF"/>
          <w:lang w:val="en-US" w:eastAsia="zh-CN"/>
        </w:rPr>
        <w:t>2024年121月17日9时30分（北京时间）前</w:t>
      </w:r>
      <w:r>
        <w:rPr>
          <w:rFonts w:hint="eastAsia" w:ascii="仿宋" w:hAnsi="仿宋" w:eastAsia="仿宋" w:cs="仿宋"/>
          <w:color w:val="auto"/>
          <w:sz w:val="21"/>
          <w:szCs w:val="21"/>
          <w:highlight w:val="none"/>
          <w:shd w:val="clear" w:color="auto" w:fill="FFFFFF"/>
          <w:lang w:val="en-US" w:eastAsia="zh-CN"/>
        </w:rPr>
        <w:t>递交，递交地点为</w:t>
      </w:r>
      <w:r>
        <w:rPr>
          <w:rFonts w:hint="eastAsia" w:ascii="仿宋" w:hAnsi="仿宋" w:eastAsia="仿宋" w:cs="仿宋"/>
          <w:color w:val="auto"/>
          <w:sz w:val="21"/>
          <w:szCs w:val="21"/>
          <w:highlight w:val="none"/>
          <w:u w:val="single"/>
          <w:shd w:val="clear" w:color="auto" w:fill="FFFFFF"/>
          <w:lang w:val="en-US" w:eastAsia="zh-CN"/>
        </w:rPr>
        <w:t>南宁市青秀区凤岭北路111号国际旅游中心C座19楼南宁轨道数智科技有限公司综合部</w:t>
      </w:r>
      <w:r>
        <w:rPr>
          <w:rFonts w:hint="eastAsia" w:ascii="仿宋" w:hAnsi="仿宋" w:eastAsia="仿宋" w:cs="仿宋"/>
          <w:color w:val="auto"/>
          <w:sz w:val="21"/>
          <w:szCs w:val="21"/>
          <w:highlight w:val="none"/>
          <w:shd w:val="clear" w:color="auto" w:fill="FFFFFF"/>
          <w:lang w:val="en-US" w:eastAsia="zh-CN"/>
        </w:rPr>
        <w:t>；</w:t>
      </w:r>
    </w:p>
    <w:p w14:paraId="70FBE8F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2.逾期送达的或者未送达指定地点或者未按比选文件要求密封的比选申请文件将被拒绝。</w:t>
      </w:r>
    </w:p>
    <w:p w14:paraId="55A8C10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3.请比选申请人法定代表人或其授权代表携法人委托书原件准时参加。比选申请文件必须由比选申请人法定代表人或其授权代表递交，否则比选人不予受理。</w:t>
      </w:r>
    </w:p>
    <w:p w14:paraId="7931934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七、发布公告的媒介</w:t>
      </w:r>
    </w:p>
    <w:p w14:paraId="1B4B0F2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本次公告同时在南宁轨道数智科技有限公司（https://www.nnsmk.com）发布。</w:t>
      </w:r>
    </w:p>
    <w:p w14:paraId="6C7E4F7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八、联系方式</w:t>
      </w:r>
    </w:p>
    <w:p w14:paraId="57CE6EE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比选人：南宁轨道数智科技有限公司</w:t>
      </w:r>
    </w:p>
    <w:p w14:paraId="6540458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地址：</w:t>
      </w:r>
      <w:r>
        <w:rPr>
          <w:rFonts w:hint="eastAsia" w:ascii="仿宋" w:hAnsi="仿宋" w:eastAsia="仿宋" w:cs="仿宋"/>
          <w:color w:val="auto"/>
          <w:spacing w:val="-6"/>
          <w:sz w:val="21"/>
          <w:szCs w:val="21"/>
          <w:highlight w:val="none"/>
          <w:shd w:val="clear" w:color="auto" w:fill="FFFFFF"/>
          <w:lang w:val="en-US" w:eastAsia="zh-CN"/>
        </w:rPr>
        <w:t>南宁市青秀区凤岭北路111号国际旅游中心C座19楼</w:t>
      </w:r>
    </w:p>
    <w:p w14:paraId="2D04AC5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邮编：530000</w:t>
      </w:r>
    </w:p>
    <w:p w14:paraId="0B8E4F2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联系人：业务联系人 黄先生 18172305698</w:t>
      </w:r>
    </w:p>
    <w:p w14:paraId="0817307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 xml:space="preserve">        商务联系人 蔡女士 0771-2277888-1600</w:t>
      </w:r>
    </w:p>
    <w:p w14:paraId="39ACC02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auto"/>
          <w:sz w:val="21"/>
          <w:szCs w:val="21"/>
          <w:highlight w:val="none"/>
          <w:shd w:val="clear" w:color="auto" w:fill="FFFFFF"/>
          <w:lang w:val="en-US" w:eastAsia="zh-CN"/>
        </w:rPr>
      </w:pPr>
      <w:bookmarkStart w:id="548" w:name="_GoBack"/>
      <w:bookmarkEnd w:id="548"/>
      <w:r>
        <w:rPr>
          <w:rFonts w:hint="eastAsia" w:ascii="仿宋" w:hAnsi="仿宋" w:eastAsia="仿宋" w:cs="仿宋"/>
          <w:color w:val="auto"/>
          <w:sz w:val="21"/>
          <w:szCs w:val="21"/>
          <w:highlight w:val="none"/>
          <w:shd w:val="clear" w:color="auto" w:fill="FFFFFF"/>
          <w:lang w:val="en-US" w:eastAsia="zh-CN"/>
        </w:rPr>
        <w:t>纪检监督：0771-2277888</w:t>
      </w:r>
    </w:p>
    <w:p w14:paraId="3E7F7F6C">
      <w:pPr>
        <w:pStyle w:val="55"/>
        <w:spacing w:line="360" w:lineRule="auto"/>
        <w:ind w:firstLine="4830" w:firstLineChars="2300"/>
        <w:rPr>
          <w:rFonts w:hint="eastAsia" w:ascii="仿宋" w:hAnsi="仿宋" w:eastAsia="仿宋" w:cs="仿宋"/>
          <w:color w:val="auto"/>
          <w:highlight w:val="none"/>
        </w:rPr>
        <w:sectPr>
          <w:footerReference r:id="rId7" w:type="default"/>
          <w:pgSz w:w="11906" w:h="16838"/>
          <w:pgMar w:top="1440" w:right="1800" w:bottom="1440" w:left="1800" w:header="851" w:footer="992" w:gutter="0"/>
          <w:pgNumType w:start="1"/>
          <w:cols w:space="425" w:num="1"/>
          <w:docGrid w:type="lines" w:linePitch="312" w:charSpace="0"/>
        </w:sectPr>
      </w:pPr>
    </w:p>
    <w:p w14:paraId="2DF09CF3">
      <w:pPr>
        <w:pStyle w:val="54"/>
        <w:spacing w:before="240" w:after="120" w:line="360" w:lineRule="auto"/>
        <w:rPr>
          <w:rFonts w:hint="eastAsia" w:ascii="仿宋" w:hAnsi="仿宋" w:eastAsia="仿宋" w:cs="仿宋"/>
          <w:b/>
          <w:color w:val="auto"/>
          <w:sz w:val="28"/>
          <w:szCs w:val="28"/>
          <w:highlight w:val="none"/>
        </w:rPr>
      </w:pPr>
      <w:bookmarkStart w:id="11" w:name="_Toc85401336"/>
      <w:bookmarkStart w:id="12" w:name="_Toc18981"/>
      <w:bookmarkStart w:id="13" w:name="_Toc15473"/>
      <w:bookmarkStart w:id="14" w:name="_Toc21720"/>
      <w:bookmarkStart w:id="15" w:name="_Toc447188665"/>
      <w:bookmarkStart w:id="16" w:name="_Toc15331"/>
      <w:bookmarkStart w:id="17" w:name="_Toc30412"/>
      <w:bookmarkStart w:id="18" w:name="_Toc447265500"/>
      <w:bookmarkStart w:id="19" w:name="_Toc447265214"/>
      <w:bookmarkStart w:id="20" w:name="_Toc26338"/>
      <w:r>
        <w:rPr>
          <w:rFonts w:hint="eastAsia" w:ascii="仿宋" w:hAnsi="仿宋" w:eastAsia="仿宋" w:cs="仿宋"/>
          <w:b/>
          <w:bCs w:val="0"/>
          <w:color w:val="auto"/>
          <w:kern w:val="0"/>
          <w:sz w:val="28"/>
          <w:szCs w:val="28"/>
          <w:highlight w:val="none"/>
        </w:rPr>
        <w:t>第</w:t>
      </w:r>
      <w:r>
        <w:rPr>
          <w:rFonts w:hint="default" w:ascii="仿宋" w:hAnsi="仿宋" w:eastAsia="仿宋" w:cs="仿宋"/>
          <w:b/>
          <w:bCs w:val="0"/>
          <w:color w:val="auto"/>
          <w:kern w:val="0"/>
          <w:sz w:val="28"/>
          <w:szCs w:val="28"/>
          <w:highlight w:val="none"/>
        </w:rPr>
        <w:t>二</w:t>
      </w:r>
      <w:r>
        <w:rPr>
          <w:rFonts w:hint="eastAsia" w:ascii="仿宋" w:hAnsi="仿宋" w:eastAsia="仿宋" w:cs="仿宋"/>
          <w:b/>
          <w:bCs w:val="0"/>
          <w:color w:val="auto"/>
          <w:kern w:val="0"/>
          <w:sz w:val="28"/>
          <w:szCs w:val="28"/>
          <w:highlight w:val="none"/>
        </w:rPr>
        <w:t>章 参选人须知</w:t>
      </w:r>
      <w:bookmarkEnd w:id="11"/>
      <w:bookmarkEnd w:id="12"/>
      <w:bookmarkEnd w:id="13"/>
      <w:bookmarkEnd w:id="14"/>
      <w:bookmarkEnd w:id="15"/>
      <w:bookmarkEnd w:id="16"/>
      <w:bookmarkEnd w:id="17"/>
      <w:bookmarkEnd w:id="18"/>
      <w:bookmarkEnd w:id="19"/>
      <w:bookmarkEnd w:id="20"/>
    </w:p>
    <w:p w14:paraId="02C1E64E">
      <w:pPr>
        <w:pStyle w:val="3"/>
        <w:snapToGrid w:val="0"/>
        <w:spacing w:before="240" w:after="120" w:line="360" w:lineRule="auto"/>
        <w:rPr>
          <w:rFonts w:hint="eastAsia" w:ascii="仿宋" w:hAnsi="仿宋" w:eastAsia="仿宋" w:cs="仿宋"/>
          <w:color w:val="auto"/>
          <w:sz w:val="24"/>
          <w:szCs w:val="24"/>
          <w:highlight w:val="none"/>
        </w:rPr>
      </w:pPr>
      <w:bookmarkStart w:id="21" w:name="_Toc447188666"/>
      <w:bookmarkStart w:id="22" w:name="_Toc9146"/>
      <w:bookmarkStart w:id="23" w:name="_Toc447265501"/>
      <w:bookmarkStart w:id="24" w:name="_Toc226969277"/>
      <w:bookmarkStart w:id="25" w:name="_Toc227057884"/>
      <w:bookmarkStart w:id="26" w:name="_Toc18197"/>
      <w:bookmarkStart w:id="27" w:name="_Toc5629"/>
      <w:bookmarkStart w:id="28" w:name="_Toc29133"/>
      <w:bookmarkStart w:id="29" w:name="_Toc447265215"/>
      <w:bookmarkStart w:id="30" w:name="_Toc85401337"/>
      <w:bookmarkStart w:id="31" w:name="_Toc4316"/>
      <w:bookmarkStart w:id="32" w:name="_Toc6425"/>
      <w:bookmarkStart w:id="33" w:name="_Toc447265273"/>
      <w:bookmarkStart w:id="34" w:name="_Toc447265559"/>
      <w:r>
        <w:rPr>
          <w:rFonts w:hint="eastAsia" w:ascii="仿宋" w:hAnsi="仿宋" w:eastAsia="仿宋" w:cs="仿宋"/>
          <w:bCs w:val="0"/>
          <w:color w:val="auto"/>
          <w:sz w:val="24"/>
          <w:szCs w:val="24"/>
          <w:highlight w:val="none"/>
        </w:rPr>
        <w:t>参选人须知前附表</w:t>
      </w:r>
      <w:bookmarkEnd w:id="21"/>
      <w:bookmarkEnd w:id="22"/>
      <w:bookmarkEnd w:id="23"/>
      <w:bookmarkEnd w:id="24"/>
      <w:bookmarkEnd w:id="25"/>
      <w:bookmarkEnd w:id="26"/>
      <w:bookmarkEnd w:id="27"/>
      <w:bookmarkEnd w:id="28"/>
      <w:bookmarkEnd w:id="29"/>
      <w:bookmarkEnd w:id="30"/>
      <w:bookmarkEnd w:id="31"/>
      <w:bookmarkEnd w:id="32"/>
    </w:p>
    <w:p w14:paraId="63ACF183">
      <w:pPr>
        <w:autoSpaceDE w:val="0"/>
        <w:autoSpaceDN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本参选人须知前附表是对参选人须知正文的具体补充和修改，如有矛盾，以本前附表为准。</w:t>
      </w:r>
    </w:p>
    <w:tbl>
      <w:tblPr>
        <w:tblStyle w:val="43"/>
        <w:tblW w:w="8301"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854"/>
        <w:gridCol w:w="5607"/>
      </w:tblGrid>
      <w:tr w14:paraId="5BBE08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27" w:hRule="atLeast"/>
          <w:tblHeader/>
        </w:trPr>
        <w:tc>
          <w:tcPr>
            <w:tcW w:w="840" w:type="dxa"/>
            <w:vAlign w:val="center"/>
          </w:tcPr>
          <w:p w14:paraId="7CBA0AC0">
            <w:pPr>
              <w:autoSpaceDE w:val="0"/>
              <w:autoSpaceDN w:val="0"/>
              <w:spacing w:line="360" w:lineRule="auto"/>
              <w:jc w:val="center"/>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条款号</w:t>
            </w:r>
          </w:p>
        </w:tc>
        <w:tc>
          <w:tcPr>
            <w:tcW w:w="1854" w:type="dxa"/>
            <w:vAlign w:val="center"/>
          </w:tcPr>
          <w:p w14:paraId="083B68A1">
            <w:pPr>
              <w:autoSpaceDE w:val="0"/>
              <w:autoSpaceDN w:val="0"/>
              <w:spacing w:line="360" w:lineRule="auto"/>
              <w:jc w:val="center"/>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条款名称</w:t>
            </w:r>
          </w:p>
        </w:tc>
        <w:tc>
          <w:tcPr>
            <w:tcW w:w="5607" w:type="dxa"/>
            <w:vAlign w:val="center"/>
          </w:tcPr>
          <w:p w14:paraId="6A29AC25">
            <w:pPr>
              <w:autoSpaceDE w:val="0"/>
              <w:autoSpaceDN w:val="0"/>
              <w:spacing w:line="360" w:lineRule="auto"/>
              <w:jc w:val="center"/>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rPr>
              <w:t>编列内容</w:t>
            </w:r>
          </w:p>
        </w:tc>
      </w:tr>
      <w:tr w14:paraId="0D7114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2457B531">
            <w:pPr>
              <w:autoSpaceDE w:val="0"/>
              <w:autoSpaceDN w:val="0"/>
              <w:spacing w:line="360" w:lineRule="auto"/>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1.2</w:t>
            </w:r>
          </w:p>
        </w:tc>
        <w:tc>
          <w:tcPr>
            <w:tcW w:w="1854" w:type="dxa"/>
            <w:vAlign w:val="center"/>
          </w:tcPr>
          <w:p w14:paraId="53CEEB39">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比选人</w:t>
            </w:r>
          </w:p>
        </w:tc>
        <w:tc>
          <w:tcPr>
            <w:tcW w:w="5607" w:type="dxa"/>
            <w:vAlign w:val="center"/>
          </w:tcPr>
          <w:p w14:paraId="4422BC0E">
            <w:pPr>
              <w:autoSpaceDE w:val="0"/>
              <w:autoSpaceDN w:val="0"/>
              <w:spacing w:line="360" w:lineRule="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单位名称：</w:t>
            </w:r>
            <w:r>
              <w:rPr>
                <w:rFonts w:hint="eastAsia" w:ascii="仿宋" w:hAnsi="仿宋" w:eastAsia="仿宋" w:cs="仿宋"/>
                <w:color w:val="auto"/>
                <w:sz w:val="20"/>
                <w:szCs w:val="20"/>
                <w:highlight w:val="none"/>
                <w:lang w:eastAsia="zh-CN"/>
              </w:rPr>
              <w:t>南宁轨道数智科技有限公司</w:t>
            </w:r>
          </w:p>
          <w:p w14:paraId="03953078">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地    址：南宁市青秀区凤岭北路111号南宁国际旅游中心</w:t>
            </w:r>
            <w:r>
              <w:rPr>
                <w:rFonts w:hint="eastAsia" w:ascii="仿宋" w:hAnsi="仿宋" w:eastAsia="仿宋" w:cs="仿宋"/>
                <w:color w:val="auto"/>
                <w:sz w:val="20"/>
                <w:szCs w:val="20"/>
                <w:highlight w:val="none"/>
                <w:lang w:val="en-US" w:eastAsia="zh-CN"/>
              </w:rPr>
              <w:t>C</w:t>
            </w:r>
            <w:r>
              <w:rPr>
                <w:rFonts w:hint="eastAsia" w:ascii="仿宋" w:hAnsi="仿宋" w:eastAsia="仿宋" w:cs="仿宋"/>
                <w:color w:val="auto"/>
                <w:sz w:val="20"/>
                <w:szCs w:val="20"/>
                <w:highlight w:val="none"/>
              </w:rPr>
              <w:t>座</w:t>
            </w:r>
            <w:r>
              <w:rPr>
                <w:rFonts w:hint="eastAsia" w:ascii="仿宋" w:hAnsi="仿宋" w:eastAsia="仿宋" w:cs="仿宋"/>
                <w:color w:val="auto"/>
                <w:sz w:val="20"/>
                <w:szCs w:val="20"/>
                <w:highlight w:val="none"/>
                <w:lang w:val="en-US" w:eastAsia="zh-CN"/>
              </w:rPr>
              <w:t>19楼</w:t>
            </w:r>
          </w:p>
        </w:tc>
      </w:tr>
      <w:tr w14:paraId="25BAD1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4635190F">
            <w:pPr>
              <w:autoSpaceDE w:val="0"/>
              <w:autoSpaceDN w:val="0"/>
              <w:spacing w:line="360" w:lineRule="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1.3</w:t>
            </w:r>
          </w:p>
        </w:tc>
        <w:tc>
          <w:tcPr>
            <w:tcW w:w="1854" w:type="dxa"/>
            <w:vAlign w:val="center"/>
          </w:tcPr>
          <w:p w14:paraId="7E0F2717">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项目名称</w:t>
            </w:r>
          </w:p>
        </w:tc>
        <w:tc>
          <w:tcPr>
            <w:tcW w:w="5607" w:type="dxa"/>
            <w:vAlign w:val="center"/>
          </w:tcPr>
          <w:p w14:paraId="265BAAF9">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新自营项目整合传播服务</w:t>
            </w:r>
            <w:r>
              <w:rPr>
                <w:rFonts w:hint="eastAsia" w:ascii="仿宋" w:hAnsi="仿宋" w:eastAsia="仿宋" w:cs="仿宋"/>
                <w:color w:val="auto"/>
                <w:sz w:val="20"/>
                <w:szCs w:val="20"/>
                <w:highlight w:val="none"/>
              </w:rPr>
              <w:t>采购项目</w:t>
            </w:r>
          </w:p>
        </w:tc>
      </w:tr>
      <w:tr w14:paraId="3AD64D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0B089F53">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3</w:t>
            </w:r>
          </w:p>
        </w:tc>
        <w:tc>
          <w:tcPr>
            <w:tcW w:w="1854" w:type="dxa"/>
            <w:vAlign w:val="center"/>
          </w:tcPr>
          <w:p w14:paraId="64D4EF78">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比选范围</w:t>
            </w:r>
          </w:p>
        </w:tc>
        <w:tc>
          <w:tcPr>
            <w:tcW w:w="5607" w:type="dxa"/>
            <w:vAlign w:val="center"/>
          </w:tcPr>
          <w:p w14:paraId="57F3B0E6">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详见第一章比选公告 “1.项目概况与采购内容”。</w:t>
            </w:r>
          </w:p>
        </w:tc>
      </w:tr>
      <w:tr w14:paraId="054C7C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4A637CAC">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4</w:t>
            </w:r>
          </w:p>
        </w:tc>
        <w:tc>
          <w:tcPr>
            <w:tcW w:w="1854" w:type="dxa"/>
            <w:vAlign w:val="center"/>
          </w:tcPr>
          <w:p w14:paraId="65B2A4AE">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标包划分</w:t>
            </w:r>
          </w:p>
        </w:tc>
        <w:tc>
          <w:tcPr>
            <w:tcW w:w="5607" w:type="dxa"/>
            <w:vAlign w:val="center"/>
          </w:tcPr>
          <w:p w14:paraId="11648B05">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不划分标包</w:t>
            </w:r>
          </w:p>
          <w:p w14:paraId="5935F031">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□划分标包【标包划分情况详见第一章【比选公告】】</w:t>
            </w:r>
          </w:p>
        </w:tc>
      </w:tr>
      <w:tr w14:paraId="65A69D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625293D2">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5</w:t>
            </w:r>
          </w:p>
        </w:tc>
        <w:tc>
          <w:tcPr>
            <w:tcW w:w="1854" w:type="dxa"/>
            <w:vAlign w:val="center"/>
          </w:tcPr>
          <w:p w14:paraId="14FDC964">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比选方式</w:t>
            </w:r>
          </w:p>
        </w:tc>
        <w:tc>
          <w:tcPr>
            <w:tcW w:w="5607" w:type="dxa"/>
            <w:vAlign w:val="center"/>
          </w:tcPr>
          <w:p w14:paraId="6107070E">
            <w:pPr>
              <w:autoSpaceDE w:val="0"/>
              <w:autoSpaceDN w:val="0"/>
              <w:spacing w:line="360" w:lineRule="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公开比选</w:t>
            </w:r>
          </w:p>
        </w:tc>
      </w:tr>
      <w:tr w14:paraId="3807D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43EB48B6">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6</w:t>
            </w:r>
          </w:p>
        </w:tc>
        <w:tc>
          <w:tcPr>
            <w:tcW w:w="1854" w:type="dxa"/>
            <w:vAlign w:val="center"/>
          </w:tcPr>
          <w:p w14:paraId="34514B41">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比选组织形式</w:t>
            </w:r>
          </w:p>
        </w:tc>
        <w:tc>
          <w:tcPr>
            <w:tcW w:w="5607" w:type="dxa"/>
            <w:vAlign w:val="center"/>
          </w:tcPr>
          <w:p w14:paraId="2DC0CDFD">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自行比选</w:t>
            </w:r>
          </w:p>
          <w:p w14:paraId="58AB206D">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□委托比选代理机构代理比选</w:t>
            </w:r>
          </w:p>
        </w:tc>
      </w:tr>
      <w:tr w14:paraId="49043C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1F68A4F5">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7</w:t>
            </w:r>
          </w:p>
        </w:tc>
        <w:tc>
          <w:tcPr>
            <w:tcW w:w="1854" w:type="dxa"/>
            <w:vAlign w:val="center"/>
          </w:tcPr>
          <w:p w14:paraId="0C8CFEB5">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资格审查方式</w:t>
            </w:r>
          </w:p>
        </w:tc>
        <w:tc>
          <w:tcPr>
            <w:tcW w:w="5607" w:type="dxa"/>
            <w:vAlign w:val="center"/>
          </w:tcPr>
          <w:p w14:paraId="181425F8">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□资格预审，本项目已完成资格预审。</w:t>
            </w:r>
          </w:p>
          <w:p w14:paraId="5801681E">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资格后审，资格条件详见第一章比选公告“2.参选人资格条件”。</w:t>
            </w:r>
          </w:p>
        </w:tc>
      </w:tr>
      <w:tr w14:paraId="35B809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42961439">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8.1</w:t>
            </w:r>
          </w:p>
        </w:tc>
        <w:tc>
          <w:tcPr>
            <w:tcW w:w="1854" w:type="dxa"/>
            <w:vAlign w:val="center"/>
          </w:tcPr>
          <w:p w14:paraId="1292A999">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参选人不得存在的其他情形</w:t>
            </w:r>
          </w:p>
        </w:tc>
        <w:tc>
          <w:tcPr>
            <w:tcW w:w="5607" w:type="dxa"/>
            <w:vAlign w:val="center"/>
          </w:tcPr>
          <w:p w14:paraId="1F8112B9">
            <w:pPr>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详见</w:t>
            </w:r>
            <w:r>
              <w:rPr>
                <w:rFonts w:hint="eastAsia" w:ascii="仿宋" w:hAnsi="仿宋" w:eastAsia="仿宋" w:cs="仿宋"/>
                <w:color w:val="auto"/>
                <w:sz w:val="20"/>
                <w:szCs w:val="20"/>
                <w:highlight w:val="none"/>
                <w:lang w:val="en-US" w:eastAsia="zh-CN"/>
              </w:rPr>
              <w:t>比选公告</w:t>
            </w:r>
            <w:r>
              <w:rPr>
                <w:rFonts w:hint="eastAsia" w:ascii="仿宋" w:hAnsi="仿宋" w:eastAsia="仿宋" w:cs="仿宋"/>
                <w:color w:val="auto"/>
                <w:sz w:val="20"/>
                <w:szCs w:val="20"/>
                <w:highlight w:val="none"/>
              </w:rPr>
              <w:t>。</w:t>
            </w:r>
          </w:p>
        </w:tc>
      </w:tr>
      <w:tr w14:paraId="00F89F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7048492C">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2.1</w:t>
            </w:r>
          </w:p>
        </w:tc>
        <w:tc>
          <w:tcPr>
            <w:tcW w:w="1854" w:type="dxa"/>
            <w:vAlign w:val="center"/>
          </w:tcPr>
          <w:p w14:paraId="202C042A">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比选文件的组成</w:t>
            </w:r>
          </w:p>
        </w:tc>
        <w:tc>
          <w:tcPr>
            <w:tcW w:w="5607" w:type="dxa"/>
            <w:vAlign w:val="center"/>
          </w:tcPr>
          <w:p w14:paraId="53A87761">
            <w:pPr>
              <w:autoSpaceDE w:val="0"/>
              <w:autoSpaceDN w:val="0"/>
              <w:spacing w:line="360" w:lineRule="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本条款替换为：无</w:t>
            </w:r>
          </w:p>
        </w:tc>
      </w:tr>
      <w:tr w14:paraId="46D43D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5D1D13B4">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1.3</w:t>
            </w:r>
          </w:p>
        </w:tc>
        <w:tc>
          <w:tcPr>
            <w:tcW w:w="1854" w:type="dxa"/>
            <w:vAlign w:val="center"/>
          </w:tcPr>
          <w:p w14:paraId="3F89C5D8">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比选文件实质性要求的标识</w:t>
            </w:r>
          </w:p>
        </w:tc>
        <w:tc>
          <w:tcPr>
            <w:tcW w:w="5607" w:type="dxa"/>
            <w:vAlign w:val="center"/>
          </w:tcPr>
          <w:p w14:paraId="2377D287">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比选文件中</w:t>
            </w:r>
            <w:r>
              <w:rPr>
                <w:rFonts w:hint="eastAsia" w:ascii="仿宋" w:hAnsi="仿宋" w:eastAsia="仿宋" w:cs="仿宋"/>
                <w:color w:val="auto"/>
                <w:sz w:val="20"/>
                <w:szCs w:val="20"/>
                <w:highlight w:val="none"/>
                <w:lang w:val="en-US" w:eastAsia="zh-CN"/>
              </w:rPr>
              <w:t>标</w:t>
            </w:r>
            <w:r>
              <w:rPr>
                <w:rFonts w:hint="eastAsia" w:ascii="仿宋" w:hAnsi="仿宋" w:eastAsia="仿宋" w:cs="仿宋"/>
                <w:color w:val="auto"/>
                <w:sz w:val="20"/>
                <w:szCs w:val="20"/>
                <w:highlight w:val="none"/>
              </w:rPr>
              <w:t>识“※”的条款，均为实质性条款，参选人任何不满足实质性条款的参选均将被否决。</w:t>
            </w:r>
          </w:p>
        </w:tc>
      </w:tr>
      <w:tr w14:paraId="4E67C9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75A94F04">
            <w:pPr>
              <w:autoSpaceDE w:val="0"/>
              <w:autoSpaceDN w:val="0"/>
              <w:spacing w:line="360" w:lineRule="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2.1</w:t>
            </w:r>
          </w:p>
        </w:tc>
        <w:tc>
          <w:tcPr>
            <w:tcW w:w="1854" w:type="dxa"/>
            <w:vAlign w:val="center"/>
          </w:tcPr>
          <w:p w14:paraId="7B494E73">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参选人提出澄清问题的截止时间和方式</w:t>
            </w:r>
          </w:p>
        </w:tc>
        <w:tc>
          <w:tcPr>
            <w:tcW w:w="5607" w:type="dxa"/>
            <w:vAlign w:val="center"/>
          </w:tcPr>
          <w:p w14:paraId="465397AD">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截止时间：提交参选文件截止时间至少1日前</w:t>
            </w:r>
          </w:p>
          <w:p w14:paraId="0FEE921B">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提出澄清的方式：书面方式</w:t>
            </w:r>
          </w:p>
        </w:tc>
      </w:tr>
      <w:tr w14:paraId="5D13B2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7EAA66CD">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2.2</w:t>
            </w:r>
          </w:p>
        </w:tc>
        <w:tc>
          <w:tcPr>
            <w:tcW w:w="1854" w:type="dxa"/>
            <w:vAlign w:val="center"/>
          </w:tcPr>
          <w:p w14:paraId="6A36B9DC">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比选人发出比选文件澄清或者修改的截止时间和方式</w:t>
            </w:r>
          </w:p>
        </w:tc>
        <w:tc>
          <w:tcPr>
            <w:tcW w:w="5607" w:type="dxa"/>
            <w:vAlign w:val="center"/>
          </w:tcPr>
          <w:p w14:paraId="508522A2">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截止时间：提交参选文件截止时间至少1日前</w:t>
            </w:r>
          </w:p>
          <w:p w14:paraId="1E8E8868">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发出澄清或者修改的方式：书面方式</w:t>
            </w:r>
          </w:p>
        </w:tc>
      </w:tr>
      <w:tr w14:paraId="31372F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57AC40D6">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r>
              <w:rPr>
                <w:rFonts w:hint="eastAsia" w:ascii="仿宋" w:hAnsi="仿宋" w:eastAsia="仿宋" w:cs="仿宋"/>
                <w:color w:val="auto"/>
                <w:sz w:val="20"/>
                <w:szCs w:val="20"/>
                <w:highlight w:val="none"/>
                <w:lang w:val="en-US" w:eastAsia="zh-CN"/>
              </w:rPr>
              <w:t>4.4</w:t>
            </w:r>
          </w:p>
        </w:tc>
        <w:tc>
          <w:tcPr>
            <w:tcW w:w="1854" w:type="dxa"/>
            <w:vAlign w:val="center"/>
          </w:tcPr>
          <w:p w14:paraId="06403E2B">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参选人确认收到澄清或者修改的时间和方式</w:t>
            </w:r>
          </w:p>
        </w:tc>
        <w:tc>
          <w:tcPr>
            <w:tcW w:w="5607" w:type="dxa"/>
            <w:vAlign w:val="center"/>
          </w:tcPr>
          <w:p w14:paraId="699DA4BA">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确认收到澄清或者修改的时间：详见澄清通知书要求</w:t>
            </w:r>
          </w:p>
          <w:p w14:paraId="5FC55ABF">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确认收到澄清或者修改的方式：书面方式</w:t>
            </w:r>
          </w:p>
        </w:tc>
      </w:tr>
      <w:tr w14:paraId="095640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2D3179DB">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3.1</w:t>
            </w:r>
          </w:p>
        </w:tc>
        <w:tc>
          <w:tcPr>
            <w:tcW w:w="1854" w:type="dxa"/>
            <w:vAlign w:val="center"/>
          </w:tcPr>
          <w:p w14:paraId="5E1C8ABE">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参选文件组成</w:t>
            </w:r>
          </w:p>
        </w:tc>
        <w:tc>
          <w:tcPr>
            <w:tcW w:w="5607" w:type="dxa"/>
            <w:vAlign w:val="center"/>
          </w:tcPr>
          <w:p w14:paraId="0803801B">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参选文件必须按照以下顺序编制（本条款十分重要，请遵照办理）：详见第六章 参选文件格式</w:t>
            </w:r>
          </w:p>
        </w:tc>
      </w:tr>
      <w:tr w14:paraId="444A27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4CF782FE">
            <w:pPr>
              <w:autoSpaceDE w:val="0"/>
              <w:autoSpaceDN w:val="0"/>
              <w:spacing w:line="360" w:lineRule="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2</w:t>
            </w:r>
          </w:p>
        </w:tc>
        <w:tc>
          <w:tcPr>
            <w:tcW w:w="1854" w:type="dxa"/>
            <w:vAlign w:val="center"/>
          </w:tcPr>
          <w:p w14:paraId="4E692A55">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参选文件应答和编写</w:t>
            </w:r>
          </w:p>
        </w:tc>
        <w:tc>
          <w:tcPr>
            <w:tcW w:w="5607" w:type="dxa"/>
            <w:vAlign w:val="center"/>
          </w:tcPr>
          <w:p w14:paraId="3389D379">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本条款增加以下规定：</w:t>
            </w:r>
          </w:p>
          <w:p w14:paraId="4982A591">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参选文件应答和编写的具体要求如下：</w:t>
            </w:r>
          </w:p>
          <w:p w14:paraId="61F84900">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（1）参选人对第四章《合同条款》</w:t>
            </w:r>
            <w:r>
              <w:rPr>
                <w:rFonts w:hint="eastAsia" w:ascii="仿宋" w:hAnsi="仿宋" w:eastAsia="仿宋" w:cs="仿宋"/>
                <w:color w:val="auto"/>
                <w:sz w:val="20"/>
                <w:szCs w:val="20"/>
                <w:highlight w:val="none"/>
                <w:lang w:val="en-US" w:eastAsia="zh-CN"/>
              </w:rPr>
              <w:t>进行应答，</w:t>
            </w:r>
            <w:r>
              <w:rPr>
                <w:rFonts w:hint="eastAsia" w:ascii="仿宋" w:hAnsi="仿宋" w:eastAsia="仿宋" w:cs="仿宋"/>
                <w:color w:val="auto"/>
                <w:sz w:val="20"/>
                <w:szCs w:val="20"/>
                <w:highlight w:val="none"/>
              </w:rPr>
              <w:t>应答只能使用“满足</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优于</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不满足”。 若有“优于”需</w:t>
            </w:r>
            <w:r>
              <w:rPr>
                <w:rFonts w:hint="eastAsia" w:ascii="仿宋" w:hAnsi="仿宋" w:eastAsia="仿宋" w:cs="仿宋"/>
                <w:color w:val="auto"/>
                <w:sz w:val="20"/>
                <w:szCs w:val="20"/>
                <w:highlight w:val="none"/>
                <w:lang w:eastAsia="zh-CN"/>
              </w:rPr>
              <w:t>做出</w:t>
            </w:r>
            <w:r>
              <w:rPr>
                <w:rFonts w:hint="eastAsia" w:ascii="仿宋" w:hAnsi="仿宋" w:eastAsia="仿宋" w:cs="仿宋"/>
                <w:color w:val="auto"/>
                <w:sz w:val="20"/>
                <w:szCs w:val="20"/>
                <w:highlight w:val="none"/>
              </w:rPr>
              <w:t>具体、详细的说明。不得使用“明白</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理解”等词语。凡采用“详见</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参见”方式说明的，应指明参见文档的具体章节或页码。</w:t>
            </w:r>
          </w:p>
          <w:p w14:paraId="6D3EDCA0">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参选人对</w:t>
            </w:r>
            <w:r>
              <w:rPr>
                <w:rFonts w:hint="eastAsia" w:ascii="仿宋" w:hAnsi="仿宋" w:eastAsia="仿宋" w:cs="仿宋"/>
                <w:bCs/>
                <w:color w:val="auto"/>
                <w:sz w:val="20"/>
                <w:szCs w:val="20"/>
                <w:highlight w:val="none"/>
              </w:rPr>
              <w:t>第五章《技术规范书》</w:t>
            </w:r>
            <w:r>
              <w:rPr>
                <w:rFonts w:hint="eastAsia" w:ascii="仿宋" w:hAnsi="仿宋" w:eastAsia="仿宋" w:cs="仿宋"/>
                <w:color w:val="auto"/>
                <w:sz w:val="20"/>
                <w:szCs w:val="20"/>
                <w:highlight w:val="none"/>
              </w:rPr>
              <w:t>进行应答</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应答不能少于10条，</w:t>
            </w:r>
            <w:r>
              <w:rPr>
                <w:rFonts w:hint="eastAsia" w:ascii="仿宋" w:hAnsi="仿宋" w:eastAsia="仿宋" w:cs="仿宋"/>
                <w:color w:val="auto"/>
                <w:sz w:val="20"/>
                <w:szCs w:val="20"/>
                <w:highlight w:val="none"/>
              </w:rPr>
              <w:t>应答只能使用“满足</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优于</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不满足”。 若有“优于”需</w:t>
            </w:r>
            <w:r>
              <w:rPr>
                <w:rFonts w:hint="eastAsia" w:ascii="仿宋" w:hAnsi="仿宋" w:eastAsia="仿宋" w:cs="仿宋"/>
                <w:color w:val="auto"/>
                <w:sz w:val="20"/>
                <w:szCs w:val="20"/>
                <w:highlight w:val="none"/>
                <w:lang w:eastAsia="zh-CN"/>
              </w:rPr>
              <w:t>做出</w:t>
            </w:r>
            <w:r>
              <w:rPr>
                <w:rFonts w:hint="eastAsia" w:ascii="仿宋" w:hAnsi="仿宋" w:eastAsia="仿宋" w:cs="仿宋"/>
                <w:color w:val="auto"/>
                <w:sz w:val="20"/>
                <w:szCs w:val="20"/>
                <w:highlight w:val="none"/>
              </w:rPr>
              <w:t>具体、详细的说明。不得使用“明白</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理解”等词语。凡采用“详见</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参见”方式说明的，应指明参见文档的具体章节或页码。</w:t>
            </w:r>
          </w:p>
          <w:p w14:paraId="0D156117">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（3）若在</w:t>
            </w:r>
            <w:r>
              <w:rPr>
                <w:rFonts w:hint="eastAsia" w:ascii="仿宋" w:hAnsi="仿宋" w:eastAsia="仿宋" w:cs="仿宋"/>
                <w:color w:val="auto"/>
                <w:sz w:val="20"/>
                <w:szCs w:val="20"/>
                <w:highlight w:val="none"/>
                <w:lang w:val="en-US" w:eastAsia="zh-CN"/>
              </w:rPr>
              <w:t>应</w:t>
            </w:r>
            <w:r>
              <w:rPr>
                <w:rFonts w:hint="eastAsia" w:ascii="仿宋" w:hAnsi="仿宋" w:eastAsia="仿宋" w:cs="仿宋"/>
                <w:color w:val="auto"/>
                <w:sz w:val="20"/>
                <w:szCs w:val="20"/>
                <w:highlight w:val="none"/>
              </w:rPr>
              <w:t>答“满足”后，其后的任何解释均不能与“满足”相冲突。若发生冲突，则解释无效。</w:t>
            </w:r>
          </w:p>
          <w:p w14:paraId="083A6BE7">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（4）对于标注“※”号的要求若存在任何负偏离将导致参选无效。</w:t>
            </w:r>
          </w:p>
        </w:tc>
      </w:tr>
      <w:tr w14:paraId="254889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6BD673E1">
            <w:pPr>
              <w:autoSpaceDE w:val="0"/>
              <w:autoSpaceDN w:val="0"/>
              <w:spacing w:line="360" w:lineRule="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2.4</w:t>
            </w:r>
          </w:p>
        </w:tc>
        <w:tc>
          <w:tcPr>
            <w:tcW w:w="1854" w:type="dxa"/>
            <w:vAlign w:val="center"/>
          </w:tcPr>
          <w:p w14:paraId="1D287A4C">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参选文件的盖章或者签字</w:t>
            </w:r>
          </w:p>
        </w:tc>
        <w:tc>
          <w:tcPr>
            <w:tcW w:w="5607" w:type="dxa"/>
            <w:vAlign w:val="center"/>
          </w:tcPr>
          <w:p w14:paraId="34E87D51">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本条款增加以下规定：</w:t>
            </w:r>
          </w:p>
          <w:p w14:paraId="561C5FBF">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（1）参选文件中凡出现参选人单位落款的地方应加盖单位公章或投标专用章。</w:t>
            </w:r>
          </w:p>
          <w:p w14:paraId="1991FBA1">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（2）参选文件中凡出现要求签字的地方应由法定代表人或其委托代理人签字。</w:t>
            </w:r>
          </w:p>
          <w:p w14:paraId="106F0FC8">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（3）参选文件签字盖章必须满足以下其中一条规定：</w:t>
            </w:r>
          </w:p>
          <w:p w14:paraId="0FBD194A">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A</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参选人加盖骑缝章；</w:t>
            </w:r>
          </w:p>
          <w:p w14:paraId="647FF71C">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B</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参选人页盖单位公章或投标专用章；</w:t>
            </w:r>
          </w:p>
          <w:p w14:paraId="1C37D51A">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C</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参选人的法定代表人或其委托代理人逐页手签。</w:t>
            </w:r>
          </w:p>
          <w:p w14:paraId="24F6F773">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（4）如使用投标专用章的，应提供公章对投标专用章授权说明。</w:t>
            </w:r>
          </w:p>
          <w:p w14:paraId="317FC8AD">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请按上述要求制作参选文件，否则其参选将被否决。</w:t>
            </w:r>
          </w:p>
          <w:p w14:paraId="0E425CC8">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注：打印、手签后扫描为图片等签字形式签署的参选文件均无效。</w:t>
            </w:r>
          </w:p>
          <w:p w14:paraId="22EE2685">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以上4点要求须全部满足。</w:t>
            </w:r>
          </w:p>
        </w:tc>
      </w:tr>
      <w:tr w14:paraId="79EC01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6AC40493">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3</w:t>
            </w:r>
          </w:p>
        </w:tc>
        <w:tc>
          <w:tcPr>
            <w:tcW w:w="1854" w:type="dxa"/>
            <w:vAlign w:val="center"/>
          </w:tcPr>
          <w:p w14:paraId="7CF06B31">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最高参选限价</w:t>
            </w:r>
          </w:p>
        </w:tc>
        <w:tc>
          <w:tcPr>
            <w:tcW w:w="5607" w:type="dxa"/>
            <w:vAlign w:val="center"/>
          </w:tcPr>
          <w:p w14:paraId="2E4D374E">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□不设置最高参选限价</w:t>
            </w:r>
          </w:p>
          <w:p w14:paraId="634F7297">
            <w:pPr>
              <w:autoSpaceDE w:val="0"/>
              <w:autoSpaceDN w:val="0"/>
              <w:spacing w:line="360" w:lineRule="auto"/>
              <w:rPr>
                <w:rFonts w:hint="eastAsia" w:ascii="仿宋" w:hAnsi="仿宋" w:eastAsia="仿宋" w:cs="仿宋"/>
                <w:color w:val="auto"/>
                <w:sz w:val="20"/>
                <w:szCs w:val="20"/>
                <w:highlight w:val="none"/>
                <w:u w:val="singl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设置最高参选限价：详见第一章比选公告。</w:t>
            </w:r>
          </w:p>
        </w:tc>
      </w:tr>
      <w:tr w14:paraId="68D9D6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701BDA02">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.3.6</w:t>
            </w:r>
          </w:p>
        </w:tc>
        <w:tc>
          <w:tcPr>
            <w:tcW w:w="1854" w:type="dxa"/>
            <w:vAlign w:val="center"/>
          </w:tcPr>
          <w:p w14:paraId="77876AB2">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参选报价具体要求</w:t>
            </w:r>
          </w:p>
        </w:tc>
        <w:tc>
          <w:tcPr>
            <w:tcW w:w="5607" w:type="dxa"/>
            <w:vAlign w:val="center"/>
          </w:tcPr>
          <w:p w14:paraId="21152521">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本条款增加以下规定：</w:t>
            </w:r>
          </w:p>
          <w:p w14:paraId="433E1D35">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（1）本项目不接受可选择的报价。只有唱价时唱出的报价才被考虑。</w:t>
            </w:r>
          </w:p>
          <w:p w14:paraId="40F35943">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（2）最低报价不能作为中选的唯一保证。</w:t>
            </w:r>
          </w:p>
          <w:p w14:paraId="52B44577">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（3）报价内容：</w:t>
            </w:r>
            <w:r>
              <w:rPr>
                <w:rFonts w:hint="eastAsia" w:ascii="仿宋" w:hAnsi="仿宋" w:eastAsia="仿宋" w:cs="仿宋"/>
                <w:b/>
                <w:bCs/>
                <w:color w:val="auto"/>
                <w:sz w:val="20"/>
                <w:szCs w:val="20"/>
                <w:highlight w:val="none"/>
              </w:rPr>
              <w:t>本项目报价为满足比选人完成本项目所需的所有费用。如果有任何遗漏，均被视为参选人已经在其报价中体现。</w:t>
            </w:r>
          </w:p>
        </w:tc>
      </w:tr>
      <w:tr w14:paraId="024156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5EC06F62">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5.1</w:t>
            </w:r>
          </w:p>
        </w:tc>
        <w:tc>
          <w:tcPr>
            <w:tcW w:w="1854" w:type="dxa"/>
            <w:vAlign w:val="center"/>
          </w:tcPr>
          <w:p w14:paraId="177DD999">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参选文件份数</w:t>
            </w:r>
          </w:p>
        </w:tc>
        <w:tc>
          <w:tcPr>
            <w:tcW w:w="5607" w:type="dxa"/>
            <w:vAlign w:val="center"/>
          </w:tcPr>
          <w:p w14:paraId="521171A3">
            <w:pPr>
              <w:autoSpaceDE w:val="0"/>
              <w:autoSpaceDN w:val="0"/>
              <w:spacing w:line="360" w:lineRule="auto"/>
              <w:rPr>
                <w:rFonts w:hint="eastAsia" w:ascii="仿宋" w:hAnsi="仿宋" w:eastAsia="仿宋" w:cs="仿宋"/>
                <w:b/>
                <w:bCs/>
                <w:color w:val="auto"/>
                <w:sz w:val="20"/>
                <w:szCs w:val="20"/>
                <w:highlight w:val="none"/>
                <w:lang w:eastAsia="zh-CN"/>
              </w:rPr>
            </w:pPr>
            <w:r>
              <w:rPr>
                <w:rFonts w:hint="eastAsia" w:ascii="仿宋" w:hAnsi="仿宋" w:eastAsia="仿宋" w:cs="仿宋"/>
                <w:b/>
                <w:bCs/>
                <w:color w:val="auto"/>
                <w:sz w:val="20"/>
                <w:szCs w:val="20"/>
                <w:highlight w:val="none"/>
              </w:rPr>
              <w:t>正本一份，副本</w:t>
            </w:r>
            <w:r>
              <w:rPr>
                <w:rFonts w:hint="eastAsia" w:ascii="仿宋" w:hAnsi="仿宋" w:eastAsia="仿宋" w:cs="仿宋"/>
                <w:b/>
                <w:bCs/>
                <w:color w:val="auto"/>
                <w:sz w:val="20"/>
                <w:szCs w:val="20"/>
                <w:highlight w:val="none"/>
                <w:lang w:val="en-US" w:eastAsia="zh-CN"/>
              </w:rPr>
              <w:t>四</w:t>
            </w:r>
            <w:r>
              <w:rPr>
                <w:rFonts w:hint="eastAsia" w:ascii="仿宋" w:hAnsi="仿宋" w:eastAsia="仿宋" w:cs="仿宋"/>
                <w:b/>
                <w:bCs/>
                <w:color w:val="auto"/>
                <w:sz w:val="20"/>
                <w:szCs w:val="20"/>
                <w:highlight w:val="none"/>
              </w:rPr>
              <w:t>份</w:t>
            </w:r>
            <w:r>
              <w:rPr>
                <w:rFonts w:hint="eastAsia" w:ascii="仿宋" w:hAnsi="仿宋" w:eastAsia="仿宋" w:cs="仿宋"/>
                <w:b/>
                <w:bCs/>
                <w:color w:val="auto"/>
                <w:sz w:val="20"/>
                <w:szCs w:val="20"/>
                <w:highlight w:val="none"/>
                <w:lang w:eastAsia="zh-CN"/>
              </w:rPr>
              <w:t>（</w:t>
            </w:r>
            <w:r>
              <w:rPr>
                <w:rFonts w:hint="eastAsia" w:ascii="仿宋" w:hAnsi="仿宋" w:eastAsia="仿宋" w:cs="仿宋"/>
                <w:b/>
                <w:bCs/>
                <w:color w:val="auto"/>
                <w:sz w:val="20"/>
                <w:szCs w:val="20"/>
                <w:highlight w:val="none"/>
                <w:lang w:val="en-US" w:eastAsia="zh-CN"/>
              </w:rPr>
              <w:t>无须电子版</w:t>
            </w:r>
            <w:r>
              <w:rPr>
                <w:rFonts w:hint="eastAsia" w:ascii="仿宋" w:hAnsi="仿宋" w:eastAsia="仿宋" w:cs="仿宋"/>
                <w:b/>
                <w:bCs/>
                <w:color w:val="auto"/>
                <w:sz w:val="20"/>
                <w:szCs w:val="20"/>
                <w:highlight w:val="none"/>
                <w:lang w:eastAsia="zh-CN"/>
              </w:rPr>
              <w:t>）</w:t>
            </w:r>
          </w:p>
        </w:tc>
      </w:tr>
      <w:tr w14:paraId="3FC0FA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09E77309">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r>
              <w:rPr>
                <w:rFonts w:hint="eastAsia" w:ascii="仿宋" w:hAnsi="仿宋" w:eastAsia="仿宋" w:cs="仿宋"/>
                <w:color w:val="auto"/>
                <w:sz w:val="20"/>
                <w:szCs w:val="20"/>
                <w:highlight w:val="none"/>
                <w:lang w:val="en-US" w:eastAsia="zh-CN"/>
              </w:rPr>
              <w:t>5.6</w:t>
            </w:r>
          </w:p>
        </w:tc>
        <w:tc>
          <w:tcPr>
            <w:tcW w:w="1854" w:type="dxa"/>
            <w:vAlign w:val="center"/>
          </w:tcPr>
          <w:p w14:paraId="0F34D16D">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参选文件的密封和标记要求</w:t>
            </w:r>
          </w:p>
        </w:tc>
        <w:tc>
          <w:tcPr>
            <w:tcW w:w="5607" w:type="dxa"/>
            <w:vAlign w:val="center"/>
          </w:tcPr>
          <w:p w14:paraId="7852FC11">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本条款增加如下规定：</w:t>
            </w:r>
          </w:p>
          <w:p w14:paraId="229CFE3B">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参选文件采用现场投递的形式</w:t>
            </w:r>
            <w:r>
              <w:rPr>
                <w:rFonts w:hint="eastAsia" w:ascii="仿宋" w:hAnsi="仿宋" w:eastAsia="仿宋" w:cs="仿宋"/>
                <w:b/>
                <w:bCs/>
                <w:color w:val="auto"/>
                <w:sz w:val="20"/>
                <w:szCs w:val="20"/>
                <w:highlight w:val="none"/>
              </w:rPr>
              <w:t>。</w:t>
            </w:r>
            <w:r>
              <w:rPr>
                <w:rFonts w:hint="eastAsia" w:ascii="仿宋" w:hAnsi="仿宋" w:eastAsia="仿宋" w:cs="仿宋"/>
                <w:color w:val="auto"/>
                <w:sz w:val="20"/>
                <w:szCs w:val="20"/>
                <w:highlight w:val="none"/>
              </w:rPr>
              <w:t>密封包封的所有粘接缝隙必须加盖单位章或专用印章或由参选人的法定代表人或其授权代表签字。</w:t>
            </w:r>
          </w:p>
          <w:p w14:paraId="7BD1E031">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（2）参选文件技术部分中不得出现参选报价相关信息，参选报价均单独封装在价格分册中。</w:t>
            </w:r>
          </w:p>
          <w:p w14:paraId="3D92B1EF">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（3）凡因参选文件不按规定填写，或填写不清晰、不完整</w:t>
            </w:r>
            <w:r>
              <w:rPr>
                <w:rFonts w:hint="eastAsia" w:ascii="仿宋" w:hAnsi="仿宋" w:eastAsia="仿宋" w:cs="仿宋"/>
                <w:color w:val="auto"/>
                <w:sz w:val="20"/>
                <w:szCs w:val="20"/>
                <w:highlight w:val="none"/>
                <w:lang w:eastAsia="zh-CN"/>
              </w:rPr>
              <w:t>或</w:t>
            </w:r>
            <w:r>
              <w:rPr>
                <w:rFonts w:hint="eastAsia" w:ascii="仿宋" w:hAnsi="仿宋" w:eastAsia="仿宋" w:cs="仿宋"/>
                <w:color w:val="auto"/>
                <w:sz w:val="20"/>
                <w:szCs w:val="20"/>
                <w:highlight w:val="none"/>
              </w:rPr>
              <w:t>密封不合要求而引起的一切后果，由参选人自行负责。</w:t>
            </w:r>
          </w:p>
        </w:tc>
      </w:tr>
      <w:tr w14:paraId="13E58D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695D0141">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4.1</w:t>
            </w:r>
            <w:r>
              <w:rPr>
                <w:rFonts w:hint="eastAsia" w:ascii="仿宋" w:hAnsi="仿宋" w:eastAsia="仿宋" w:cs="仿宋"/>
                <w:color w:val="auto"/>
                <w:sz w:val="20"/>
                <w:szCs w:val="20"/>
                <w:highlight w:val="none"/>
                <w:lang w:val="en-US" w:eastAsia="zh-CN"/>
              </w:rPr>
              <w:t>.1</w:t>
            </w:r>
          </w:p>
        </w:tc>
        <w:tc>
          <w:tcPr>
            <w:tcW w:w="1854" w:type="dxa"/>
            <w:vAlign w:val="center"/>
          </w:tcPr>
          <w:p w14:paraId="30060EFA">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参选文件递交截止时间</w:t>
            </w:r>
          </w:p>
        </w:tc>
        <w:tc>
          <w:tcPr>
            <w:tcW w:w="5607" w:type="dxa"/>
            <w:vAlign w:val="center"/>
          </w:tcPr>
          <w:p w14:paraId="73796A07">
            <w:pPr>
              <w:autoSpaceDE w:val="0"/>
              <w:autoSpaceDN w:val="0"/>
              <w:spacing w:line="360" w:lineRule="auto"/>
              <w:rPr>
                <w:rFonts w:hint="eastAsia" w:ascii="仿宋" w:hAnsi="仿宋" w:eastAsia="仿宋" w:cs="仿宋"/>
                <w:b/>
                <w:color w:val="auto"/>
                <w:sz w:val="20"/>
                <w:szCs w:val="20"/>
                <w:highlight w:val="none"/>
              </w:rPr>
            </w:pPr>
            <w:r>
              <w:rPr>
                <w:rFonts w:hint="eastAsia" w:ascii="仿宋" w:hAnsi="仿宋" w:eastAsia="仿宋" w:cs="仿宋"/>
                <w:b/>
                <w:color w:val="auto"/>
                <w:sz w:val="20"/>
                <w:szCs w:val="20"/>
                <w:highlight w:val="none"/>
                <w:u w:val="single"/>
                <w:lang w:eastAsia="zh-CN"/>
              </w:rPr>
              <w:t>2024年</w:t>
            </w:r>
            <w:r>
              <w:rPr>
                <w:rFonts w:hint="eastAsia" w:ascii="仿宋" w:hAnsi="仿宋" w:eastAsia="仿宋" w:cs="仿宋"/>
                <w:b/>
                <w:color w:val="auto"/>
                <w:sz w:val="20"/>
                <w:szCs w:val="20"/>
                <w:highlight w:val="none"/>
                <w:u w:val="single"/>
                <w:lang w:val="en-US" w:eastAsia="zh-CN"/>
              </w:rPr>
              <w:t>11</w:t>
            </w:r>
            <w:r>
              <w:rPr>
                <w:rFonts w:hint="eastAsia" w:ascii="仿宋" w:hAnsi="仿宋" w:eastAsia="仿宋" w:cs="仿宋"/>
                <w:b/>
                <w:color w:val="auto"/>
                <w:sz w:val="20"/>
                <w:szCs w:val="20"/>
                <w:highlight w:val="none"/>
                <w:u w:val="single"/>
              </w:rPr>
              <w:t>月</w:t>
            </w:r>
            <w:r>
              <w:rPr>
                <w:rFonts w:hint="eastAsia" w:ascii="仿宋" w:hAnsi="仿宋" w:eastAsia="仿宋" w:cs="仿宋"/>
                <w:b/>
                <w:color w:val="auto"/>
                <w:sz w:val="20"/>
                <w:szCs w:val="20"/>
                <w:highlight w:val="none"/>
                <w:u w:val="single"/>
                <w:lang w:val="en-US" w:eastAsia="zh-CN"/>
              </w:rPr>
              <w:t>29</w:t>
            </w:r>
            <w:r>
              <w:rPr>
                <w:rFonts w:hint="eastAsia" w:ascii="仿宋" w:hAnsi="仿宋" w:eastAsia="仿宋" w:cs="仿宋"/>
                <w:b/>
                <w:color w:val="auto"/>
                <w:sz w:val="20"/>
                <w:szCs w:val="20"/>
                <w:highlight w:val="none"/>
                <w:u w:val="single"/>
              </w:rPr>
              <w:t>日15时</w:t>
            </w:r>
            <w:r>
              <w:rPr>
                <w:rFonts w:hint="eastAsia" w:ascii="仿宋" w:hAnsi="仿宋" w:eastAsia="仿宋" w:cs="仿宋"/>
                <w:b/>
                <w:color w:val="auto"/>
                <w:sz w:val="20"/>
                <w:szCs w:val="20"/>
                <w:highlight w:val="none"/>
                <w:u w:val="single"/>
                <w:lang w:val="en-US" w:eastAsia="zh-CN"/>
              </w:rPr>
              <w:t>3</w:t>
            </w:r>
            <w:r>
              <w:rPr>
                <w:rFonts w:hint="eastAsia" w:ascii="仿宋" w:hAnsi="仿宋" w:eastAsia="仿宋" w:cs="仿宋"/>
                <w:b/>
                <w:color w:val="auto"/>
                <w:sz w:val="20"/>
                <w:szCs w:val="20"/>
                <w:highlight w:val="none"/>
                <w:u w:val="single"/>
              </w:rPr>
              <w:t>0分（北京时间）</w:t>
            </w:r>
          </w:p>
        </w:tc>
      </w:tr>
      <w:tr w14:paraId="59482E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686889B8">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r>
              <w:rPr>
                <w:rFonts w:hint="eastAsia" w:ascii="仿宋" w:hAnsi="仿宋" w:eastAsia="仿宋" w:cs="仿宋"/>
                <w:color w:val="auto"/>
                <w:sz w:val="20"/>
                <w:szCs w:val="20"/>
                <w:highlight w:val="none"/>
                <w:lang w:val="en-US" w:eastAsia="zh-CN"/>
              </w:rPr>
              <w:t>1.2</w:t>
            </w:r>
          </w:p>
        </w:tc>
        <w:tc>
          <w:tcPr>
            <w:tcW w:w="1854" w:type="dxa"/>
            <w:vAlign w:val="center"/>
          </w:tcPr>
          <w:p w14:paraId="0D783DE6">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参选文件递交地点</w:t>
            </w:r>
          </w:p>
        </w:tc>
        <w:tc>
          <w:tcPr>
            <w:tcW w:w="5607" w:type="dxa"/>
            <w:vAlign w:val="center"/>
          </w:tcPr>
          <w:p w14:paraId="58EB632A">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b/>
                <w:color w:val="auto"/>
                <w:sz w:val="20"/>
                <w:szCs w:val="20"/>
                <w:highlight w:val="none"/>
                <w:u w:val="single"/>
              </w:rPr>
              <w:t>南宁市青秀区凤岭北路111号南宁国际旅游中心</w:t>
            </w:r>
            <w:r>
              <w:rPr>
                <w:rFonts w:hint="eastAsia" w:ascii="仿宋" w:hAnsi="仿宋" w:eastAsia="仿宋" w:cs="仿宋"/>
                <w:b/>
                <w:color w:val="auto"/>
                <w:sz w:val="20"/>
                <w:szCs w:val="20"/>
                <w:highlight w:val="none"/>
                <w:u w:val="single"/>
                <w:lang w:val="en-US" w:eastAsia="zh-CN"/>
              </w:rPr>
              <w:t>C</w:t>
            </w:r>
            <w:r>
              <w:rPr>
                <w:rFonts w:hint="eastAsia" w:ascii="仿宋" w:hAnsi="仿宋" w:eastAsia="仿宋" w:cs="仿宋"/>
                <w:b/>
                <w:color w:val="auto"/>
                <w:sz w:val="20"/>
                <w:szCs w:val="20"/>
                <w:highlight w:val="none"/>
                <w:u w:val="single"/>
              </w:rPr>
              <w:t>座</w:t>
            </w:r>
            <w:r>
              <w:rPr>
                <w:rFonts w:hint="eastAsia" w:ascii="仿宋" w:hAnsi="仿宋" w:eastAsia="仿宋" w:cs="仿宋"/>
                <w:b/>
                <w:color w:val="auto"/>
                <w:sz w:val="20"/>
                <w:szCs w:val="20"/>
                <w:highlight w:val="none"/>
                <w:u w:val="single"/>
                <w:lang w:val="en-US" w:eastAsia="zh-CN"/>
              </w:rPr>
              <w:t>19楼综合办公室</w:t>
            </w:r>
            <w:r>
              <w:rPr>
                <w:rFonts w:hint="eastAsia" w:ascii="仿宋" w:hAnsi="仿宋" w:eastAsia="仿宋" w:cs="仿宋"/>
                <w:b/>
                <w:color w:val="auto"/>
                <w:sz w:val="20"/>
                <w:szCs w:val="20"/>
                <w:highlight w:val="none"/>
                <w:u w:val="single"/>
              </w:rPr>
              <w:t>。</w:t>
            </w:r>
          </w:p>
        </w:tc>
      </w:tr>
      <w:tr w14:paraId="359C5C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412AFD12">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r>
              <w:rPr>
                <w:rFonts w:hint="eastAsia" w:ascii="仿宋" w:hAnsi="仿宋" w:eastAsia="仿宋" w:cs="仿宋"/>
                <w:color w:val="auto"/>
                <w:sz w:val="20"/>
                <w:szCs w:val="20"/>
                <w:highlight w:val="none"/>
                <w:lang w:val="en-US" w:eastAsia="zh-CN"/>
              </w:rPr>
              <w:t>1.4</w:t>
            </w:r>
          </w:p>
        </w:tc>
        <w:tc>
          <w:tcPr>
            <w:tcW w:w="1854" w:type="dxa"/>
            <w:vAlign w:val="center"/>
          </w:tcPr>
          <w:p w14:paraId="293B68B8">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参选文件退还</w:t>
            </w:r>
          </w:p>
        </w:tc>
        <w:tc>
          <w:tcPr>
            <w:tcW w:w="5607" w:type="dxa"/>
            <w:vAlign w:val="center"/>
          </w:tcPr>
          <w:p w14:paraId="672D11C4">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不退还</w:t>
            </w:r>
          </w:p>
          <w:p w14:paraId="470F6B83">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□退还，【</w:t>
            </w:r>
            <w:r>
              <w:rPr>
                <w:rFonts w:hint="eastAsia" w:ascii="仿宋" w:hAnsi="仿宋" w:eastAsia="仿宋" w:cs="仿宋"/>
                <w:color w:val="auto"/>
                <w:sz w:val="20"/>
                <w:szCs w:val="20"/>
                <w:highlight w:val="none"/>
                <w:u w:val="single"/>
              </w:rPr>
              <w:t>参选文件退还的具体要求</w:t>
            </w:r>
            <w:r>
              <w:rPr>
                <w:rFonts w:hint="eastAsia" w:ascii="仿宋" w:hAnsi="仿宋" w:eastAsia="仿宋" w:cs="仿宋"/>
                <w:color w:val="auto"/>
                <w:sz w:val="20"/>
                <w:szCs w:val="20"/>
                <w:highlight w:val="none"/>
              </w:rPr>
              <w:t>】</w:t>
            </w:r>
          </w:p>
        </w:tc>
      </w:tr>
      <w:tr w14:paraId="7FDEBA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59" w:hRule="atLeast"/>
        </w:trPr>
        <w:tc>
          <w:tcPr>
            <w:tcW w:w="840" w:type="dxa"/>
            <w:vAlign w:val="center"/>
          </w:tcPr>
          <w:p w14:paraId="4A8AFC87">
            <w:pPr>
              <w:autoSpaceDE w:val="0"/>
              <w:autoSpaceDN w:val="0"/>
              <w:spacing w:line="360" w:lineRule="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4.</w:t>
            </w:r>
            <w:r>
              <w:rPr>
                <w:rFonts w:hint="eastAsia" w:ascii="仿宋" w:hAnsi="仿宋" w:eastAsia="仿宋" w:cs="仿宋"/>
                <w:color w:val="auto"/>
                <w:sz w:val="20"/>
                <w:szCs w:val="20"/>
                <w:highlight w:val="none"/>
                <w:lang w:val="en-US" w:eastAsia="zh-CN"/>
              </w:rPr>
              <w:t>1.6</w:t>
            </w:r>
          </w:p>
        </w:tc>
        <w:tc>
          <w:tcPr>
            <w:tcW w:w="1854" w:type="dxa"/>
            <w:vAlign w:val="center"/>
          </w:tcPr>
          <w:p w14:paraId="5106B09E">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递交参选文件的参选人不足三家的处理原则</w:t>
            </w:r>
          </w:p>
        </w:tc>
        <w:tc>
          <w:tcPr>
            <w:tcW w:w="5607" w:type="dxa"/>
            <w:vAlign w:val="center"/>
          </w:tcPr>
          <w:p w14:paraId="08B2749E">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w:t>
            </w:r>
            <w:r>
              <w:rPr>
                <w:rFonts w:hint="eastAsia" w:ascii="仿宋" w:hAnsi="仿宋" w:eastAsia="仿宋" w:cs="仿宋"/>
                <w:b/>
                <w:bCs/>
                <w:color w:val="auto"/>
                <w:sz w:val="20"/>
                <w:szCs w:val="20"/>
                <w:highlight w:val="none"/>
              </w:rPr>
              <w:t>递交参选文件的参选人或通过初步评审的参选人为两家时，继续组织比选或重新比选</w:t>
            </w:r>
            <w:r>
              <w:rPr>
                <w:rFonts w:hint="eastAsia" w:ascii="仿宋" w:hAnsi="仿宋" w:eastAsia="仿宋" w:cs="仿宋"/>
                <w:color w:val="auto"/>
                <w:sz w:val="20"/>
                <w:szCs w:val="20"/>
                <w:highlight w:val="none"/>
              </w:rPr>
              <w:t>；递交参选文件的参选人或通过初步评审的参选人为一家时，与其定向谈判或重新比选；无参选人递交参选文件，需重新组织比选。</w:t>
            </w:r>
          </w:p>
          <w:p w14:paraId="4130955C">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重新比选</w:t>
            </w:r>
          </w:p>
        </w:tc>
      </w:tr>
      <w:tr w14:paraId="2F4361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1EA940B2">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5.1</w:t>
            </w:r>
          </w:p>
        </w:tc>
        <w:tc>
          <w:tcPr>
            <w:tcW w:w="1854" w:type="dxa"/>
            <w:vAlign w:val="center"/>
          </w:tcPr>
          <w:p w14:paraId="5E23C0A8">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评审</w:t>
            </w:r>
            <w:r>
              <w:rPr>
                <w:rFonts w:hint="eastAsia" w:ascii="仿宋" w:hAnsi="仿宋" w:eastAsia="仿宋" w:cs="仿宋"/>
                <w:color w:val="auto"/>
                <w:sz w:val="20"/>
                <w:szCs w:val="20"/>
                <w:highlight w:val="none"/>
              </w:rPr>
              <w:t>时间和地点</w:t>
            </w:r>
          </w:p>
        </w:tc>
        <w:tc>
          <w:tcPr>
            <w:tcW w:w="5607" w:type="dxa"/>
            <w:vAlign w:val="center"/>
          </w:tcPr>
          <w:p w14:paraId="1CA2DEA0">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同参选文件递交截止时间和地点。</w:t>
            </w:r>
          </w:p>
        </w:tc>
      </w:tr>
      <w:tr w14:paraId="5B4CAE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4707744E">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2</w:t>
            </w:r>
          </w:p>
        </w:tc>
        <w:tc>
          <w:tcPr>
            <w:tcW w:w="1854" w:type="dxa"/>
            <w:vAlign w:val="center"/>
          </w:tcPr>
          <w:p w14:paraId="0405A63D">
            <w:pPr>
              <w:autoSpaceDE w:val="0"/>
              <w:autoSpaceDN w:val="0"/>
              <w:spacing w:line="360" w:lineRule="auto"/>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评审小组</w:t>
            </w:r>
          </w:p>
        </w:tc>
        <w:tc>
          <w:tcPr>
            <w:tcW w:w="5607" w:type="dxa"/>
            <w:vAlign w:val="center"/>
          </w:tcPr>
          <w:p w14:paraId="67C713BA">
            <w:pPr>
              <w:autoSpaceDE w:val="0"/>
              <w:autoSpaceDN w:val="0"/>
              <w:spacing w:line="360" w:lineRule="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由比选单位组织成立</w:t>
            </w:r>
            <w:r>
              <w:rPr>
                <w:rFonts w:hint="eastAsia" w:ascii="仿宋" w:hAnsi="仿宋" w:eastAsia="仿宋" w:cs="仿宋"/>
                <w:b/>
                <w:bCs/>
                <w:color w:val="auto"/>
                <w:sz w:val="20"/>
                <w:szCs w:val="20"/>
                <w:highlight w:val="none"/>
              </w:rPr>
              <w:t>采购工作</w:t>
            </w:r>
            <w:r>
              <w:rPr>
                <w:rFonts w:hint="eastAsia" w:ascii="仿宋" w:hAnsi="仿宋" w:eastAsia="仿宋" w:cs="仿宋"/>
                <w:b/>
                <w:bCs/>
                <w:color w:val="auto"/>
                <w:sz w:val="20"/>
                <w:szCs w:val="20"/>
                <w:highlight w:val="none"/>
                <w:lang w:val="en-US" w:eastAsia="zh-CN"/>
              </w:rPr>
              <w:t>评审小组。</w:t>
            </w:r>
          </w:p>
        </w:tc>
      </w:tr>
      <w:tr w14:paraId="3AE35B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2629C040">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5.5</w:t>
            </w:r>
            <w:r>
              <w:rPr>
                <w:rFonts w:hint="eastAsia" w:ascii="仿宋" w:hAnsi="仿宋" w:eastAsia="仿宋" w:cs="仿宋"/>
                <w:color w:val="auto"/>
                <w:sz w:val="20"/>
                <w:szCs w:val="20"/>
                <w:highlight w:val="none"/>
              </w:rPr>
              <w:t xml:space="preserve"> </w:t>
            </w:r>
          </w:p>
        </w:tc>
        <w:tc>
          <w:tcPr>
            <w:tcW w:w="1854" w:type="dxa"/>
            <w:vAlign w:val="center"/>
          </w:tcPr>
          <w:p w14:paraId="2AC12028">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中选候选人推荐</w:t>
            </w:r>
          </w:p>
          <w:p w14:paraId="4DFB6E41">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原则</w:t>
            </w:r>
          </w:p>
        </w:tc>
        <w:tc>
          <w:tcPr>
            <w:tcW w:w="5607" w:type="dxa"/>
            <w:vAlign w:val="center"/>
          </w:tcPr>
          <w:p w14:paraId="41C197A5">
            <w:pPr>
              <w:autoSpaceDE w:val="0"/>
              <w:autoSpaceDN w:val="0"/>
              <w:spacing w:line="360" w:lineRule="auto"/>
              <w:rPr>
                <w:rFonts w:hint="eastAsia" w:ascii="仿宋" w:hAnsi="仿宋" w:eastAsia="仿宋" w:cs="仿宋"/>
                <w:color w:val="auto"/>
                <w:sz w:val="20"/>
                <w:szCs w:val="20"/>
                <w:highlight w:val="none"/>
              </w:rPr>
            </w:pPr>
            <w:bookmarkStart w:id="35" w:name="_Toc346159396"/>
            <w:r>
              <w:rPr>
                <w:rFonts w:hint="eastAsia" w:ascii="仿宋" w:hAnsi="仿宋" w:eastAsia="仿宋" w:cs="仿宋"/>
                <w:color w:val="auto"/>
                <w:sz w:val="20"/>
                <w:szCs w:val="20"/>
                <w:highlight w:val="none"/>
              </w:rPr>
              <w:t>推荐原则如下：</w:t>
            </w:r>
            <w:bookmarkEnd w:id="35"/>
            <w:r>
              <w:rPr>
                <w:rFonts w:hint="eastAsia" w:ascii="仿宋" w:hAnsi="仿宋" w:eastAsia="仿宋" w:cs="仿宋"/>
                <w:color w:val="auto"/>
                <w:sz w:val="20"/>
                <w:szCs w:val="20"/>
                <w:highlight w:val="none"/>
                <w:lang w:eastAsia="zh-CN"/>
              </w:rPr>
              <w:t>评审小组</w:t>
            </w:r>
            <w:r>
              <w:rPr>
                <w:rFonts w:hint="eastAsia" w:ascii="仿宋" w:hAnsi="仿宋" w:eastAsia="仿宋" w:cs="仿宋"/>
                <w:color w:val="auto"/>
                <w:sz w:val="20"/>
                <w:szCs w:val="20"/>
                <w:highlight w:val="none"/>
              </w:rPr>
              <w:t>根据综合得分排名第一名的参选人推荐为中选候选人。</w:t>
            </w:r>
          </w:p>
        </w:tc>
      </w:tr>
      <w:tr w14:paraId="7098A4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3F2F8215">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.1</w:t>
            </w:r>
          </w:p>
        </w:tc>
        <w:tc>
          <w:tcPr>
            <w:tcW w:w="1854" w:type="dxa"/>
            <w:vAlign w:val="center"/>
          </w:tcPr>
          <w:p w14:paraId="1C9E3A72">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中选人数量</w:t>
            </w:r>
          </w:p>
        </w:tc>
        <w:tc>
          <w:tcPr>
            <w:tcW w:w="5607" w:type="dxa"/>
            <w:vAlign w:val="center"/>
          </w:tcPr>
          <w:p w14:paraId="7D34E095">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中选人数量：确定1名中选人。</w:t>
            </w:r>
          </w:p>
        </w:tc>
      </w:tr>
      <w:tr w14:paraId="44E731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2AF22DBB">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1.2</w:t>
            </w:r>
          </w:p>
        </w:tc>
        <w:tc>
          <w:tcPr>
            <w:tcW w:w="1854" w:type="dxa"/>
            <w:vAlign w:val="center"/>
          </w:tcPr>
          <w:p w14:paraId="27D13148">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中选原则</w:t>
            </w:r>
          </w:p>
        </w:tc>
        <w:tc>
          <w:tcPr>
            <w:tcW w:w="5607" w:type="dxa"/>
            <w:vAlign w:val="center"/>
          </w:tcPr>
          <w:p w14:paraId="1F5C6289">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中选原则如下：</w:t>
            </w:r>
          </w:p>
          <w:p w14:paraId="363CF145">
            <w:pPr>
              <w:autoSpaceDE w:val="0"/>
              <w:autoSpaceDN w:val="0"/>
              <w:spacing w:line="360" w:lineRule="auto"/>
              <w:rPr>
                <w:rFonts w:hint="eastAsia" w:ascii="仿宋" w:hAnsi="仿宋" w:eastAsia="仿宋" w:cs="仿宋"/>
                <w:b/>
                <w:bCs/>
                <w:color w:val="auto"/>
                <w:sz w:val="20"/>
                <w:szCs w:val="20"/>
                <w:highlight w:val="none"/>
              </w:rPr>
            </w:pPr>
            <w:r>
              <w:rPr>
                <w:rFonts w:hint="eastAsia" w:ascii="仿宋" w:hAnsi="仿宋" w:eastAsia="仿宋" w:cs="仿宋"/>
                <w:color w:val="auto"/>
                <w:sz w:val="20"/>
                <w:szCs w:val="20"/>
                <w:highlight w:val="none"/>
              </w:rPr>
              <w:t>1）</w:t>
            </w:r>
            <w:r>
              <w:rPr>
                <w:rFonts w:hint="eastAsia" w:ascii="仿宋" w:hAnsi="仿宋" w:eastAsia="仿宋" w:cs="仿宋"/>
                <w:b/>
                <w:bCs/>
                <w:color w:val="auto"/>
                <w:sz w:val="20"/>
                <w:szCs w:val="20"/>
                <w:highlight w:val="none"/>
              </w:rPr>
              <w:t>比选人确定综合得分排名第一的中选候选人为中选人。</w:t>
            </w:r>
          </w:p>
          <w:p w14:paraId="5B00B330">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若出现中选人放弃中选、因不可抗力不能履行合同，或者被查实存在影响成交结果的违法行为等情形，不符合中选条件的，比选人将取消其中选资格并根据中选候选人的排名次序递补确定中选人或者另行启动采购。</w:t>
            </w:r>
          </w:p>
        </w:tc>
      </w:tr>
      <w:tr w14:paraId="3D2511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vAlign w:val="center"/>
          </w:tcPr>
          <w:p w14:paraId="7460C9AA">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r>
              <w:rPr>
                <w:rFonts w:hint="eastAsia" w:ascii="仿宋" w:hAnsi="仿宋" w:eastAsia="仿宋" w:cs="仿宋"/>
                <w:color w:val="auto"/>
                <w:sz w:val="20"/>
                <w:szCs w:val="20"/>
                <w:highlight w:val="none"/>
              </w:rPr>
              <w:t>.1</w:t>
            </w:r>
          </w:p>
        </w:tc>
        <w:tc>
          <w:tcPr>
            <w:tcW w:w="1854" w:type="dxa"/>
            <w:vAlign w:val="center"/>
          </w:tcPr>
          <w:p w14:paraId="40256423">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履约保证金金额和形式</w:t>
            </w:r>
          </w:p>
        </w:tc>
        <w:tc>
          <w:tcPr>
            <w:tcW w:w="5607" w:type="dxa"/>
            <w:vAlign w:val="center"/>
          </w:tcPr>
          <w:p w14:paraId="7B50946C">
            <w:pPr>
              <w:autoSpaceDE w:val="0"/>
              <w:autoSpaceDN w:val="0"/>
              <w:spacing w:line="360" w:lineRule="auto"/>
              <w:jc w:val="left"/>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lang w:eastAsia="zh-CN"/>
              </w:rPr>
              <w:t>□</w:t>
            </w:r>
            <w:r>
              <w:rPr>
                <w:rFonts w:hint="eastAsia" w:ascii="仿宋" w:hAnsi="仿宋" w:eastAsia="仿宋" w:cs="仿宋"/>
                <w:bCs/>
                <w:color w:val="auto"/>
                <w:sz w:val="20"/>
                <w:szCs w:val="20"/>
                <w:highlight w:val="none"/>
              </w:rPr>
              <w:t>无需提供履约保证金。</w:t>
            </w:r>
          </w:p>
          <w:p w14:paraId="36DC4F6A">
            <w:pPr>
              <w:autoSpaceDE w:val="0"/>
              <w:autoSpaceDN w:val="0"/>
              <w:spacing w:line="360" w:lineRule="auto"/>
              <w:jc w:val="left"/>
              <w:rPr>
                <w:rFonts w:hint="eastAsia" w:ascii="仿宋" w:hAnsi="仿宋" w:eastAsia="仿宋" w:cs="仿宋"/>
                <w:bCs/>
                <w:color w:val="auto"/>
                <w:sz w:val="20"/>
                <w:szCs w:val="20"/>
                <w:highlight w:val="none"/>
                <w:lang w:val="en-US" w:eastAsia="zh-CN"/>
              </w:rPr>
            </w:pPr>
            <w:r>
              <w:rPr>
                <w:rFonts w:hint="eastAsia" w:ascii="仿宋" w:hAnsi="仿宋" w:eastAsia="仿宋" w:cs="仿宋"/>
                <w:bCs/>
                <w:color w:val="auto"/>
                <w:sz w:val="20"/>
                <w:szCs w:val="20"/>
                <w:highlight w:val="none"/>
                <w:lang w:eastAsia="zh-CN"/>
              </w:rPr>
              <w:t>☑</w:t>
            </w:r>
            <w:r>
              <w:rPr>
                <w:rFonts w:hint="eastAsia" w:ascii="仿宋" w:hAnsi="仿宋" w:eastAsia="仿宋" w:cs="仿宋"/>
                <w:bCs/>
                <w:color w:val="auto"/>
                <w:sz w:val="20"/>
                <w:szCs w:val="20"/>
                <w:highlight w:val="none"/>
              </w:rPr>
              <w:t>履约担保的形式：</w:t>
            </w:r>
            <w:r>
              <w:rPr>
                <w:rFonts w:hint="eastAsia" w:ascii="仿宋" w:hAnsi="仿宋" w:eastAsia="仿宋" w:cs="仿宋"/>
                <w:bCs/>
                <w:color w:val="auto"/>
                <w:sz w:val="20"/>
                <w:szCs w:val="20"/>
                <w:highlight w:val="none"/>
                <w:lang w:val="en-US" w:eastAsia="zh-CN"/>
              </w:rPr>
              <w:t>合同签署前缴纳履约保证金；</w:t>
            </w:r>
          </w:p>
          <w:p w14:paraId="3315A509">
            <w:pPr>
              <w:autoSpaceDE w:val="0"/>
              <w:autoSpaceDN w:val="0"/>
              <w:spacing w:line="360" w:lineRule="auto"/>
              <w:jc w:val="left"/>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履约担保的金额：人民币【</w:t>
            </w:r>
            <w:r>
              <w:rPr>
                <w:rFonts w:hint="eastAsia" w:ascii="仿宋" w:hAnsi="仿宋" w:eastAsia="仿宋" w:cs="仿宋"/>
                <w:bCs/>
                <w:color w:val="auto"/>
                <w:sz w:val="20"/>
                <w:szCs w:val="20"/>
                <w:highlight w:val="none"/>
                <w:lang w:val="en-US" w:eastAsia="zh-CN"/>
              </w:rPr>
              <w:t>10000</w:t>
            </w:r>
            <w:r>
              <w:rPr>
                <w:rFonts w:hint="eastAsia" w:ascii="仿宋" w:hAnsi="仿宋" w:eastAsia="仿宋" w:cs="仿宋"/>
                <w:bCs/>
                <w:color w:val="auto"/>
                <w:sz w:val="20"/>
                <w:szCs w:val="20"/>
                <w:highlight w:val="none"/>
              </w:rPr>
              <w:t>】元（大写：</w:t>
            </w:r>
            <w:r>
              <w:rPr>
                <w:rFonts w:hint="eastAsia" w:ascii="仿宋" w:hAnsi="仿宋" w:eastAsia="仿宋" w:cs="仿宋"/>
                <w:bCs/>
                <w:color w:val="auto"/>
                <w:sz w:val="20"/>
                <w:szCs w:val="20"/>
                <w:highlight w:val="none"/>
                <w:lang w:val="en-US" w:eastAsia="zh-CN"/>
              </w:rPr>
              <w:t>壹万</w:t>
            </w:r>
            <w:r>
              <w:rPr>
                <w:rFonts w:hint="eastAsia" w:ascii="仿宋" w:hAnsi="仿宋" w:eastAsia="仿宋" w:cs="仿宋"/>
                <w:bCs/>
                <w:color w:val="auto"/>
                <w:sz w:val="20"/>
                <w:szCs w:val="20"/>
                <w:highlight w:val="none"/>
              </w:rPr>
              <w:t>元整）</w:t>
            </w:r>
          </w:p>
          <w:p w14:paraId="606927B4">
            <w:pPr>
              <w:autoSpaceDE w:val="0"/>
              <w:autoSpaceDN w:val="0"/>
              <w:spacing w:line="360" w:lineRule="auto"/>
              <w:jc w:val="left"/>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提交时间：合同签订</w:t>
            </w:r>
            <w:r>
              <w:rPr>
                <w:rFonts w:hint="eastAsia" w:ascii="仿宋" w:hAnsi="仿宋" w:eastAsia="仿宋" w:cs="仿宋"/>
                <w:bCs/>
                <w:color w:val="auto"/>
                <w:sz w:val="20"/>
                <w:szCs w:val="20"/>
                <w:highlight w:val="none"/>
                <w:lang w:val="en-US" w:eastAsia="zh-CN"/>
              </w:rPr>
              <w:t>前</w:t>
            </w:r>
            <w:r>
              <w:rPr>
                <w:rFonts w:hint="eastAsia" w:ascii="仿宋" w:hAnsi="仿宋" w:eastAsia="仿宋" w:cs="仿宋"/>
                <w:bCs/>
                <w:color w:val="auto"/>
                <w:sz w:val="20"/>
                <w:szCs w:val="20"/>
                <w:highlight w:val="none"/>
              </w:rPr>
              <w:t>5个工作日内。</w:t>
            </w:r>
          </w:p>
        </w:tc>
      </w:tr>
      <w:tr w14:paraId="0F6B7E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52226D9C">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r>
              <w:rPr>
                <w:rFonts w:hint="eastAsia" w:ascii="仿宋" w:hAnsi="仿宋" w:eastAsia="仿宋" w:cs="仿宋"/>
                <w:color w:val="auto"/>
                <w:sz w:val="20"/>
                <w:szCs w:val="20"/>
                <w:highlight w:val="none"/>
              </w:rPr>
              <w:t>.2</w:t>
            </w:r>
          </w:p>
        </w:tc>
        <w:tc>
          <w:tcPr>
            <w:tcW w:w="1854" w:type="dxa"/>
            <w:vAlign w:val="center"/>
          </w:tcPr>
          <w:p w14:paraId="0DD3D9E2">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签订合同</w:t>
            </w:r>
          </w:p>
        </w:tc>
        <w:tc>
          <w:tcPr>
            <w:tcW w:w="5607" w:type="dxa"/>
            <w:vAlign w:val="center"/>
          </w:tcPr>
          <w:p w14:paraId="135A6F46">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比选人和中选人应当在</w:t>
            </w:r>
            <w:r>
              <w:rPr>
                <w:rFonts w:hint="eastAsia" w:ascii="仿宋" w:hAnsi="仿宋" w:eastAsia="仿宋" w:cs="仿宋"/>
                <w:color w:val="auto"/>
                <w:sz w:val="20"/>
                <w:szCs w:val="20"/>
                <w:highlight w:val="none"/>
                <w:lang w:eastAsia="zh-CN"/>
              </w:rPr>
              <w:t>中选</w:t>
            </w:r>
            <w:r>
              <w:rPr>
                <w:rFonts w:hint="eastAsia" w:ascii="仿宋" w:hAnsi="仿宋" w:eastAsia="仿宋" w:cs="仿宋"/>
                <w:color w:val="auto"/>
                <w:sz w:val="20"/>
                <w:szCs w:val="20"/>
                <w:highlight w:val="none"/>
              </w:rPr>
              <w:t>通知书规定的期限内，根据比选文件和中选人的参选文件订立书面合同。中选人无正当理由拒绝签订合同，在签订合同时向比选人提出附加条件，或者不按照比选文件要求递交履约保证金的，比选人取消其中选资格</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给比选人造成的</w:t>
            </w:r>
            <w:r>
              <w:rPr>
                <w:rFonts w:hint="eastAsia" w:ascii="仿宋" w:hAnsi="仿宋" w:eastAsia="仿宋" w:cs="仿宋"/>
                <w:color w:val="auto"/>
                <w:sz w:val="20"/>
                <w:szCs w:val="20"/>
                <w:highlight w:val="none"/>
                <w:lang w:eastAsia="zh-CN"/>
              </w:rPr>
              <w:t>损失</w:t>
            </w:r>
            <w:r>
              <w:rPr>
                <w:rFonts w:hint="eastAsia" w:ascii="仿宋" w:hAnsi="仿宋" w:eastAsia="仿宋" w:cs="仿宋"/>
                <w:color w:val="auto"/>
                <w:sz w:val="20"/>
                <w:szCs w:val="20"/>
                <w:highlight w:val="none"/>
              </w:rPr>
              <w:t>的，中选人还应当对超过部分予以赔偿。</w:t>
            </w:r>
          </w:p>
        </w:tc>
      </w:tr>
      <w:tr w14:paraId="7FFE48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14:paraId="29DE5665">
            <w:pPr>
              <w:autoSpaceDE w:val="0"/>
              <w:autoSpaceDN w:val="0"/>
              <w:spacing w:line="360" w:lineRule="auto"/>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9</w:t>
            </w:r>
          </w:p>
        </w:tc>
        <w:tc>
          <w:tcPr>
            <w:tcW w:w="1854" w:type="dxa"/>
            <w:vAlign w:val="center"/>
          </w:tcPr>
          <w:p w14:paraId="51A53403">
            <w:pPr>
              <w:autoSpaceDE w:val="0"/>
              <w:autoSpaceDN w:val="0"/>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需要补充的其他内容</w:t>
            </w:r>
          </w:p>
        </w:tc>
        <w:tc>
          <w:tcPr>
            <w:tcW w:w="5607" w:type="dxa"/>
            <w:vAlign w:val="center"/>
          </w:tcPr>
          <w:p w14:paraId="49C93054">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合同期内，要求中选人开具符合国家规定的增值税发票，项目执行过程中，增值税税率如遇国家政策调整，按国家最新政策执行，最终结算以不含税价和最新的税率为准。</w:t>
            </w:r>
          </w:p>
          <w:p w14:paraId="464FED2B">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 xml:space="preserve"> 对于参选文件真实性，比选人有权现场查验，存在比选参选法及其实施条例所规定弄虚作假行为的参选人，</w:t>
            </w:r>
            <w:r>
              <w:rPr>
                <w:rFonts w:hint="eastAsia" w:ascii="仿宋" w:hAnsi="仿宋" w:eastAsia="仿宋" w:cs="仿宋"/>
                <w:color w:val="auto"/>
                <w:sz w:val="20"/>
                <w:szCs w:val="20"/>
                <w:highlight w:val="none"/>
                <w:lang w:val="en-US" w:eastAsia="zh-CN"/>
              </w:rPr>
              <w:t>比</w:t>
            </w:r>
            <w:r>
              <w:rPr>
                <w:rFonts w:hint="eastAsia" w:ascii="仿宋" w:hAnsi="仿宋" w:eastAsia="仿宋" w:cs="仿宋"/>
                <w:color w:val="auto"/>
                <w:sz w:val="20"/>
                <w:szCs w:val="20"/>
                <w:highlight w:val="none"/>
                <w:lang w:eastAsia="zh-CN"/>
              </w:rPr>
              <w:t>选</w:t>
            </w:r>
            <w:r>
              <w:rPr>
                <w:rFonts w:hint="eastAsia" w:ascii="仿宋" w:hAnsi="仿宋" w:eastAsia="仿宋" w:cs="仿宋"/>
                <w:color w:val="auto"/>
                <w:sz w:val="20"/>
                <w:szCs w:val="20"/>
                <w:highlight w:val="none"/>
              </w:rPr>
              <w:t>人根据相关规定有权否决其参选资格；如中选，则取消中选资格，并没收全部参选保证金，直至追究相应的法律责任和追偿由此引起的经济损失。</w:t>
            </w:r>
          </w:p>
          <w:p w14:paraId="571C9EA0">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 xml:space="preserve"> 评审办法补充：</w:t>
            </w:r>
            <w:r>
              <w:rPr>
                <w:rFonts w:hint="eastAsia" w:ascii="仿宋" w:hAnsi="仿宋" w:eastAsia="仿宋" w:cs="仿宋"/>
                <w:color w:val="auto"/>
                <w:sz w:val="20"/>
                <w:szCs w:val="20"/>
                <w:highlight w:val="none"/>
                <w:lang w:eastAsia="zh-CN"/>
              </w:rPr>
              <w:t>评审小组</w:t>
            </w:r>
            <w:r>
              <w:rPr>
                <w:rFonts w:hint="eastAsia" w:ascii="仿宋" w:hAnsi="仿宋" w:eastAsia="仿宋" w:cs="仿宋"/>
                <w:color w:val="auto"/>
                <w:sz w:val="20"/>
                <w:szCs w:val="20"/>
                <w:highlight w:val="none"/>
              </w:rPr>
              <w:t>依据综合打分结果进行排序，综合得分相同的，价格得分高者排名优先；综合得分和价格得分相同的，业绩得分高者排名优先；综合得分、价格得分和业绩得分相同的，由</w:t>
            </w:r>
            <w:r>
              <w:rPr>
                <w:rFonts w:hint="eastAsia" w:ascii="仿宋" w:hAnsi="仿宋" w:eastAsia="仿宋" w:cs="仿宋"/>
                <w:color w:val="auto"/>
                <w:sz w:val="20"/>
                <w:szCs w:val="20"/>
                <w:highlight w:val="none"/>
                <w:lang w:eastAsia="zh-CN"/>
              </w:rPr>
              <w:t>评审小组</w:t>
            </w:r>
            <w:r>
              <w:rPr>
                <w:rFonts w:hint="eastAsia" w:ascii="仿宋" w:hAnsi="仿宋" w:eastAsia="仿宋" w:cs="仿宋"/>
                <w:color w:val="auto"/>
                <w:sz w:val="20"/>
                <w:szCs w:val="20"/>
                <w:highlight w:val="none"/>
              </w:rPr>
              <w:t>不记名投票表决（少数服从多数）。</w:t>
            </w:r>
          </w:p>
        </w:tc>
      </w:tr>
    </w:tbl>
    <w:p w14:paraId="3F8A2D14">
      <w:pPr>
        <w:pStyle w:val="40"/>
        <w:tabs>
          <w:tab w:val="left" w:pos="602"/>
        </w:tabs>
        <w:snapToGrid w:val="0"/>
        <w:spacing w:before="120" w:after="120" w:line="360" w:lineRule="auto"/>
        <w:jc w:val="left"/>
        <w:rPr>
          <w:rFonts w:hint="eastAsia" w:ascii="仿宋" w:hAnsi="仿宋" w:eastAsia="仿宋" w:cs="仿宋"/>
          <w:color w:val="auto"/>
          <w:sz w:val="28"/>
          <w:szCs w:val="28"/>
          <w:highlight w:val="none"/>
        </w:rPr>
        <w:sectPr>
          <w:footerReference r:id="rId9" w:type="first"/>
          <w:footerReference r:id="rId8" w:type="default"/>
          <w:pgSz w:w="11906" w:h="16838"/>
          <w:pgMar w:top="1440" w:right="1800" w:bottom="1440" w:left="1800" w:header="851" w:footer="992" w:gutter="0"/>
          <w:cols w:space="720" w:num="1"/>
          <w:titlePg/>
          <w:docGrid w:type="lines" w:linePitch="312" w:charSpace="0"/>
        </w:sectPr>
      </w:pPr>
      <w:bookmarkStart w:id="36" w:name="_Toc447188667"/>
      <w:bookmarkStart w:id="37" w:name="_Toc226969278"/>
      <w:bookmarkStart w:id="38" w:name="_Toc227057885"/>
      <w:bookmarkStart w:id="39" w:name="_Toc107822484"/>
      <w:bookmarkStart w:id="40" w:name="_Toc488655831"/>
    </w:p>
    <w:p w14:paraId="689571EB">
      <w:pPr>
        <w:pStyle w:val="40"/>
        <w:numPr>
          <w:ilvl w:val="0"/>
          <w:numId w:val="0"/>
        </w:numPr>
        <w:tabs>
          <w:tab w:val="left" w:pos="602"/>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41" w:name="_Toc447265502"/>
      <w:bookmarkStart w:id="42" w:name="_Toc447265216"/>
      <w:r>
        <w:rPr>
          <w:rFonts w:hint="eastAsia" w:ascii="仿宋" w:hAnsi="仿宋" w:eastAsia="仿宋" w:cs="仿宋"/>
          <w:b/>
          <w:bCs/>
          <w:color w:val="auto"/>
          <w:kern w:val="2"/>
          <w:sz w:val="28"/>
          <w:szCs w:val="28"/>
          <w:highlight w:val="none"/>
          <w:lang w:val="en-US" w:eastAsia="zh-CN" w:bidi="ar-SA"/>
        </w:rPr>
        <w:t>1.</w:t>
      </w:r>
      <w:r>
        <w:rPr>
          <w:rFonts w:hint="eastAsia" w:ascii="仿宋" w:hAnsi="仿宋" w:eastAsia="仿宋" w:cs="仿宋"/>
          <w:color w:val="auto"/>
          <w:sz w:val="28"/>
          <w:szCs w:val="28"/>
          <w:highlight w:val="none"/>
        </w:rPr>
        <w:t>总则</w:t>
      </w:r>
      <w:bookmarkEnd w:id="36"/>
      <w:bookmarkEnd w:id="41"/>
      <w:bookmarkEnd w:id="42"/>
    </w:p>
    <w:p w14:paraId="4840416D">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43" w:name="_Toc246996176"/>
      <w:bookmarkStart w:id="44" w:name="_Toc152042306"/>
      <w:bookmarkStart w:id="45" w:name="_Toc296602421"/>
      <w:bookmarkStart w:id="46" w:name="_Toc447265503"/>
      <w:bookmarkStart w:id="47" w:name="_Toc152045530"/>
      <w:bookmarkStart w:id="48" w:name="_Toc447188668"/>
      <w:bookmarkStart w:id="49" w:name="_Toc447265217"/>
      <w:bookmarkStart w:id="50" w:name="_Toc179632547"/>
      <w:bookmarkStart w:id="51" w:name="_Toc144974498"/>
      <w:bookmarkStart w:id="52" w:name="_Toc246996919"/>
      <w:bookmarkStart w:id="53" w:name="_Toc247085690"/>
      <w:r>
        <w:rPr>
          <w:rFonts w:hint="eastAsia" w:ascii="仿宋" w:hAnsi="仿宋" w:eastAsia="仿宋" w:cs="仿宋"/>
          <w:color w:val="auto"/>
          <w:sz w:val="24"/>
          <w:szCs w:val="24"/>
          <w:highlight w:val="none"/>
        </w:rPr>
        <w:t>1.1项目概况</w:t>
      </w:r>
      <w:bookmarkEnd w:id="43"/>
      <w:bookmarkEnd w:id="44"/>
      <w:bookmarkEnd w:id="45"/>
      <w:bookmarkEnd w:id="46"/>
      <w:bookmarkEnd w:id="47"/>
      <w:bookmarkEnd w:id="48"/>
      <w:bookmarkEnd w:id="49"/>
      <w:bookmarkEnd w:id="50"/>
      <w:bookmarkEnd w:id="51"/>
      <w:bookmarkEnd w:id="52"/>
      <w:bookmarkEnd w:id="53"/>
    </w:p>
    <w:bookmarkEnd w:id="37"/>
    <w:bookmarkEnd w:id="38"/>
    <w:p w14:paraId="641AD281">
      <w:pPr>
        <w:pStyle w:val="24"/>
        <w:tabs>
          <w:tab w:val="left" w:pos="630"/>
        </w:tabs>
        <w:snapToGrid w:val="0"/>
        <w:spacing w:line="360" w:lineRule="auto"/>
        <w:ind w:firstLine="424" w:firstLineChars="202"/>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1.1.1根据</w:t>
      </w:r>
      <w:r>
        <w:rPr>
          <w:rFonts w:hint="eastAsia" w:ascii="仿宋" w:hAnsi="仿宋" w:eastAsia="仿宋" w:cs="仿宋"/>
          <w:color w:val="auto"/>
          <w:highlight w:val="none"/>
          <w:lang w:val="en-US" w:eastAsia="zh-CN"/>
        </w:rPr>
        <w:t>南宁轨道数智科技有限公司的</w:t>
      </w:r>
      <w:r>
        <w:rPr>
          <w:rFonts w:hint="eastAsia" w:ascii="仿宋" w:hAnsi="仿宋" w:eastAsia="仿宋" w:cs="仿宋"/>
          <w:color w:val="auto"/>
          <w:highlight w:val="none"/>
          <w:lang w:eastAsia="zh-CN"/>
        </w:rPr>
        <w:t>招标及采购管理制度</w:t>
      </w:r>
      <w:r>
        <w:rPr>
          <w:rFonts w:hint="eastAsia" w:ascii="仿宋" w:hAnsi="仿宋" w:eastAsia="仿宋" w:cs="仿宋"/>
          <w:color w:val="auto"/>
          <w:highlight w:val="none"/>
        </w:rPr>
        <w:t>等有关规章制度规定，本比选项目已具备比选条件，现对本项目进行比选。</w:t>
      </w:r>
    </w:p>
    <w:p w14:paraId="740A8BE2">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1.1.2比选人：比选人单位名称及联系方式见参选人须知前附表。</w:t>
      </w:r>
    </w:p>
    <w:p w14:paraId="53A541F4">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1.1.3项目名称：项目名称</w:t>
      </w:r>
      <w:r>
        <w:rPr>
          <w:rFonts w:hint="eastAsia" w:ascii="仿宋" w:hAnsi="仿宋" w:eastAsia="仿宋" w:cs="仿宋"/>
          <w:color w:val="auto"/>
          <w:highlight w:val="none"/>
          <w:lang w:eastAsia="zh-CN"/>
        </w:rPr>
        <w:t>详见</w:t>
      </w:r>
      <w:r>
        <w:rPr>
          <w:rFonts w:hint="eastAsia" w:ascii="仿宋" w:hAnsi="仿宋" w:eastAsia="仿宋" w:cs="仿宋"/>
          <w:color w:val="auto"/>
          <w:highlight w:val="none"/>
        </w:rPr>
        <w:t>参选人须知前附表。</w:t>
      </w:r>
    </w:p>
    <w:p w14:paraId="05E01A5E">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54" w:name="_Toc447188669"/>
      <w:bookmarkStart w:id="55" w:name="_Toc227057886"/>
      <w:bookmarkStart w:id="56" w:name="_Toc226969279"/>
      <w:bookmarkStart w:id="57" w:name="_Toc447265218"/>
      <w:bookmarkStart w:id="58" w:name="_Toc447265504"/>
      <w:r>
        <w:rPr>
          <w:rFonts w:hint="eastAsia" w:ascii="仿宋" w:hAnsi="仿宋" w:eastAsia="仿宋" w:cs="仿宋"/>
          <w:color w:val="auto"/>
          <w:sz w:val="24"/>
          <w:szCs w:val="24"/>
          <w:highlight w:val="none"/>
        </w:rPr>
        <w:t>1.2资金</w:t>
      </w:r>
      <w:bookmarkEnd w:id="54"/>
      <w:bookmarkEnd w:id="55"/>
      <w:bookmarkEnd w:id="56"/>
      <w:r>
        <w:rPr>
          <w:rFonts w:hint="eastAsia" w:ascii="仿宋" w:hAnsi="仿宋" w:eastAsia="仿宋" w:cs="仿宋"/>
          <w:color w:val="auto"/>
          <w:sz w:val="24"/>
          <w:szCs w:val="24"/>
          <w:highlight w:val="none"/>
        </w:rPr>
        <w:t>落实情况</w:t>
      </w:r>
      <w:bookmarkEnd w:id="57"/>
      <w:bookmarkEnd w:id="58"/>
    </w:p>
    <w:p w14:paraId="01602AC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本项目资金已落实。</w:t>
      </w:r>
    </w:p>
    <w:p w14:paraId="615577E5">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59" w:name="_Toc447265505"/>
      <w:bookmarkStart w:id="60" w:name="_Toc447265219"/>
      <w:bookmarkStart w:id="61" w:name="_Toc447188670"/>
      <w:r>
        <w:rPr>
          <w:rFonts w:hint="eastAsia" w:ascii="仿宋" w:hAnsi="仿宋" w:eastAsia="仿宋" w:cs="仿宋"/>
          <w:color w:val="auto"/>
          <w:sz w:val="24"/>
          <w:szCs w:val="24"/>
          <w:highlight w:val="none"/>
        </w:rPr>
        <w:t>1.3采购范围</w:t>
      </w:r>
      <w:bookmarkEnd w:id="59"/>
      <w:bookmarkEnd w:id="60"/>
      <w:bookmarkEnd w:id="61"/>
    </w:p>
    <w:p w14:paraId="26E56C1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本项目采购范围：见参选人须知前附表。</w:t>
      </w:r>
    </w:p>
    <w:p w14:paraId="4A70F391">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1.4标包划分</w:t>
      </w:r>
    </w:p>
    <w:p w14:paraId="6A3CDE82">
      <w:pPr>
        <w:pStyle w:val="24"/>
        <w:tabs>
          <w:tab w:val="left" w:pos="630"/>
        </w:tabs>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本项目标包划分情况见参选人须知前附表。</w:t>
      </w:r>
    </w:p>
    <w:bookmarkEnd w:id="39"/>
    <w:p w14:paraId="3C312374">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62" w:name="_Toc227057888"/>
      <w:bookmarkStart w:id="63" w:name="_Toc447265221"/>
      <w:bookmarkStart w:id="64" w:name="_Toc447265507"/>
      <w:bookmarkStart w:id="65" w:name="_Toc226969281"/>
      <w:bookmarkStart w:id="66" w:name="_Toc447188672"/>
      <w:bookmarkStart w:id="67" w:name="_Toc107822486"/>
      <w:r>
        <w:rPr>
          <w:rFonts w:hint="eastAsia" w:ascii="仿宋" w:hAnsi="仿宋" w:eastAsia="仿宋" w:cs="仿宋"/>
          <w:color w:val="auto"/>
          <w:sz w:val="24"/>
          <w:szCs w:val="24"/>
          <w:highlight w:val="none"/>
        </w:rPr>
        <w:t>1.5比选方式</w:t>
      </w:r>
      <w:bookmarkEnd w:id="62"/>
      <w:bookmarkEnd w:id="63"/>
      <w:bookmarkEnd w:id="64"/>
      <w:bookmarkEnd w:id="65"/>
      <w:bookmarkEnd w:id="66"/>
      <w:bookmarkEnd w:id="67"/>
    </w:p>
    <w:p w14:paraId="4429E724">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1.5.1比选方式见参选人须知前附表。</w:t>
      </w:r>
    </w:p>
    <w:p w14:paraId="16952D4B">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1.5.2公开比选，是指比选人以比选公告的方式邀请不特定的法人或者其他组织参选。</w:t>
      </w:r>
    </w:p>
    <w:p w14:paraId="709A9276">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68" w:name="_Toc227057887"/>
      <w:bookmarkStart w:id="69" w:name="_Toc447188673"/>
      <w:bookmarkStart w:id="70" w:name="_Toc107822485"/>
      <w:bookmarkStart w:id="71" w:name="_Toc447265508"/>
      <w:bookmarkStart w:id="72" w:name="_Toc226969280"/>
      <w:bookmarkStart w:id="73" w:name="_Toc447265222"/>
      <w:bookmarkStart w:id="74" w:name="_Toc226969282"/>
      <w:bookmarkStart w:id="75" w:name="_Toc227057889"/>
      <w:r>
        <w:rPr>
          <w:rFonts w:hint="eastAsia" w:ascii="仿宋" w:hAnsi="仿宋" w:eastAsia="仿宋" w:cs="仿宋"/>
          <w:color w:val="auto"/>
          <w:sz w:val="24"/>
          <w:szCs w:val="24"/>
          <w:highlight w:val="none"/>
        </w:rPr>
        <w:t>1.6比选组织形式</w:t>
      </w:r>
      <w:bookmarkEnd w:id="68"/>
      <w:bookmarkEnd w:id="69"/>
      <w:bookmarkEnd w:id="70"/>
      <w:bookmarkEnd w:id="71"/>
      <w:bookmarkEnd w:id="72"/>
      <w:bookmarkEnd w:id="73"/>
    </w:p>
    <w:p w14:paraId="74F1BE76">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本项目由比选人自行组织的方式进行，比选组织形式及联系方式见参选人须知前附表。</w:t>
      </w:r>
    </w:p>
    <w:p w14:paraId="7924AFF9">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76" w:name="_Toc447265509"/>
      <w:bookmarkStart w:id="77" w:name="_Toc447265223"/>
      <w:bookmarkStart w:id="78" w:name="_Toc447188674"/>
      <w:r>
        <w:rPr>
          <w:rFonts w:hint="eastAsia" w:ascii="仿宋" w:hAnsi="仿宋" w:eastAsia="仿宋" w:cs="仿宋"/>
          <w:color w:val="auto"/>
          <w:sz w:val="24"/>
          <w:szCs w:val="24"/>
          <w:highlight w:val="none"/>
        </w:rPr>
        <w:t>1.7资格审查</w:t>
      </w:r>
      <w:bookmarkEnd w:id="74"/>
      <w:bookmarkEnd w:id="75"/>
      <w:bookmarkEnd w:id="76"/>
      <w:bookmarkEnd w:id="77"/>
      <w:bookmarkEnd w:id="78"/>
    </w:p>
    <w:p w14:paraId="0F7FCE15">
      <w:pPr>
        <w:adjustRightInd w:val="0"/>
        <w:snapToGrid w:val="0"/>
        <w:spacing w:line="360" w:lineRule="auto"/>
        <w:ind w:firstLine="424" w:firstLineChars="202"/>
        <w:rPr>
          <w:rFonts w:hint="eastAsia" w:ascii="仿宋" w:hAnsi="仿宋" w:eastAsia="仿宋" w:cs="仿宋"/>
          <w:color w:val="auto"/>
          <w:szCs w:val="21"/>
          <w:highlight w:val="none"/>
        </w:rPr>
      </w:pPr>
      <w:bookmarkStart w:id="79" w:name="_Toc447188675"/>
      <w:bookmarkStart w:id="80" w:name="_Toc447265224"/>
      <w:bookmarkStart w:id="81" w:name="_Toc447265510"/>
      <w:r>
        <w:rPr>
          <w:rFonts w:hint="eastAsia" w:ascii="仿宋" w:hAnsi="仿宋" w:eastAsia="仿宋" w:cs="仿宋"/>
          <w:color w:val="auto"/>
          <w:szCs w:val="21"/>
          <w:highlight w:val="none"/>
        </w:rPr>
        <w:t>1.7.1本比选项目资格审查方式见参选人须知前附表。</w:t>
      </w:r>
    </w:p>
    <w:p w14:paraId="3511C163">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1.7.2资格预审是指在参选前对参选人进行的资格审查。采用资格预审方式的，资格条件已经在比选文件发出前的“</w:t>
      </w:r>
      <w:r>
        <w:rPr>
          <w:rFonts w:hint="eastAsia" w:ascii="仿宋" w:hAnsi="仿宋" w:eastAsia="仿宋" w:cs="仿宋"/>
          <w:color w:val="auto"/>
          <w:highlight w:val="none"/>
          <w:lang w:val="en-US" w:eastAsia="zh-CN"/>
        </w:rPr>
        <w:t>比选公告</w:t>
      </w:r>
      <w:r>
        <w:rPr>
          <w:rFonts w:hint="eastAsia" w:ascii="仿宋" w:hAnsi="仿宋" w:eastAsia="仿宋" w:cs="仿宋"/>
          <w:color w:val="auto"/>
          <w:highlight w:val="none"/>
        </w:rPr>
        <w:t>”中</w:t>
      </w:r>
      <w:r>
        <w:rPr>
          <w:rFonts w:hint="eastAsia" w:ascii="仿宋" w:hAnsi="仿宋" w:eastAsia="仿宋" w:cs="仿宋"/>
          <w:color w:val="auto"/>
          <w:highlight w:val="none"/>
          <w:lang w:eastAsia="zh-CN"/>
        </w:rPr>
        <w:t>作出</w:t>
      </w:r>
      <w:r>
        <w:rPr>
          <w:rFonts w:hint="eastAsia" w:ascii="仿宋" w:hAnsi="仿宋" w:eastAsia="仿宋" w:cs="仿宋"/>
          <w:color w:val="auto"/>
          <w:highlight w:val="none"/>
        </w:rPr>
        <w:t>规定。</w:t>
      </w:r>
    </w:p>
    <w:p w14:paraId="0534D0EE">
      <w:pPr>
        <w:pStyle w:val="24"/>
        <w:tabs>
          <w:tab w:val="left" w:pos="630"/>
        </w:tabs>
        <w:snapToGrid w:val="0"/>
        <w:spacing w:line="360" w:lineRule="auto"/>
        <w:ind w:firstLine="424" w:firstLineChars="202"/>
        <w:rPr>
          <w:rFonts w:hint="eastAsia" w:ascii="仿宋" w:hAnsi="仿宋" w:eastAsia="仿宋" w:cs="仿宋"/>
          <w:color w:val="auto"/>
          <w:highlight w:val="none"/>
        </w:rPr>
      </w:pPr>
      <w:bookmarkStart w:id="82" w:name="_Toc226969283"/>
      <w:r>
        <w:rPr>
          <w:rFonts w:hint="eastAsia" w:ascii="仿宋" w:hAnsi="仿宋" w:eastAsia="仿宋" w:cs="仿宋"/>
          <w:color w:val="auto"/>
          <w:highlight w:val="none"/>
        </w:rPr>
        <w:t>资格后审是指在唱价后由</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根据比选文件的规定对参选人进行的资格审查。</w:t>
      </w:r>
      <w:bookmarkEnd w:id="82"/>
      <w:r>
        <w:rPr>
          <w:rFonts w:hint="eastAsia" w:ascii="仿宋" w:hAnsi="仿宋" w:eastAsia="仿宋" w:cs="仿宋"/>
          <w:color w:val="auto"/>
          <w:highlight w:val="none"/>
        </w:rPr>
        <w:t>采用资格后审方式的，参选人应当具备的资格条件见参选人须知前附表。</w:t>
      </w:r>
    </w:p>
    <w:p w14:paraId="563FE565">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采用资格后审的，比选人必须在比选文件中详细规定资格审查标准和方法。</w:t>
      </w:r>
    </w:p>
    <w:p w14:paraId="6C50309A">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资格后审一般包括下列内容：</w:t>
      </w:r>
    </w:p>
    <w:p w14:paraId="5B6566C6">
      <w:pPr>
        <w:tabs>
          <w:tab w:val="left" w:pos="644"/>
        </w:tabs>
        <w:snapToGrid w:val="0"/>
        <w:spacing w:line="360" w:lineRule="auto"/>
        <w:ind w:left="424" w:left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（1）资格要求；</w:t>
      </w:r>
    </w:p>
    <w:p w14:paraId="5C24AA3F">
      <w:pPr>
        <w:tabs>
          <w:tab w:val="left" w:pos="644"/>
        </w:tabs>
        <w:snapToGrid w:val="0"/>
        <w:spacing w:line="360" w:lineRule="auto"/>
        <w:ind w:left="424" w:left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（2）其他业绩要求；</w:t>
      </w:r>
    </w:p>
    <w:p w14:paraId="05A41772">
      <w:pPr>
        <w:tabs>
          <w:tab w:val="left" w:pos="644"/>
        </w:tabs>
        <w:snapToGrid w:val="0"/>
        <w:spacing w:line="360" w:lineRule="auto"/>
        <w:ind w:left="424" w:left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（3）审查标准和方法。</w:t>
      </w:r>
    </w:p>
    <w:p w14:paraId="03241AC1">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资格后审不合格的参选人，</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应当否决其参选。</w:t>
      </w:r>
    </w:p>
    <w:p w14:paraId="1B230348">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1.8参选人不得存在的情形</w:t>
      </w:r>
      <w:bookmarkEnd w:id="79"/>
      <w:bookmarkEnd w:id="80"/>
      <w:bookmarkEnd w:id="81"/>
    </w:p>
    <w:p w14:paraId="2941983C">
      <w:pPr>
        <w:pStyle w:val="24"/>
        <w:tabs>
          <w:tab w:val="left" w:pos="630"/>
        </w:tabs>
        <w:snapToGrid w:val="0"/>
        <w:spacing w:before="156" w:beforeLines="50"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1.8.1参选人不得存在下列情形之一：详见《比选人须知前附表》。</w:t>
      </w:r>
    </w:p>
    <w:p w14:paraId="5479ED51">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1.8.2单位负责人为同一人或者存在控股、管理关系的不同单位，不得同时参加本项目中同一标包比选或者未划分标包的同一项目比选。</w:t>
      </w:r>
    </w:p>
    <w:p w14:paraId="32AE6FD5">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83" w:name="_Toc227057891"/>
      <w:bookmarkStart w:id="84" w:name="_Toc447265512"/>
      <w:bookmarkStart w:id="85" w:name="_Toc226969285"/>
      <w:bookmarkStart w:id="86" w:name="_Toc447265226"/>
      <w:bookmarkStart w:id="87" w:name="_Toc107822488"/>
      <w:bookmarkStart w:id="88" w:name="_Toc447188677"/>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参选费用</w:t>
      </w:r>
      <w:bookmarkEnd w:id="83"/>
      <w:bookmarkEnd w:id="84"/>
      <w:bookmarkEnd w:id="85"/>
      <w:bookmarkEnd w:id="86"/>
      <w:bookmarkEnd w:id="87"/>
      <w:bookmarkEnd w:id="88"/>
    </w:p>
    <w:p w14:paraId="6905184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不论结果如何，参选人自行承担所有准备和参与比选有关的费用。</w:t>
      </w:r>
      <w:bookmarkStart w:id="89" w:name="_Toc107822489"/>
      <w:bookmarkStart w:id="90" w:name="_Toc227057892"/>
      <w:bookmarkStart w:id="91" w:name="_Toc226969286"/>
    </w:p>
    <w:p w14:paraId="0381CDE4">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92" w:name="_Toc447265227"/>
      <w:bookmarkStart w:id="93" w:name="_Toc447265513"/>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保密</w:t>
      </w:r>
      <w:bookmarkEnd w:id="92"/>
      <w:bookmarkEnd w:id="93"/>
    </w:p>
    <w:p w14:paraId="25C452B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参与比选活动的各方应当对比选文件和参选文件中的商业和技术等秘密保密，违者应当对由此造成的后果承担法律责任。</w:t>
      </w:r>
    </w:p>
    <w:p w14:paraId="77A6C4E5">
      <w:pPr>
        <w:pStyle w:val="40"/>
        <w:numPr>
          <w:ilvl w:val="0"/>
          <w:numId w:val="0"/>
        </w:numPr>
        <w:tabs>
          <w:tab w:val="left" w:pos="588"/>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94" w:name="_Toc144974510"/>
      <w:bookmarkStart w:id="95" w:name="_Toc179632560"/>
      <w:bookmarkStart w:id="96" w:name="_Toc447265514"/>
      <w:bookmarkStart w:id="97" w:name="_Toc296602432"/>
      <w:bookmarkStart w:id="98" w:name="_Toc247085701"/>
      <w:bookmarkStart w:id="99" w:name="_Toc152042318"/>
      <w:bookmarkStart w:id="100" w:name="_Toc447188678"/>
      <w:bookmarkStart w:id="101" w:name="_Toc246996187"/>
      <w:bookmarkStart w:id="102" w:name="_Toc152045542"/>
      <w:bookmarkStart w:id="103" w:name="_Toc447265228"/>
      <w:bookmarkStart w:id="104" w:name="_Toc246996930"/>
      <w:r>
        <w:rPr>
          <w:rFonts w:hint="eastAsia" w:ascii="仿宋" w:hAnsi="仿宋" w:eastAsia="仿宋" w:cs="仿宋"/>
          <w:b/>
          <w:bCs/>
          <w:color w:val="auto"/>
          <w:kern w:val="2"/>
          <w:sz w:val="28"/>
          <w:szCs w:val="28"/>
          <w:highlight w:val="none"/>
          <w:lang w:val="en-US" w:eastAsia="zh-CN" w:bidi="ar-SA"/>
        </w:rPr>
        <w:t>2.</w:t>
      </w:r>
      <w:r>
        <w:rPr>
          <w:rFonts w:hint="eastAsia" w:ascii="仿宋" w:hAnsi="仿宋" w:eastAsia="仿宋" w:cs="仿宋"/>
          <w:color w:val="auto"/>
          <w:sz w:val="28"/>
          <w:szCs w:val="28"/>
          <w:highlight w:val="none"/>
        </w:rPr>
        <w:t>比选文件</w:t>
      </w:r>
      <w:bookmarkEnd w:id="94"/>
      <w:bookmarkEnd w:id="95"/>
      <w:bookmarkEnd w:id="96"/>
      <w:bookmarkEnd w:id="97"/>
      <w:bookmarkEnd w:id="98"/>
      <w:bookmarkEnd w:id="99"/>
      <w:bookmarkEnd w:id="100"/>
      <w:bookmarkEnd w:id="101"/>
      <w:bookmarkEnd w:id="102"/>
      <w:bookmarkEnd w:id="103"/>
      <w:bookmarkEnd w:id="104"/>
    </w:p>
    <w:p w14:paraId="53DC73C9">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105" w:name="_Toc447265229"/>
      <w:bookmarkStart w:id="106" w:name="_Toc447265515"/>
      <w:bookmarkStart w:id="107" w:name="_Toc447188679"/>
      <w:r>
        <w:rPr>
          <w:rFonts w:hint="eastAsia" w:ascii="仿宋" w:hAnsi="仿宋" w:eastAsia="仿宋" w:cs="仿宋"/>
          <w:color w:val="auto"/>
          <w:sz w:val="24"/>
          <w:szCs w:val="24"/>
          <w:highlight w:val="none"/>
        </w:rPr>
        <w:t>2.1比选文件</w:t>
      </w:r>
      <w:bookmarkEnd w:id="89"/>
      <w:r>
        <w:rPr>
          <w:rFonts w:hint="eastAsia" w:ascii="仿宋" w:hAnsi="仿宋" w:eastAsia="仿宋" w:cs="仿宋"/>
          <w:color w:val="auto"/>
          <w:sz w:val="24"/>
          <w:szCs w:val="24"/>
          <w:highlight w:val="none"/>
        </w:rPr>
        <w:t>的组成</w:t>
      </w:r>
      <w:bookmarkEnd w:id="90"/>
      <w:bookmarkEnd w:id="91"/>
      <w:bookmarkEnd w:id="105"/>
      <w:bookmarkEnd w:id="106"/>
      <w:bookmarkEnd w:id="107"/>
    </w:p>
    <w:p w14:paraId="4B52C3C1">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2.1.1比选文件一般由以下部分组成：</w:t>
      </w:r>
    </w:p>
    <w:p w14:paraId="412CA5DE">
      <w:pPr>
        <w:adjustRightInd w:val="0"/>
        <w:snapToGrid w:val="0"/>
        <w:spacing w:line="360" w:lineRule="auto"/>
        <w:ind w:firstLine="424" w:firstLineChars="20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第一章 比选公告</w:t>
      </w:r>
    </w:p>
    <w:p w14:paraId="68E41EEC">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参选人须知</w:t>
      </w:r>
    </w:p>
    <w:p w14:paraId="12832572">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评选办法</w:t>
      </w:r>
    </w:p>
    <w:p w14:paraId="4C40347F">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第四章 合同条款</w:t>
      </w:r>
    </w:p>
    <w:p w14:paraId="562ABACF">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第五章 技术规范书</w:t>
      </w:r>
    </w:p>
    <w:p w14:paraId="404D8CC3">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第六章 参选文件格式</w:t>
      </w:r>
    </w:p>
    <w:p w14:paraId="7A1DEE73">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比选人另有规定的，见参选人须知前附表</w:t>
      </w:r>
    </w:p>
    <w:p w14:paraId="6951BB45">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2.1.2比选文件对同一内容的表述应当一致。第一章“比选公告”与比选文件在同一内容的表述上有矛盾或者冲突时，以第一章“比选公告”；参选人须知前附表与参选人须知正文在同一内容的表述上有矛盾或者冲突时，以参选人须知前附表为准。</w:t>
      </w:r>
    </w:p>
    <w:p w14:paraId="7F8A2BE4">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2.1.3比选人在比选文件中以显著的方式标明实质性要求、条件以及不满足实质性要求和条件的参选将被否决的提示；对于非实质性要求和条件，规定允许偏差的最大范围、最高项数和调整偏差的方法。显著标识方式和具体要求见参选人须知前附表。</w:t>
      </w:r>
    </w:p>
    <w:p w14:paraId="72C2C442">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2.1.4比选人可要求以某一单项报价核定是否低于成本，具体要求见参选人须知前附表。</w:t>
      </w:r>
    </w:p>
    <w:p w14:paraId="7775A554">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比选文件的澄清和修改</w:t>
      </w:r>
    </w:p>
    <w:p w14:paraId="021A1215">
      <w:pPr>
        <w:pStyle w:val="24"/>
        <w:tabs>
          <w:tab w:val="left" w:pos="630"/>
        </w:tabs>
        <w:snapToGrid w:val="0"/>
        <w:spacing w:line="360" w:lineRule="auto"/>
        <w:ind w:firstLine="283" w:firstLineChars="135"/>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.1参选人对比选文件有疑问的，应当按照参选人须知前附表规定的时间和方式，要求比选人对比选文件进行澄清。</w:t>
      </w:r>
    </w:p>
    <w:p w14:paraId="47C35B88">
      <w:pPr>
        <w:pStyle w:val="24"/>
        <w:tabs>
          <w:tab w:val="left" w:pos="630"/>
        </w:tabs>
        <w:snapToGrid w:val="0"/>
        <w:spacing w:line="360" w:lineRule="auto"/>
        <w:ind w:firstLine="283" w:firstLineChars="135"/>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.2比选人应当将澄清或者修改内容发给所有购买比选文件的参选人，但不指明问题的来源。</w:t>
      </w:r>
    </w:p>
    <w:p w14:paraId="39561497">
      <w:pPr>
        <w:pStyle w:val="24"/>
        <w:tabs>
          <w:tab w:val="left" w:pos="630"/>
        </w:tabs>
        <w:snapToGrid w:val="0"/>
        <w:spacing w:line="360" w:lineRule="auto"/>
        <w:ind w:firstLine="283" w:firstLineChars="135"/>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.3如澄清或者修改的内容可能影响参选文件编制的，应当在递交参选文件截止时间至少2日前发出，不足2日的，比选人应当相应顺延参选截止时间。</w:t>
      </w:r>
    </w:p>
    <w:p w14:paraId="0D8E6575">
      <w:pPr>
        <w:pStyle w:val="24"/>
        <w:tabs>
          <w:tab w:val="left" w:pos="630"/>
        </w:tabs>
        <w:snapToGrid w:val="0"/>
        <w:spacing w:line="360" w:lineRule="auto"/>
        <w:ind w:firstLine="283" w:firstLineChars="135"/>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.4参选人收到澄清或者修改后，应当按照参选人须知前附表规定的时间和方式通知比选人，确认已收到该澄清或者修改。</w:t>
      </w:r>
    </w:p>
    <w:p w14:paraId="7F3912D0">
      <w:pPr>
        <w:pStyle w:val="24"/>
        <w:tabs>
          <w:tab w:val="left" w:pos="630"/>
        </w:tabs>
        <w:snapToGrid w:val="0"/>
        <w:spacing w:line="360" w:lineRule="auto"/>
        <w:ind w:firstLine="283" w:firstLineChars="135"/>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.5所有关于比选文件的澄清和修改均作为比选文件的补充部分。当比选文件、比选文件的澄清或者修改等在同一内容的表述上不一致时，以最后发出的书面文件为准。</w:t>
      </w:r>
    </w:p>
    <w:p w14:paraId="5933B847">
      <w:pPr>
        <w:pStyle w:val="24"/>
        <w:tabs>
          <w:tab w:val="left" w:pos="630"/>
        </w:tabs>
        <w:snapToGrid w:val="0"/>
        <w:spacing w:line="360" w:lineRule="auto"/>
        <w:ind w:firstLine="424" w:firstLineChars="202"/>
        <w:rPr>
          <w:rFonts w:hint="eastAsia" w:ascii="仿宋" w:hAnsi="仿宋" w:eastAsia="仿宋" w:cs="仿宋"/>
          <w:color w:val="auto"/>
          <w:highlight w:val="none"/>
        </w:rPr>
      </w:pPr>
    </w:p>
    <w:p w14:paraId="0ADFE90B">
      <w:pPr>
        <w:pStyle w:val="40"/>
        <w:numPr>
          <w:ilvl w:val="0"/>
          <w:numId w:val="0"/>
        </w:numPr>
        <w:tabs>
          <w:tab w:val="left" w:pos="588"/>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108" w:name="_Toc447265233"/>
      <w:bookmarkStart w:id="109" w:name="_Toc152045546"/>
      <w:bookmarkStart w:id="110" w:name="_Toc447265519"/>
      <w:bookmarkStart w:id="111" w:name="_Toc179632564"/>
      <w:bookmarkStart w:id="112" w:name="_Toc246996934"/>
      <w:bookmarkStart w:id="113" w:name="_Toc144974514"/>
      <w:bookmarkStart w:id="114" w:name="_Toc152042322"/>
      <w:bookmarkStart w:id="115" w:name="_Toc296602436"/>
      <w:bookmarkStart w:id="116" w:name="_Toc246996191"/>
      <w:bookmarkStart w:id="117" w:name="_Toc447188683"/>
      <w:bookmarkStart w:id="118" w:name="_Toc247085705"/>
      <w:bookmarkStart w:id="119" w:name="_Toc226969289"/>
      <w:bookmarkStart w:id="120" w:name="_Toc107822492"/>
      <w:bookmarkStart w:id="121" w:name="_Toc227057895"/>
      <w:r>
        <w:rPr>
          <w:rFonts w:hint="eastAsia" w:ascii="仿宋" w:hAnsi="仿宋" w:eastAsia="仿宋" w:cs="仿宋"/>
          <w:b/>
          <w:bCs/>
          <w:color w:val="auto"/>
          <w:kern w:val="2"/>
          <w:sz w:val="28"/>
          <w:szCs w:val="28"/>
          <w:highlight w:val="none"/>
          <w:lang w:val="en-US" w:eastAsia="zh-CN" w:bidi="ar-SA"/>
        </w:rPr>
        <w:t>3.</w:t>
      </w:r>
      <w:r>
        <w:rPr>
          <w:rFonts w:hint="eastAsia" w:ascii="仿宋" w:hAnsi="仿宋" w:eastAsia="仿宋" w:cs="仿宋"/>
          <w:color w:val="auto"/>
          <w:sz w:val="28"/>
          <w:szCs w:val="28"/>
          <w:highlight w:val="none"/>
        </w:rPr>
        <w:t>参选文件</w:t>
      </w:r>
      <w:bookmarkEnd w:id="108"/>
      <w:bookmarkEnd w:id="109"/>
      <w:bookmarkEnd w:id="110"/>
      <w:bookmarkEnd w:id="111"/>
      <w:bookmarkEnd w:id="112"/>
      <w:bookmarkEnd w:id="113"/>
      <w:bookmarkEnd w:id="114"/>
      <w:bookmarkEnd w:id="115"/>
      <w:bookmarkEnd w:id="116"/>
      <w:bookmarkEnd w:id="117"/>
      <w:bookmarkEnd w:id="118"/>
    </w:p>
    <w:bookmarkEnd w:id="40"/>
    <w:bookmarkEnd w:id="119"/>
    <w:bookmarkEnd w:id="120"/>
    <w:bookmarkEnd w:id="121"/>
    <w:p w14:paraId="4AFBFB1A">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122" w:name="_Toc226969290"/>
      <w:bookmarkStart w:id="123" w:name="_Toc107822493"/>
      <w:bookmarkStart w:id="124" w:name="_Toc227057896"/>
      <w:bookmarkStart w:id="125" w:name="_Toc450489293"/>
      <w:bookmarkStart w:id="126" w:name="_Toc447265520"/>
      <w:bookmarkStart w:id="127" w:name="_Toc447265234"/>
      <w:bookmarkStart w:id="128" w:name="_Toc447188684"/>
      <w:bookmarkStart w:id="129" w:name="_Toc184635074"/>
      <w:bookmarkStart w:id="130" w:name="_Toc447265242"/>
      <w:bookmarkStart w:id="131" w:name="_Toc447265528"/>
      <w:bookmarkStart w:id="132" w:name="_Toc107822503"/>
      <w:bookmarkStart w:id="133" w:name="_Toc488655848"/>
      <w:bookmarkStart w:id="134" w:name="_Toc227057906"/>
      <w:bookmarkStart w:id="135" w:name="_Toc226969300"/>
      <w:r>
        <w:rPr>
          <w:rFonts w:hint="eastAsia" w:ascii="仿宋" w:hAnsi="仿宋" w:eastAsia="仿宋" w:cs="仿宋"/>
          <w:color w:val="auto"/>
          <w:sz w:val="24"/>
          <w:szCs w:val="24"/>
          <w:highlight w:val="none"/>
        </w:rPr>
        <w:t>3.1参选文件的</w:t>
      </w:r>
      <w:bookmarkEnd w:id="122"/>
      <w:bookmarkEnd w:id="123"/>
      <w:bookmarkEnd w:id="124"/>
      <w:r>
        <w:rPr>
          <w:rFonts w:hint="eastAsia" w:ascii="仿宋" w:hAnsi="仿宋" w:eastAsia="仿宋" w:cs="仿宋"/>
          <w:color w:val="auto"/>
          <w:sz w:val="24"/>
          <w:szCs w:val="24"/>
          <w:highlight w:val="none"/>
        </w:rPr>
        <w:t>组成</w:t>
      </w:r>
      <w:bookmarkEnd w:id="125"/>
      <w:bookmarkEnd w:id="126"/>
      <w:bookmarkEnd w:id="127"/>
      <w:bookmarkEnd w:id="128"/>
    </w:p>
    <w:p w14:paraId="3FDCDF7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参选人应当按照参选人须知前附表的要求制作并递交参选文件。参选文件组成见参选人须知前附表。</w:t>
      </w:r>
    </w:p>
    <w:p w14:paraId="177511CD">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136" w:name="_Toc447265521"/>
      <w:bookmarkStart w:id="137" w:name="_Toc447265235"/>
      <w:bookmarkStart w:id="138" w:name="_Toc447188685"/>
      <w:bookmarkStart w:id="139" w:name="_Toc450489294"/>
      <w:r>
        <w:rPr>
          <w:rFonts w:hint="eastAsia" w:ascii="仿宋" w:hAnsi="仿宋" w:eastAsia="仿宋" w:cs="仿宋"/>
          <w:color w:val="auto"/>
          <w:sz w:val="24"/>
          <w:szCs w:val="24"/>
          <w:highlight w:val="none"/>
        </w:rPr>
        <w:t>3.2参选文件的编制</w:t>
      </w:r>
      <w:bookmarkEnd w:id="136"/>
      <w:bookmarkEnd w:id="137"/>
      <w:bookmarkEnd w:id="138"/>
      <w:bookmarkEnd w:id="139"/>
    </w:p>
    <w:p w14:paraId="0138A2D8">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3.2.1参选人应当按照比选文件的要求编制参选文件，参选文件应当对比选文件提出的实质性要求和条件作出响应。</w:t>
      </w:r>
    </w:p>
    <w:p w14:paraId="74CBE2E0">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3.2.2参选人应当认真阅读比选文件中所有的事项、格式、条款和技术规范等。参选人没有按照比选文件要求递交全部资料或者参选人没有对比选文件在各方面都作出实质性响应是参选人的风险，并可能导致其参选被否决。参选文件应答和编写的具体要求见参选人须知前附表。</w:t>
      </w:r>
    </w:p>
    <w:p w14:paraId="4CCBA43C">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3.2.3参选人递交的参选文件以及参选人与比选人就有关参选的所有往来函电均应当使用中文。参选人递交的证明文件和文献可以使用另一种语言，但相应内容应当译成中文，在解释参选文件时以中文译本为准。</w:t>
      </w:r>
    </w:p>
    <w:p w14:paraId="3B6876BA">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3.2.4参选文件应当使用不褪色的材料书写或者打印，并加盖单位公章或者由参选人的法定代表人或者其委托代理人签字。委托代理人签字的，参选文件应当附法定代表人签署的授权委托书。参选文件应当尽量避免涂改、行间插字或者删除。如果出现上述情况，改动之处应当加盖单位公章或者由参选人的法定代表人或者其委托代理人签字确认。盖章或者签字另有要求的，见参选人须知前附表。</w:t>
      </w:r>
    </w:p>
    <w:p w14:paraId="319F8ABF">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140" w:name="_Toc450489295"/>
      <w:bookmarkStart w:id="141" w:name="_Toc447188686"/>
      <w:bookmarkStart w:id="142" w:name="_Toc227057898"/>
      <w:bookmarkStart w:id="143" w:name="_Toc447265522"/>
      <w:bookmarkStart w:id="144" w:name="_Toc107822495"/>
      <w:bookmarkStart w:id="145" w:name="_Toc447265236"/>
      <w:bookmarkStart w:id="146" w:name="_Toc226969292"/>
      <w:r>
        <w:rPr>
          <w:rFonts w:hint="eastAsia" w:ascii="仿宋" w:hAnsi="仿宋" w:eastAsia="仿宋" w:cs="仿宋"/>
          <w:color w:val="auto"/>
          <w:sz w:val="24"/>
          <w:szCs w:val="24"/>
          <w:highlight w:val="none"/>
        </w:rPr>
        <w:t>3.3参选报价</w:t>
      </w:r>
      <w:bookmarkEnd w:id="140"/>
      <w:bookmarkEnd w:id="141"/>
      <w:bookmarkEnd w:id="142"/>
      <w:bookmarkEnd w:id="143"/>
      <w:bookmarkEnd w:id="144"/>
      <w:bookmarkEnd w:id="145"/>
      <w:bookmarkEnd w:id="146"/>
    </w:p>
    <w:p w14:paraId="509A9EAC">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3.3.1参选人应当根据比选文件要求进行报价，参选人应当报出符合比选文件要求的拟提供参选货物的单价（如适用）和总价。</w:t>
      </w:r>
    </w:p>
    <w:p w14:paraId="56C60BCB">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3.3.2参选货币：人民币。</w:t>
      </w:r>
    </w:p>
    <w:p w14:paraId="06BF4663">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3.3.3比选人设有最高参选限价的，参选人的参选报价不得超过最高参选限价，否则其参选将被否决。最高参选限价或者其计算方法见参选人须知前附表。</w:t>
      </w:r>
    </w:p>
    <w:p w14:paraId="72FBFD0F">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3.3.4比选人不接受参选人的任何低于成本报价的不正当竞争方式。</w:t>
      </w:r>
    </w:p>
    <w:p w14:paraId="48281206">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3.3.5只有在比选文件要求或者允许报优惠价时，参选人才可以报出。参选人优惠报价的数额，唱价时也必须当众宣读。关于优惠条件的规定见参选人须知前附表。</w:t>
      </w:r>
    </w:p>
    <w:p w14:paraId="44484779">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3.3.6参选报价的具体要求见参选人须知前附表。</w:t>
      </w:r>
    </w:p>
    <w:p w14:paraId="23EAB7E3">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147" w:name="_Toc447265523"/>
      <w:bookmarkStart w:id="148" w:name="_Toc447188687"/>
      <w:bookmarkStart w:id="149" w:name="_Toc107822500"/>
      <w:bookmarkStart w:id="150" w:name="_Toc447265237"/>
      <w:bookmarkStart w:id="151" w:name="_Toc227057902"/>
      <w:bookmarkStart w:id="152" w:name="_Toc450489296"/>
      <w:bookmarkStart w:id="153" w:name="_Toc226969296"/>
      <w:bookmarkStart w:id="154" w:name="_Toc226969295"/>
      <w:bookmarkStart w:id="155" w:name="_Toc227057901"/>
      <w:bookmarkStart w:id="156" w:name="_Toc107822499"/>
      <w:r>
        <w:rPr>
          <w:rFonts w:hint="eastAsia" w:ascii="仿宋" w:hAnsi="仿宋" w:eastAsia="仿宋" w:cs="仿宋"/>
          <w:color w:val="auto"/>
          <w:sz w:val="24"/>
          <w:szCs w:val="24"/>
          <w:highlight w:val="none"/>
        </w:rPr>
        <w:t>3.4</w:t>
      </w:r>
      <w:bookmarkEnd w:id="147"/>
      <w:bookmarkEnd w:id="148"/>
      <w:bookmarkEnd w:id="149"/>
      <w:bookmarkEnd w:id="150"/>
      <w:bookmarkEnd w:id="151"/>
      <w:bookmarkEnd w:id="152"/>
      <w:bookmarkEnd w:id="153"/>
      <w:r>
        <w:rPr>
          <w:rFonts w:hint="eastAsia" w:ascii="仿宋" w:hAnsi="仿宋" w:eastAsia="仿宋" w:cs="仿宋"/>
          <w:color w:val="auto"/>
          <w:sz w:val="24"/>
          <w:szCs w:val="24"/>
          <w:highlight w:val="none"/>
        </w:rPr>
        <w:t>参选有效期</w:t>
      </w:r>
    </w:p>
    <w:p w14:paraId="7E9D4B83">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3.4.1参选有效期从递交参选文件截止日起计算。参选有效期的具体时间见参选人须知前附表。在此期间，参选人不得要求撤销或者修改其参选文件。参选有效期不满足比选文件要求的参选将被否决。</w:t>
      </w:r>
    </w:p>
    <w:p w14:paraId="7366EECD">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3.4.2在原定参选有效期满之前，如果出现特殊情况，比选人决定延长参选有效期的，应当以书面形式向参选人提出延长参选有效期的要求，参选人须以书面形式予以答复。参选人同意延长参选有效期的，不得修改其参选文件的实质性内容。</w:t>
      </w:r>
    </w:p>
    <w:bookmarkEnd w:id="154"/>
    <w:bookmarkEnd w:id="155"/>
    <w:bookmarkEnd w:id="156"/>
    <w:p w14:paraId="4ED87763">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157" w:name="_Toc226969298"/>
      <w:bookmarkStart w:id="158" w:name="_Toc107822501"/>
      <w:bookmarkStart w:id="159" w:name="_Toc227057904"/>
      <w:bookmarkStart w:id="160" w:name="_Toc447265526"/>
      <w:bookmarkStart w:id="161" w:name="_Toc447265240"/>
      <w:bookmarkStart w:id="162" w:name="_Toc450489299"/>
      <w:bookmarkStart w:id="163" w:name="_Toc447188690"/>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参选文件的式样</w:t>
      </w:r>
      <w:bookmarkEnd w:id="157"/>
      <w:bookmarkEnd w:id="158"/>
      <w:bookmarkEnd w:id="159"/>
      <w:r>
        <w:rPr>
          <w:rFonts w:hint="eastAsia" w:ascii="仿宋" w:hAnsi="仿宋" w:eastAsia="仿宋" w:cs="仿宋"/>
          <w:color w:val="auto"/>
          <w:sz w:val="24"/>
          <w:szCs w:val="24"/>
          <w:highlight w:val="none"/>
        </w:rPr>
        <w:t>、密封和标记</w:t>
      </w:r>
      <w:bookmarkEnd w:id="160"/>
      <w:bookmarkEnd w:id="161"/>
      <w:bookmarkEnd w:id="162"/>
      <w:bookmarkEnd w:id="163"/>
    </w:p>
    <w:p w14:paraId="6169009B">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参选人应当编制一份参选文件“正本”和参选人须知前附表所述份数的“副本”和“电子版”，副本为正本复印件。参选文件正本和副本如有不一致之处，以正本为准；纸质版文件与电子版文件不一致时，以纸质版文件为准。</w:t>
      </w:r>
    </w:p>
    <w:p w14:paraId="14492CE0">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.2每份参选文件的正本、副本及电子版应当分别装订，并于封面上明确标明“正本</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副本”和“电子版”字样。</w:t>
      </w:r>
    </w:p>
    <w:p w14:paraId="564B5CCC">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.3参选文件应当按照比选文件规定密封包装，并于封装封面上明确标明“正本</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副本”和“电子版”字样。密封的所有粘接缝隙必须加盖单位公章或者由参选人的法定代表人或者其委托代理人签字。</w:t>
      </w:r>
    </w:p>
    <w:p w14:paraId="2433ECA1">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.4外层包封应当写明比选人名称和地址、项目名称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并注明唱价时间以前不得开封。还应当写明参选人的名称与地址、邮政编码，以便参选出现逾期送达时能原封退回。</w:t>
      </w:r>
    </w:p>
    <w:p w14:paraId="7709B341">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.5递交参选文件时，比选人应当对符合比选文件规定密封和标记的参选文件进行签收。</w:t>
      </w:r>
    </w:p>
    <w:p w14:paraId="4A2EAB7D">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.6比选人对于参选文件密封、标记另有要求的，见参选人须知前附表。</w:t>
      </w:r>
    </w:p>
    <w:bookmarkEnd w:id="129"/>
    <w:bookmarkEnd w:id="130"/>
    <w:bookmarkEnd w:id="131"/>
    <w:p w14:paraId="7B75C362">
      <w:pPr>
        <w:pStyle w:val="40"/>
        <w:numPr>
          <w:ilvl w:val="0"/>
          <w:numId w:val="0"/>
        </w:numPr>
        <w:tabs>
          <w:tab w:val="left" w:pos="588"/>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164" w:name="_Toc477190296"/>
      <w:bookmarkEnd w:id="164"/>
      <w:bookmarkStart w:id="165" w:name="_Toc477190297"/>
      <w:bookmarkEnd w:id="165"/>
      <w:r>
        <w:rPr>
          <w:rFonts w:hint="eastAsia" w:ascii="仿宋" w:hAnsi="仿宋" w:eastAsia="仿宋" w:cs="仿宋"/>
          <w:b/>
          <w:bCs/>
          <w:color w:val="auto"/>
          <w:kern w:val="2"/>
          <w:sz w:val="28"/>
          <w:szCs w:val="28"/>
          <w:highlight w:val="none"/>
          <w:lang w:val="en-US" w:eastAsia="zh-CN" w:bidi="ar-SA"/>
        </w:rPr>
        <w:t>4.</w:t>
      </w:r>
      <w:r>
        <w:rPr>
          <w:rFonts w:hint="eastAsia" w:ascii="仿宋" w:hAnsi="仿宋" w:eastAsia="仿宋" w:cs="仿宋"/>
          <w:color w:val="auto"/>
          <w:sz w:val="28"/>
          <w:szCs w:val="28"/>
          <w:highlight w:val="none"/>
        </w:rPr>
        <w:t>参选</w:t>
      </w:r>
    </w:p>
    <w:p w14:paraId="6FD572CC">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166" w:name="_Toc447188692"/>
      <w:bookmarkStart w:id="167" w:name="_Toc447265243"/>
      <w:bookmarkStart w:id="168" w:name="_Toc447265529"/>
      <w:r>
        <w:rPr>
          <w:rFonts w:hint="eastAsia" w:ascii="仿宋" w:hAnsi="仿宋" w:eastAsia="仿宋" w:cs="仿宋"/>
          <w:color w:val="auto"/>
          <w:sz w:val="24"/>
          <w:szCs w:val="24"/>
          <w:highlight w:val="none"/>
        </w:rPr>
        <w:t>4.1</w:t>
      </w:r>
      <w:bookmarkEnd w:id="132"/>
      <w:bookmarkEnd w:id="133"/>
      <w:r>
        <w:rPr>
          <w:rFonts w:hint="eastAsia" w:ascii="仿宋" w:hAnsi="仿宋" w:eastAsia="仿宋" w:cs="仿宋"/>
          <w:color w:val="auto"/>
          <w:sz w:val="24"/>
          <w:szCs w:val="24"/>
          <w:highlight w:val="none"/>
        </w:rPr>
        <w:t>参选文件的递交</w:t>
      </w:r>
      <w:bookmarkEnd w:id="134"/>
      <w:bookmarkEnd w:id="135"/>
      <w:bookmarkEnd w:id="166"/>
      <w:bookmarkEnd w:id="167"/>
      <w:bookmarkEnd w:id="168"/>
    </w:p>
    <w:p w14:paraId="6AA1E109">
      <w:pPr>
        <w:pStyle w:val="24"/>
        <w:tabs>
          <w:tab w:val="left" w:pos="630"/>
        </w:tabs>
        <w:snapToGrid w:val="0"/>
        <w:spacing w:line="360" w:lineRule="auto"/>
        <w:ind w:firstLine="424" w:firstLineChars="202"/>
        <w:rPr>
          <w:rFonts w:hint="eastAsia" w:ascii="仿宋" w:hAnsi="仿宋" w:eastAsia="仿宋" w:cs="仿宋"/>
          <w:color w:val="auto"/>
          <w:highlight w:val="none"/>
        </w:rPr>
      </w:pPr>
      <w:bookmarkStart w:id="169" w:name="_Toc488655849"/>
      <w:bookmarkStart w:id="170" w:name="_Toc107822504"/>
      <w:bookmarkStart w:id="171" w:name="_Toc227057907"/>
      <w:bookmarkStart w:id="172" w:name="_Toc226969301"/>
      <w:bookmarkStart w:id="173" w:name="_Toc107822505"/>
      <w:bookmarkStart w:id="174" w:name="_Toc488655850"/>
      <w:bookmarkStart w:id="175" w:name="_Toc447265530"/>
      <w:bookmarkStart w:id="176" w:name="_Toc447265244"/>
      <w:bookmarkStart w:id="177" w:name="_Toc447188693"/>
      <w:r>
        <w:rPr>
          <w:rFonts w:hint="eastAsia" w:ascii="仿宋" w:hAnsi="仿宋" w:eastAsia="仿宋" w:cs="仿宋"/>
          <w:color w:val="auto"/>
          <w:highlight w:val="none"/>
        </w:rPr>
        <w:t>4.1.1参选文件递交截止时间：见参选人须知前附表。</w:t>
      </w:r>
    </w:p>
    <w:p w14:paraId="5F4309E2">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4.1.2参选文件递交地点：见参选人须知前附表。</w:t>
      </w:r>
    </w:p>
    <w:p w14:paraId="29DF075B">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4.1.3比选人收到参选文件后，向参选人出具签收凭证。</w:t>
      </w:r>
    </w:p>
    <w:p w14:paraId="6C2A093E">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4.1.4除参选人须知前附表另有规定外，参选人所递交的参选文件不予退还。</w:t>
      </w:r>
    </w:p>
    <w:p w14:paraId="23B191E7">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4.1.5出现以下情形时，比选人/比选代理机构不予接收参选文件：</w:t>
      </w:r>
    </w:p>
    <w:p w14:paraId="6E37007D">
      <w:pPr>
        <w:pStyle w:val="55"/>
        <w:numPr>
          <w:ilvl w:val="0"/>
          <w:numId w:val="4"/>
        </w:numPr>
        <w:tabs>
          <w:tab w:val="left" w:pos="993"/>
        </w:tabs>
        <w:spacing w:line="360" w:lineRule="auto"/>
        <w:ind w:left="0"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逾期送达或者未送达指定地点的；</w:t>
      </w:r>
    </w:p>
    <w:p w14:paraId="4F1AB6BE">
      <w:pPr>
        <w:pStyle w:val="55"/>
        <w:numPr>
          <w:ilvl w:val="0"/>
          <w:numId w:val="4"/>
        </w:numPr>
        <w:tabs>
          <w:tab w:val="left" w:pos="993"/>
        </w:tabs>
        <w:spacing w:line="360" w:lineRule="auto"/>
        <w:ind w:left="0"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未按照比选文件要求密封的；</w:t>
      </w:r>
    </w:p>
    <w:p w14:paraId="4EE17043">
      <w:pPr>
        <w:pStyle w:val="55"/>
        <w:numPr>
          <w:ilvl w:val="0"/>
          <w:numId w:val="4"/>
        </w:numPr>
        <w:tabs>
          <w:tab w:val="left" w:pos="993"/>
        </w:tabs>
        <w:spacing w:line="360" w:lineRule="auto"/>
        <w:ind w:left="0"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未通过资格预审的申请人递交的；</w:t>
      </w:r>
    </w:p>
    <w:p w14:paraId="399CA0FE">
      <w:pPr>
        <w:pStyle w:val="55"/>
        <w:numPr>
          <w:ilvl w:val="0"/>
          <w:numId w:val="4"/>
        </w:numPr>
        <w:tabs>
          <w:tab w:val="left" w:pos="993"/>
        </w:tabs>
        <w:spacing w:line="360" w:lineRule="auto"/>
        <w:ind w:left="0"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未按照第一章“比选公告”或者“参选邀请书”要求获得本项目比选文件的。</w:t>
      </w:r>
    </w:p>
    <w:p w14:paraId="48D90445">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4.1.6递交参选文件的参选人不足三家的，比选人可对两家参选人继续组织评选，或与一家参选人定向谈判，或重新组织比选。具体处理原则见参选人须知前附表。</w:t>
      </w:r>
    </w:p>
    <w:bookmarkEnd w:id="169"/>
    <w:bookmarkEnd w:id="170"/>
    <w:p w14:paraId="4885964B">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4.2参选文件的修改、撤回</w:t>
      </w:r>
      <w:bookmarkEnd w:id="171"/>
      <w:bookmarkEnd w:id="172"/>
      <w:bookmarkEnd w:id="173"/>
      <w:bookmarkEnd w:id="174"/>
      <w:r>
        <w:rPr>
          <w:rFonts w:hint="eastAsia" w:ascii="仿宋" w:hAnsi="仿宋" w:eastAsia="仿宋" w:cs="仿宋"/>
          <w:color w:val="auto"/>
          <w:sz w:val="24"/>
          <w:szCs w:val="24"/>
          <w:highlight w:val="none"/>
        </w:rPr>
        <w:t>和撤销</w:t>
      </w:r>
      <w:bookmarkEnd w:id="175"/>
      <w:bookmarkEnd w:id="176"/>
      <w:bookmarkEnd w:id="177"/>
    </w:p>
    <w:p w14:paraId="47E3A32C">
      <w:pPr>
        <w:pStyle w:val="24"/>
        <w:tabs>
          <w:tab w:val="left" w:pos="630"/>
        </w:tabs>
        <w:snapToGrid w:val="0"/>
        <w:spacing w:line="360" w:lineRule="auto"/>
        <w:ind w:firstLine="424" w:firstLineChars="202"/>
        <w:rPr>
          <w:rFonts w:hint="eastAsia" w:ascii="仿宋" w:hAnsi="仿宋" w:eastAsia="仿宋" w:cs="仿宋"/>
          <w:color w:val="auto"/>
          <w:highlight w:val="none"/>
        </w:rPr>
      </w:pPr>
      <w:bookmarkStart w:id="178" w:name="_Toc447188694"/>
      <w:bookmarkStart w:id="179" w:name="_Toc152042335"/>
      <w:bookmarkStart w:id="180" w:name="_Toc488655852"/>
      <w:bookmarkStart w:id="181" w:name="_Toc107822506"/>
      <w:bookmarkStart w:id="182" w:name="_Toc447265245"/>
      <w:bookmarkStart w:id="183" w:name="_Toc246996203"/>
      <w:bookmarkStart w:id="184" w:name="_Toc447265531"/>
      <w:bookmarkStart w:id="185" w:name="_Toc296602447"/>
      <w:bookmarkStart w:id="186" w:name="_Toc246996946"/>
      <w:bookmarkStart w:id="187" w:name="_Toc152045559"/>
      <w:bookmarkStart w:id="188" w:name="_Toc247085717"/>
      <w:bookmarkStart w:id="189" w:name="_Toc227057908"/>
      <w:bookmarkStart w:id="190" w:name="_Toc144974527"/>
      <w:bookmarkStart w:id="191" w:name="_Toc179632577"/>
      <w:bookmarkStart w:id="192" w:name="_Toc226969302"/>
      <w:r>
        <w:rPr>
          <w:rFonts w:hint="eastAsia" w:ascii="仿宋" w:hAnsi="仿宋" w:eastAsia="仿宋" w:cs="仿宋"/>
          <w:color w:val="auto"/>
          <w:highlight w:val="none"/>
        </w:rPr>
        <w:t>4.2.1在规定的参选截止时间前，参选人可以修改或者撤回已递交的参选文件。</w:t>
      </w:r>
    </w:p>
    <w:p w14:paraId="02F7A65B">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4.2.2参选人修改后的参选文件，应当在规定的参选截止时间前按照比选文件的规定编制、密封、标记、递交。</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14:paraId="59833F27">
      <w:pPr>
        <w:pStyle w:val="40"/>
        <w:numPr>
          <w:ilvl w:val="0"/>
          <w:numId w:val="0"/>
        </w:numPr>
        <w:tabs>
          <w:tab w:val="left" w:pos="588"/>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193" w:name="_Toc477190306"/>
      <w:bookmarkEnd w:id="193"/>
      <w:bookmarkStart w:id="194" w:name="_Toc477190305"/>
      <w:bookmarkEnd w:id="194"/>
      <w:bookmarkStart w:id="195" w:name="_Toc107822507"/>
      <w:bookmarkStart w:id="196" w:name="_Toc227057909"/>
      <w:bookmarkStart w:id="197" w:name="_Toc226969303"/>
      <w:r>
        <w:rPr>
          <w:rFonts w:hint="eastAsia" w:ascii="仿宋" w:hAnsi="仿宋" w:eastAsia="仿宋" w:cs="仿宋"/>
          <w:b/>
          <w:bCs/>
          <w:color w:val="auto"/>
          <w:kern w:val="2"/>
          <w:sz w:val="28"/>
          <w:szCs w:val="28"/>
          <w:highlight w:val="none"/>
          <w:lang w:val="en-US" w:eastAsia="zh-CN" w:bidi="ar-SA"/>
        </w:rPr>
        <w:t>5.</w:t>
      </w:r>
      <w:r>
        <w:rPr>
          <w:rFonts w:hint="eastAsia" w:ascii="仿宋" w:hAnsi="仿宋" w:eastAsia="仿宋" w:cs="仿宋"/>
          <w:color w:val="auto"/>
          <w:sz w:val="28"/>
          <w:szCs w:val="28"/>
          <w:highlight w:val="none"/>
        </w:rPr>
        <w:t>评选</w:t>
      </w:r>
    </w:p>
    <w:p w14:paraId="6030CAD6">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lang w:val="en-US" w:eastAsia="zh-CN"/>
        </w:rPr>
      </w:pPr>
      <w:bookmarkStart w:id="198" w:name="_Toc447188700"/>
      <w:bookmarkStart w:id="199" w:name="_Toc447265537"/>
      <w:bookmarkStart w:id="200" w:name="_Toc447265251"/>
      <w:r>
        <w:rPr>
          <w:rFonts w:hint="eastAsia" w:ascii="仿宋" w:hAnsi="仿宋" w:eastAsia="仿宋" w:cs="仿宋"/>
          <w:color w:val="auto"/>
          <w:sz w:val="24"/>
          <w:szCs w:val="24"/>
          <w:highlight w:val="none"/>
          <w:lang w:val="en-US" w:eastAsia="zh-CN"/>
        </w:rPr>
        <w:t>5.1评选地点</w:t>
      </w:r>
    </w:p>
    <w:p w14:paraId="2690FAE8">
      <w:pPr>
        <w:pStyle w:val="24"/>
        <w:tabs>
          <w:tab w:val="left" w:pos="630"/>
        </w:tabs>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比选人将按照参选人须知前附表规定的时间和地点</w:t>
      </w:r>
      <w:r>
        <w:rPr>
          <w:rFonts w:hint="eastAsia" w:ascii="仿宋" w:hAnsi="仿宋" w:eastAsia="仿宋" w:cs="仿宋"/>
          <w:color w:val="auto"/>
          <w:highlight w:val="none"/>
          <w:lang w:val="en-US" w:eastAsia="zh-CN"/>
        </w:rPr>
        <w:t>评选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评选</w:t>
      </w:r>
      <w:r>
        <w:rPr>
          <w:rFonts w:hint="eastAsia" w:ascii="仿宋" w:hAnsi="仿宋" w:eastAsia="仿宋" w:cs="仿宋"/>
          <w:color w:val="auto"/>
          <w:highlight w:val="none"/>
        </w:rPr>
        <w:t>时间和参选截止时间应当为同一时间。</w:t>
      </w:r>
    </w:p>
    <w:p w14:paraId="2FAE00B5">
      <w:pPr>
        <w:rPr>
          <w:rFonts w:hint="eastAsia" w:ascii="仿宋" w:hAnsi="仿宋" w:eastAsia="仿宋" w:cs="仿宋"/>
          <w:color w:val="auto"/>
          <w:highlight w:val="none"/>
          <w:lang w:val="en-US" w:eastAsia="zh-CN"/>
        </w:rPr>
      </w:pPr>
    </w:p>
    <w:p w14:paraId="1B1A94EF">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bookmarkEnd w:id="195"/>
      <w:bookmarkEnd w:id="196"/>
      <w:bookmarkEnd w:id="197"/>
      <w:bookmarkEnd w:id="198"/>
      <w:bookmarkEnd w:id="199"/>
      <w:bookmarkEnd w:id="200"/>
      <w:r>
        <w:rPr>
          <w:rFonts w:hint="eastAsia" w:ascii="仿宋" w:hAnsi="仿宋" w:eastAsia="仿宋" w:cs="仿宋"/>
          <w:color w:val="auto"/>
          <w:sz w:val="24"/>
          <w:szCs w:val="24"/>
          <w:highlight w:val="none"/>
          <w:lang w:eastAsia="zh-CN"/>
        </w:rPr>
        <w:t>评审小组</w:t>
      </w:r>
    </w:p>
    <w:p w14:paraId="65D05F87">
      <w:pPr>
        <w:pStyle w:val="24"/>
        <w:tabs>
          <w:tab w:val="left" w:pos="630"/>
        </w:tabs>
        <w:snapToGrid w:val="0"/>
        <w:spacing w:line="360" w:lineRule="auto"/>
        <w:ind w:firstLine="424" w:firstLineChars="202"/>
        <w:rPr>
          <w:rFonts w:hint="eastAsia" w:ascii="仿宋" w:hAnsi="仿宋" w:eastAsia="仿宋" w:cs="仿宋"/>
          <w:color w:val="auto"/>
          <w:highlight w:val="none"/>
        </w:rPr>
      </w:pPr>
      <w:bookmarkStart w:id="201" w:name="_Toc447265541"/>
      <w:bookmarkStart w:id="202" w:name="_Toc447265255"/>
      <w:bookmarkStart w:id="203" w:name="_Toc447188703"/>
      <w:bookmarkStart w:id="204" w:name="_Toc227057915"/>
      <w:bookmarkStart w:id="205" w:name="_Toc226969309"/>
      <w:bookmarkStart w:id="206" w:name="_Toc488655860"/>
      <w:bookmarkStart w:id="207" w:name="_Toc107822516"/>
      <w:r>
        <w:rPr>
          <w:rFonts w:hint="eastAsia" w:ascii="仿宋" w:hAnsi="仿宋" w:eastAsia="仿宋" w:cs="仿宋"/>
          <w:color w:val="auto"/>
          <w:highlight w:val="none"/>
        </w:rPr>
        <w:t>评选由</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负责，任何单位和个人不得非法干预或者影响评选的过程和结果。</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成员名单在中选结果确定前保密。</w:t>
      </w:r>
    </w:p>
    <w:p w14:paraId="3D9AEBF6">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208" w:name="_Toc246996951"/>
      <w:bookmarkStart w:id="209" w:name="_Toc447265538"/>
      <w:bookmarkStart w:id="210" w:name="_Toc246996208"/>
      <w:bookmarkStart w:id="211" w:name="_Toc447265252"/>
      <w:bookmarkStart w:id="212" w:name="_Toc152045564"/>
      <w:bookmarkStart w:id="213" w:name="_Toc296602453"/>
      <w:bookmarkStart w:id="214" w:name="_Toc144974532"/>
      <w:bookmarkStart w:id="215" w:name="_Toc247085722"/>
      <w:bookmarkStart w:id="216" w:name="_Toc179632582"/>
      <w:bookmarkStart w:id="217" w:name="_Toc450489311"/>
      <w:bookmarkStart w:id="218" w:name="_Toc152042340"/>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评选原则</w:t>
      </w:r>
      <w:bookmarkEnd w:id="208"/>
      <w:bookmarkEnd w:id="209"/>
      <w:bookmarkEnd w:id="210"/>
      <w:bookmarkEnd w:id="211"/>
      <w:bookmarkEnd w:id="212"/>
      <w:bookmarkEnd w:id="213"/>
      <w:bookmarkEnd w:id="214"/>
      <w:bookmarkEnd w:id="215"/>
      <w:bookmarkEnd w:id="216"/>
      <w:bookmarkEnd w:id="217"/>
      <w:bookmarkEnd w:id="218"/>
    </w:p>
    <w:p w14:paraId="7B5B1CF2">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.1评选活动遵循公平、公正、科学和择优的原则。</w:t>
      </w:r>
    </w:p>
    <w:p w14:paraId="71727549">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按照第三章“评选办法”规定的方法、评审因素、标准和程序对参选文件进行评审。第三章“评选办法”没有规定的方法、评审因素和标准，不得作为评选依据。</w:t>
      </w:r>
    </w:p>
    <w:p w14:paraId="4F0A57A5">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219" w:name="_Toc447265253"/>
      <w:bookmarkStart w:id="220" w:name="_Toc447265539"/>
      <w:bookmarkStart w:id="221" w:name="_Toc450489312"/>
      <w:bookmarkStart w:id="222" w:name="_Toc447188701"/>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评选方法</w:t>
      </w:r>
      <w:bookmarkEnd w:id="219"/>
      <w:bookmarkEnd w:id="220"/>
      <w:bookmarkEnd w:id="221"/>
      <w:bookmarkEnd w:id="222"/>
    </w:p>
    <w:p w14:paraId="5AD144F5">
      <w:pPr>
        <w:adjustRightInd w:val="0"/>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.1本项目评选所采用的评选方法为</w:t>
      </w:r>
      <w:r>
        <w:rPr>
          <w:rFonts w:hint="eastAsia" w:ascii="仿宋" w:hAnsi="仿宋" w:eastAsia="仿宋" w:cs="仿宋"/>
          <w:color w:val="auto"/>
          <w:highlight w:val="none"/>
        </w:rPr>
        <w:t>综合评估</w:t>
      </w:r>
      <w:r>
        <w:rPr>
          <w:rFonts w:hint="eastAsia" w:ascii="仿宋" w:hAnsi="仿宋" w:eastAsia="仿宋" w:cs="仿宋"/>
          <w:color w:val="auto"/>
          <w:highlight w:val="none"/>
          <w:lang w:eastAsia="zh-CN"/>
        </w:rPr>
        <w:t>法</w:t>
      </w:r>
      <w:r>
        <w:rPr>
          <w:rFonts w:hint="eastAsia" w:ascii="仿宋" w:hAnsi="仿宋" w:eastAsia="仿宋" w:cs="仿宋"/>
          <w:color w:val="auto"/>
          <w:highlight w:val="none"/>
        </w:rPr>
        <w:t>。最大限度地满足比选文件中规定的各项综合评价标准的参选，应当推荐为中选候选人，量化的标准和权重应当在比选文件中明确规定。</w:t>
      </w:r>
    </w:p>
    <w:p w14:paraId="294F5A0D">
      <w:pPr>
        <w:pStyle w:val="24"/>
        <w:tabs>
          <w:tab w:val="left" w:pos="588"/>
          <w:tab w:val="left" w:pos="630"/>
        </w:tabs>
        <w:snapToGrid w:val="0"/>
        <w:spacing w:before="120" w:after="120" w:line="360" w:lineRule="auto"/>
        <w:ind w:firstLine="42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法律法规</w:t>
      </w:r>
      <w:r>
        <w:rPr>
          <w:rFonts w:hint="eastAsia" w:ascii="仿宋" w:hAnsi="仿宋" w:eastAsia="仿宋" w:cs="仿宋"/>
          <w:color w:val="auto"/>
          <w:highlight w:val="none"/>
        </w:rPr>
        <w:t>允许的其他评选方法。</w:t>
      </w:r>
      <w:bookmarkStart w:id="223" w:name="_Toc247085724"/>
      <w:bookmarkStart w:id="224" w:name="_Toc144974534"/>
      <w:bookmarkStart w:id="225" w:name="_Toc179632584"/>
      <w:bookmarkStart w:id="226" w:name="_Toc447265540"/>
      <w:bookmarkStart w:id="227" w:name="_Toc152042342"/>
      <w:bookmarkStart w:id="228" w:name="_Toc447188702"/>
      <w:bookmarkStart w:id="229" w:name="_Toc246996953"/>
      <w:bookmarkStart w:id="230" w:name="_Toc296602455"/>
      <w:bookmarkStart w:id="231" w:name="_Toc447265254"/>
      <w:bookmarkStart w:id="232" w:name="_Toc246996210"/>
      <w:bookmarkStart w:id="233" w:name="_Toc152045566"/>
    </w:p>
    <w:p w14:paraId="643E5F8A">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234" w:name="_Toc450489313"/>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中选候选人推荐原则</w:t>
      </w:r>
      <w:bookmarkEnd w:id="234"/>
    </w:p>
    <w:p w14:paraId="47E4218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应当根据比选文件载明的规则推荐中选候选人，具体推荐原则见参选人须知前附表。</w:t>
      </w:r>
    </w:p>
    <w:bookmarkEnd w:id="201"/>
    <w:bookmarkEnd w:id="202"/>
    <w:bookmarkEnd w:id="203"/>
    <w:bookmarkEnd w:id="223"/>
    <w:bookmarkEnd w:id="224"/>
    <w:bookmarkEnd w:id="225"/>
    <w:bookmarkEnd w:id="226"/>
    <w:bookmarkEnd w:id="227"/>
    <w:bookmarkEnd w:id="228"/>
    <w:bookmarkEnd w:id="229"/>
    <w:bookmarkEnd w:id="230"/>
    <w:bookmarkEnd w:id="231"/>
    <w:bookmarkEnd w:id="232"/>
    <w:bookmarkEnd w:id="233"/>
    <w:p w14:paraId="7E29477E">
      <w:pPr>
        <w:pStyle w:val="40"/>
        <w:numPr>
          <w:ilvl w:val="0"/>
          <w:numId w:val="0"/>
        </w:numPr>
        <w:tabs>
          <w:tab w:val="left" w:pos="602"/>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r>
        <w:rPr>
          <w:rFonts w:hint="eastAsia" w:ascii="仿宋" w:hAnsi="仿宋" w:eastAsia="仿宋" w:cs="仿宋"/>
          <w:b/>
          <w:bCs/>
          <w:color w:val="auto"/>
          <w:kern w:val="2"/>
          <w:sz w:val="28"/>
          <w:szCs w:val="28"/>
          <w:highlight w:val="none"/>
          <w:lang w:val="en-US" w:eastAsia="zh-CN" w:bidi="ar-SA"/>
        </w:rPr>
        <w:t>6.</w:t>
      </w:r>
      <w:r>
        <w:rPr>
          <w:rFonts w:hint="eastAsia" w:ascii="仿宋" w:hAnsi="仿宋" w:eastAsia="仿宋" w:cs="仿宋"/>
          <w:color w:val="auto"/>
          <w:sz w:val="28"/>
          <w:szCs w:val="28"/>
          <w:highlight w:val="none"/>
        </w:rPr>
        <w:t>中选</w:t>
      </w:r>
    </w:p>
    <w:bookmarkEnd w:id="204"/>
    <w:bookmarkEnd w:id="205"/>
    <w:bookmarkEnd w:id="206"/>
    <w:bookmarkEnd w:id="207"/>
    <w:p w14:paraId="10A8AD0E">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235" w:name="_Toc447265257"/>
      <w:bookmarkStart w:id="236" w:name="_Toc447265543"/>
      <w:bookmarkStart w:id="237" w:name="_Toc450489317"/>
      <w:bookmarkStart w:id="238" w:name="_Toc447188705"/>
      <w:bookmarkStart w:id="239" w:name="_Toc447265545"/>
      <w:bookmarkStart w:id="240" w:name="_Toc447265259"/>
      <w:bookmarkStart w:id="241" w:name="_Toc246996956"/>
      <w:bookmarkStart w:id="242" w:name="_Toc152042345"/>
      <w:bookmarkStart w:id="243" w:name="_Toc247085727"/>
      <w:bookmarkStart w:id="244" w:name="_Toc179632587"/>
      <w:bookmarkStart w:id="245" w:name="_Toc246996213"/>
      <w:bookmarkStart w:id="246" w:name="_Toc296602459"/>
      <w:bookmarkStart w:id="247" w:name="_Toc144974537"/>
      <w:bookmarkStart w:id="248" w:name="_Toc152045569"/>
      <w:bookmarkStart w:id="249" w:name="_Toc226969310"/>
      <w:bookmarkStart w:id="250" w:name="_Toc107822517"/>
      <w:bookmarkStart w:id="251" w:name="_Toc227057916"/>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.1确定中选人</w:t>
      </w:r>
      <w:bookmarkEnd w:id="235"/>
      <w:bookmarkEnd w:id="236"/>
      <w:bookmarkEnd w:id="237"/>
      <w:bookmarkEnd w:id="238"/>
    </w:p>
    <w:p w14:paraId="3203A45D">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.1.1比选人依据</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推荐的中选候选人确定中选人，中选人数量见参选人须知前附表。</w:t>
      </w:r>
    </w:p>
    <w:p w14:paraId="50C5590E">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.1.2比选人根据</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推荐的中选候选人名单排序依次确定中选人，具体中选原则见参选人须知前附表。</w:t>
      </w:r>
    </w:p>
    <w:p w14:paraId="3DF63CB0">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.1.3在签订合同之前，中选人放弃中选或者不能履行合同的，比选人可以按照</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提出的中选候选人名单排序依次确定其他中选候选人为中选人，也可以重新比选。集中比选项目还可以对中选人的中选份额进行调整，具体调整规则见参选人须知前附表；</w:t>
      </w:r>
    </w:p>
    <w:p w14:paraId="2A82F42C">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252" w:name="_Toc246996212"/>
      <w:bookmarkStart w:id="253" w:name="_Toc152045568"/>
      <w:bookmarkStart w:id="254" w:name="_Toc247085726"/>
      <w:bookmarkStart w:id="255" w:name="_Toc296602458"/>
      <w:bookmarkStart w:id="256" w:name="_Toc447265544"/>
      <w:bookmarkStart w:id="257" w:name="_Toc450489318"/>
      <w:bookmarkStart w:id="258" w:name="_Toc246996955"/>
      <w:bookmarkStart w:id="259" w:name="_Toc447265258"/>
      <w:bookmarkStart w:id="260" w:name="_Toc144974536"/>
      <w:bookmarkStart w:id="261" w:name="_Toc152042344"/>
      <w:bookmarkStart w:id="262" w:name="_Toc179632586"/>
      <w:bookmarkStart w:id="263" w:name="OLE_LINK6"/>
      <w:bookmarkStart w:id="264" w:name="OLE_LINK7"/>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中选通知</w:t>
      </w:r>
      <w:bookmarkEnd w:id="252"/>
      <w:bookmarkEnd w:id="253"/>
      <w:bookmarkEnd w:id="254"/>
      <w:bookmarkEnd w:id="255"/>
      <w:bookmarkEnd w:id="256"/>
      <w:bookmarkEnd w:id="257"/>
      <w:bookmarkEnd w:id="258"/>
      <w:bookmarkEnd w:id="259"/>
      <w:bookmarkEnd w:id="260"/>
      <w:bookmarkEnd w:id="261"/>
      <w:bookmarkEnd w:id="262"/>
    </w:p>
    <w:p w14:paraId="7CDDF35A">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.1在中选通知书发出前，中选候选人的经营、财务状况发生较大变化或者存在违法行为，可能影响其履约能力的，参选人应当主动告知比选人。</w:t>
      </w:r>
      <w:bookmarkEnd w:id="263"/>
      <w:bookmarkEnd w:id="264"/>
    </w:p>
    <w:p w14:paraId="69CDCCD0">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.2中选人确定后，比选人应当自行或者委托比选代理机构向中选人发出中选通知书，同时通知未中选人。</w:t>
      </w:r>
    </w:p>
    <w:p w14:paraId="173730FD">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.3中选通知书是比选档案和合同的组成部分。</w:t>
      </w:r>
    </w:p>
    <w:p w14:paraId="3B5F2331">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.4中选通知书对比选人和中选人具有法律约束力。中选通知书发出后，比选人改变中选结果或者中选人放弃中选的，应当承担法律责任。</w:t>
      </w:r>
    </w:p>
    <w:p w14:paraId="0C8523A6">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6.2.5</w:t>
      </w:r>
      <w:r>
        <w:rPr>
          <w:rFonts w:hint="eastAsia" w:ascii="仿宋" w:hAnsi="仿宋" w:eastAsia="仿宋" w:cs="仿宋"/>
          <w:color w:val="auto"/>
          <w:highlight w:val="none"/>
        </w:rPr>
        <w:t>在评比结束后，比选人将在南宁轨道数智科技有限公司（https://www.nnsmk.com</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的新闻中心中最新公告处的公示评比结果。</w:t>
      </w:r>
    </w:p>
    <w:p w14:paraId="1AEE1BBC">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6.2.6</w:t>
      </w:r>
      <w:r>
        <w:rPr>
          <w:rFonts w:hint="eastAsia" w:ascii="仿宋" w:hAnsi="仿宋" w:eastAsia="仿宋" w:cs="仿宋"/>
          <w:color w:val="auto"/>
          <w:highlight w:val="none"/>
        </w:rPr>
        <w:t>比选申请人如对评比结果有异议，在评比结果公示三天内，可以书面形式向比选人提出质疑。比选人应当在收到比选申请人的书面质疑后五个工作日内</w:t>
      </w:r>
      <w:r>
        <w:rPr>
          <w:rFonts w:hint="eastAsia" w:ascii="仿宋" w:hAnsi="仿宋" w:eastAsia="仿宋" w:cs="仿宋"/>
          <w:color w:val="auto"/>
          <w:highlight w:val="none"/>
          <w:lang w:eastAsia="zh-CN"/>
        </w:rPr>
        <w:t>作出</w:t>
      </w:r>
      <w:r>
        <w:rPr>
          <w:rFonts w:hint="eastAsia" w:ascii="仿宋" w:hAnsi="仿宋" w:eastAsia="仿宋" w:cs="仿宋"/>
          <w:color w:val="auto"/>
          <w:highlight w:val="none"/>
        </w:rPr>
        <w:t>答复，但答复的内容不得涉及商业秘密。</w:t>
      </w:r>
    </w:p>
    <w:p w14:paraId="4BD5DB01">
      <w:pPr>
        <w:pStyle w:val="40"/>
        <w:numPr>
          <w:ilvl w:val="0"/>
          <w:numId w:val="0"/>
        </w:numPr>
        <w:tabs>
          <w:tab w:val="left" w:pos="588"/>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r>
        <w:rPr>
          <w:rFonts w:hint="eastAsia" w:ascii="仿宋" w:hAnsi="仿宋" w:eastAsia="仿宋" w:cs="仿宋"/>
          <w:b/>
          <w:bCs/>
          <w:color w:val="auto"/>
          <w:kern w:val="2"/>
          <w:sz w:val="28"/>
          <w:szCs w:val="28"/>
          <w:highlight w:val="none"/>
          <w:lang w:val="en-US" w:eastAsia="zh-CN" w:bidi="ar-SA"/>
        </w:rPr>
        <w:t>7.</w:t>
      </w:r>
      <w:r>
        <w:rPr>
          <w:rFonts w:hint="eastAsia" w:ascii="仿宋" w:hAnsi="仿宋" w:eastAsia="仿宋" w:cs="仿宋"/>
          <w:color w:val="auto"/>
          <w:sz w:val="28"/>
          <w:szCs w:val="28"/>
          <w:highlight w:val="none"/>
        </w:rPr>
        <w:t>合同签订</w:t>
      </w:r>
      <w:bookmarkEnd w:id="239"/>
      <w:bookmarkEnd w:id="240"/>
    </w:p>
    <w:p w14:paraId="663F84C9">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265" w:name="_Toc447265260"/>
      <w:bookmarkStart w:id="266" w:name="_Toc447265546"/>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.1履约</w:t>
      </w:r>
      <w:bookmarkEnd w:id="241"/>
      <w:bookmarkEnd w:id="242"/>
      <w:bookmarkEnd w:id="243"/>
      <w:bookmarkEnd w:id="244"/>
      <w:bookmarkEnd w:id="245"/>
      <w:bookmarkEnd w:id="246"/>
      <w:bookmarkEnd w:id="247"/>
      <w:bookmarkEnd w:id="248"/>
      <w:r>
        <w:rPr>
          <w:rFonts w:hint="eastAsia" w:ascii="仿宋" w:hAnsi="仿宋" w:eastAsia="仿宋" w:cs="仿宋"/>
          <w:color w:val="auto"/>
          <w:sz w:val="24"/>
          <w:szCs w:val="24"/>
          <w:highlight w:val="none"/>
        </w:rPr>
        <w:t>保证金</w:t>
      </w:r>
      <w:bookmarkEnd w:id="265"/>
      <w:bookmarkEnd w:id="266"/>
    </w:p>
    <w:bookmarkEnd w:id="249"/>
    <w:bookmarkEnd w:id="250"/>
    <w:bookmarkEnd w:id="251"/>
    <w:p w14:paraId="2DD6018A">
      <w:pPr>
        <w:pStyle w:val="24"/>
        <w:tabs>
          <w:tab w:val="left" w:pos="630"/>
        </w:tabs>
        <w:snapToGrid w:val="0"/>
        <w:spacing w:line="360" w:lineRule="auto"/>
        <w:ind w:firstLine="424" w:firstLineChars="202"/>
        <w:rPr>
          <w:rFonts w:hint="eastAsia" w:ascii="仿宋" w:hAnsi="仿宋" w:eastAsia="仿宋" w:cs="仿宋"/>
          <w:color w:val="auto"/>
          <w:highlight w:val="none"/>
        </w:rPr>
      </w:pPr>
      <w:bookmarkStart w:id="267" w:name="_Toc447265549"/>
      <w:bookmarkStart w:id="268" w:name="_Toc488655867"/>
      <w:bookmarkStart w:id="269" w:name="_Toc226969312"/>
      <w:bookmarkStart w:id="270" w:name="_Toc107822519"/>
      <w:bookmarkStart w:id="271" w:name="_Toc447188707"/>
      <w:bookmarkStart w:id="272" w:name="_Toc227057918"/>
      <w:bookmarkStart w:id="273" w:name="_Toc447265263"/>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.1.1在签订合同前，中选人应当按照“参选人须知前附表”中规定的履约保证金的金额和形式向比选人递交履约保证金。</w:t>
      </w:r>
    </w:p>
    <w:p w14:paraId="0605E1E7">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.1.2中选人不能按照比选文件要求递交履约</w:t>
      </w:r>
      <w:r>
        <w:rPr>
          <w:rFonts w:hint="eastAsia" w:ascii="仿宋" w:hAnsi="仿宋" w:eastAsia="仿宋" w:cs="仿宋"/>
          <w:color w:val="auto"/>
          <w:highlight w:val="none"/>
          <w:lang w:val="en-US" w:eastAsia="zh-CN"/>
        </w:rPr>
        <w:t>保证金</w:t>
      </w:r>
      <w:r>
        <w:rPr>
          <w:rFonts w:hint="eastAsia" w:ascii="仿宋" w:hAnsi="仿宋" w:eastAsia="仿宋" w:cs="仿宋"/>
          <w:color w:val="auto"/>
          <w:highlight w:val="none"/>
        </w:rPr>
        <w:t>的，视为放弃中选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给比选人造成的损失的，中选人还应当对超过部分予以赔偿。</w:t>
      </w:r>
    </w:p>
    <w:p w14:paraId="2AB81B6F">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274" w:name="_Toc447265261"/>
      <w:bookmarkStart w:id="275" w:name="_Toc450489321"/>
      <w:bookmarkStart w:id="276" w:name="_Toc447265547"/>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.2合同签订</w:t>
      </w:r>
      <w:bookmarkEnd w:id="274"/>
      <w:bookmarkEnd w:id="275"/>
      <w:bookmarkEnd w:id="276"/>
    </w:p>
    <w:p w14:paraId="740133DC">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.2.1比选人和中选人应当在比选有效期内，根据比选文件和中选人的参选文件订立书面合同。比选人和中选人不得订立背离合同实质性内容的其他协议。</w:t>
      </w:r>
    </w:p>
    <w:p w14:paraId="6D2F6426">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.2.2中选人无正当理由拒签合同的，比选人取消其中选资格；给比选人造成的损失的，中选人还应当对超过部分予以赔偿。</w:t>
      </w:r>
    </w:p>
    <w:bookmarkEnd w:id="267"/>
    <w:bookmarkEnd w:id="268"/>
    <w:bookmarkEnd w:id="269"/>
    <w:bookmarkEnd w:id="270"/>
    <w:bookmarkEnd w:id="271"/>
    <w:bookmarkEnd w:id="272"/>
    <w:bookmarkEnd w:id="273"/>
    <w:p w14:paraId="4E21EEEE">
      <w:pPr>
        <w:pStyle w:val="40"/>
        <w:numPr>
          <w:ilvl w:val="0"/>
          <w:numId w:val="0"/>
        </w:numPr>
        <w:tabs>
          <w:tab w:val="left" w:pos="602"/>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277" w:name="_Toc447188708"/>
      <w:bookmarkStart w:id="278" w:name="_Toc447265550"/>
      <w:bookmarkStart w:id="279" w:name="_Toc447265264"/>
      <w:bookmarkStart w:id="280" w:name="_Toc296602461"/>
      <w:r>
        <w:rPr>
          <w:rFonts w:hint="eastAsia" w:ascii="仿宋" w:hAnsi="仿宋" w:eastAsia="仿宋" w:cs="仿宋"/>
          <w:b/>
          <w:bCs/>
          <w:color w:val="auto"/>
          <w:kern w:val="2"/>
          <w:sz w:val="28"/>
          <w:szCs w:val="28"/>
          <w:highlight w:val="none"/>
          <w:lang w:val="en-US" w:eastAsia="zh-CN" w:bidi="ar-SA"/>
        </w:rPr>
        <w:t>8.</w:t>
      </w:r>
      <w:r>
        <w:rPr>
          <w:rFonts w:hint="eastAsia" w:ascii="仿宋" w:hAnsi="仿宋" w:eastAsia="仿宋" w:cs="仿宋"/>
          <w:color w:val="auto"/>
          <w:sz w:val="28"/>
          <w:szCs w:val="28"/>
          <w:highlight w:val="none"/>
        </w:rPr>
        <w:t>纪律和监督</w:t>
      </w:r>
      <w:bookmarkEnd w:id="277"/>
      <w:bookmarkEnd w:id="278"/>
      <w:bookmarkEnd w:id="279"/>
      <w:bookmarkEnd w:id="280"/>
    </w:p>
    <w:p w14:paraId="06D7F44F">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281" w:name="_Toc296590983"/>
      <w:bookmarkStart w:id="282" w:name="_Toc152042351"/>
      <w:bookmarkStart w:id="283" w:name="_Toc447265551"/>
      <w:bookmarkStart w:id="284" w:name="_Toc144974543"/>
      <w:bookmarkStart w:id="285" w:name="_Toc179632593"/>
      <w:bookmarkStart w:id="286" w:name="_Toc152045575"/>
      <w:bookmarkStart w:id="287" w:name="_Toc296602462"/>
      <w:bookmarkStart w:id="288" w:name="_Toc247085733"/>
      <w:bookmarkStart w:id="289" w:name="_Toc246996962"/>
      <w:bookmarkStart w:id="290" w:name="_Toc246996219"/>
      <w:bookmarkStart w:id="291" w:name="_Toc447265265"/>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.1对比选人的纪律要求</w:t>
      </w:r>
      <w:bookmarkEnd w:id="281"/>
      <w:bookmarkEnd w:id="282"/>
      <w:bookmarkEnd w:id="283"/>
      <w:bookmarkEnd w:id="284"/>
      <w:bookmarkEnd w:id="285"/>
      <w:bookmarkEnd w:id="286"/>
      <w:bookmarkEnd w:id="287"/>
      <w:bookmarkEnd w:id="288"/>
      <w:bookmarkEnd w:id="289"/>
      <w:bookmarkEnd w:id="290"/>
      <w:bookmarkEnd w:id="291"/>
    </w:p>
    <w:p w14:paraId="25C437FE">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比选人</w:t>
      </w:r>
      <w:r>
        <w:rPr>
          <w:rFonts w:hint="eastAsia" w:ascii="仿宋" w:hAnsi="仿宋" w:eastAsia="仿宋" w:cs="仿宋"/>
          <w:color w:val="auto"/>
          <w:szCs w:val="21"/>
          <w:highlight w:val="none"/>
          <w:lang w:eastAsia="zh-CN"/>
        </w:rPr>
        <w:t>不得泄露</w:t>
      </w:r>
      <w:r>
        <w:rPr>
          <w:rFonts w:hint="eastAsia" w:ascii="仿宋" w:hAnsi="仿宋" w:eastAsia="仿宋" w:cs="仿宋"/>
          <w:color w:val="auto"/>
          <w:szCs w:val="21"/>
          <w:highlight w:val="none"/>
        </w:rPr>
        <w:t>比选活动中应当保密的情况和资料，不得与参选人串通损害国家利益、社会公共利益或者他人合法权益。</w:t>
      </w:r>
    </w:p>
    <w:p w14:paraId="73A4D513">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292" w:name="_Toc179632594"/>
      <w:bookmarkStart w:id="293" w:name="_Toc447265266"/>
      <w:bookmarkStart w:id="294" w:name="_Toc246996220"/>
      <w:bookmarkStart w:id="295" w:name="_Toc152045576"/>
      <w:bookmarkStart w:id="296" w:name="_Toc247085734"/>
      <w:bookmarkStart w:id="297" w:name="_Toc296602463"/>
      <w:bookmarkStart w:id="298" w:name="_Toc144974544"/>
      <w:bookmarkStart w:id="299" w:name="_Toc152042352"/>
      <w:bookmarkStart w:id="300" w:name="_Toc447265552"/>
      <w:bookmarkStart w:id="301" w:name="_Toc246996963"/>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.2对参选人的纪律要求</w:t>
      </w:r>
      <w:bookmarkEnd w:id="292"/>
      <w:bookmarkEnd w:id="293"/>
      <w:bookmarkEnd w:id="294"/>
      <w:bookmarkEnd w:id="295"/>
      <w:bookmarkEnd w:id="296"/>
      <w:bookmarkEnd w:id="297"/>
      <w:bookmarkEnd w:id="298"/>
      <w:bookmarkEnd w:id="299"/>
      <w:bookmarkEnd w:id="300"/>
      <w:bookmarkEnd w:id="301"/>
    </w:p>
    <w:p w14:paraId="158F36E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参选人不得相互串通参选或者与比选人串通参选，不得向比选人或者</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成员行贿谋取中选，不得以他人名义参选或者以其他方式弄虚作假骗取中选，参选人不得以任何方式干扰、影响评选工作。</w:t>
      </w:r>
    </w:p>
    <w:p w14:paraId="3239550B">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302" w:name="_Toc152042353"/>
      <w:bookmarkStart w:id="303" w:name="_Toc296602464"/>
      <w:bookmarkStart w:id="304" w:name="_Toc247085735"/>
      <w:bookmarkStart w:id="305" w:name="_Toc447265267"/>
      <w:bookmarkStart w:id="306" w:name="_Toc179632595"/>
      <w:bookmarkStart w:id="307" w:name="_Toc152045577"/>
      <w:bookmarkStart w:id="308" w:name="_Toc144974545"/>
      <w:bookmarkStart w:id="309" w:name="_Toc246996221"/>
      <w:bookmarkStart w:id="310" w:name="_Toc246996964"/>
      <w:bookmarkStart w:id="311" w:name="_Toc447265553"/>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.3对</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成员的纪律要求</w:t>
      </w:r>
      <w:bookmarkEnd w:id="302"/>
      <w:bookmarkEnd w:id="303"/>
      <w:bookmarkEnd w:id="304"/>
      <w:bookmarkEnd w:id="305"/>
      <w:bookmarkEnd w:id="306"/>
      <w:bookmarkEnd w:id="307"/>
      <w:bookmarkEnd w:id="308"/>
      <w:bookmarkEnd w:id="309"/>
      <w:bookmarkEnd w:id="310"/>
      <w:bookmarkEnd w:id="311"/>
    </w:p>
    <w:p w14:paraId="5C8051C6">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成员不得收受他人的财物或者其他好处，不得向他人</w:t>
      </w:r>
      <w:r>
        <w:rPr>
          <w:rFonts w:hint="eastAsia" w:ascii="仿宋" w:hAnsi="仿宋" w:eastAsia="仿宋" w:cs="仿宋"/>
          <w:color w:val="auto"/>
          <w:szCs w:val="21"/>
          <w:highlight w:val="none"/>
          <w:lang w:eastAsia="zh-CN"/>
        </w:rPr>
        <w:t>透露</w:t>
      </w:r>
      <w:r>
        <w:rPr>
          <w:rFonts w:hint="eastAsia" w:ascii="仿宋" w:hAnsi="仿宋" w:eastAsia="仿宋" w:cs="仿宋"/>
          <w:color w:val="auto"/>
          <w:szCs w:val="21"/>
          <w:highlight w:val="none"/>
        </w:rPr>
        <w:t>对参选文件的评审和比较、中选候选人的推荐情况以及评选有关的其他情况。在评选活动中，</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成员应当客观、公正地履行职责，遵守职业道德，不得擅离职守，影响评选程序正常进行，不得使用第三章“评选办法”没有规定的评审因素和标准进行评选。</w:t>
      </w:r>
    </w:p>
    <w:p w14:paraId="41CDFD69">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312" w:name="_Toc179632596"/>
      <w:bookmarkStart w:id="313" w:name="_Toc247085736"/>
      <w:bookmarkStart w:id="314" w:name="_Toc246996222"/>
      <w:bookmarkStart w:id="315" w:name="_Toc296602465"/>
      <w:bookmarkStart w:id="316" w:name="_Toc447265554"/>
      <w:bookmarkStart w:id="317" w:name="_Toc152042354"/>
      <w:bookmarkStart w:id="318" w:name="_Toc447265268"/>
      <w:bookmarkStart w:id="319" w:name="_Toc152045578"/>
      <w:bookmarkStart w:id="320" w:name="_Toc246996965"/>
      <w:bookmarkStart w:id="321" w:name="_Toc144974546"/>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.4对与评选活动有关的工作人员的纪律要求</w:t>
      </w:r>
      <w:bookmarkEnd w:id="312"/>
      <w:bookmarkEnd w:id="313"/>
      <w:bookmarkEnd w:id="314"/>
      <w:bookmarkEnd w:id="315"/>
      <w:bookmarkEnd w:id="316"/>
      <w:bookmarkEnd w:id="317"/>
      <w:bookmarkEnd w:id="318"/>
      <w:bookmarkEnd w:id="319"/>
      <w:bookmarkEnd w:id="320"/>
    </w:p>
    <w:p w14:paraId="167F6EE0">
      <w:pPr>
        <w:adjustRightInd w:val="0"/>
        <w:snapToGrid w:val="0"/>
        <w:spacing w:line="360" w:lineRule="auto"/>
        <w:ind w:firstLine="420" w:firstLineChars="200"/>
        <w:rPr>
          <w:rFonts w:hint="eastAsia" w:ascii="仿宋" w:hAnsi="仿宋" w:eastAsia="仿宋" w:cs="仿宋"/>
          <w:color w:val="auto"/>
          <w:szCs w:val="21"/>
          <w:highlight w:val="none"/>
        </w:rPr>
      </w:pPr>
      <w:bookmarkStart w:id="322" w:name="_Toc152042355"/>
      <w:r>
        <w:rPr>
          <w:rFonts w:hint="eastAsia" w:ascii="仿宋" w:hAnsi="仿宋" w:eastAsia="仿宋" w:cs="仿宋"/>
          <w:color w:val="auto"/>
          <w:szCs w:val="21"/>
          <w:highlight w:val="none"/>
        </w:rPr>
        <w:t>与评选活动有关的工作人员不得收受他人的财物或者其他好处，不得向他人</w:t>
      </w:r>
      <w:r>
        <w:rPr>
          <w:rFonts w:hint="eastAsia" w:ascii="仿宋" w:hAnsi="仿宋" w:eastAsia="仿宋" w:cs="仿宋"/>
          <w:color w:val="auto"/>
          <w:szCs w:val="21"/>
          <w:highlight w:val="none"/>
          <w:lang w:eastAsia="zh-CN"/>
        </w:rPr>
        <w:t>透露</w:t>
      </w:r>
      <w:r>
        <w:rPr>
          <w:rFonts w:hint="eastAsia" w:ascii="仿宋" w:hAnsi="仿宋" w:eastAsia="仿宋" w:cs="仿宋"/>
          <w:color w:val="auto"/>
          <w:szCs w:val="21"/>
          <w:highlight w:val="none"/>
        </w:rPr>
        <w:t>对参选文件的评审和比较、中选候选人的推荐情况以及评选有关的其他情况。在评选活动中，与评选活动有关的工作人员不得擅离职守，影响评选程序正常进行。</w:t>
      </w:r>
      <w:bookmarkEnd w:id="322"/>
    </w:p>
    <w:bookmarkEnd w:id="321"/>
    <w:p w14:paraId="31CD5706">
      <w:pPr>
        <w:pStyle w:val="40"/>
        <w:numPr>
          <w:ilvl w:val="0"/>
          <w:numId w:val="0"/>
        </w:numPr>
        <w:tabs>
          <w:tab w:val="left" w:pos="602"/>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323" w:name="_Toc477190327"/>
      <w:bookmarkEnd w:id="323"/>
      <w:bookmarkStart w:id="324" w:name="_Toc477190328"/>
      <w:bookmarkEnd w:id="324"/>
      <w:bookmarkStart w:id="325" w:name="_Toc477190326"/>
      <w:bookmarkEnd w:id="325"/>
      <w:bookmarkStart w:id="326" w:name="_Toc296602467"/>
      <w:bookmarkStart w:id="327" w:name="_Toc246996224"/>
      <w:bookmarkStart w:id="328" w:name="_Toc152045580"/>
      <w:bookmarkStart w:id="329" w:name="_Toc247085738"/>
      <w:bookmarkStart w:id="330" w:name="_Toc447265270"/>
      <w:bookmarkStart w:id="331" w:name="_Toc447265556"/>
      <w:bookmarkStart w:id="332" w:name="_Toc144974547"/>
      <w:bookmarkStart w:id="333" w:name="_Toc152042357"/>
      <w:bookmarkStart w:id="334" w:name="_Toc447188709"/>
      <w:bookmarkStart w:id="335" w:name="_Toc246996967"/>
      <w:bookmarkStart w:id="336" w:name="_Toc179632598"/>
      <w:r>
        <w:rPr>
          <w:rFonts w:hint="eastAsia" w:ascii="仿宋" w:hAnsi="仿宋" w:eastAsia="仿宋" w:cs="仿宋"/>
          <w:b/>
          <w:bCs/>
          <w:color w:val="auto"/>
          <w:kern w:val="2"/>
          <w:sz w:val="28"/>
          <w:szCs w:val="28"/>
          <w:highlight w:val="none"/>
          <w:lang w:val="en-US" w:eastAsia="zh-CN" w:bidi="ar-SA"/>
        </w:rPr>
        <w:t>9.</w:t>
      </w:r>
      <w:r>
        <w:rPr>
          <w:rFonts w:hint="eastAsia" w:ascii="仿宋" w:hAnsi="仿宋" w:eastAsia="仿宋" w:cs="仿宋"/>
          <w:color w:val="auto"/>
          <w:sz w:val="28"/>
          <w:szCs w:val="28"/>
          <w:highlight w:val="none"/>
        </w:rPr>
        <w:t>需要补充的其他内容</w:t>
      </w:r>
      <w:bookmarkEnd w:id="326"/>
      <w:bookmarkEnd w:id="327"/>
      <w:bookmarkEnd w:id="328"/>
      <w:bookmarkEnd w:id="329"/>
      <w:bookmarkEnd w:id="330"/>
      <w:bookmarkEnd w:id="331"/>
      <w:bookmarkEnd w:id="332"/>
      <w:bookmarkEnd w:id="333"/>
      <w:bookmarkEnd w:id="334"/>
      <w:bookmarkEnd w:id="335"/>
      <w:bookmarkEnd w:id="336"/>
    </w:p>
    <w:p w14:paraId="2D905E3E">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需要补充的其他内容：见参选人须知前附表。</w:t>
      </w:r>
    </w:p>
    <w:p w14:paraId="167C3AEE">
      <w:pPr>
        <w:pStyle w:val="54"/>
        <w:spacing w:before="240" w:after="120"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color w:val="auto"/>
          <w:highlight w:val="none"/>
        </w:rPr>
        <w:br w:type="page"/>
      </w:r>
      <w:bookmarkStart w:id="337" w:name="_Toc24087"/>
      <w:bookmarkStart w:id="338" w:name="_Toc2749"/>
      <w:bookmarkStart w:id="339" w:name="_Toc30046"/>
      <w:bookmarkStart w:id="340" w:name="_Toc85401338"/>
      <w:bookmarkStart w:id="341" w:name="_Toc6781"/>
      <w:bookmarkStart w:id="342" w:name="_Toc8909"/>
      <w:bookmarkStart w:id="343" w:name="_Toc25820"/>
      <w:r>
        <w:rPr>
          <w:rFonts w:hint="eastAsia" w:ascii="仿宋" w:hAnsi="仿宋" w:eastAsia="仿宋" w:cs="仿宋"/>
          <w:b/>
          <w:bCs w:val="0"/>
          <w:color w:val="auto"/>
          <w:kern w:val="0"/>
          <w:sz w:val="28"/>
          <w:szCs w:val="28"/>
          <w:highlight w:val="none"/>
        </w:rPr>
        <w:t>第</w:t>
      </w:r>
      <w:r>
        <w:rPr>
          <w:rFonts w:hint="default" w:ascii="仿宋" w:hAnsi="仿宋" w:eastAsia="仿宋" w:cs="仿宋"/>
          <w:b/>
          <w:bCs w:val="0"/>
          <w:color w:val="auto"/>
          <w:kern w:val="0"/>
          <w:sz w:val="28"/>
          <w:szCs w:val="28"/>
          <w:highlight w:val="none"/>
        </w:rPr>
        <w:t>三</w:t>
      </w:r>
      <w:r>
        <w:rPr>
          <w:rFonts w:hint="eastAsia" w:ascii="仿宋" w:hAnsi="仿宋" w:eastAsia="仿宋" w:cs="仿宋"/>
          <w:b/>
          <w:bCs w:val="0"/>
          <w:color w:val="auto"/>
          <w:kern w:val="0"/>
          <w:sz w:val="28"/>
          <w:szCs w:val="28"/>
          <w:highlight w:val="none"/>
        </w:rPr>
        <w:t>章 评选办法</w:t>
      </w:r>
      <w:bookmarkEnd w:id="33"/>
      <w:bookmarkEnd w:id="34"/>
      <w:bookmarkEnd w:id="337"/>
      <w:bookmarkEnd w:id="338"/>
      <w:bookmarkEnd w:id="339"/>
      <w:bookmarkEnd w:id="340"/>
      <w:bookmarkEnd w:id="341"/>
      <w:bookmarkEnd w:id="342"/>
      <w:bookmarkEnd w:id="343"/>
    </w:p>
    <w:p w14:paraId="36ED7E19">
      <w:pPr>
        <w:pStyle w:val="3"/>
        <w:snapToGrid w:val="0"/>
        <w:spacing w:before="240" w:after="120" w:line="360" w:lineRule="auto"/>
        <w:rPr>
          <w:rFonts w:hint="eastAsia" w:ascii="仿宋" w:hAnsi="仿宋" w:eastAsia="仿宋" w:cs="仿宋"/>
          <w:bCs w:val="0"/>
          <w:color w:val="auto"/>
          <w:sz w:val="24"/>
          <w:szCs w:val="24"/>
          <w:highlight w:val="none"/>
        </w:rPr>
      </w:pPr>
      <w:bookmarkStart w:id="344" w:name="_Toc20062"/>
      <w:bookmarkStart w:id="345" w:name="_Toc8425"/>
      <w:bookmarkStart w:id="346" w:name="_Toc85401339"/>
      <w:bookmarkStart w:id="347" w:name="_Toc9618"/>
      <w:bookmarkStart w:id="348" w:name="_Toc450489344"/>
      <w:bookmarkStart w:id="349" w:name="_Toc447265274"/>
      <w:bookmarkStart w:id="350" w:name="_Toc5972"/>
      <w:bookmarkStart w:id="351" w:name="_Toc25350"/>
      <w:bookmarkStart w:id="352" w:name="_Toc447265560"/>
      <w:bookmarkStart w:id="353" w:name="_Toc31106"/>
      <w:bookmarkStart w:id="354" w:name="_Toc227057922"/>
      <w:bookmarkStart w:id="355" w:name="_Toc107822520"/>
      <w:bookmarkStart w:id="356" w:name="_Toc226969316"/>
      <w:bookmarkStart w:id="357" w:name="_Toc447265562"/>
      <w:bookmarkStart w:id="358" w:name="_Toc447265276"/>
      <w:r>
        <w:rPr>
          <w:rFonts w:hint="eastAsia" w:ascii="仿宋" w:hAnsi="仿宋" w:eastAsia="仿宋" w:cs="仿宋"/>
          <w:bCs w:val="0"/>
          <w:color w:val="auto"/>
          <w:sz w:val="24"/>
          <w:szCs w:val="24"/>
          <w:highlight w:val="none"/>
        </w:rPr>
        <w:t>评选办法前附表</w:t>
      </w:r>
      <w:bookmarkEnd w:id="344"/>
      <w:bookmarkEnd w:id="345"/>
      <w:bookmarkEnd w:id="346"/>
      <w:bookmarkEnd w:id="347"/>
      <w:bookmarkEnd w:id="348"/>
      <w:bookmarkEnd w:id="349"/>
      <w:bookmarkEnd w:id="350"/>
      <w:bookmarkEnd w:id="351"/>
      <w:bookmarkEnd w:id="352"/>
      <w:bookmarkEnd w:id="353"/>
    </w:p>
    <w:p w14:paraId="500B636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1、采用综合评估法。</w:t>
      </w:r>
    </w:p>
    <w:p w14:paraId="5FF1CDA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审标准：首先进行初步评审，只有通过初步评审的参选文件才能进行详细评审，参选人符合初步评审的所有条款视为通过初步评审，任何一条不符合视为不通过；其次进行详细评审：对通过初步评审的参选文件进行详细评审。</w:t>
      </w:r>
    </w:p>
    <w:p w14:paraId="5A6B219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2.1初步评审内容如下：</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607"/>
        <w:gridCol w:w="1549"/>
        <w:gridCol w:w="5771"/>
      </w:tblGrid>
      <w:tr w14:paraId="7388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pct"/>
            <w:gridSpan w:val="2"/>
            <w:shd w:val="clear" w:color="auto" w:fill="auto"/>
            <w:vAlign w:val="center"/>
          </w:tcPr>
          <w:p w14:paraId="5AF5426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909" w:type="pct"/>
            <w:shd w:val="clear" w:color="auto" w:fill="auto"/>
            <w:vAlign w:val="center"/>
          </w:tcPr>
          <w:p w14:paraId="0E003B83">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评选内容</w:t>
            </w:r>
          </w:p>
        </w:tc>
        <w:tc>
          <w:tcPr>
            <w:tcW w:w="3386" w:type="pct"/>
            <w:shd w:val="clear" w:color="auto" w:fill="auto"/>
            <w:vAlign w:val="center"/>
          </w:tcPr>
          <w:p w14:paraId="39F7D3E0">
            <w:pPr>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评选标准</w:t>
            </w:r>
          </w:p>
        </w:tc>
      </w:tr>
      <w:tr w14:paraId="7F42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49" w:type="pct"/>
            <w:vMerge w:val="restart"/>
            <w:shd w:val="clear" w:color="auto" w:fill="auto"/>
            <w:vAlign w:val="center"/>
          </w:tcPr>
          <w:p w14:paraId="46D6522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356" w:type="pct"/>
            <w:vMerge w:val="restart"/>
            <w:vAlign w:val="center"/>
          </w:tcPr>
          <w:p w14:paraId="271A72B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初步评审</w:t>
            </w:r>
          </w:p>
        </w:tc>
        <w:tc>
          <w:tcPr>
            <w:tcW w:w="909" w:type="pct"/>
            <w:shd w:val="clear" w:color="auto" w:fill="auto"/>
            <w:vAlign w:val="center"/>
          </w:tcPr>
          <w:p w14:paraId="3CAFBA6F">
            <w:pPr>
              <w:widowControl/>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参选人名称</w:t>
            </w:r>
          </w:p>
        </w:tc>
        <w:tc>
          <w:tcPr>
            <w:tcW w:w="3386" w:type="pct"/>
            <w:shd w:val="clear" w:color="auto" w:fill="auto"/>
            <w:vAlign w:val="center"/>
          </w:tcPr>
          <w:p w14:paraId="3C901A01">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与营业执照等证书中的单位名称一致。</w:t>
            </w:r>
          </w:p>
        </w:tc>
      </w:tr>
      <w:tr w14:paraId="7301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49" w:type="pct"/>
            <w:vMerge w:val="continue"/>
            <w:shd w:val="clear" w:color="auto" w:fill="auto"/>
            <w:vAlign w:val="center"/>
          </w:tcPr>
          <w:p w14:paraId="30300894">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3DC5D288">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692A912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参选文件签字盖章</w:t>
            </w:r>
          </w:p>
        </w:tc>
        <w:tc>
          <w:tcPr>
            <w:tcW w:w="3386" w:type="pct"/>
            <w:shd w:val="clear" w:color="auto" w:fill="auto"/>
            <w:vAlign w:val="center"/>
          </w:tcPr>
          <w:p w14:paraId="210F9EFF">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（1）参选文件中凡出现参选人单位落款的地方应加盖单位公章或投标专用章。</w:t>
            </w:r>
          </w:p>
          <w:p w14:paraId="6F5372F4">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（2）参选文件中凡出现要求签字的地方应由法定代表人或其委托代理人签字。</w:t>
            </w:r>
          </w:p>
          <w:p w14:paraId="6F6DDE11">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（3）参选文件签字盖章必须满足以下其中一条规定：</w:t>
            </w:r>
          </w:p>
          <w:p w14:paraId="64ED33E0">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A</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参选人加盖骑缝章；</w:t>
            </w:r>
          </w:p>
          <w:p w14:paraId="7AEC0265">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B</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参选人页盖单位公章或投标专用章；</w:t>
            </w:r>
          </w:p>
          <w:p w14:paraId="4B24DDB8">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C</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参选人的法定代表人或其委托代理人逐页手签。</w:t>
            </w:r>
          </w:p>
          <w:p w14:paraId="605AAD97">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（4）如使用投标专用章的，应提供公章对投标专用章授权说明。</w:t>
            </w:r>
          </w:p>
          <w:p w14:paraId="11C25A37">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请按上述要求制作参选文件，否则其参选将被否决。</w:t>
            </w:r>
          </w:p>
          <w:p w14:paraId="680BBA15">
            <w:pPr>
              <w:autoSpaceDE w:val="0"/>
              <w:autoSpaceDN w:val="0"/>
              <w:spacing w:line="36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注：打印、手签后扫描为图片等签字形式签署的参选文件均无效。</w:t>
            </w:r>
          </w:p>
          <w:p w14:paraId="24EEAA1F">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 w:val="20"/>
                <w:szCs w:val="20"/>
                <w:highlight w:val="none"/>
              </w:rPr>
              <w:t>以上4点要求须全部满足。</w:t>
            </w:r>
          </w:p>
        </w:tc>
      </w:tr>
      <w:tr w14:paraId="04EC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49" w:type="pct"/>
            <w:vMerge w:val="continue"/>
            <w:shd w:val="clear" w:color="auto" w:fill="auto"/>
            <w:vAlign w:val="center"/>
          </w:tcPr>
          <w:p w14:paraId="0F907220">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3376E5CE">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735AE1CE">
            <w:pPr>
              <w:widowControl/>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投标专用章授权书（如有）</w:t>
            </w:r>
          </w:p>
        </w:tc>
        <w:tc>
          <w:tcPr>
            <w:tcW w:w="3386" w:type="pct"/>
            <w:shd w:val="clear" w:color="auto" w:fill="auto"/>
            <w:vAlign w:val="center"/>
          </w:tcPr>
          <w:p w14:paraId="0095911A">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若参选人使用投标专用章参加参选，必须提供该投标专用章授权文件，授权文件上必须体现</w:t>
            </w:r>
            <w:r>
              <w:rPr>
                <w:rFonts w:hint="eastAsia" w:ascii="仿宋" w:hAnsi="仿宋" w:eastAsia="仿宋" w:cs="仿宋"/>
                <w:color w:val="auto"/>
                <w:kern w:val="0"/>
                <w:szCs w:val="21"/>
                <w:highlight w:val="none"/>
                <w:lang w:eastAsia="zh-CN"/>
              </w:rPr>
              <w:t>两枚</w:t>
            </w:r>
            <w:r>
              <w:rPr>
                <w:rFonts w:hint="eastAsia" w:ascii="仿宋" w:hAnsi="仿宋" w:eastAsia="仿宋" w:cs="仿宋"/>
                <w:color w:val="auto"/>
                <w:kern w:val="0"/>
                <w:szCs w:val="21"/>
                <w:highlight w:val="none"/>
              </w:rPr>
              <w:t>公章（授权公司公章、投标专用章）。</w:t>
            </w:r>
          </w:p>
        </w:tc>
      </w:tr>
      <w:tr w14:paraId="4BC3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49" w:type="pct"/>
            <w:vMerge w:val="continue"/>
            <w:shd w:val="clear" w:color="auto" w:fill="auto"/>
            <w:vAlign w:val="center"/>
          </w:tcPr>
          <w:p w14:paraId="78CFEE8F">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5BFFCF94">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7FCB437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法定代表人（负责人）身份证明及法定代表人（负责人）授权委托书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如有授权</w:t>
            </w:r>
            <w:r>
              <w:rPr>
                <w:rFonts w:hint="eastAsia" w:ascii="仿宋" w:hAnsi="仿宋" w:eastAsia="仿宋" w:cs="仿宋"/>
                <w:color w:val="auto"/>
                <w:szCs w:val="21"/>
                <w:highlight w:val="none"/>
                <w:lang w:eastAsia="zh-CN"/>
              </w:rPr>
              <w:t>）</w:t>
            </w:r>
          </w:p>
        </w:tc>
        <w:tc>
          <w:tcPr>
            <w:tcW w:w="3386" w:type="pct"/>
            <w:shd w:val="clear" w:color="auto" w:fill="auto"/>
            <w:vAlign w:val="center"/>
          </w:tcPr>
          <w:p w14:paraId="33E74EB9">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参选人具有有效的法定代表人（负责人）身份证明及法定代表人（负责人）授权委托书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如有授权</w:t>
            </w:r>
            <w:r>
              <w:rPr>
                <w:rFonts w:hint="eastAsia" w:ascii="仿宋" w:hAnsi="仿宋" w:eastAsia="仿宋" w:cs="仿宋"/>
                <w:color w:val="auto"/>
                <w:szCs w:val="21"/>
                <w:highlight w:val="none"/>
                <w:lang w:eastAsia="zh-CN"/>
              </w:rPr>
              <w:t>）</w:t>
            </w:r>
          </w:p>
        </w:tc>
      </w:tr>
      <w:tr w14:paraId="466B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31DC708E">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70D6C9C8">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7B07E175">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营业执照等</w:t>
            </w:r>
          </w:p>
        </w:tc>
        <w:tc>
          <w:tcPr>
            <w:tcW w:w="3386" w:type="pct"/>
            <w:shd w:val="clear" w:color="auto" w:fill="auto"/>
            <w:vAlign w:val="center"/>
          </w:tcPr>
          <w:p w14:paraId="7861439B">
            <w:pPr>
              <w:spacing w:line="360" w:lineRule="auto"/>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参选人须是在中华人民共和国境内注册，合法运作并独立于比选人，具备独立法人资格或依法登记注册的组织，有能力为本项目提供技术服务的能力，具有有效的营业执照或事业单位法人证书。</w:t>
            </w:r>
          </w:p>
        </w:tc>
      </w:tr>
      <w:tr w14:paraId="41C0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260533FF">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30A88438">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4BE5363A">
            <w:pPr>
              <w:spacing w:line="360" w:lineRule="auto"/>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参选情况</w:t>
            </w:r>
          </w:p>
        </w:tc>
        <w:tc>
          <w:tcPr>
            <w:tcW w:w="3386" w:type="pct"/>
            <w:shd w:val="clear" w:color="auto" w:fill="auto"/>
            <w:vAlign w:val="center"/>
          </w:tcPr>
          <w:p w14:paraId="335E3FC3">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单位负责人为同一人或存在控股、管理关系的不同单位，不得参加同一标段参选或未划分标段的同一比选项目参选。</w:t>
            </w:r>
          </w:p>
        </w:tc>
      </w:tr>
      <w:tr w14:paraId="4208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23B1D978">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78F09DFE">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41EA0B77">
            <w:pPr>
              <w:spacing w:line="360" w:lineRule="auto"/>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联合体</w:t>
            </w:r>
          </w:p>
        </w:tc>
        <w:tc>
          <w:tcPr>
            <w:tcW w:w="3386" w:type="pct"/>
            <w:shd w:val="clear" w:color="auto" w:fill="auto"/>
            <w:vAlign w:val="center"/>
          </w:tcPr>
          <w:p w14:paraId="4AC6A72D">
            <w:pPr>
              <w:spacing w:line="360" w:lineRule="auto"/>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本项目不接受联合体参选。</w:t>
            </w:r>
          </w:p>
        </w:tc>
      </w:tr>
      <w:tr w14:paraId="771F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52767511">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2575DF4D">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36044372">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参选人不得存在下列情形之一</w:t>
            </w:r>
          </w:p>
        </w:tc>
        <w:tc>
          <w:tcPr>
            <w:tcW w:w="3386" w:type="pct"/>
            <w:shd w:val="clear" w:color="auto" w:fill="auto"/>
            <w:vAlign w:val="center"/>
          </w:tcPr>
          <w:p w14:paraId="5C9C4846">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参选人不得存在下列情形之一（提供承诺函）：</w:t>
            </w:r>
          </w:p>
          <w:p w14:paraId="728D99CA">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（1）被责令停业的； </w:t>
            </w:r>
          </w:p>
          <w:p w14:paraId="3D51DDF5">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（2）被暂停或者取消投标资格的； </w:t>
            </w:r>
          </w:p>
          <w:p w14:paraId="08BCD859">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（3）财产被接管或者冻结的；</w:t>
            </w:r>
          </w:p>
          <w:p w14:paraId="4FC487BA">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（4）在最近三年内有骗取中标、严重违约或者取消供应商资格的；</w:t>
            </w:r>
          </w:p>
          <w:p w14:paraId="4197C9A8">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（5）法律法规限定的其他情形。</w:t>
            </w:r>
          </w:p>
        </w:tc>
      </w:tr>
      <w:tr w14:paraId="44C0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20973CAA">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64FF07EB">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26DFAB1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参选有效期</w:t>
            </w:r>
          </w:p>
        </w:tc>
        <w:tc>
          <w:tcPr>
            <w:tcW w:w="3386" w:type="pct"/>
            <w:shd w:val="clear" w:color="auto" w:fill="auto"/>
            <w:vAlign w:val="center"/>
          </w:tcPr>
          <w:p w14:paraId="6DB49B8D">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不少于90天。</w:t>
            </w:r>
          </w:p>
        </w:tc>
      </w:tr>
      <w:tr w14:paraId="25A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2369D102">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2D83FB37">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3B493D61">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参选保证金</w:t>
            </w:r>
          </w:p>
        </w:tc>
        <w:tc>
          <w:tcPr>
            <w:tcW w:w="3386" w:type="pct"/>
            <w:shd w:val="clear" w:color="auto" w:fill="auto"/>
            <w:vAlign w:val="center"/>
          </w:tcPr>
          <w:p w14:paraId="03C48843">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en-US" w:eastAsia="zh-CN"/>
              </w:rPr>
              <w:t>本次</w:t>
            </w:r>
            <w:r>
              <w:rPr>
                <w:rFonts w:hint="eastAsia" w:ascii="仿宋" w:hAnsi="仿宋" w:eastAsia="仿宋" w:cs="仿宋"/>
                <w:color w:val="auto"/>
                <w:szCs w:val="21"/>
                <w:highlight w:val="none"/>
              </w:rPr>
              <w:t>比选</w:t>
            </w:r>
            <w:r>
              <w:rPr>
                <w:rFonts w:hint="eastAsia" w:ascii="仿宋" w:hAnsi="仿宋" w:eastAsia="仿宋" w:cs="仿宋"/>
                <w:color w:val="auto"/>
                <w:szCs w:val="21"/>
                <w:highlight w:val="none"/>
                <w:lang w:val="en-US" w:eastAsia="zh-CN"/>
              </w:rPr>
              <w:t>无须</w:t>
            </w:r>
            <w:r>
              <w:rPr>
                <w:rFonts w:hint="eastAsia" w:ascii="仿宋" w:hAnsi="仿宋" w:eastAsia="仿宋" w:cs="仿宋"/>
                <w:color w:val="auto"/>
                <w:szCs w:val="21"/>
                <w:highlight w:val="none"/>
              </w:rPr>
              <w:t>提交参选保证金。</w:t>
            </w:r>
          </w:p>
        </w:tc>
      </w:tr>
      <w:tr w14:paraId="6D16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55763427">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32BB9DA7">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629BCF35">
            <w:pPr>
              <w:widowControl/>
              <w:spacing w:line="360" w:lineRule="auto"/>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参选报价</w:t>
            </w:r>
          </w:p>
        </w:tc>
        <w:tc>
          <w:tcPr>
            <w:tcW w:w="3386" w:type="pct"/>
            <w:shd w:val="clear" w:color="auto" w:fill="auto"/>
            <w:vAlign w:val="center"/>
          </w:tcPr>
          <w:p w14:paraId="0E68FF4C">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无“参选报价低于成本或者高于比选文件设定的最高参选限价”的情况。</w:t>
            </w:r>
          </w:p>
        </w:tc>
      </w:tr>
      <w:tr w14:paraId="3997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1A2A63F9">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6749F563">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1B57BE12">
            <w:pPr>
              <w:widowControl/>
              <w:spacing w:line="360" w:lineRule="auto"/>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廉洁承诺书</w:t>
            </w:r>
          </w:p>
        </w:tc>
        <w:tc>
          <w:tcPr>
            <w:tcW w:w="3386" w:type="pct"/>
            <w:shd w:val="clear" w:color="auto" w:fill="auto"/>
            <w:vAlign w:val="center"/>
          </w:tcPr>
          <w:p w14:paraId="1023699F">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按比选文件规定提供有效的廉洁承诺书。</w:t>
            </w:r>
          </w:p>
        </w:tc>
      </w:tr>
      <w:tr w14:paraId="7287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0A921384">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21037131">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1C1A2E28">
            <w:pPr>
              <w:widowControl/>
              <w:spacing w:line="360" w:lineRule="auto"/>
              <w:ind w:firstLine="210" w:firstLineChars="10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商务、技术偏差表</w:t>
            </w:r>
          </w:p>
        </w:tc>
        <w:tc>
          <w:tcPr>
            <w:tcW w:w="3386" w:type="pct"/>
            <w:shd w:val="clear" w:color="auto" w:fill="auto"/>
            <w:vAlign w:val="center"/>
          </w:tcPr>
          <w:p w14:paraId="336987B4">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商务、技术偏差表无负偏差。</w:t>
            </w:r>
          </w:p>
        </w:tc>
      </w:tr>
      <w:tr w14:paraId="61E1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9" w:type="pct"/>
            <w:vMerge w:val="continue"/>
            <w:shd w:val="clear" w:color="auto" w:fill="auto"/>
            <w:vAlign w:val="center"/>
          </w:tcPr>
          <w:p w14:paraId="5F37A831">
            <w:pPr>
              <w:spacing w:line="360" w:lineRule="auto"/>
              <w:ind w:firstLine="420" w:firstLineChars="200"/>
              <w:jc w:val="center"/>
              <w:rPr>
                <w:rFonts w:hint="eastAsia" w:ascii="仿宋" w:hAnsi="仿宋" w:eastAsia="仿宋" w:cs="仿宋"/>
                <w:color w:val="auto"/>
                <w:szCs w:val="21"/>
                <w:highlight w:val="none"/>
              </w:rPr>
            </w:pPr>
          </w:p>
        </w:tc>
        <w:tc>
          <w:tcPr>
            <w:tcW w:w="356" w:type="pct"/>
            <w:vMerge w:val="continue"/>
            <w:vAlign w:val="center"/>
          </w:tcPr>
          <w:p w14:paraId="753C5968">
            <w:pPr>
              <w:spacing w:line="360" w:lineRule="auto"/>
              <w:ind w:firstLine="420" w:firstLineChars="200"/>
              <w:jc w:val="center"/>
              <w:rPr>
                <w:rFonts w:hint="eastAsia" w:ascii="仿宋" w:hAnsi="仿宋" w:eastAsia="仿宋" w:cs="仿宋"/>
                <w:color w:val="auto"/>
                <w:szCs w:val="21"/>
                <w:highlight w:val="none"/>
              </w:rPr>
            </w:pPr>
          </w:p>
        </w:tc>
        <w:tc>
          <w:tcPr>
            <w:tcW w:w="909" w:type="pct"/>
            <w:shd w:val="clear" w:color="auto" w:fill="auto"/>
            <w:vAlign w:val="center"/>
          </w:tcPr>
          <w:p w14:paraId="273EE36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比选文件实质性条款响应情况及</w:t>
            </w:r>
            <w:r>
              <w:rPr>
                <w:rFonts w:hint="eastAsia" w:ascii="仿宋" w:hAnsi="仿宋" w:eastAsia="仿宋" w:cs="仿宋"/>
                <w:color w:val="auto"/>
                <w:szCs w:val="21"/>
                <w:highlight w:val="none"/>
                <w:lang w:eastAsia="zh-CN"/>
              </w:rPr>
              <w:t>其他情况</w:t>
            </w:r>
          </w:p>
        </w:tc>
        <w:tc>
          <w:tcPr>
            <w:tcW w:w="3386" w:type="pct"/>
            <w:shd w:val="clear" w:color="auto" w:fill="auto"/>
            <w:vAlign w:val="center"/>
          </w:tcPr>
          <w:p w14:paraId="32A7446E">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1、对比选文件中标注“※”号的要求全部满足或优于；</w:t>
            </w:r>
          </w:p>
          <w:p w14:paraId="55F91184">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2、响应比选文件的</w:t>
            </w:r>
            <w:r>
              <w:rPr>
                <w:rFonts w:hint="eastAsia" w:ascii="仿宋" w:hAnsi="仿宋" w:eastAsia="仿宋" w:cs="仿宋"/>
                <w:color w:val="auto"/>
                <w:szCs w:val="21"/>
                <w:highlight w:val="none"/>
                <w:lang w:eastAsia="zh-CN"/>
              </w:rPr>
              <w:t>其他</w:t>
            </w:r>
            <w:r>
              <w:rPr>
                <w:rFonts w:hint="eastAsia" w:ascii="仿宋" w:hAnsi="仿宋" w:eastAsia="仿宋" w:cs="仿宋"/>
                <w:color w:val="auto"/>
                <w:szCs w:val="21"/>
                <w:highlight w:val="none"/>
              </w:rPr>
              <w:t>实质性内容；</w:t>
            </w:r>
          </w:p>
          <w:p w14:paraId="4F21E1D3">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3、不违反国家及部委相关法律法规的</w:t>
            </w:r>
            <w:r>
              <w:rPr>
                <w:rFonts w:hint="eastAsia" w:ascii="仿宋" w:hAnsi="仿宋" w:eastAsia="仿宋" w:cs="仿宋"/>
                <w:color w:val="auto"/>
                <w:szCs w:val="21"/>
                <w:highlight w:val="none"/>
                <w:lang w:eastAsia="zh-CN"/>
              </w:rPr>
              <w:t>其他</w:t>
            </w:r>
            <w:r>
              <w:rPr>
                <w:rFonts w:hint="eastAsia" w:ascii="仿宋" w:hAnsi="仿宋" w:eastAsia="仿宋" w:cs="仿宋"/>
                <w:color w:val="auto"/>
                <w:szCs w:val="21"/>
                <w:highlight w:val="none"/>
              </w:rPr>
              <w:t>规定。</w:t>
            </w:r>
          </w:p>
        </w:tc>
      </w:tr>
    </w:tbl>
    <w:p w14:paraId="175DD97E">
      <w:pPr>
        <w:tabs>
          <w:tab w:val="left" w:pos="567"/>
        </w:tabs>
        <w:spacing w:line="360" w:lineRule="auto"/>
        <w:rPr>
          <w:rFonts w:hint="eastAsia" w:ascii="仿宋" w:hAnsi="仿宋" w:eastAsia="仿宋" w:cs="仿宋"/>
          <w:color w:val="auto"/>
          <w:spacing w:val="2"/>
          <w:szCs w:val="21"/>
          <w:highlight w:val="none"/>
        </w:rPr>
      </w:pPr>
      <w:r>
        <w:rPr>
          <w:rFonts w:hint="eastAsia" w:ascii="仿宋" w:hAnsi="仿宋" w:eastAsia="仿宋" w:cs="仿宋"/>
          <w:color w:val="auto"/>
          <w:spacing w:val="2"/>
          <w:sz w:val="24"/>
          <w:highlight w:val="none"/>
        </w:rPr>
        <w:br w:type="page"/>
      </w:r>
      <w:r>
        <w:rPr>
          <w:rFonts w:hint="eastAsia" w:ascii="仿宋" w:hAnsi="仿宋" w:eastAsia="仿宋" w:cs="仿宋"/>
          <w:color w:val="auto"/>
          <w:spacing w:val="2"/>
          <w:szCs w:val="21"/>
          <w:highlight w:val="none"/>
        </w:rPr>
        <w:t>2.2详细评审：</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18"/>
        <w:gridCol w:w="436"/>
        <w:gridCol w:w="844"/>
        <w:gridCol w:w="7"/>
        <w:gridCol w:w="704"/>
        <w:gridCol w:w="5294"/>
      </w:tblGrid>
      <w:tr w14:paraId="5E88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gridSpan w:val="2"/>
            <w:vAlign w:val="center"/>
          </w:tcPr>
          <w:p w14:paraId="066D7112">
            <w:pPr>
              <w:topLinePunct/>
              <w:spacing w:line="360" w:lineRule="auto"/>
              <w:ind w:firstLine="199" w:firstLineChars="95"/>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1168" w:type="pct"/>
            <w:gridSpan w:val="4"/>
            <w:vAlign w:val="center"/>
          </w:tcPr>
          <w:p w14:paraId="2F977F28">
            <w:pPr>
              <w:topLinePunct/>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61F5DD2C">
            <w:pPr>
              <w:topLinePunct/>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总分100分</w:t>
            </w:r>
            <w:r>
              <w:rPr>
                <w:rFonts w:hint="eastAsia" w:ascii="仿宋" w:hAnsi="仿宋" w:eastAsia="仿宋" w:cs="仿宋"/>
                <w:color w:val="auto"/>
                <w:szCs w:val="21"/>
                <w:highlight w:val="none"/>
                <w:lang w:eastAsia="zh-CN"/>
              </w:rPr>
              <w:t>）</w:t>
            </w:r>
          </w:p>
        </w:tc>
        <w:tc>
          <w:tcPr>
            <w:tcW w:w="3106" w:type="pct"/>
            <w:vAlign w:val="center"/>
          </w:tcPr>
          <w:p w14:paraId="3032D14E">
            <w:pPr>
              <w:topLinePunct/>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技术得分：</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p w14:paraId="28945B87">
            <w:pPr>
              <w:topLinePunct/>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商务</w:t>
            </w:r>
            <w:r>
              <w:rPr>
                <w:rFonts w:hint="eastAsia" w:ascii="仿宋" w:hAnsi="仿宋" w:eastAsia="仿宋" w:cs="仿宋"/>
                <w:color w:val="auto"/>
                <w:szCs w:val="21"/>
                <w:highlight w:val="none"/>
              </w:rPr>
              <w:t>得分：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r>
      <w:tr w14:paraId="088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gridSpan w:val="2"/>
            <w:vAlign w:val="center"/>
          </w:tcPr>
          <w:p w14:paraId="2676B68E">
            <w:pPr>
              <w:topLinePunct/>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1168" w:type="pct"/>
            <w:gridSpan w:val="4"/>
            <w:vAlign w:val="center"/>
          </w:tcPr>
          <w:p w14:paraId="33461CA9">
            <w:pPr>
              <w:topLinePunct/>
              <w:spacing w:line="360" w:lineRule="auto"/>
              <w:ind w:firstLine="198" w:firstLineChars="9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条款内容</w:t>
            </w:r>
          </w:p>
        </w:tc>
        <w:tc>
          <w:tcPr>
            <w:tcW w:w="3106" w:type="pct"/>
            <w:vAlign w:val="center"/>
          </w:tcPr>
          <w:p w14:paraId="23C64647">
            <w:pPr>
              <w:topLinePunct/>
              <w:spacing w:line="360" w:lineRule="auto"/>
              <w:ind w:firstLine="422" w:firstLineChars="20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编列内容</w:t>
            </w:r>
          </w:p>
        </w:tc>
      </w:tr>
      <w:tr w14:paraId="6D69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restart"/>
            <w:vAlign w:val="center"/>
          </w:tcPr>
          <w:p w14:paraId="209F42A6">
            <w:pPr>
              <w:topLinePunct/>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303" w:type="pct"/>
            <w:vMerge w:val="restart"/>
            <w:vAlign w:val="center"/>
          </w:tcPr>
          <w:p w14:paraId="18CC967A">
            <w:pPr>
              <w:topLinePunct/>
              <w:snapToGrid w:val="0"/>
              <w:spacing w:line="360" w:lineRule="auto"/>
              <w:ind w:firstLine="420" w:firstLineChars="200"/>
              <w:jc w:val="center"/>
              <w:rPr>
                <w:rFonts w:hint="eastAsia" w:ascii="仿宋" w:hAnsi="仿宋" w:eastAsia="仿宋" w:cs="仿宋"/>
                <w:b/>
                <w:bCs/>
                <w:color w:val="auto"/>
                <w:kern w:val="0"/>
                <w:szCs w:val="21"/>
                <w:highlight w:val="none"/>
                <w:lang w:eastAsia="zh-CN"/>
              </w:rPr>
            </w:pPr>
            <w:r>
              <w:rPr>
                <w:rFonts w:hint="eastAsia" w:ascii="仿宋" w:hAnsi="仿宋" w:eastAsia="仿宋" w:cs="仿宋"/>
                <w:color w:val="auto"/>
                <w:szCs w:val="21"/>
                <w:highlight w:val="none"/>
              </w:rPr>
              <w:t>详技术</w:t>
            </w:r>
            <w:r>
              <w:rPr>
                <w:rFonts w:hint="eastAsia" w:ascii="仿宋" w:hAnsi="仿宋" w:eastAsia="仿宋" w:cs="仿宋"/>
                <w:color w:val="auto"/>
                <w:szCs w:val="21"/>
                <w:highlight w:val="none"/>
                <w:lang w:val="en-US" w:eastAsia="zh-CN"/>
              </w:rPr>
              <w:t>得分</w:t>
            </w:r>
          </w:p>
        </w:tc>
        <w:tc>
          <w:tcPr>
            <w:tcW w:w="255" w:type="pct"/>
            <w:vAlign w:val="center"/>
          </w:tcPr>
          <w:p w14:paraId="7BB57453">
            <w:pPr>
              <w:topLinePunct/>
              <w:spacing w:line="360" w:lineRule="auto"/>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495" w:type="pct"/>
            <w:vAlign w:val="center"/>
          </w:tcPr>
          <w:p w14:paraId="7B3C8238">
            <w:pPr>
              <w:topLinePunct/>
              <w:spacing w:line="360" w:lineRule="auto"/>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审查因素</w:t>
            </w:r>
          </w:p>
        </w:tc>
        <w:tc>
          <w:tcPr>
            <w:tcW w:w="417" w:type="pct"/>
            <w:gridSpan w:val="2"/>
            <w:vAlign w:val="center"/>
          </w:tcPr>
          <w:p w14:paraId="5B5C981A">
            <w:pPr>
              <w:topLinePunct/>
              <w:spacing w:line="360" w:lineRule="auto"/>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分值</w:t>
            </w:r>
          </w:p>
        </w:tc>
        <w:tc>
          <w:tcPr>
            <w:tcW w:w="3106" w:type="pct"/>
            <w:vAlign w:val="center"/>
          </w:tcPr>
          <w:p w14:paraId="0A43FDBB">
            <w:pPr>
              <w:topLinePunct/>
              <w:spacing w:line="360" w:lineRule="auto"/>
              <w:ind w:firstLine="422" w:firstLineChars="20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评审标准</w:t>
            </w:r>
          </w:p>
        </w:tc>
      </w:tr>
      <w:tr w14:paraId="36F5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14:paraId="559EF12E">
            <w:pPr>
              <w:topLinePunct/>
              <w:spacing w:line="360" w:lineRule="auto"/>
              <w:ind w:firstLine="420" w:firstLineChars="200"/>
              <w:jc w:val="center"/>
              <w:rPr>
                <w:rFonts w:hint="eastAsia" w:ascii="仿宋" w:hAnsi="仿宋" w:eastAsia="仿宋" w:cs="仿宋"/>
                <w:color w:val="auto"/>
                <w:szCs w:val="21"/>
                <w:highlight w:val="none"/>
              </w:rPr>
            </w:pPr>
          </w:p>
        </w:tc>
        <w:tc>
          <w:tcPr>
            <w:tcW w:w="303" w:type="pct"/>
            <w:vMerge w:val="continue"/>
            <w:vAlign w:val="center"/>
          </w:tcPr>
          <w:p w14:paraId="4D97652D">
            <w:pPr>
              <w:topLinePunct/>
              <w:snapToGrid w:val="0"/>
              <w:spacing w:line="360" w:lineRule="auto"/>
              <w:ind w:firstLine="420" w:firstLineChars="200"/>
              <w:jc w:val="center"/>
              <w:rPr>
                <w:rFonts w:hint="eastAsia" w:ascii="仿宋" w:hAnsi="仿宋" w:eastAsia="仿宋" w:cs="仿宋"/>
                <w:color w:val="auto"/>
                <w:szCs w:val="21"/>
                <w:highlight w:val="none"/>
              </w:rPr>
            </w:pPr>
          </w:p>
        </w:tc>
        <w:tc>
          <w:tcPr>
            <w:tcW w:w="255" w:type="pct"/>
            <w:vAlign w:val="center"/>
          </w:tcPr>
          <w:p w14:paraId="441145AA">
            <w:pPr>
              <w:topLinePunct/>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p>
        </w:tc>
        <w:tc>
          <w:tcPr>
            <w:tcW w:w="495" w:type="pct"/>
            <w:vAlign w:val="center"/>
          </w:tcPr>
          <w:p w14:paraId="65AA6E30">
            <w:pPr>
              <w:widowControl/>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业绩</w:t>
            </w:r>
          </w:p>
        </w:tc>
        <w:tc>
          <w:tcPr>
            <w:tcW w:w="417" w:type="pct"/>
            <w:gridSpan w:val="2"/>
            <w:vAlign w:val="center"/>
          </w:tcPr>
          <w:p w14:paraId="565202B3">
            <w:pPr>
              <w:widowControl/>
              <w:spacing w:line="360" w:lineRule="auto"/>
              <w:ind w:firstLine="199" w:firstLineChars="95"/>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3106" w:type="pct"/>
            <w:vAlign w:val="center"/>
          </w:tcPr>
          <w:p w14:paraId="198335F4">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根据参选人</w:t>
            </w:r>
            <w:r>
              <w:rPr>
                <w:rFonts w:hint="eastAsia" w:ascii="仿宋" w:hAnsi="仿宋" w:eastAsia="仿宋" w:cs="仿宋"/>
                <w:color w:val="auto"/>
                <w:kern w:val="0"/>
                <w:szCs w:val="21"/>
                <w:highlight w:val="none"/>
                <w:lang w:val="en-US" w:eastAsia="zh-CN"/>
              </w:rPr>
              <w:t>2020</w:t>
            </w:r>
            <w:r>
              <w:rPr>
                <w:rFonts w:hint="eastAsia" w:ascii="仿宋" w:hAnsi="仿宋" w:eastAsia="仿宋" w:cs="仿宋"/>
                <w:color w:val="auto"/>
                <w:kern w:val="0"/>
                <w:szCs w:val="21"/>
                <w:highlight w:val="none"/>
              </w:rPr>
              <w:t>年1月1日（含）至本项目截止递交应答文件之日（含），国内承接过</w:t>
            </w:r>
            <w:r>
              <w:rPr>
                <w:rFonts w:hint="eastAsia" w:ascii="仿宋" w:hAnsi="仿宋" w:eastAsia="仿宋" w:cs="仿宋"/>
                <w:color w:val="auto"/>
                <w:kern w:val="0"/>
                <w:szCs w:val="21"/>
                <w:highlight w:val="none"/>
                <w:lang w:val="en-US" w:eastAsia="zh-CN"/>
              </w:rPr>
              <w:t>品牌/项目的市场</w:t>
            </w:r>
            <w:r>
              <w:rPr>
                <w:rFonts w:hint="eastAsia" w:ascii="仿宋" w:hAnsi="仿宋" w:eastAsia="仿宋" w:cs="仿宋"/>
                <w:color w:val="auto"/>
                <w:kern w:val="0"/>
                <w:szCs w:val="21"/>
                <w:highlight w:val="none"/>
                <w:lang w:eastAsia="zh-CN"/>
              </w:rPr>
              <w:t>整合传播</w:t>
            </w:r>
            <w:r>
              <w:rPr>
                <w:rFonts w:hint="eastAsia" w:ascii="仿宋" w:hAnsi="仿宋" w:eastAsia="仿宋" w:cs="仿宋"/>
                <w:color w:val="auto"/>
                <w:kern w:val="0"/>
                <w:szCs w:val="21"/>
                <w:highlight w:val="none"/>
              </w:rPr>
              <w:t>委托服务项目经验业绩进行评分：</w:t>
            </w:r>
          </w:p>
          <w:p w14:paraId="59B99C1E">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每具备1份有效项目业绩合同得</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分，满分</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w:t>
            </w:r>
          </w:p>
          <w:p w14:paraId="40A719DE">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备注：须提供项目合同证明材料（必须提供项目合同关键页复印件，至少包括合同首页、金额页、签章页、项目内容页。业绩时间以单项合同签订时间或框架协议的采购订单时间为准）。</w:t>
            </w:r>
          </w:p>
          <w:p w14:paraId="2D5BD48B">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框架协议需提供任意一份业绩要求时间内的采购订单，不提供或模糊不清的不予认可。</w:t>
            </w:r>
          </w:p>
        </w:tc>
      </w:tr>
      <w:tr w14:paraId="0773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14:paraId="0A1AE6AD">
            <w:pPr>
              <w:topLinePunct/>
              <w:spacing w:line="360" w:lineRule="auto"/>
              <w:ind w:firstLine="420" w:firstLineChars="200"/>
              <w:jc w:val="center"/>
              <w:rPr>
                <w:rFonts w:hint="eastAsia" w:ascii="仿宋" w:hAnsi="仿宋" w:eastAsia="仿宋" w:cs="仿宋"/>
                <w:color w:val="auto"/>
                <w:szCs w:val="21"/>
                <w:highlight w:val="none"/>
              </w:rPr>
            </w:pPr>
          </w:p>
        </w:tc>
        <w:tc>
          <w:tcPr>
            <w:tcW w:w="303" w:type="pct"/>
            <w:vMerge w:val="continue"/>
            <w:vAlign w:val="center"/>
          </w:tcPr>
          <w:p w14:paraId="45103EF5">
            <w:pPr>
              <w:topLinePunct/>
              <w:snapToGrid w:val="0"/>
              <w:spacing w:line="360" w:lineRule="auto"/>
              <w:ind w:firstLine="420" w:firstLineChars="200"/>
              <w:jc w:val="center"/>
              <w:rPr>
                <w:rFonts w:hint="eastAsia" w:ascii="仿宋" w:hAnsi="仿宋" w:eastAsia="仿宋" w:cs="仿宋"/>
                <w:color w:val="auto"/>
                <w:szCs w:val="21"/>
                <w:highlight w:val="none"/>
              </w:rPr>
            </w:pPr>
          </w:p>
        </w:tc>
        <w:tc>
          <w:tcPr>
            <w:tcW w:w="255" w:type="pct"/>
            <w:vAlign w:val="center"/>
          </w:tcPr>
          <w:p w14:paraId="1B4C1B1E">
            <w:pPr>
              <w:topLinePunct/>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2</w:t>
            </w:r>
          </w:p>
        </w:tc>
        <w:tc>
          <w:tcPr>
            <w:tcW w:w="495" w:type="pct"/>
            <w:vAlign w:val="center"/>
          </w:tcPr>
          <w:p w14:paraId="51B906C5">
            <w:pPr>
              <w:widowControl/>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服务团队</w:t>
            </w:r>
          </w:p>
        </w:tc>
        <w:tc>
          <w:tcPr>
            <w:tcW w:w="417" w:type="pct"/>
            <w:gridSpan w:val="2"/>
            <w:vAlign w:val="center"/>
          </w:tcPr>
          <w:p w14:paraId="4245883C">
            <w:pPr>
              <w:widowControl/>
              <w:spacing w:line="360" w:lineRule="auto"/>
              <w:ind w:firstLine="199" w:firstLineChars="95"/>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w:t>
            </w:r>
          </w:p>
        </w:tc>
        <w:tc>
          <w:tcPr>
            <w:tcW w:w="3106" w:type="pct"/>
            <w:vAlign w:val="center"/>
          </w:tcPr>
          <w:p w14:paraId="20D5F2F7">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服务团队投入服务人员数量</w:t>
            </w:r>
            <w:r>
              <w:rPr>
                <w:rFonts w:hint="eastAsia" w:ascii="仿宋" w:hAnsi="仿宋" w:eastAsia="仿宋" w:cs="仿宋"/>
                <w:color w:val="auto"/>
                <w:kern w:val="0"/>
                <w:szCs w:val="21"/>
                <w:highlight w:val="none"/>
                <w:lang w:val="en-US" w:eastAsia="zh-CN"/>
              </w:rPr>
              <w:t>低于（含）3</w:t>
            </w:r>
            <w:r>
              <w:rPr>
                <w:rFonts w:hint="eastAsia" w:ascii="仿宋" w:hAnsi="仿宋" w:eastAsia="仿宋" w:cs="仿宋"/>
                <w:color w:val="auto"/>
                <w:kern w:val="0"/>
                <w:szCs w:val="21"/>
                <w:highlight w:val="none"/>
              </w:rPr>
              <w:t>人不得分，每增加1人加</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分，本项满分</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分。</w:t>
            </w:r>
          </w:p>
          <w:p w14:paraId="00884961">
            <w:pPr>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备注：需提供服务人员的身份证正反面复印件（有效期内）。</w:t>
            </w:r>
          </w:p>
        </w:tc>
      </w:tr>
      <w:tr w14:paraId="0454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14:paraId="50983EBB">
            <w:pPr>
              <w:topLinePunct/>
              <w:spacing w:line="360" w:lineRule="auto"/>
              <w:ind w:firstLine="420" w:firstLineChars="200"/>
              <w:jc w:val="center"/>
              <w:rPr>
                <w:rFonts w:hint="eastAsia" w:ascii="仿宋" w:hAnsi="仿宋" w:eastAsia="仿宋" w:cs="仿宋"/>
                <w:color w:val="auto"/>
                <w:szCs w:val="21"/>
                <w:highlight w:val="none"/>
              </w:rPr>
            </w:pPr>
          </w:p>
        </w:tc>
        <w:tc>
          <w:tcPr>
            <w:tcW w:w="303" w:type="pct"/>
            <w:vMerge w:val="continue"/>
            <w:vAlign w:val="center"/>
          </w:tcPr>
          <w:p w14:paraId="7BAB6A91">
            <w:pPr>
              <w:topLinePunct/>
              <w:snapToGrid w:val="0"/>
              <w:spacing w:line="360" w:lineRule="auto"/>
              <w:ind w:firstLine="420" w:firstLineChars="200"/>
              <w:jc w:val="center"/>
              <w:rPr>
                <w:rFonts w:hint="eastAsia" w:ascii="仿宋" w:hAnsi="仿宋" w:eastAsia="仿宋" w:cs="仿宋"/>
                <w:color w:val="auto"/>
                <w:szCs w:val="21"/>
                <w:highlight w:val="none"/>
              </w:rPr>
            </w:pPr>
          </w:p>
        </w:tc>
        <w:tc>
          <w:tcPr>
            <w:tcW w:w="255" w:type="pct"/>
            <w:vAlign w:val="center"/>
          </w:tcPr>
          <w:p w14:paraId="7A242652">
            <w:pPr>
              <w:topLinePunct/>
              <w:snapToGri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495" w:type="pct"/>
            <w:vAlign w:val="center"/>
          </w:tcPr>
          <w:p w14:paraId="57DF1C7C">
            <w:pPr>
              <w:topLinePunct/>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整合传播</w:t>
            </w:r>
            <w:r>
              <w:rPr>
                <w:rFonts w:hint="eastAsia" w:ascii="仿宋" w:hAnsi="仿宋" w:eastAsia="仿宋" w:cs="仿宋"/>
                <w:color w:val="auto"/>
                <w:kern w:val="0"/>
                <w:szCs w:val="21"/>
                <w:highlight w:val="none"/>
              </w:rPr>
              <w:t>服务经验及案例</w:t>
            </w:r>
          </w:p>
        </w:tc>
        <w:tc>
          <w:tcPr>
            <w:tcW w:w="417" w:type="pct"/>
            <w:gridSpan w:val="2"/>
            <w:vAlign w:val="center"/>
          </w:tcPr>
          <w:p w14:paraId="2554B543">
            <w:pPr>
              <w:topLinePunct/>
              <w:snapToGrid w:val="0"/>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w:t>
            </w:r>
          </w:p>
        </w:tc>
        <w:tc>
          <w:tcPr>
            <w:tcW w:w="3106" w:type="pct"/>
            <w:vAlign w:val="center"/>
          </w:tcPr>
          <w:p w14:paraId="0C2149CE">
            <w:pPr>
              <w:topLinePunct/>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根据参选人提供的服务经验及案例进行评审，内容不限于</w:t>
            </w:r>
            <w:r>
              <w:rPr>
                <w:rFonts w:hint="eastAsia" w:ascii="仿宋" w:hAnsi="仿宋" w:eastAsia="仿宋" w:cs="仿宋"/>
                <w:b/>
                <w:bCs/>
                <w:color w:val="auto"/>
                <w:kern w:val="0"/>
                <w:szCs w:val="21"/>
                <w:highlight w:val="none"/>
              </w:rPr>
              <w:t>参选人具备大规模的商业类活动</w:t>
            </w:r>
            <w:r>
              <w:rPr>
                <w:rFonts w:hint="eastAsia" w:ascii="仿宋" w:hAnsi="仿宋" w:eastAsia="仿宋" w:cs="仿宋"/>
                <w:b/>
                <w:bCs/>
                <w:color w:val="auto"/>
                <w:kern w:val="0"/>
                <w:szCs w:val="21"/>
                <w:highlight w:val="none"/>
                <w:lang w:val="en-US" w:eastAsia="zh-CN"/>
              </w:rPr>
              <w:t>整合传播</w:t>
            </w:r>
            <w:r>
              <w:rPr>
                <w:rFonts w:hint="eastAsia" w:ascii="仿宋" w:hAnsi="仿宋" w:eastAsia="仿宋" w:cs="仿宋"/>
                <w:b/>
                <w:bCs/>
                <w:color w:val="auto"/>
                <w:kern w:val="0"/>
                <w:szCs w:val="21"/>
                <w:highlight w:val="none"/>
              </w:rPr>
              <w:t>经历、相关案例、专业的服务资质</w:t>
            </w:r>
            <w:r>
              <w:rPr>
                <w:rFonts w:hint="eastAsia" w:ascii="仿宋" w:hAnsi="仿宋" w:eastAsia="仿宋" w:cs="仿宋"/>
                <w:color w:val="auto"/>
                <w:kern w:val="0"/>
                <w:szCs w:val="21"/>
                <w:highlight w:val="none"/>
              </w:rPr>
              <w:t>等：</w:t>
            </w:r>
          </w:p>
          <w:p w14:paraId="74191643">
            <w:pPr>
              <w:topLinePunct/>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（1）优(</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]分：经验及案例详细、工作重点突出、有针对性，工作范围明确，有全面详细</w:t>
            </w:r>
            <w:r>
              <w:rPr>
                <w:rFonts w:hint="eastAsia" w:ascii="仿宋" w:hAnsi="仿宋" w:eastAsia="仿宋" w:cs="仿宋"/>
                <w:color w:val="auto"/>
                <w:kern w:val="0"/>
                <w:szCs w:val="21"/>
                <w:highlight w:val="none"/>
                <w:lang w:eastAsia="zh-CN"/>
              </w:rPr>
              <w:t>整合传播</w:t>
            </w:r>
            <w:r>
              <w:rPr>
                <w:rFonts w:hint="eastAsia" w:ascii="仿宋" w:hAnsi="仿宋" w:eastAsia="仿宋" w:cs="仿宋"/>
                <w:color w:val="auto"/>
                <w:kern w:val="0"/>
                <w:szCs w:val="21"/>
                <w:highlight w:val="none"/>
              </w:rPr>
              <w:t>服务经验介绍及相关案例、专业的服务资质，经验及案例切实可行。</w:t>
            </w:r>
          </w:p>
          <w:p w14:paraId="0177EB8D">
            <w:pPr>
              <w:topLinePunct/>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（2）良（</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]分：经验及案例基本完整、工作重点和范围基本明确，</w:t>
            </w:r>
            <w:r>
              <w:rPr>
                <w:rFonts w:hint="eastAsia" w:ascii="仿宋" w:hAnsi="仿宋" w:eastAsia="仿宋" w:cs="仿宋"/>
                <w:color w:val="auto"/>
                <w:kern w:val="0"/>
                <w:szCs w:val="21"/>
                <w:highlight w:val="none"/>
                <w:lang w:eastAsia="zh-CN"/>
              </w:rPr>
              <w:t>整合传播</w:t>
            </w:r>
            <w:r>
              <w:rPr>
                <w:rFonts w:hint="eastAsia" w:ascii="仿宋" w:hAnsi="仿宋" w:eastAsia="仿宋" w:cs="仿宋"/>
                <w:color w:val="auto"/>
                <w:kern w:val="0"/>
                <w:szCs w:val="21"/>
                <w:highlight w:val="none"/>
              </w:rPr>
              <w:t>服务经验介绍及相关案例、专业的服务资质</w:t>
            </w:r>
            <w:r>
              <w:rPr>
                <w:rFonts w:hint="eastAsia" w:ascii="仿宋" w:hAnsi="仿宋" w:eastAsia="仿宋" w:cs="仿宋"/>
                <w:color w:val="auto"/>
                <w:kern w:val="0"/>
                <w:szCs w:val="21"/>
                <w:highlight w:val="none"/>
                <w:lang w:eastAsia="zh-CN"/>
              </w:rPr>
              <w:t>比较</w:t>
            </w:r>
            <w:r>
              <w:rPr>
                <w:rFonts w:hint="eastAsia" w:ascii="仿宋" w:hAnsi="仿宋" w:eastAsia="仿宋" w:cs="仿宋"/>
                <w:color w:val="auto"/>
                <w:kern w:val="0"/>
                <w:szCs w:val="21"/>
                <w:highlight w:val="none"/>
              </w:rPr>
              <w:t>明确，经验及案例基本可行。</w:t>
            </w:r>
            <w:r>
              <w:rPr>
                <w:rFonts w:hint="eastAsia" w:ascii="仿宋" w:hAnsi="仿宋" w:eastAsia="仿宋" w:cs="仿宋"/>
                <w:color w:val="auto"/>
                <w:kern w:val="0"/>
                <w:szCs w:val="21"/>
                <w:highlight w:val="none"/>
                <w:lang w:eastAsia="zh-CN"/>
              </w:rPr>
              <w:t>整合传播</w:t>
            </w:r>
            <w:r>
              <w:rPr>
                <w:rFonts w:hint="eastAsia" w:ascii="仿宋" w:hAnsi="仿宋" w:eastAsia="仿宋" w:cs="仿宋"/>
                <w:color w:val="auto"/>
                <w:kern w:val="0"/>
                <w:szCs w:val="21"/>
                <w:highlight w:val="none"/>
              </w:rPr>
              <w:t>服务经验较少、案例内容欠明确，经验及案例参考值不高。</w:t>
            </w:r>
          </w:p>
          <w:p w14:paraId="57C038E8">
            <w:pPr>
              <w:topLinePunct/>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（3）较差得(0-</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]分，经验及案例内容欠完整、提供与项目不符的内容。</w:t>
            </w:r>
          </w:p>
        </w:tc>
      </w:tr>
      <w:tr w14:paraId="747C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14:paraId="2768AEA8">
            <w:pPr>
              <w:topLinePunct/>
              <w:spacing w:line="360" w:lineRule="auto"/>
              <w:ind w:firstLine="420" w:firstLineChars="200"/>
              <w:jc w:val="center"/>
              <w:rPr>
                <w:rFonts w:hint="eastAsia" w:ascii="仿宋" w:hAnsi="仿宋" w:eastAsia="仿宋" w:cs="仿宋"/>
                <w:color w:val="auto"/>
                <w:szCs w:val="21"/>
                <w:highlight w:val="none"/>
              </w:rPr>
            </w:pPr>
          </w:p>
        </w:tc>
        <w:tc>
          <w:tcPr>
            <w:tcW w:w="303" w:type="pct"/>
            <w:vMerge w:val="continue"/>
            <w:vAlign w:val="center"/>
          </w:tcPr>
          <w:p w14:paraId="76011DD9">
            <w:pPr>
              <w:topLinePunct/>
              <w:snapToGrid w:val="0"/>
              <w:spacing w:line="360" w:lineRule="auto"/>
              <w:ind w:firstLine="420" w:firstLineChars="200"/>
              <w:jc w:val="center"/>
              <w:rPr>
                <w:rFonts w:hint="eastAsia" w:ascii="仿宋" w:hAnsi="仿宋" w:eastAsia="仿宋" w:cs="仿宋"/>
                <w:color w:val="auto"/>
                <w:szCs w:val="21"/>
                <w:highlight w:val="none"/>
              </w:rPr>
            </w:pPr>
          </w:p>
        </w:tc>
        <w:tc>
          <w:tcPr>
            <w:tcW w:w="255" w:type="pct"/>
            <w:vAlign w:val="center"/>
          </w:tcPr>
          <w:p w14:paraId="23E2FE3A">
            <w:pPr>
              <w:topLinePunct/>
              <w:snapToGrid w:val="0"/>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495" w:type="pct"/>
            <w:vAlign w:val="center"/>
          </w:tcPr>
          <w:p w14:paraId="563FBC3A">
            <w:pPr>
              <w:topLinePunct/>
              <w:spacing w:line="360" w:lineRule="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服务方案</w:t>
            </w:r>
          </w:p>
        </w:tc>
        <w:tc>
          <w:tcPr>
            <w:tcW w:w="417" w:type="pct"/>
            <w:gridSpan w:val="2"/>
            <w:vAlign w:val="center"/>
          </w:tcPr>
          <w:p w14:paraId="6624F002">
            <w:pPr>
              <w:topLinePunct/>
              <w:spacing w:line="360" w:lineRule="auto"/>
              <w:ind w:firstLine="199" w:firstLineChars="95"/>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30</w:t>
            </w:r>
          </w:p>
        </w:tc>
        <w:tc>
          <w:tcPr>
            <w:tcW w:w="3106" w:type="pct"/>
            <w:vAlign w:val="center"/>
          </w:tcPr>
          <w:p w14:paraId="15AF360E">
            <w:pPr>
              <w:topLinePunct/>
              <w:spacing w:line="360" w:lineRule="auto"/>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根据参选人提供的</w:t>
            </w:r>
            <w:r>
              <w:rPr>
                <w:rFonts w:hint="eastAsia" w:ascii="仿宋" w:hAnsi="仿宋" w:eastAsia="仿宋" w:cs="仿宋"/>
                <w:b/>
                <w:color w:val="auto"/>
                <w:kern w:val="0"/>
                <w:szCs w:val="21"/>
                <w:highlight w:val="none"/>
              </w:rPr>
              <w:t>针对本项服务要求的服务方案进行评分，内容包括但不限于</w:t>
            </w:r>
            <w:r>
              <w:rPr>
                <w:rFonts w:hint="eastAsia" w:ascii="仿宋" w:hAnsi="仿宋" w:eastAsia="仿宋" w:cs="仿宋"/>
                <w:b/>
                <w:color w:val="auto"/>
                <w:kern w:val="0"/>
                <w:szCs w:val="21"/>
                <w:highlight w:val="none"/>
                <w:lang w:val="en-US" w:eastAsia="zh-CN"/>
              </w:rPr>
              <w:t>项目的市场分析、推广策略、实施计划、响应《第五章：技术规范书》服务清单</w:t>
            </w:r>
            <w:r>
              <w:rPr>
                <w:rFonts w:hint="eastAsia" w:ascii="仿宋" w:hAnsi="仿宋" w:eastAsia="仿宋" w:cs="仿宋"/>
                <w:b/>
                <w:bCs w:val="0"/>
                <w:color w:val="auto"/>
                <w:kern w:val="0"/>
                <w:sz w:val="21"/>
                <w:szCs w:val="21"/>
                <w:highlight w:val="none"/>
                <w:lang w:val="en-US" w:eastAsia="zh-CN"/>
              </w:rPr>
              <w:t>、服务计划、公司资质（证书）优势；</w:t>
            </w:r>
            <w:r>
              <w:rPr>
                <w:rFonts w:hint="eastAsia" w:ascii="仿宋" w:hAnsi="仿宋" w:eastAsia="仿宋" w:cs="仿宋"/>
                <w:b/>
                <w:color w:val="auto"/>
                <w:kern w:val="0"/>
                <w:szCs w:val="21"/>
                <w:highlight w:val="none"/>
              </w:rPr>
              <w:t>（含评估要求）等</w:t>
            </w:r>
            <w:r>
              <w:rPr>
                <w:rFonts w:hint="eastAsia" w:ascii="仿宋" w:hAnsi="仿宋" w:eastAsia="仿宋" w:cs="仿宋"/>
                <w:bCs/>
                <w:color w:val="auto"/>
                <w:kern w:val="0"/>
                <w:szCs w:val="21"/>
                <w:highlight w:val="none"/>
              </w:rPr>
              <w:t>：</w:t>
            </w:r>
          </w:p>
          <w:p w14:paraId="4D00115A">
            <w:pPr>
              <w:numPr>
                <w:ilvl w:val="-1"/>
                <w:numId w:val="0"/>
              </w:numPr>
              <w:topLinePunct/>
              <w:spacing w:line="360" w:lineRule="auto"/>
              <w:jc w:val="left"/>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rPr>
              <w:t>优(</w:t>
            </w:r>
            <w:r>
              <w:rPr>
                <w:rFonts w:hint="eastAsia" w:ascii="仿宋" w:hAnsi="仿宋" w:eastAsia="仿宋" w:cs="仿宋"/>
                <w:bCs/>
                <w:color w:val="auto"/>
                <w:kern w:val="0"/>
                <w:szCs w:val="21"/>
                <w:highlight w:val="none"/>
                <w:lang w:val="en-US" w:eastAsia="zh-CN"/>
              </w:rPr>
              <w:t>21</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30</w:t>
            </w:r>
            <w:r>
              <w:rPr>
                <w:rFonts w:hint="eastAsia" w:ascii="仿宋" w:hAnsi="仿宋" w:eastAsia="仿宋" w:cs="仿宋"/>
                <w:bCs/>
                <w:color w:val="auto"/>
                <w:kern w:val="0"/>
                <w:szCs w:val="21"/>
                <w:highlight w:val="none"/>
              </w:rPr>
              <w:t>]分：服务方案</w:t>
            </w:r>
            <w:r>
              <w:rPr>
                <w:rFonts w:hint="eastAsia" w:ascii="仿宋" w:hAnsi="仿宋" w:eastAsia="仿宋" w:cs="仿宋"/>
                <w:bCs/>
                <w:color w:val="auto"/>
                <w:kern w:val="0"/>
                <w:szCs w:val="21"/>
                <w:highlight w:val="none"/>
                <w:lang w:val="en-US" w:eastAsia="zh-CN"/>
              </w:rPr>
              <w:t>完整度高，专业度强、深度符合项目推广需求；推广策略新颖出色、适配项目目标客群；全面且详细，</w:t>
            </w:r>
            <w:r>
              <w:rPr>
                <w:rFonts w:hint="eastAsia" w:ascii="仿宋" w:hAnsi="仿宋" w:eastAsia="仿宋" w:cs="仿宋"/>
                <w:bCs/>
                <w:color w:val="auto"/>
                <w:kern w:val="0"/>
                <w:szCs w:val="21"/>
                <w:highlight w:val="none"/>
              </w:rPr>
              <w:t>有</w:t>
            </w:r>
            <w:r>
              <w:rPr>
                <w:rFonts w:hint="eastAsia" w:ascii="仿宋" w:hAnsi="仿宋" w:eastAsia="仿宋" w:cs="仿宋"/>
                <w:bCs/>
                <w:color w:val="auto"/>
                <w:kern w:val="0"/>
                <w:szCs w:val="21"/>
                <w:highlight w:val="none"/>
                <w:lang w:val="en-US" w:eastAsia="zh-CN"/>
              </w:rPr>
              <w:t>丰富</w:t>
            </w:r>
            <w:r>
              <w:rPr>
                <w:rFonts w:hint="eastAsia" w:ascii="仿宋" w:hAnsi="仿宋" w:eastAsia="仿宋" w:cs="仿宋"/>
                <w:bCs/>
                <w:color w:val="auto"/>
                <w:kern w:val="0"/>
                <w:szCs w:val="21"/>
                <w:highlight w:val="none"/>
              </w:rPr>
              <w:t>的内容</w:t>
            </w:r>
            <w:r>
              <w:rPr>
                <w:rFonts w:hint="eastAsia" w:ascii="仿宋" w:hAnsi="仿宋" w:eastAsia="仿宋" w:cs="仿宋"/>
                <w:bCs/>
                <w:color w:val="auto"/>
                <w:kern w:val="0"/>
                <w:szCs w:val="21"/>
                <w:highlight w:val="none"/>
                <w:lang w:val="en-US" w:eastAsia="zh-CN"/>
              </w:rPr>
              <w:t>细节</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实施计划合理，实操性强；服务覆盖面丰富，公司资质（证书）大于等于3项；</w:t>
            </w:r>
          </w:p>
          <w:p w14:paraId="4EF1B432">
            <w:pPr>
              <w:topLinePunct/>
              <w:spacing w:line="360" w:lineRule="auto"/>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（2）良(</w:t>
            </w:r>
            <w:r>
              <w:rPr>
                <w:rFonts w:hint="eastAsia" w:ascii="仿宋" w:hAnsi="仿宋" w:eastAsia="仿宋" w:cs="仿宋"/>
                <w:bCs/>
                <w:color w:val="auto"/>
                <w:kern w:val="0"/>
                <w:szCs w:val="21"/>
                <w:highlight w:val="none"/>
                <w:lang w:val="en-US" w:eastAsia="zh-CN"/>
              </w:rPr>
              <w:t>11</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20</w:t>
            </w:r>
            <w:r>
              <w:rPr>
                <w:rFonts w:hint="eastAsia" w:ascii="仿宋" w:hAnsi="仿宋" w:eastAsia="仿宋" w:cs="仿宋"/>
                <w:bCs/>
                <w:color w:val="auto"/>
                <w:kern w:val="0"/>
                <w:szCs w:val="21"/>
                <w:highlight w:val="none"/>
              </w:rPr>
              <w:t>]分：服务方案</w:t>
            </w:r>
            <w:r>
              <w:rPr>
                <w:rFonts w:hint="eastAsia" w:ascii="仿宋" w:hAnsi="仿宋" w:eastAsia="仿宋" w:cs="仿宋"/>
                <w:bCs/>
                <w:color w:val="auto"/>
                <w:kern w:val="0"/>
                <w:szCs w:val="21"/>
                <w:highlight w:val="none"/>
                <w:lang w:val="en-US" w:eastAsia="zh-CN"/>
              </w:rPr>
              <w:t>完整度有部分缺失，专业尚可、较好符合项目推广需求；推广策略优秀、但缺乏市场调研基础；全面且详细，但细节仍需完善</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实施计划简略，实操性一般；服务覆盖面尚可，公司资质（证书）大于等于2项，小于3项；服务</w:t>
            </w:r>
          </w:p>
          <w:p w14:paraId="2CF9569C">
            <w:pPr>
              <w:topLinePunct/>
              <w:spacing w:line="360" w:lineRule="auto"/>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（3）较差得(0-</w:t>
            </w:r>
            <w:r>
              <w:rPr>
                <w:rFonts w:hint="eastAsia" w:ascii="仿宋" w:hAnsi="仿宋" w:eastAsia="仿宋" w:cs="仿宋"/>
                <w:bCs/>
                <w:color w:val="auto"/>
                <w:kern w:val="0"/>
                <w:szCs w:val="21"/>
                <w:highlight w:val="none"/>
                <w:lang w:val="en-US" w:eastAsia="zh-CN"/>
              </w:rPr>
              <w:t>10</w:t>
            </w:r>
            <w:r>
              <w:rPr>
                <w:rFonts w:hint="eastAsia" w:ascii="仿宋" w:hAnsi="仿宋" w:eastAsia="仿宋" w:cs="仿宋"/>
                <w:bCs/>
                <w:color w:val="auto"/>
                <w:kern w:val="0"/>
                <w:szCs w:val="21"/>
                <w:highlight w:val="none"/>
              </w:rPr>
              <w:t>]分，服务方案</w:t>
            </w:r>
            <w:r>
              <w:rPr>
                <w:rFonts w:hint="eastAsia" w:ascii="仿宋" w:hAnsi="仿宋" w:eastAsia="仿宋" w:cs="仿宋"/>
                <w:bCs/>
                <w:color w:val="auto"/>
                <w:kern w:val="0"/>
                <w:szCs w:val="21"/>
                <w:highlight w:val="none"/>
                <w:lang w:val="en-US" w:eastAsia="zh-CN"/>
              </w:rPr>
              <w:t>缺失内容较多，专业度一般、尚能符合项目推广需求；含推广策略、但策略尚需进一步完善；方案</w:t>
            </w:r>
            <w:r>
              <w:rPr>
                <w:rFonts w:hint="eastAsia" w:ascii="仿宋" w:hAnsi="仿宋" w:eastAsia="仿宋" w:cs="仿宋"/>
                <w:bCs/>
                <w:color w:val="auto"/>
                <w:kern w:val="0"/>
                <w:szCs w:val="21"/>
                <w:highlight w:val="none"/>
              </w:rPr>
              <w:t>内容</w:t>
            </w:r>
            <w:r>
              <w:rPr>
                <w:rFonts w:hint="eastAsia" w:ascii="仿宋" w:hAnsi="仿宋" w:eastAsia="仿宋" w:cs="仿宋"/>
                <w:bCs/>
                <w:color w:val="auto"/>
                <w:kern w:val="0"/>
                <w:szCs w:val="21"/>
                <w:highlight w:val="none"/>
                <w:lang w:val="en-US" w:eastAsia="zh-CN"/>
              </w:rPr>
              <w:t>细节不足</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缺实施计划或实施计划不合理，实操性不足；服务覆盖面一般，公司资质（证书）小于2项；</w:t>
            </w:r>
          </w:p>
        </w:tc>
      </w:tr>
      <w:tr w14:paraId="1DA7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14:paraId="65871281">
            <w:pPr>
              <w:topLinePunct/>
              <w:spacing w:line="360" w:lineRule="auto"/>
              <w:ind w:firstLine="420" w:firstLineChars="200"/>
              <w:jc w:val="center"/>
              <w:rPr>
                <w:rFonts w:hint="eastAsia" w:ascii="仿宋" w:hAnsi="仿宋" w:eastAsia="仿宋" w:cs="仿宋"/>
                <w:color w:val="auto"/>
                <w:szCs w:val="21"/>
                <w:highlight w:val="none"/>
              </w:rPr>
            </w:pPr>
          </w:p>
        </w:tc>
        <w:tc>
          <w:tcPr>
            <w:tcW w:w="303" w:type="pct"/>
            <w:vMerge w:val="continue"/>
            <w:vAlign w:val="center"/>
          </w:tcPr>
          <w:p w14:paraId="09DDB901">
            <w:pPr>
              <w:topLinePunct/>
              <w:snapToGrid w:val="0"/>
              <w:spacing w:line="360" w:lineRule="auto"/>
              <w:ind w:firstLine="420" w:firstLineChars="200"/>
              <w:jc w:val="center"/>
              <w:rPr>
                <w:rFonts w:hint="eastAsia" w:ascii="仿宋" w:hAnsi="仿宋" w:eastAsia="仿宋" w:cs="仿宋"/>
                <w:color w:val="auto"/>
                <w:szCs w:val="21"/>
                <w:highlight w:val="none"/>
              </w:rPr>
            </w:pPr>
          </w:p>
        </w:tc>
        <w:tc>
          <w:tcPr>
            <w:tcW w:w="255" w:type="pct"/>
            <w:vAlign w:val="center"/>
          </w:tcPr>
          <w:p w14:paraId="1A0F228C">
            <w:pPr>
              <w:topLinePunct/>
              <w:snapToGri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495" w:type="pct"/>
            <w:vAlign w:val="center"/>
          </w:tcPr>
          <w:p w14:paraId="51AD1DC4">
            <w:pPr>
              <w:topLinePunct/>
              <w:spacing w:line="360" w:lineRule="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响应《</w:t>
            </w:r>
            <w:r>
              <w:rPr>
                <w:rFonts w:hint="eastAsia" w:ascii="仿宋" w:hAnsi="仿宋" w:eastAsia="仿宋" w:cs="仿宋"/>
                <w:b w:val="0"/>
                <w:bCs w:val="0"/>
                <w:color w:val="auto"/>
                <w:kern w:val="0"/>
                <w:sz w:val="21"/>
                <w:szCs w:val="21"/>
                <w:highlight w:val="none"/>
              </w:rPr>
              <w:t>技术规范书</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b w:val="0"/>
                <w:bCs w:val="0"/>
                <w:color w:val="auto"/>
                <w:kern w:val="0"/>
                <w:sz w:val="21"/>
                <w:szCs w:val="21"/>
                <w:highlight w:val="none"/>
                <w:lang w:val="en-US" w:eastAsia="zh-CN"/>
              </w:rPr>
              <w:t>服务表</w:t>
            </w:r>
          </w:p>
        </w:tc>
        <w:tc>
          <w:tcPr>
            <w:tcW w:w="417" w:type="pct"/>
            <w:gridSpan w:val="2"/>
            <w:vAlign w:val="center"/>
          </w:tcPr>
          <w:p w14:paraId="795BB7EC">
            <w:pPr>
              <w:topLinePunct/>
              <w:spacing w:line="360" w:lineRule="auto"/>
              <w:ind w:firstLine="199" w:firstLineChars="95"/>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25</w:t>
            </w:r>
          </w:p>
        </w:tc>
        <w:tc>
          <w:tcPr>
            <w:tcW w:w="3106" w:type="pct"/>
            <w:vAlign w:val="center"/>
          </w:tcPr>
          <w:p w14:paraId="76FC2144">
            <w:pPr>
              <w:topLinePunct/>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根据参选人提供</w:t>
            </w:r>
            <w:r>
              <w:rPr>
                <w:rFonts w:hint="eastAsia" w:ascii="仿宋" w:hAnsi="仿宋" w:eastAsia="仿宋" w:cs="仿宋"/>
                <w:color w:val="auto"/>
                <w:kern w:val="0"/>
                <w:szCs w:val="21"/>
                <w:highlight w:val="none"/>
                <w:lang w:val="en-US" w:eastAsia="zh-CN"/>
              </w:rPr>
              <w:t>的响应技术规范书服务表的完整度、</w:t>
            </w:r>
            <w:r>
              <w:rPr>
                <w:rFonts w:hint="eastAsia" w:ascii="仿宋" w:hAnsi="仿宋" w:eastAsia="仿宋" w:cs="仿宋"/>
                <w:color w:val="auto"/>
                <w:kern w:val="0"/>
                <w:szCs w:val="21"/>
                <w:highlight w:val="none"/>
              </w:rPr>
              <w:t>价值高低、</w:t>
            </w:r>
            <w:r>
              <w:rPr>
                <w:rFonts w:hint="eastAsia" w:ascii="仿宋" w:hAnsi="仿宋" w:eastAsia="仿宋" w:cs="仿宋"/>
                <w:color w:val="auto"/>
                <w:kern w:val="0"/>
                <w:szCs w:val="21"/>
                <w:highlight w:val="none"/>
                <w:lang w:val="en-US" w:eastAsia="zh-CN"/>
              </w:rPr>
              <w:t>适配性</w:t>
            </w:r>
            <w:r>
              <w:rPr>
                <w:rFonts w:hint="eastAsia" w:ascii="仿宋" w:hAnsi="仿宋" w:eastAsia="仿宋" w:cs="仿宋"/>
                <w:color w:val="auto"/>
                <w:kern w:val="0"/>
                <w:szCs w:val="21"/>
                <w:highlight w:val="none"/>
              </w:rPr>
              <w:t>等评审</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服务表为自拟，需根据提供的推广整合推广全案工作需求适配。《技术规范书》类共16类、服务表需逐类回应响应服务内容、频次/月度、是否接受甲方公司合同前调配商榷；）</w:t>
            </w:r>
          </w:p>
          <w:p w14:paraId="4B7CEC98">
            <w:pPr>
              <w:numPr>
                <w:ilvl w:val="0"/>
                <w:numId w:val="5"/>
              </w:numPr>
              <w:topLinePunct/>
              <w:spacing w:line="360" w:lineRule="auto"/>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优(</w:t>
            </w:r>
            <w:r>
              <w:rPr>
                <w:rFonts w:hint="eastAsia" w:ascii="仿宋" w:hAnsi="仿宋" w:eastAsia="仿宋" w:cs="仿宋"/>
                <w:color w:val="auto"/>
                <w:kern w:val="0"/>
                <w:szCs w:val="21"/>
                <w:highlight w:val="none"/>
                <w:lang w:val="en-US" w:eastAsia="zh-CN"/>
              </w:rPr>
              <w:t>21</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25</w:t>
            </w:r>
            <w:r>
              <w:rPr>
                <w:rFonts w:hint="eastAsia" w:ascii="仿宋" w:hAnsi="仿宋" w:eastAsia="仿宋" w:cs="仿宋"/>
                <w:color w:val="auto"/>
                <w:kern w:val="0"/>
                <w:szCs w:val="21"/>
                <w:highlight w:val="none"/>
              </w:rPr>
              <w:t>]分：</w:t>
            </w:r>
            <w:r>
              <w:rPr>
                <w:rFonts w:hint="eastAsia" w:ascii="仿宋" w:hAnsi="仿宋" w:eastAsia="仿宋" w:cs="仿宋"/>
                <w:color w:val="auto"/>
                <w:kern w:val="0"/>
                <w:szCs w:val="21"/>
                <w:highlight w:val="none"/>
                <w:lang w:val="en-US" w:eastAsia="zh-CN"/>
              </w:rPr>
              <w:t>分响应文件技术标准大于14条，服务项类丰富；响应内容与项目适配度高，内容丰富、服务覆盖面广、服务价值极具市场竞争力！响应调配度极高，兼容性高。</w:t>
            </w:r>
          </w:p>
          <w:p w14:paraId="1498BD3D">
            <w:pPr>
              <w:topLinePunct/>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（2）良(</w:t>
            </w:r>
            <w:r>
              <w:rPr>
                <w:rFonts w:hint="eastAsia" w:ascii="仿宋" w:hAnsi="仿宋" w:eastAsia="仿宋" w:cs="仿宋"/>
                <w:color w:val="auto"/>
                <w:kern w:val="0"/>
                <w:szCs w:val="21"/>
                <w:highlight w:val="none"/>
                <w:lang w:val="en-US" w:eastAsia="zh-CN"/>
              </w:rPr>
              <w:t>11</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20</w:t>
            </w:r>
            <w:r>
              <w:rPr>
                <w:rFonts w:hint="eastAsia" w:ascii="仿宋" w:hAnsi="仿宋" w:eastAsia="仿宋" w:cs="仿宋"/>
                <w:color w:val="auto"/>
                <w:kern w:val="0"/>
                <w:szCs w:val="21"/>
                <w:highlight w:val="none"/>
              </w:rPr>
              <w:t>]分：</w:t>
            </w:r>
            <w:r>
              <w:rPr>
                <w:rFonts w:hint="eastAsia" w:ascii="仿宋" w:hAnsi="仿宋" w:eastAsia="仿宋" w:cs="仿宋"/>
                <w:color w:val="auto"/>
                <w:kern w:val="0"/>
                <w:szCs w:val="21"/>
                <w:highlight w:val="none"/>
                <w:lang w:val="en-US" w:eastAsia="zh-CN"/>
              </w:rPr>
              <w:t>分响应文件技术标准少于等于14条，大于12条，服务项类较为丰富；响应内容与项目适配度尚可，内容丰富性足、服务覆盖面广、服务价值匹配市场，较有竞争力。响应调配度适中，兼容性适中。</w:t>
            </w:r>
          </w:p>
          <w:p w14:paraId="5DA4FDC1">
            <w:pPr>
              <w:topLinePunct/>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val="en-US" w:eastAsia="zh-CN"/>
              </w:rPr>
              <w:t>普通（0-10）分响应文件技术标准大于10条且少于等12条，服务项类单一；响应内容与项目适配度不高，内容丰富性不足、服务覆盖面窄、服务价值不具备市场竞争力，响应调配度较低，兼容性不足。</w:t>
            </w:r>
          </w:p>
        </w:tc>
      </w:tr>
      <w:tr w14:paraId="1F02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14:paraId="45D86DD6">
            <w:pPr>
              <w:topLinePunct/>
              <w:spacing w:line="360" w:lineRule="auto"/>
              <w:ind w:firstLine="420" w:firstLineChars="200"/>
              <w:jc w:val="center"/>
              <w:rPr>
                <w:rFonts w:hint="eastAsia" w:ascii="仿宋" w:hAnsi="仿宋" w:eastAsia="仿宋" w:cs="仿宋"/>
                <w:color w:val="auto"/>
                <w:szCs w:val="21"/>
                <w:highlight w:val="none"/>
              </w:rPr>
            </w:pPr>
          </w:p>
        </w:tc>
        <w:tc>
          <w:tcPr>
            <w:tcW w:w="303" w:type="pct"/>
            <w:vAlign w:val="center"/>
          </w:tcPr>
          <w:p w14:paraId="1AFA8F99">
            <w:pPr>
              <w:topLinePunct/>
              <w:snapToGrid w:val="0"/>
              <w:spacing w:line="360" w:lineRule="auto"/>
              <w:ind w:firstLine="420" w:firstLineChars="200"/>
              <w:jc w:val="center"/>
              <w:rPr>
                <w:rFonts w:hint="eastAsia" w:ascii="仿宋" w:hAnsi="仿宋" w:eastAsia="仿宋" w:cs="仿宋"/>
                <w:color w:val="auto"/>
                <w:szCs w:val="21"/>
                <w:highlight w:val="none"/>
              </w:rPr>
            </w:pPr>
          </w:p>
        </w:tc>
        <w:tc>
          <w:tcPr>
            <w:tcW w:w="4274" w:type="pct"/>
            <w:gridSpan w:val="5"/>
            <w:vAlign w:val="center"/>
          </w:tcPr>
          <w:p w14:paraId="1963A6CB">
            <w:pPr>
              <w:topLinePunct/>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备注：“（”为不包含本数，“]”为包含本数。</w:t>
            </w:r>
          </w:p>
        </w:tc>
      </w:tr>
      <w:tr w14:paraId="659A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1" w:type="pct"/>
            <w:vMerge w:val="continue"/>
            <w:vAlign w:val="center"/>
          </w:tcPr>
          <w:p w14:paraId="3C474851">
            <w:pPr>
              <w:topLinePunct/>
              <w:spacing w:line="360" w:lineRule="auto"/>
              <w:ind w:firstLine="420" w:firstLineChars="200"/>
              <w:jc w:val="center"/>
              <w:rPr>
                <w:rFonts w:hint="eastAsia" w:ascii="仿宋" w:hAnsi="仿宋" w:eastAsia="仿宋" w:cs="仿宋"/>
                <w:color w:val="auto"/>
                <w:szCs w:val="21"/>
                <w:highlight w:val="none"/>
              </w:rPr>
            </w:pPr>
          </w:p>
        </w:tc>
        <w:tc>
          <w:tcPr>
            <w:tcW w:w="303" w:type="pct"/>
            <w:vMerge w:val="restart"/>
            <w:vAlign w:val="center"/>
          </w:tcPr>
          <w:p w14:paraId="15AE2A96">
            <w:pPr>
              <w:topLinePunct/>
              <w:snapToGrid w:val="0"/>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w:t>
            </w:r>
            <w:r>
              <w:rPr>
                <w:rFonts w:hint="eastAsia" w:ascii="仿宋" w:hAnsi="仿宋" w:eastAsia="仿宋" w:cs="仿宋"/>
                <w:color w:val="auto"/>
                <w:szCs w:val="21"/>
                <w:highlight w:val="none"/>
                <w:lang w:val="en-US" w:eastAsia="zh-CN"/>
              </w:rPr>
              <w:t>商务</w:t>
            </w:r>
            <w:r>
              <w:rPr>
                <w:rFonts w:hint="eastAsia" w:ascii="仿宋" w:hAnsi="仿宋" w:eastAsia="仿宋" w:cs="仿宋"/>
                <w:color w:val="auto"/>
                <w:szCs w:val="21"/>
                <w:highlight w:val="none"/>
              </w:rPr>
              <w:t>得分</w:t>
            </w:r>
          </w:p>
        </w:tc>
        <w:tc>
          <w:tcPr>
            <w:tcW w:w="755" w:type="pct"/>
            <w:gridSpan w:val="3"/>
            <w:vAlign w:val="center"/>
          </w:tcPr>
          <w:p w14:paraId="55A48A31">
            <w:pPr>
              <w:topLinePunct/>
              <w:spacing w:line="360" w:lineRule="auto"/>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审查因素</w:t>
            </w:r>
          </w:p>
        </w:tc>
        <w:tc>
          <w:tcPr>
            <w:tcW w:w="413" w:type="pct"/>
            <w:vAlign w:val="center"/>
          </w:tcPr>
          <w:p w14:paraId="24566181">
            <w:pPr>
              <w:topLinePunct/>
              <w:spacing w:line="360" w:lineRule="auto"/>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分值</w:t>
            </w:r>
          </w:p>
        </w:tc>
        <w:tc>
          <w:tcPr>
            <w:tcW w:w="3106" w:type="pct"/>
            <w:vAlign w:val="center"/>
          </w:tcPr>
          <w:p w14:paraId="20E75454">
            <w:pPr>
              <w:topLinePunct/>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r>
      <w:tr w14:paraId="6CA8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1" w:type="pct"/>
            <w:vMerge w:val="continue"/>
            <w:vAlign w:val="center"/>
          </w:tcPr>
          <w:p w14:paraId="7F86F350">
            <w:pPr>
              <w:topLinePunct/>
              <w:spacing w:line="360" w:lineRule="auto"/>
              <w:ind w:firstLine="420" w:firstLineChars="200"/>
              <w:jc w:val="center"/>
              <w:rPr>
                <w:rFonts w:hint="eastAsia" w:ascii="仿宋" w:hAnsi="仿宋" w:eastAsia="仿宋" w:cs="仿宋"/>
                <w:color w:val="auto"/>
                <w:szCs w:val="21"/>
                <w:highlight w:val="none"/>
              </w:rPr>
            </w:pPr>
          </w:p>
        </w:tc>
        <w:tc>
          <w:tcPr>
            <w:tcW w:w="303" w:type="pct"/>
            <w:vMerge w:val="continue"/>
            <w:vAlign w:val="center"/>
          </w:tcPr>
          <w:p w14:paraId="773136D9">
            <w:pPr>
              <w:topLinePunct/>
              <w:snapToGrid w:val="0"/>
              <w:spacing w:line="360" w:lineRule="auto"/>
              <w:ind w:firstLine="420" w:firstLineChars="200"/>
              <w:jc w:val="center"/>
              <w:rPr>
                <w:rFonts w:hint="eastAsia" w:ascii="仿宋" w:hAnsi="仿宋" w:eastAsia="仿宋" w:cs="仿宋"/>
                <w:color w:val="auto"/>
                <w:szCs w:val="21"/>
                <w:highlight w:val="none"/>
              </w:rPr>
            </w:pPr>
          </w:p>
        </w:tc>
        <w:tc>
          <w:tcPr>
            <w:tcW w:w="755" w:type="pct"/>
            <w:gridSpan w:val="3"/>
            <w:vAlign w:val="center"/>
          </w:tcPr>
          <w:p w14:paraId="36122D86">
            <w:pPr>
              <w:topLinePunct/>
              <w:snapToGrid w:val="0"/>
              <w:spacing w:line="360" w:lineRule="auto"/>
              <w:rPr>
                <w:rFonts w:hint="eastAsia" w:ascii="仿宋" w:hAnsi="仿宋" w:eastAsia="仿宋" w:cs="仿宋"/>
                <w:b/>
                <w:bCs/>
                <w:color w:val="auto"/>
                <w:kern w:val="0"/>
                <w:szCs w:val="21"/>
                <w:highlight w:val="none"/>
              </w:rPr>
            </w:pPr>
            <w:r>
              <w:rPr>
                <w:rFonts w:hint="eastAsia" w:ascii="仿宋" w:hAnsi="仿宋" w:eastAsia="仿宋" w:cs="仿宋"/>
                <w:color w:val="auto"/>
                <w:szCs w:val="21"/>
                <w:highlight w:val="none"/>
              </w:rPr>
              <w:t>评标基准价法</w:t>
            </w:r>
          </w:p>
        </w:tc>
        <w:tc>
          <w:tcPr>
            <w:tcW w:w="413" w:type="pct"/>
            <w:vAlign w:val="center"/>
          </w:tcPr>
          <w:p w14:paraId="72694FE8">
            <w:pPr>
              <w:topLinePunct/>
              <w:snapToGrid w:val="0"/>
              <w:spacing w:line="360" w:lineRule="auto"/>
              <w:rPr>
                <w:rFonts w:hint="eastAsia" w:ascii="仿宋" w:hAnsi="仿宋" w:eastAsia="仿宋" w:cs="仿宋"/>
                <w:b/>
                <w:bCs/>
                <w:color w:val="auto"/>
                <w:kern w:val="0"/>
                <w:szCs w:val="21"/>
                <w:highlight w:val="none"/>
              </w:rPr>
            </w:pPr>
            <w:r>
              <w:rPr>
                <w:rFonts w:hint="eastAsia" w:ascii="仿宋" w:hAnsi="仿宋" w:eastAsia="仿宋" w:cs="仿宋"/>
                <w:color w:val="auto"/>
                <w:szCs w:val="21"/>
                <w:highlight w:val="none"/>
              </w:rPr>
              <w:t>30</w:t>
            </w:r>
          </w:p>
        </w:tc>
        <w:tc>
          <w:tcPr>
            <w:tcW w:w="3106" w:type="pct"/>
            <w:vAlign w:val="center"/>
          </w:tcPr>
          <w:p w14:paraId="2E14BD23">
            <w:pPr>
              <w:topLinePunct/>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比选申请人价格大于上控价时比选申请文件作无效处理。</w:t>
            </w:r>
            <w:r>
              <w:rPr>
                <w:rFonts w:hint="eastAsia" w:ascii="仿宋" w:hAnsi="仿宋" w:eastAsia="仿宋" w:cs="仿宋"/>
                <w:color w:val="auto"/>
                <w:szCs w:val="21"/>
                <w:highlight w:val="none"/>
                <w:lang w:eastAsia="zh-CN"/>
              </w:rPr>
              <w:t>比选申请人价格大于上控价时比选申请文件作无效处理。当比选申请人含税报价小于或者等于上控价时，资格审查合格的有效报价投标人在5家以上(不含5家)的:将去掉最高和最低有效报价后，取有效报价的算术平均值作为评审基准价;资格审查合格的投标人在5家以下(含5家)的，取有效报价的算术平均值作为评审的基准价。评审时以经评审的基准价为最高分，采用内插法计算，比选申请人报价每高于基准价 1%的扣0.6分:每低于基准价1%的扣0.3分，扣完即止。</w:t>
            </w:r>
          </w:p>
        </w:tc>
      </w:tr>
      <w:tr w14:paraId="508A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pct"/>
            <w:gridSpan w:val="2"/>
            <w:vAlign w:val="center"/>
          </w:tcPr>
          <w:p w14:paraId="1F13AD69">
            <w:pPr>
              <w:topLinePunct/>
              <w:snapToGrid w:val="0"/>
              <w:spacing w:line="360" w:lineRule="auto"/>
              <w:ind w:firstLine="199" w:firstLineChars="95"/>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w:t>
            </w:r>
          </w:p>
        </w:tc>
        <w:tc>
          <w:tcPr>
            <w:tcW w:w="1168" w:type="pct"/>
            <w:gridSpan w:val="4"/>
            <w:vAlign w:val="center"/>
          </w:tcPr>
          <w:p w14:paraId="50F05103">
            <w:pPr>
              <w:topLinePunct/>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评分分值计算原则</w:t>
            </w:r>
          </w:p>
        </w:tc>
        <w:tc>
          <w:tcPr>
            <w:tcW w:w="3106" w:type="pct"/>
            <w:vAlign w:val="center"/>
          </w:tcPr>
          <w:p w14:paraId="2E60BEF3">
            <w:pPr>
              <w:topLinePunct/>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保留小数点后两位，小数点后第三位“四舍五入”。若按单价推算的结果与提供的总价不一致，以单价推算的结果为准修正报价总价（修正结果四舍五入后保留后两位小数）</w:t>
            </w:r>
          </w:p>
        </w:tc>
      </w:tr>
      <w:tr w14:paraId="416A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5" w:type="pct"/>
            <w:gridSpan w:val="2"/>
            <w:vAlign w:val="center"/>
          </w:tcPr>
          <w:p w14:paraId="640AF56A">
            <w:pPr>
              <w:topLinePunct/>
              <w:snapToGrid w:val="0"/>
              <w:spacing w:line="360" w:lineRule="auto"/>
              <w:ind w:firstLine="199" w:firstLineChars="95"/>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w:t>
            </w:r>
          </w:p>
        </w:tc>
        <w:tc>
          <w:tcPr>
            <w:tcW w:w="1168" w:type="pct"/>
            <w:gridSpan w:val="4"/>
            <w:vAlign w:val="center"/>
          </w:tcPr>
          <w:p w14:paraId="1375CAD6">
            <w:pPr>
              <w:topLinePunct/>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详细说明中选候选人推荐数量、中选候选人推荐规则，综合得分相同的处理原则</w:t>
            </w:r>
          </w:p>
        </w:tc>
        <w:tc>
          <w:tcPr>
            <w:tcW w:w="3106" w:type="pct"/>
            <w:shd w:val="clear" w:color="auto" w:fill="auto"/>
            <w:vAlign w:val="center"/>
          </w:tcPr>
          <w:p w14:paraId="28F339BA">
            <w:pPr>
              <w:topLinePunct/>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将推荐综合得分排名第一的参选人为中选候选人；比选人将确定综合得分排名第一名的中选候选人为本项目的中选人。</w:t>
            </w:r>
          </w:p>
          <w:p w14:paraId="15FA6113">
            <w:pPr>
              <w:topLinePunct/>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出现中选人放弃中选、因不可抗力不能履行合同、不按照比选文件要求提交履约保证金，或者被查实存在影响中选结果的违法行为等情形，不符合中选条件的，则取消其中选资格并根据中选候选人排名次序递补或者重新比选。</w:t>
            </w:r>
          </w:p>
        </w:tc>
      </w:tr>
    </w:tbl>
    <w:p w14:paraId="3B5A21C7">
      <w:pPr>
        <w:widowControl/>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br w:type="page"/>
      </w:r>
    </w:p>
    <w:p w14:paraId="0BCEA790">
      <w:pPr>
        <w:pStyle w:val="3"/>
        <w:snapToGrid w:val="0"/>
        <w:spacing w:before="240" w:after="120" w:line="360" w:lineRule="auto"/>
        <w:rPr>
          <w:rFonts w:hint="eastAsia" w:ascii="仿宋" w:hAnsi="仿宋" w:eastAsia="仿宋" w:cs="仿宋"/>
          <w:color w:val="auto"/>
          <w:highlight w:val="none"/>
        </w:rPr>
      </w:pPr>
      <w:bookmarkStart w:id="359" w:name="_Toc14201"/>
      <w:bookmarkStart w:id="360" w:name="_Toc19912"/>
      <w:bookmarkStart w:id="361" w:name="_Toc85401340"/>
      <w:bookmarkStart w:id="362" w:name="_Toc2183"/>
      <w:bookmarkStart w:id="363" w:name="_Toc24165"/>
      <w:bookmarkStart w:id="364" w:name="_Toc26762"/>
      <w:bookmarkStart w:id="365" w:name="_Toc13909"/>
      <w:r>
        <w:rPr>
          <w:rFonts w:hint="eastAsia" w:ascii="仿宋" w:hAnsi="仿宋" w:eastAsia="仿宋" w:cs="仿宋"/>
          <w:bCs w:val="0"/>
          <w:color w:val="auto"/>
          <w:sz w:val="24"/>
          <w:szCs w:val="24"/>
          <w:highlight w:val="none"/>
        </w:rPr>
        <w:t>评选办法正文</w:t>
      </w:r>
      <w:bookmarkEnd w:id="359"/>
      <w:bookmarkEnd w:id="360"/>
      <w:bookmarkEnd w:id="361"/>
      <w:bookmarkEnd w:id="362"/>
      <w:bookmarkEnd w:id="363"/>
      <w:bookmarkEnd w:id="364"/>
      <w:bookmarkEnd w:id="365"/>
    </w:p>
    <w:p w14:paraId="11FEF1BE">
      <w:pPr>
        <w:pStyle w:val="40"/>
        <w:numPr>
          <w:ilvl w:val="0"/>
          <w:numId w:val="6"/>
        </w:numPr>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366" w:name="_Toc450489345"/>
      <w:r>
        <w:rPr>
          <w:rFonts w:hint="eastAsia" w:ascii="仿宋" w:hAnsi="仿宋" w:eastAsia="仿宋" w:cs="仿宋"/>
          <w:color w:val="auto"/>
          <w:sz w:val="28"/>
          <w:szCs w:val="28"/>
          <w:highlight w:val="none"/>
        </w:rPr>
        <w:t>评选方法</w:t>
      </w:r>
      <w:bookmarkEnd w:id="366"/>
    </w:p>
    <w:p w14:paraId="7C8CC2DD">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本比选项目评选采用综合评估法。</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对满足比选文件实质要求的参选文件，根据本章第2.2款规定的评分因素和评分标准进行评分，按照综合评分由高到低的顺序推荐中选候选人，但参选报价低于其成本的除外。</w:t>
      </w:r>
    </w:p>
    <w:p w14:paraId="3F1C8502">
      <w:pPr>
        <w:pStyle w:val="40"/>
        <w:numPr>
          <w:ilvl w:val="0"/>
          <w:numId w:val="6"/>
        </w:numPr>
        <w:tabs>
          <w:tab w:val="left" w:pos="602"/>
        </w:tabs>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367" w:name="_Toc450489346"/>
      <w:r>
        <w:rPr>
          <w:rFonts w:hint="eastAsia" w:ascii="仿宋" w:hAnsi="仿宋" w:eastAsia="仿宋" w:cs="仿宋"/>
          <w:color w:val="auto"/>
          <w:sz w:val="28"/>
          <w:szCs w:val="28"/>
          <w:highlight w:val="none"/>
        </w:rPr>
        <w:t>评审标准</w:t>
      </w:r>
      <w:bookmarkEnd w:id="367"/>
    </w:p>
    <w:p w14:paraId="442766C8">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368" w:name="_Toc450489347"/>
      <w:r>
        <w:rPr>
          <w:rFonts w:hint="eastAsia" w:ascii="仿宋" w:hAnsi="仿宋" w:eastAsia="仿宋" w:cs="仿宋"/>
          <w:color w:val="auto"/>
          <w:sz w:val="24"/>
          <w:szCs w:val="24"/>
          <w:highlight w:val="none"/>
        </w:rPr>
        <w:t>2.1初步评审标准</w:t>
      </w:r>
      <w:bookmarkEnd w:id="368"/>
    </w:p>
    <w:p w14:paraId="369EE451">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初步评审标准：见评选办法前附表。</w:t>
      </w:r>
    </w:p>
    <w:p w14:paraId="08A9D337">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369" w:name="_Toc450489348"/>
      <w:r>
        <w:rPr>
          <w:rFonts w:hint="eastAsia" w:ascii="仿宋" w:hAnsi="仿宋" w:eastAsia="仿宋" w:cs="仿宋"/>
          <w:color w:val="auto"/>
          <w:sz w:val="24"/>
          <w:szCs w:val="24"/>
          <w:highlight w:val="none"/>
        </w:rPr>
        <w:t>2.2详细评审标准</w:t>
      </w:r>
      <w:bookmarkEnd w:id="369"/>
    </w:p>
    <w:p w14:paraId="7618AC0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详细评审标准：见评选办法前附表。</w:t>
      </w:r>
    </w:p>
    <w:p w14:paraId="2B8BD06C">
      <w:pPr>
        <w:pStyle w:val="40"/>
        <w:numPr>
          <w:ilvl w:val="0"/>
          <w:numId w:val="6"/>
        </w:numPr>
        <w:snapToGrid w:val="0"/>
        <w:spacing w:before="120" w:after="120" w:line="360" w:lineRule="auto"/>
        <w:ind w:left="0" w:firstLine="0"/>
        <w:jc w:val="left"/>
        <w:outlineLvl w:val="9"/>
        <w:rPr>
          <w:rFonts w:hint="eastAsia" w:ascii="仿宋" w:hAnsi="仿宋" w:eastAsia="仿宋" w:cs="仿宋"/>
          <w:color w:val="auto"/>
          <w:sz w:val="28"/>
          <w:szCs w:val="28"/>
          <w:highlight w:val="none"/>
        </w:rPr>
      </w:pPr>
      <w:bookmarkStart w:id="370" w:name="_Toc450489349"/>
      <w:r>
        <w:rPr>
          <w:rFonts w:hint="eastAsia" w:ascii="仿宋" w:hAnsi="仿宋" w:eastAsia="仿宋" w:cs="仿宋"/>
          <w:color w:val="auto"/>
          <w:sz w:val="28"/>
          <w:szCs w:val="28"/>
          <w:highlight w:val="none"/>
        </w:rPr>
        <w:t>评选程序</w:t>
      </w:r>
      <w:bookmarkEnd w:id="370"/>
    </w:p>
    <w:p w14:paraId="2DC79747">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371" w:name="_Toc450489350"/>
      <w:r>
        <w:rPr>
          <w:rFonts w:hint="eastAsia" w:ascii="仿宋" w:hAnsi="仿宋" w:eastAsia="仿宋" w:cs="仿宋"/>
          <w:color w:val="auto"/>
          <w:sz w:val="24"/>
          <w:szCs w:val="24"/>
          <w:highlight w:val="none"/>
        </w:rPr>
        <w:t>3.1初步评审</w:t>
      </w:r>
      <w:bookmarkEnd w:id="371"/>
    </w:p>
    <w:p w14:paraId="5D0342AD">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3.1.1</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根据本章第2.1款规定的标准对参选文件进行初步评审。有一项不符合评审标准的，</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应当否决其参选。</w:t>
      </w:r>
    </w:p>
    <w:p w14:paraId="6121D66A">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3.1.2参选人有以下情形之一的，</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应当否决其参选：</w:t>
      </w:r>
    </w:p>
    <w:p w14:paraId="6A2B8C1A">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第二章“参选人须知”第1.8款规定的任何一种情形的；</w:t>
      </w:r>
    </w:p>
    <w:p w14:paraId="23AABB5B">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不按照</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要求澄清、说明或者补正的；</w:t>
      </w:r>
    </w:p>
    <w:p w14:paraId="67E259D6">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参选文件未按照比选文件要求盖章和签字；</w:t>
      </w:r>
    </w:p>
    <w:p w14:paraId="719D6764">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允许联合体参选的，参选联合体没有递交共同参选协议；</w:t>
      </w:r>
    </w:p>
    <w:p w14:paraId="3E9462CF">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参选人不符合国家或者比选文件规定的资格条件；</w:t>
      </w:r>
    </w:p>
    <w:p w14:paraId="5D9F8639">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同一参选人递交两个以上不同的参选文件或者参选报价，但参选文件要求递交备选参选方案的除外；</w:t>
      </w:r>
    </w:p>
    <w:p w14:paraId="4BED2F8B">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参选报价低于成本或者高于比选文件设定的最高参选限价；</w:t>
      </w:r>
    </w:p>
    <w:p w14:paraId="6545C47B">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参选文件没有对比选文件的实质性要求和条件做出响应；</w:t>
      </w:r>
    </w:p>
    <w:p w14:paraId="408F8C7C">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参选人有串通参选、弄虚作假、行贿等违法行为；</w:t>
      </w:r>
    </w:p>
    <w:p w14:paraId="5E0D36CE">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参选人以他人名义参选；</w:t>
      </w:r>
    </w:p>
    <w:p w14:paraId="3BFC5ACC">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没有按照比选文件要求提供比选担保或者所提供的参选担保有瑕疵；</w:t>
      </w:r>
    </w:p>
    <w:p w14:paraId="5B341568">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参选文件载明的比选项目完成期限超过比选文件规定的期限；</w:t>
      </w:r>
    </w:p>
    <w:p w14:paraId="782613B0">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明显不符合</w:t>
      </w:r>
      <w:r>
        <w:rPr>
          <w:rFonts w:hint="eastAsia" w:ascii="仿宋" w:hAnsi="仿宋" w:eastAsia="仿宋" w:cs="仿宋"/>
          <w:color w:val="auto"/>
          <w:szCs w:val="21"/>
          <w:highlight w:val="none"/>
          <w:lang w:eastAsia="zh-CN"/>
        </w:rPr>
        <w:t>技术规范</w:t>
      </w:r>
      <w:r>
        <w:rPr>
          <w:rFonts w:hint="eastAsia" w:ascii="仿宋" w:hAnsi="仿宋" w:eastAsia="仿宋" w:cs="仿宋"/>
          <w:color w:val="auto"/>
          <w:szCs w:val="21"/>
          <w:highlight w:val="none"/>
        </w:rPr>
        <w:t>、技术标准的要求；</w:t>
      </w:r>
    </w:p>
    <w:p w14:paraId="67CE5021">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参选文件载明的货物包装方式、检验标准和方法等不符合比选文件的要求；</w:t>
      </w:r>
    </w:p>
    <w:p w14:paraId="70E4F24E">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参选文件附有比选人不能接受的条件；</w:t>
      </w:r>
    </w:p>
    <w:p w14:paraId="1A307EE4">
      <w:pPr>
        <w:pStyle w:val="55"/>
        <w:numPr>
          <w:ilvl w:val="1"/>
          <w:numId w:val="7"/>
        </w:numPr>
        <w:tabs>
          <w:tab w:val="left" w:pos="993"/>
        </w:tabs>
        <w:adjustRightInd w:val="0"/>
        <w:snapToGrid w:val="0"/>
        <w:spacing w:line="360" w:lineRule="auto"/>
        <w:ind w:left="0" w:firstLine="42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不符合比选文件中规定的其他实质性要求。</w:t>
      </w:r>
    </w:p>
    <w:p w14:paraId="5180C1AD">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3.1.3评选过程中，</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收到低于成本价参选的书面质疑材料、发现参选人的综合报价明显低于其他参选报价或者设有标底时明显低于标底，认为参选报价可能低于其个别成本的，应当书面要求该参选人做出书面说明并提供相关证明材料。参选人不能合理说明或者不能提供相应证明材料的，由</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认定该参选人以低于成本报价参选，</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应当否决其参选。</w:t>
      </w:r>
    </w:p>
    <w:p w14:paraId="5392E350">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3.1.4参选报价有算术错误的，</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按照以下原则对参选报价进行修正，修正的价格经参选人书面确认后具有约束力。参选人不接受修正价格的，</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应当否决其参选。</w:t>
      </w:r>
    </w:p>
    <w:p w14:paraId="45274942">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（1）参选文件中的大写金额与小写金额不一致的，以大写金额为准；</w:t>
      </w:r>
    </w:p>
    <w:p w14:paraId="0F32309C">
      <w:pPr>
        <w:adjustRightInd w:val="0"/>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（2）总价金额与根据单价计算出的结果不一致的，以单价金额为准修正总价，但单价金额小数点有明显错误的除外。</w:t>
      </w:r>
    </w:p>
    <w:p w14:paraId="137F9D07">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372" w:name="_Toc450489351"/>
      <w:r>
        <w:rPr>
          <w:rFonts w:hint="eastAsia" w:ascii="仿宋" w:hAnsi="仿宋" w:eastAsia="仿宋" w:cs="仿宋"/>
          <w:color w:val="auto"/>
          <w:sz w:val="24"/>
          <w:szCs w:val="24"/>
          <w:highlight w:val="none"/>
        </w:rPr>
        <w:t>3.2详细评审</w:t>
      </w:r>
      <w:bookmarkEnd w:id="372"/>
    </w:p>
    <w:p w14:paraId="21B7CC8B">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3.2.1</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按照本章第2.2款规定的评审因素和量化标准进行评分，并计算出综合评估得分。</w:t>
      </w:r>
    </w:p>
    <w:p w14:paraId="232EB069">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3.2.2评分分值计算原则上保留小数点后两位，小数点后第三位“四舍五入”。另有规定的，见评选办法前附表。</w:t>
      </w:r>
    </w:p>
    <w:p w14:paraId="513283A9">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373" w:name="_Toc447265561"/>
      <w:bookmarkStart w:id="374" w:name="_Toc450489352"/>
      <w:bookmarkStart w:id="375" w:name="_Toc447265275"/>
      <w:r>
        <w:rPr>
          <w:rFonts w:hint="eastAsia" w:ascii="仿宋" w:hAnsi="仿宋" w:eastAsia="仿宋" w:cs="仿宋"/>
          <w:color w:val="auto"/>
          <w:sz w:val="24"/>
          <w:szCs w:val="24"/>
          <w:highlight w:val="none"/>
        </w:rPr>
        <w:t>3.3参选文件的澄清</w:t>
      </w:r>
      <w:bookmarkEnd w:id="373"/>
      <w:bookmarkEnd w:id="374"/>
      <w:bookmarkEnd w:id="375"/>
    </w:p>
    <w:p w14:paraId="19F1CA3B">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3.3.1在评选过程中，</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应当以书面形式要求参选人对所递交的参选文件中不明确的内容进行书面澄清、说明或者对参选文件中的细微偏差进行补正。</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不接受参选人主动提出的澄清、说明或者补正。</w:t>
      </w:r>
    </w:p>
    <w:p w14:paraId="6BE7F91F">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3.3.2细微偏差是指参选文件在实质上响应比选文件要求，但个别地方存在漏项或者提供了不完整的技术信息和数据等情况，并且补正这些遗漏或者不完整不会对其他参选人造成不公平的结果。细微偏差不影响参选文件的有效性。</w:t>
      </w:r>
    </w:p>
    <w:p w14:paraId="3D4D033D">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3.3.3澄清、说明和补正不得改变参选文件的实质性内容（算术性错误修正的除外）。参选人的书面澄清、说明和补正属于参选文件的组成部分。</w:t>
      </w:r>
    </w:p>
    <w:p w14:paraId="4E820111">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3.3.4</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对参选人递交的澄清、说明或者补正有疑问的，可以要求参选人进一步澄清、说明或者补正，直至满足</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的要求。</w:t>
      </w:r>
    </w:p>
    <w:p w14:paraId="6C6FD512">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3.3.5</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必要时可以要求参选人递交有关证明和证件的原件，以便核验。</w:t>
      </w:r>
    </w:p>
    <w:p w14:paraId="194E02F6">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376" w:name="_Toc450489353"/>
      <w:r>
        <w:rPr>
          <w:rFonts w:hint="eastAsia" w:ascii="仿宋" w:hAnsi="仿宋" w:eastAsia="仿宋" w:cs="仿宋"/>
          <w:color w:val="auto"/>
          <w:sz w:val="24"/>
          <w:szCs w:val="24"/>
          <w:highlight w:val="none"/>
        </w:rPr>
        <w:t>3.4中选候选人推荐原则</w:t>
      </w:r>
      <w:bookmarkEnd w:id="376"/>
    </w:p>
    <w:p w14:paraId="60D44EBD">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3.4.1</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按照综合评分由高到低的顺序推荐中选候选人。综合评分相同的，处理原则见评选办法前附表。</w:t>
      </w:r>
    </w:p>
    <w:p w14:paraId="4BDD8B6A">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3.4.2中选候选人推荐原则见评选办法前附表。</w:t>
      </w:r>
    </w:p>
    <w:p w14:paraId="0D3A4AC9">
      <w:pPr>
        <w:pStyle w:val="40"/>
        <w:tabs>
          <w:tab w:val="left" w:pos="588"/>
        </w:tabs>
        <w:snapToGrid w:val="0"/>
        <w:spacing w:before="120" w:after="120" w:line="360" w:lineRule="auto"/>
        <w:jc w:val="left"/>
        <w:outlineLvl w:val="9"/>
        <w:rPr>
          <w:rFonts w:hint="eastAsia" w:ascii="仿宋" w:hAnsi="仿宋" w:eastAsia="仿宋" w:cs="仿宋"/>
          <w:color w:val="auto"/>
          <w:sz w:val="24"/>
          <w:szCs w:val="24"/>
          <w:highlight w:val="none"/>
        </w:rPr>
      </w:pPr>
      <w:bookmarkStart w:id="377" w:name="_Toc450489354"/>
      <w:r>
        <w:rPr>
          <w:rFonts w:hint="eastAsia" w:ascii="仿宋" w:hAnsi="仿宋" w:eastAsia="仿宋" w:cs="仿宋"/>
          <w:color w:val="auto"/>
          <w:sz w:val="24"/>
          <w:szCs w:val="24"/>
          <w:highlight w:val="none"/>
        </w:rPr>
        <w:t>3.5评选结果</w:t>
      </w:r>
      <w:bookmarkEnd w:id="377"/>
    </w:p>
    <w:p w14:paraId="1053BC5E">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3.5.1</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完成评选后，应当向比选人递交书面评选报告。</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分组评审的，应当形成统一、完整的评选报告。</w:t>
      </w:r>
    </w:p>
    <w:p w14:paraId="776E103A">
      <w:pPr>
        <w:pStyle w:val="24"/>
        <w:tabs>
          <w:tab w:val="left" w:pos="630"/>
        </w:tabs>
        <w:snapToGrid w:val="0"/>
        <w:spacing w:line="360" w:lineRule="auto"/>
        <w:ind w:firstLine="424" w:firstLineChars="202"/>
        <w:rPr>
          <w:rFonts w:hint="eastAsia" w:ascii="仿宋" w:hAnsi="仿宋" w:eastAsia="仿宋" w:cs="仿宋"/>
          <w:color w:val="auto"/>
          <w:highlight w:val="none"/>
        </w:rPr>
      </w:pPr>
      <w:r>
        <w:rPr>
          <w:rFonts w:hint="eastAsia" w:ascii="仿宋" w:hAnsi="仿宋" w:eastAsia="仿宋" w:cs="仿宋"/>
          <w:color w:val="auto"/>
          <w:highlight w:val="none"/>
        </w:rPr>
        <w:t>3.5.2评选报告应当包括下列内容：</w:t>
      </w:r>
    </w:p>
    <w:p w14:paraId="5471761B">
      <w:pPr>
        <w:pStyle w:val="55"/>
        <w:numPr>
          <w:ilvl w:val="0"/>
          <w:numId w:val="8"/>
        </w:numPr>
        <w:tabs>
          <w:tab w:val="left" w:pos="993"/>
        </w:tabs>
        <w:adjustRightInd w:val="0"/>
        <w:snapToGrid w:val="0"/>
        <w:spacing w:line="360" w:lineRule="auto"/>
        <w:ind w:left="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评选概况（包括评选日程、评选方法和标准、</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名单、唱价记录、参选一览表等评选基本情况）；</w:t>
      </w:r>
    </w:p>
    <w:p w14:paraId="1FCCDF86">
      <w:pPr>
        <w:pStyle w:val="55"/>
        <w:numPr>
          <w:ilvl w:val="0"/>
          <w:numId w:val="8"/>
        </w:numPr>
        <w:tabs>
          <w:tab w:val="left" w:pos="993"/>
        </w:tabs>
        <w:adjustRightInd w:val="0"/>
        <w:snapToGrid w:val="0"/>
        <w:spacing w:line="360" w:lineRule="auto"/>
        <w:ind w:left="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资格审查结果及技术、服务、商务和价格比较；</w:t>
      </w:r>
    </w:p>
    <w:p w14:paraId="11A7D8DF">
      <w:pPr>
        <w:pStyle w:val="55"/>
        <w:numPr>
          <w:ilvl w:val="0"/>
          <w:numId w:val="8"/>
        </w:numPr>
        <w:tabs>
          <w:tab w:val="left" w:pos="993"/>
        </w:tabs>
        <w:adjustRightInd w:val="0"/>
        <w:snapToGrid w:val="0"/>
        <w:spacing w:line="360" w:lineRule="auto"/>
        <w:ind w:left="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评选专家评分原始记录表和否决参选的情况说明；</w:t>
      </w:r>
    </w:p>
    <w:p w14:paraId="6F379789">
      <w:pPr>
        <w:pStyle w:val="55"/>
        <w:numPr>
          <w:ilvl w:val="0"/>
          <w:numId w:val="8"/>
        </w:numPr>
        <w:tabs>
          <w:tab w:val="left" w:pos="993"/>
        </w:tabs>
        <w:adjustRightInd w:val="0"/>
        <w:snapToGrid w:val="0"/>
        <w:spacing w:line="360" w:lineRule="auto"/>
        <w:ind w:left="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参选人的排名顺序及推荐的中选候选人；</w:t>
      </w:r>
    </w:p>
    <w:p w14:paraId="42BD4946">
      <w:pPr>
        <w:pStyle w:val="55"/>
        <w:numPr>
          <w:ilvl w:val="0"/>
          <w:numId w:val="8"/>
        </w:numPr>
        <w:tabs>
          <w:tab w:val="left" w:pos="993"/>
        </w:tabs>
        <w:adjustRightInd w:val="0"/>
        <w:snapToGrid w:val="0"/>
        <w:spacing w:line="360" w:lineRule="auto"/>
        <w:ind w:left="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签订合同前要处理的事宜；</w:t>
      </w:r>
    </w:p>
    <w:p w14:paraId="72B0C87C">
      <w:pPr>
        <w:pStyle w:val="55"/>
        <w:numPr>
          <w:ilvl w:val="0"/>
          <w:numId w:val="8"/>
        </w:numPr>
        <w:tabs>
          <w:tab w:val="left" w:pos="993"/>
        </w:tabs>
        <w:adjustRightInd w:val="0"/>
        <w:snapToGrid w:val="0"/>
        <w:spacing w:line="360" w:lineRule="auto"/>
        <w:ind w:left="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其他重要情况说明（澄清、说明、否决参选的情况、补正事项纪要）；</w:t>
      </w:r>
    </w:p>
    <w:p w14:paraId="2402CDE2">
      <w:pPr>
        <w:pStyle w:val="55"/>
        <w:numPr>
          <w:ilvl w:val="0"/>
          <w:numId w:val="8"/>
        </w:numPr>
        <w:tabs>
          <w:tab w:val="left" w:pos="993"/>
        </w:tabs>
        <w:adjustRightInd w:val="0"/>
        <w:snapToGrid w:val="0"/>
        <w:spacing w:line="360" w:lineRule="auto"/>
        <w:ind w:left="0" w:firstLine="424" w:firstLineChars="202"/>
        <w:rPr>
          <w:rFonts w:hint="eastAsia" w:ascii="仿宋" w:hAnsi="仿宋" w:eastAsia="仿宋" w:cs="仿宋"/>
          <w:color w:val="auto"/>
          <w:szCs w:val="21"/>
          <w:highlight w:val="none"/>
        </w:rPr>
        <w:sectPr>
          <w:footerReference r:id="rId11" w:type="first"/>
          <w:footerReference r:id="rId10"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成员名单及本人签字、拒绝在评选报告上签字的</w:t>
      </w:r>
      <w:r>
        <w:rPr>
          <w:rFonts w:hint="eastAsia" w:ascii="仿宋" w:hAnsi="仿宋" w:eastAsia="仿宋" w:cs="仿宋"/>
          <w:color w:val="auto"/>
          <w:szCs w:val="21"/>
          <w:highlight w:val="none"/>
          <w:lang w:eastAsia="zh-CN"/>
        </w:rPr>
        <w:t>评审小组</w:t>
      </w:r>
      <w:r>
        <w:rPr>
          <w:rFonts w:hint="eastAsia" w:ascii="仿宋" w:hAnsi="仿宋" w:eastAsia="仿宋" w:cs="仿宋"/>
          <w:color w:val="auto"/>
          <w:szCs w:val="21"/>
          <w:highlight w:val="none"/>
        </w:rPr>
        <w:t xml:space="preserve">成员名单及其陈述的不同意见和理由。 </w:t>
      </w:r>
    </w:p>
    <w:bookmarkEnd w:id="354"/>
    <w:bookmarkEnd w:id="355"/>
    <w:bookmarkEnd w:id="356"/>
    <w:bookmarkEnd w:id="357"/>
    <w:bookmarkEnd w:id="358"/>
    <w:p w14:paraId="4A7C8745">
      <w:pPr>
        <w:pStyle w:val="54"/>
        <w:spacing w:before="240" w:after="120" w:line="360" w:lineRule="auto"/>
        <w:rPr>
          <w:rFonts w:hint="eastAsia" w:ascii="仿宋" w:hAnsi="仿宋" w:eastAsia="仿宋" w:cs="仿宋"/>
          <w:b/>
          <w:bCs w:val="0"/>
          <w:color w:val="auto"/>
          <w:kern w:val="0"/>
          <w:sz w:val="28"/>
          <w:szCs w:val="28"/>
          <w:highlight w:val="none"/>
        </w:rPr>
      </w:pPr>
      <w:bookmarkStart w:id="378" w:name="_Toc475472623"/>
      <w:bookmarkStart w:id="379" w:name="_Toc22650"/>
      <w:bookmarkStart w:id="380" w:name="_Toc28657"/>
      <w:bookmarkStart w:id="381" w:name="_Toc18810"/>
      <w:bookmarkStart w:id="382" w:name="_Toc17926"/>
      <w:bookmarkStart w:id="383" w:name="_Toc24425"/>
      <w:bookmarkStart w:id="384" w:name="_Toc22172"/>
      <w:bookmarkStart w:id="385" w:name="_Toc85401341"/>
      <w:bookmarkStart w:id="386" w:name="_Toc107822570"/>
      <w:bookmarkStart w:id="387" w:name="_Toc447265599"/>
      <w:bookmarkStart w:id="388" w:name="_Toc227057959"/>
      <w:bookmarkStart w:id="389" w:name="_Toc447265313"/>
      <w:bookmarkStart w:id="390" w:name="_Toc226969353"/>
      <w:r>
        <w:rPr>
          <w:rFonts w:hint="eastAsia" w:ascii="仿宋" w:hAnsi="仿宋" w:eastAsia="仿宋" w:cs="仿宋"/>
          <w:b/>
          <w:bCs w:val="0"/>
          <w:color w:val="auto"/>
          <w:kern w:val="0"/>
          <w:sz w:val="28"/>
          <w:szCs w:val="28"/>
          <w:highlight w:val="none"/>
        </w:rPr>
        <w:t>第</w:t>
      </w:r>
      <w:r>
        <w:rPr>
          <w:rFonts w:hint="default" w:ascii="仿宋" w:hAnsi="仿宋" w:eastAsia="仿宋" w:cs="仿宋"/>
          <w:b/>
          <w:bCs w:val="0"/>
          <w:color w:val="auto"/>
          <w:kern w:val="0"/>
          <w:sz w:val="28"/>
          <w:szCs w:val="28"/>
          <w:highlight w:val="none"/>
        </w:rPr>
        <w:t>四</w:t>
      </w:r>
      <w:r>
        <w:rPr>
          <w:rFonts w:hint="eastAsia" w:ascii="仿宋" w:hAnsi="仿宋" w:eastAsia="仿宋" w:cs="仿宋"/>
          <w:b/>
          <w:bCs w:val="0"/>
          <w:color w:val="auto"/>
          <w:kern w:val="0"/>
          <w:sz w:val="28"/>
          <w:szCs w:val="28"/>
          <w:highlight w:val="none"/>
        </w:rPr>
        <w:t>章</w:t>
      </w:r>
      <w:bookmarkEnd w:id="378"/>
      <w:r>
        <w:rPr>
          <w:rFonts w:hint="eastAsia" w:ascii="仿宋" w:hAnsi="仿宋" w:eastAsia="仿宋" w:cs="仿宋"/>
          <w:b/>
          <w:bCs w:val="0"/>
          <w:color w:val="auto"/>
          <w:kern w:val="0"/>
          <w:sz w:val="28"/>
          <w:szCs w:val="28"/>
          <w:highlight w:val="none"/>
        </w:rPr>
        <w:t>※合同条款</w:t>
      </w:r>
      <w:bookmarkEnd w:id="379"/>
      <w:bookmarkEnd w:id="380"/>
      <w:bookmarkEnd w:id="381"/>
      <w:bookmarkEnd w:id="382"/>
      <w:bookmarkEnd w:id="383"/>
      <w:bookmarkEnd w:id="384"/>
      <w:bookmarkEnd w:id="385"/>
    </w:p>
    <w:bookmarkEnd w:id="386"/>
    <w:bookmarkEnd w:id="387"/>
    <w:bookmarkEnd w:id="388"/>
    <w:bookmarkEnd w:id="389"/>
    <w:bookmarkEnd w:id="390"/>
    <w:p w14:paraId="062A4057">
      <w:pPr>
        <w:widowControl/>
        <w:spacing w:line="240" w:lineRule="auto"/>
        <w:jc w:val="left"/>
        <w:rPr>
          <w:rFonts w:hint="eastAsia" w:ascii="仿宋" w:hAnsi="仿宋" w:eastAsia="仿宋" w:cs="仿宋"/>
          <w:color w:val="auto"/>
          <w:szCs w:val="21"/>
          <w:highlight w:val="none"/>
        </w:rPr>
      </w:pPr>
      <w:bookmarkStart w:id="391" w:name="_Toc68104773"/>
      <w:bookmarkStart w:id="392" w:name="_Toc513986861"/>
      <w:bookmarkStart w:id="393" w:name="_Toc513987551"/>
      <w:bookmarkStart w:id="394" w:name="_Toc532656967"/>
      <w:bookmarkStart w:id="395" w:name="_Toc439923444"/>
      <w:bookmarkStart w:id="396" w:name="_Toc475472662"/>
      <w:bookmarkStart w:id="397" w:name="_Toc475472669"/>
      <w:bookmarkStart w:id="398" w:name="_Toc447265316"/>
      <w:bookmarkStart w:id="399" w:name="_Toc447265602"/>
    </w:p>
    <w:p w14:paraId="3F7E1F61">
      <w:pPr>
        <w:widowControl/>
        <w:autoSpaceDE w:val="0"/>
        <w:autoSpaceDN w:val="0"/>
        <w:spacing w:line="360" w:lineRule="auto"/>
        <w:jc w:val="center"/>
        <w:textAlignment w:val="bottom"/>
        <w:rPr>
          <w:rFonts w:ascii="仿宋" w:hAnsi="仿宋" w:eastAsia="仿宋" w:cs="仿宋"/>
          <w:b/>
          <w:bCs/>
          <w:color w:val="auto"/>
          <w:sz w:val="44"/>
          <w:szCs w:val="44"/>
          <w:highlight w:val="none"/>
        </w:rPr>
      </w:pPr>
    </w:p>
    <w:p w14:paraId="399DAF5A">
      <w:pPr>
        <w:widowControl/>
        <w:autoSpaceDE w:val="0"/>
        <w:autoSpaceDN w:val="0"/>
        <w:spacing w:line="360" w:lineRule="auto"/>
        <w:jc w:val="center"/>
        <w:textAlignment w:val="bottom"/>
        <w:rPr>
          <w:rFonts w:ascii="仿宋" w:hAnsi="仿宋" w:eastAsia="仿宋" w:cs="仿宋"/>
          <w:b/>
          <w:bCs/>
          <w:color w:val="auto"/>
          <w:sz w:val="44"/>
          <w:szCs w:val="44"/>
          <w:highlight w:val="none"/>
        </w:rPr>
      </w:pPr>
    </w:p>
    <w:p w14:paraId="2787EA08">
      <w:pPr>
        <w:widowControl/>
        <w:autoSpaceDE w:val="0"/>
        <w:autoSpaceDN w:val="0"/>
        <w:spacing w:line="360" w:lineRule="auto"/>
        <w:jc w:val="center"/>
        <w:textAlignment w:val="bottom"/>
        <w:rPr>
          <w:rFonts w:hint="eastAsia" w:ascii="仿宋" w:hAnsi="仿宋" w:eastAsia="仿宋" w:cs="仿宋"/>
          <w:b/>
          <w:bCs/>
          <w:color w:val="auto"/>
          <w:sz w:val="44"/>
          <w:szCs w:val="44"/>
          <w:highlight w:val="none"/>
        </w:rPr>
      </w:pPr>
    </w:p>
    <w:p w14:paraId="3CF9BA8C">
      <w:pPr>
        <w:widowControl/>
        <w:autoSpaceDE w:val="0"/>
        <w:autoSpaceDN w:val="0"/>
        <w:spacing w:line="360" w:lineRule="auto"/>
        <w:jc w:val="center"/>
        <w:textAlignment w:val="bottom"/>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南宁轨道数智科技有限公司</w:t>
      </w:r>
    </w:p>
    <w:p w14:paraId="042D0EA5">
      <w:pPr>
        <w:widowControl/>
        <w:autoSpaceDE w:val="0"/>
        <w:autoSpaceDN w:val="0"/>
        <w:spacing w:line="360" w:lineRule="auto"/>
        <w:jc w:val="center"/>
        <w:textAlignment w:val="bottom"/>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新自营项目整合传播服务</w:t>
      </w:r>
      <w:r>
        <w:rPr>
          <w:rFonts w:hint="eastAsia" w:ascii="方正小标宋简体" w:hAnsi="方正小标宋简体" w:eastAsia="方正小标宋简体" w:cs="方正小标宋简体"/>
          <w:color w:val="auto"/>
          <w:sz w:val="44"/>
          <w:szCs w:val="44"/>
          <w:highlight w:val="none"/>
        </w:rPr>
        <w:t>委托合同</w:t>
      </w:r>
    </w:p>
    <w:p w14:paraId="7037B80C">
      <w:pPr>
        <w:widowControl/>
        <w:autoSpaceDE w:val="0"/>
        <w:autoSpaceDN w:val="0"/>
        <w:spacing w:line="360" w:lineRule="auto"/>
        <w:textAlignment w:val="bottom"/>
        <w:rPr>
          <w:rFonts w:hint="eastAsia" w:ascii="仿宋" w:hAnsi="仿宋" w:eastAsia="仿宋" w:cs="仿宋"/>
          <w:color w:val="auto"/>
          <w:sz w:val="24"/>
          <w:highlight w:val="none"/>
        </w:rPr>
      </w:pPr>
    </w:p>
    <w:p w14:paraId="6E672383">
      <w:pPr>
        <w:widowControl/>
        <w:autoSpaceDE w:val="0"/>
        <w:autoSpaceDN w:val="0"/>
        <w:spacing w:line="360" w:lineRule="auto"/>
        <w:textAlignment w:val="bottom"/>
        <w:rPr>
          <w:rFonts w:hint="eastAsia" w:ascii="仿宋" w:hAnsi="仿宋" w:eastAsia="仿宋" w:cs="仿宋"/>
          <w:color w:val="auto"/>
          <w:sz w:val="24"/>
          <w:highlight w:val="none"/>
        </w:rPr>
      </w:pPr>
    </w:p>
    <w:p w14:paraId="164869ED">
      <w:pPr>
        <w:widowControl/>
        <w:autoSpaceDE w:val="0"/>
        <w:autoSpaceDN w:val="0"/>
        <w:spacing w:line="360" w:lineRule="auto"/>
        <w:textAlignment w:val="bottom"/>
        <w:rPr>
          <w:rFonts w:hint="eastAsia" w:ascii="仿宋" w:hAnsi="仿宋" w:eastAsia="仿宋" w:cs="仿宋"/>
          <w:color w:val="auto"/>
          <w:sz w:val="24"/>
          <w:highlight w:val="none"/>
        </w:rPr>
      </w:pPr>
    </w:p>
    <w:p w14:paraId="743D82DD">
      <w:pPr>
        <w:widowControl/>
        <w:autoSpaceDE w:val="0"/>
        <w:autoSpaceDN w:val="0"/>
        <w:spacing w:line="360" w:lineRule="auto"/>
        <w:textAlignment w:val="bottom"/>
        <w:rPr>
          <w:rFonts w:hint="eastAsia" w:ascii="仿宋" w:hAnsi="仿宋" w:eastAsia="仿宋" w:cs="仿宋"/>
          <w:color w:val="auto"/>
          <w:sz w:val="24"/>
          <w:highlight w:val="none"/>
        </w:rPr>
      </w:pPr>
    </w:p>
    <w:p w14:paraId="687E6264">
      <w:pPr>
        <w:widowControl/>
        <w:autoSpaceDE w:val="0"/>
        <w:autoSpaceDN w:val="0"/>
        <w:spacing w:line="360" w:lineRule="auto"/>
        <w:textAlignment w:val="bottom"/>
        <w:rPr>
          <w:rFonts w:hint="eastAsia" w:ascii="仿宋" w:hAnsi="仿宋" w:eastAsia="仿宋" w:cs="仿宋"/>
          <w:color w:val="auto"/>
          <w:sz w:val="24"/>
          <w:highlight w:val="none"/>
        </w:rPr>
      </w:pPr>
    </w:p>
    <w:p w14:paraId="64C853D1">
      <w:pPr>
        <w:widowControl/>
        <w:ind w:firstLine="1280" w:firstLineChars="400"/>
        <w:jc w:val="left"/>
        <w:rPr>
          <w:rFonts w:hint="eastAsia" w:ascii="仿宋" w:hAnsi="仿宋" w:eastAsia="仿宋" w:cs="方正小标宋_GBK"/>
          <w:bCs/>
          <w:color w:val="auto"/>
          <w:kern w:val="0"/>
          <w:sz w:val="32"/>
          <w:szCs w:val="32"/>
          <w:highlight w:val="none"/>
          <w:lang w:eastAsia="zh-CN"/>
        </w:rPr>
      </w:pPr>
      <w:bookmarkStart w:id="400" w:name="_Toc191287923"/>
      <w:bookmarkEnd w:id="400"/>
      <w:bookmarkStart w:id="401" w:name="_Toc189330797"/>
      <w:bookmarkEnd w:id="401"/>
      <w:bookmarkStart w:id="402" w:name="_Toc189330812"/>
      <w:bookmarkEnd w:id="402"/>
      <w:bookmarkStart w:id="403" w:name="_Toc189330811"/>
      <w:bookmarkEnd w:id="403"/>
      <w:bookmarkStart w:id="404" w:name="_Toc191287922"/>
      <w:bookmarkEnd w:id="404"/>
      <w:bookmarkStart w:id="405" w:name="_Toc191287924"/>
      <w:bookmarkEnd w:id="405"/>
      <w:bookmarkStart w:id="406" w:name="_Toc189242471"/>
      <w:bookmarkEnd w:id="406"/>
      <w:bookmarkStart w:id="407" w:name="_Toc191287921"/>
      <w:bookmarkEnd w:id="407"/>
      <w:bookmarkStart w:id="408" w:name="_Toc189330795"/>
      <w:bookmarkEnd w:id="408"/>
      <w:bookmarkStart w:id="409" w:name="_Toc191287928"/>
      <w:bookmarkEnd w:id="409"/>
      <w:bookmarkStart w:id="410" w:name="_Toc191287926"/>
      <w:bookmarkEnd w:id="410"/>
      <w:bookmarkStart w:id="411" w:name="_Toc189330815"/>
      <w:bookmarkEnd w:id="411"/>
      <w:bookmarkStart w:id="412" w:name="_Toc189242468"/>
      <w:bookmarkEnd w:id="412"/>
      <w:bookmarkStart w:id="413" w:name="_Toc189330794"/>
      <w:bookmarkEnd w:id="413"/>
      <w:bookmarkStart w:id="414" w:name="_Toc191287929"/>
      <w:bookmarkEnd w:id="414"/>
      <w:bookmarkStart w:id="415" w:name="_Toc189330813"/>
      <w:bookmarkEnd w:id="415"/>
      <w:bookmarkStart w:id="416" w:name="_Toc191287925"/>
      <w:bookmarkEnd w:id="416"/>
      <w:bookmarkStart w:id="417" w:name="_Toc189330799"/>
      <w:bookmarkEnd w:id="417"/>
      <w:bookmarkStart w:id="418" w:name="_Toc189330816"/>
      <w:bookmarkEnd w:id="418"/>
      <w:bookmarkStart w:id="419" w:name="_Toc189330798"/>
      <w:bookmarkEnd w:id="419"/>
      <w:bookmarkStart w:id="420" w:name="_Toc189330796"/>
      <w:bookmarkEnd w:id="420"/>
      <w:bookmarkStart w:id="421" w:name="_Toc189242470"/>
      <w:bookmarkEnd w:id="421"/>
      <w:bookmarkStart w:id="422" w:name="_Toc189242466"/>
      <w:bookmarkEnd w:id="422"/>
      <w:bookmarkStart w:id="423" w:name="_Toc189242467"/>
      <w:bookmarkEnd w:id="423"/>
      <w:bookmarkStart w:id="424" w:name="_Toc189242469"/>
      <w:bookmarkEnd w:id="424"/>
      <w:bookmarkStart w:id="425" w:name="_Toc189330814"/>
      <w:bookmarkEnd w:id="425"/>
      <w:r>
        <w:rPr>
          <w:rFonts w:hint="eastAsia" w:ascii="仿宋" w:hAnsi="仿宋" w:eastAsia="仿宋" w:cs="方正小标宋_GBK"/>
          <w:bCs/>
          <w:color w:val="auto"/>
          <w:kern w:val="0"/>
          <w:sz w:val="32"/>
          <w:szCs w:val="32"/>
          <w:highlight w:val="none"/>
        </w:rPr>
        <w:t>甲方：</w:t>
      </w:r>
      <w:r>
        <w:rPr>
          <w:rFonts w:hint="eastAsia" w:ascii="仿宋" w:hAnsi="仿宋" w:eastAsia="仿宋" w:cs="方正小标宋_GBK"/>
          <w:bCs/>
          <w:color w:val="auto"/>
          <w:kern w:val="0"/>
          <w:sz w:val="32"/>
          <w:szCs w:val="32"/>
          <w:highlight w:val="none"/>
          <w:lang w:eastAsia="zh-CN"/>
        </w:rPr>
        <w:t>南宁轨道数智科技有限公司</w:t>
      </w:r>
    </w:p>
    <w:p w14:paraId="3A58F63C">
      <w:pPr>
        <w:widowControl/>
        <w:ind w:firstLine="1280" w:firstLineChars="400"/>
        <w:jc w:val="left"/>
        <w:rPr>
          <w:rFonts w:ascii="仿宋" w:hAnsi="仿宋" w:eastAsia="仿宋" w:cs="方正小标宋_GBK"/>
          <w:bCs/>
          <w:color w:val="auto"/>
          <w:kern w:val="0"/>
          <w:sz w:val="32"/>
          <w:szCs w:val="32"/>
          <w:highlight w:val="none"/>
        </w:rPr>
      </w:pPr>
      <w:r>
        <w:rPr>
          <w:rFonts w:hint="eastAsia" w:ascii="仿宋" w:hAnsi="仿宋" w:eastAsia="仿宋" w:cs="方正小标宋_GBK"/>
          <w:bCs/>
          <w:color w:val="auto"/>
          <w:kern w:val="0"/>
          <w:sz w:val="32"/>
          <w:szCs w:val="32"/>
          <w:highlight w:val="none"/>
        </w:rPr>
        <w:t xml:space="preserve">乙方： </w:t>
      </w:r>
      <w:r>
        <w:rPr>
          <w:rFonts w:ascii="仿宋" w:hAnsi="仿宋" w:eastAsia="仿宋" w:cs="方正小标宋_GBK"/>
          <w:bCs/>
          <w:color w:val="auto"/>
          <w:kern w:val="0"/>
          <w:sz w:val="32"/>
          <w:szCs w:val="32"/>
          <w:highlight w:val="none"/>
        </w:rPr>
        <w:t xml:space="preserve">                      </w:t>
      </w:r>
    </w:p>
    <w:p w14:paraId="580D6219">
      <w:pPr>
        <w:widowControl/>
        <w:ind w:firstLine="2880" w:firstLineChars="900"/>
        <w:jc w:val="left"/>
        <w:rPr>
          <w:rFonts w:ascii="仿宋" w:hAnsi="仿宋" w:eastAsia="仿宋" w:cs="方正小标宋_GBK"/>
          <w:bCs/>
          <w:color w:val="auto"/>
          <w:kern w:val="0"/>
          <w:sz w:val="32"/>
          <w:szCs w:val="32"/>
          <w:highlight w:val="none"/>
        </w:rPr>
      </w:pPr>
    </w:p>
    <w:p w14:paraId="518D028B">
      <w:pPr>
        <w:widowControl/>
        <w:jc w:val="center"/>
        <w:rPr>
          <w:rFonts w:ascii="仿宋" w:hAnsi="仿宋" w:eastAsia="仿宋" w:cs="方正小标宋_GBK"/>
          <w:bCs/>
          <w:color w:val="auto"/>
          <w:kern w:val="0"/>
          <w:sz w:val="32"/>
          <w:szCs w:val="32"/>
          <w:highlight w:val="none"/>
        </w:rPr>
      </w:pPr>
      <w:r>
        <w:rPr>
          <w:rFonts w:hint="eastAsia" w:ascii="仿宋" w:hAnsi="仿宋" w:eastAsia="仿宋" w:cs="方正小标宋_GBK"/>
          <w:bCs/>
          <w:color w:val="auto"/>
          <w:kern w:val="0"/>
          <w:sz w:val="32"/>
          <w:szCs w:val="32"/>
          <w:highlight w:val="none"/>
        </w:rPr>
        <w:t>签订日期：</w:t>
      </w:r>
      <w:r>
        <w:rPr>
          <w:rFonts w:hint="eastAsia" w:ascii="仿宋" w:hAnsi="仿宋" w:eastAsia="仿宋" w:cs="方正小标宋_GBK"/>
          <w:bCs/>
          <w:color w:val="auto"/>
          <w:kern w:val="0"/>
          <w:sz w:val="32"/>
          <w:szCs w:val="32"/>
          <w:highlight w:val="none"/>
          <w:lang w:eastAsia="zh-CN"/>
        </w:rPr>
        <w:t>2024</w:t>
      </w:r>
      <w:r>
        <w:rPr>
          <w:rFonts w:hint="eastAsia" w:ascii="仿宋" w:hAnsi="仿宋" w:eastAsia="仿宋" w:cs="方正小标宋_GBK"/>
          <w:bCs/>
          <w:color w:val="auto"/>
          <w:kern w:val="0"/>
          <w:sz w:val="32"/>
          <w:szCs w:val="32"/>
          <w:highlight w:val="none"/>
        </w:rPr>
        <w:t>年</w:t>
      </w:r>
      <w:r>
        <w:rPr>
          <w:rFonts w:hint="eastAsia" w:ascii="仿宋" w:hAnsi="仿宋" w:eastAsia="仿宋" w:cs="方正小标宋_GBK"/>
          <w:bCs/>
          <w:color w:val="auto"/>
          <w:kern w:val="0"/>
          <w:sz w:val="32"/>
          <w:szCs w:val="32"/>
          <w:highlight w:val="none"/>
          <w:lang w:val="en-US" w:eastAsia="zh-CN"/>
        </w:rPr>
        <w:t>11</w:t>
      </w:r>
      <w:r>
        <w:rPr>
          <w:rFonts w:hint="eastAsia" w:ascii="仿宋" w:hAnsi="仿宋" w:eastAsia="仿宋" w:cs="方正小标宋_GBK"/>
          <w:bCs/>
          <w:color w:val="auto"/>
          <w:kern w:val="0"/>
          <w:sz w:val="32"/>
          <w:szCs w:val="32"/>
          <w:highlight w:val="none"/>
        </w:rPr>
        <w:t>月</w:t>
      </w:r>
    </w:p>
    <w:p w14:paraId="7E762552">
      <w:pPr>
        <w:autoSpaceDE w:val="0"/>
        <w:autoSpaceDN w:val="0"/>
        <w:adjustRightInd w:val="0"/>
        <w:spacing w:after="156" w:afterLines="50" w:line="480" w:lineRule="auto"/>
        <w:ind w:firstLine="480" w:firstLineChars="200"/>
        <w:jc w:val="left"/>
        <w:rPr>
          <w:rFonts w:ascii="宋体" w:hAnsi="宋体" w:cs="宋体"/>
          <w:color w:val="auto"/>
          <w:sz w:val="24"/>
          <w:highlight w:val="none"/>
        </w:rPr>
      </w:pPr>
    </w:p>
    <w:p w14:paraId="299DECCD">
      <w:pPr>
        <w:autoSpaceDE w:val="0"/>
        <w:autoSpaceDN w:val="0"/>
        <w:adjustRightInd w:val="0"/>
        <w:spacing w:after="156" w:afterLines="50" w:line="480" w:lineRule="auto"/>
        <w:ind w:firstLine="480" w:firstLineChars="200"/>
        <w:jc w:val="left"/>
        <w:rPr>
          <w:rFonts w:ascii="宋体" w:hAnsi="宋体" w:cs="宋体"/>
          <w:color w:val="auto"/>
          <w:sz w:val="24"/>
          <w:highlight w:val="none"/>
        </w:rPr>
      </w:pPr>
    </w:p>
    <w:p w14:paraId="4D74DD42">
      <w:pPr>
        <w:widowControl/>
        <w:autoSpaceDE w:val="0"/>
        <w:autoSpaceDN w:val="0"/>
        <w:spacing w:line="360" w:lineRule="auto"/>
        <w:textAlignment w:val="bottom"/>
        <w:rPr>
          <w:rFonts w:ascii="宋体" w:hAnsi="宋体" w:cs="宋体"/>
          <w:color w:val="auto"/>
          <w:sz w:val="24"/>
          <w:highlight w:val="none"/>
        </w:rPr>
      </w:pPr>
    </w:p>
    <w:p w14:paraId="106CB4FF">
      <w:pPr>
        <w:widowControl/>
        <w:autoSpaceDE w:val="0"/>
        <w:autoSpaceDN w:val="0"/>
        <w:spacing w:line="360" w:lineRule="auto"/>
        <w:textAlignment w:val="bottom"/>
        <w:rPr>
          <w:rFonts w:hint="eastAsia" w:ascii="宋体" w:hAnsi="宋体" w:cs="宋体"/>
          <w:color w:val="auto"/>
          <w:sz w:val="24"/>
          <w:highlight w:val="none"/>
        </w:rPr>
      </w:pPr>
    </w:p>
    <w:p w14:paraId="7CEAA106">
      <w:pPr>
        <w:widowControl/>
        <w:autoSpaceDE w:val="0"/>
        <w:autoSpaceDN w:val="0"/>
        <w:spacing w:line="360" w:lineRule="auto"/>
        <w:ind w:firstLine="480"/>
        <w:textAlignment w:val="bottom"/>
        <w:rPr>
          <w:rFonts w:hint="eastAsia" w:ascii="宋体" w:hAnsi="宋体" w:cs="宋体"/>
          <w:b/>
          <w:color w:val="auto"/>
          <w:sz w:val="24"/>
          <w:highlight w:val="none"/>
        </w:rPr>
      </w:pPr>
    </w:p>
    <w:p w14:paraId="73347773">
      <w:pPr>
        <w:widowControl/>
        <w:autoSpaceDE w:val="0"/>
        <w:autoSpaceDN w:val="0"/>
        <w:spacing w:line="360" w:lineRule="auto"/>
        <w:ind w:firstLine="480"/>
        <w:textAlignment w:val="bottom"/>
        <w:rPr>
          <w:rFonts w:hint="eastAsia" w:ascii="宋体" w:hAnsi="宋体" w:cs="宋体"/>
          <w:b/>
          <w:color w:val="auto"/>
          <w:sz w:val="24"/>
          <w:highlight w:val="none"/>
        </w:rPr>
      </w:pPr>
    </w:p>
    <w:p w14:paraId="19742AB6">
      <w:pPr>
        <w:widowControl/>
        <w:autoSpaceDE w:val="0"/>
        <w:autoSpaceDN w:val="0"/>
        <w:spacing w:line="360" w:lineRule="auto"/>
        <w:ind w:firstLine="480"/>
        <w:textAlignment w:val="bottom"/>
        <w:rPr>
          <w:rFonts w:hint="eastAsia" w:ascii="宋体" w:hAnsi="宋体" w:cs="宋体"/>
          <w:b/>
          <w:color w:val="auto"/>
          <w:sz w:val="24"/>
          <w:highlight w:val="none"/>
        </w:rPr>
      </w:pPr>
    </w:p>
    <w:p w14:paraId="0056B060">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鉴于：</w:t>
      </w:r>
    </w:p>
    <w:p w14:paraId="6F8032EA">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甲方是一家依据中华人民共和国法律成立并持续经营的公司，现因经营需要，拟指定具有相应资质和能力的法人或其他组织提供</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w:t>
      </w:r>
    </w:p>
    <w:p w14:paraId="14692E03">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乙方是一家依据中华人民共和国法律成立并持续经营的公司，具备</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服务的从业资质，愿意并有能力接受甲方指定、按照甲方要求提供</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w:t>
      </w:r>
    </w:p>
    <w:p w14:paraId="74BDA374">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甲乙双方根据《中华人民共和国民法典》等有关法律、法规和其他规范性文件的规定，经过友好协商，在平等、互利的原则下，就甲方指定乙方对[</w:t>
      </w:r>
      <w:r>
        <w:rPr>
          <w:rFonts w:hint="eastAsia" w:ascii="仿宋" w:hAnsi="仿宋" w:eastAsia="仿宋" w:cs="仿宋"/>
          <w:color w:val="auto"/>
          <w:sz w:val="24"/>
          <w:highlight w:val="none"/>
          <w:lang w:eastAsia="zh-CN"/>
        </w:rPr>
        <w:t>南宁轨道数智科技有限公司新自营项目整合传播服务</w:t>
      </w:r>
      <w:r>
        <w:rPr>
          <w:rFonts w:hint="eastAsia" w:ascii="仿宋" w:hAnsi="仿宋" w:eastAsia="仿宋" w:cs="仿宋"/>
          <w:color w:val="auto"/>
          <w:sz w:val="24"/>
          <w:highlight w:val="none"/>
        </w:rPr>
        <w:t>]项目提供营销活动</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服务事宜一致达成如下协议：</w:t>
      </w:r>
    </w:p>
    <w:p w14:paraId="3C5C5744">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55F1DF2F">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26" w:name="_Toc193265482"/>
      <w:r>
        <w:rPr>
          <w:rFonts w:hint="eastAsia" w:ascii="仿宋" w:hAnsi="仿宋" w:eastAsia="仿宋" w:cs="仿宋"/>
          <w:b/>
          <w:color w:val="auto"/>
          <w:sz w:val="24"/>
          <w:highlight w:val="none"/>
        </w:rPr>
        <w:t>第一条 服务事项</w:t>
      </w:r>
      <w:bookmarkEnd w:id="426"/>
    </w:p>
    <w:p w14:paraId="744D9D20">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1.1 甲方同意接受乙方服务，指定乙方根据本合同约定和甲方要求对[</w:t>
      </w:r>
      <w:r>
        <w:rPr>
          <w:rFonts w:hint="eastAsia" w:ascii="仿宋" w:hAnsi="仿宋" w:eastAsia="仿宋" w:cs="仿宋"/>
          <w:color w:val="auto"/>
          <w:sz w:val="24"/>
          <w:highlight w:val="none"/>
          <w:lang w:eastAsia="zh-CN"/>
        </w:rPr>
        <w:t>南宁轨道数智科技有限公司新自营项目整合传播服务</w:t>
      </w:r>
      <w:r>
        <w:rPr>
          <w:rFonts w:hint="eastAsia" w:ascii="仿宋" w:hAnsi="仿宋" w:eastAsia="仿宋" w:cs="仿宋"/>
          <w:color w:val="auto"/>
          <w:sz w:val="24"/>
          <w:highlight w:val="none"/>
        </w:rPr>
        <w:t>]项目进行提供营销活动</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服务；乙方同意接受甲方指定，根据本合同约定和甲方要求对[</w:t>
      </w:r>
      <w:r>
        <w:rPr>
          <w:rFonts w:hint="eastAsia" w:ascii="仿宋" w:hAnsi="仿宋" w:eastAsia="仿宋" w:cs="仿宋"/>
          <w:color w:val="auto"/>
          <w:sz w:val="24"/>
          <w:highlight w:val="none"/>
          <w:lang w:eastAsia="zh-CN"/>
        </w:rPr>
        <w:t>南宁轨道数智科技有限公司新自营项目整合传播服务</w:t>
      </w:r>
      <w:r>
        <w:rPr>
          <w:rFonts w:hint="eastAsia" w:ascii="仿宋" w:hAnsi="仿宋" w:eastAsia="仿宋" w:cs="仿宋"/>
          <w:color w:val="auto"/>
          <w:sz w:val="24"/>
          <w:highlight w:val="none"/>
        </w:rPr>
        <w:t>]项目提供营销活动</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w:t>
      </w:r>
    </w:p>
    <w:p w14:paraId="6B3F2D44">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 </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服务实施起止时间：[</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40D38B15">
      <w:pPr>
        <w:pStyle w:val="55"/>
        <w:spacing w:line="48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1.3 乙方提供</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服务的具体内容和要求：</w:t>
      </w:r>
      <w:r>
        <w:rPr>
          <w:rFonts w:hint="eastAsia" w:ascii="仿宋" w:hAnsi="仿宋" w:eastAsia="仿宋" w:cs="仿宋"/>
          <w:color w:val="auto"/>
          <w:sz w:val="24"/>
          <w:szCs w:val="24"/>
          <w:highlight w:val="none"/>
          <w:lang w:val="en-US" w:eastAsia="zh-CN"/>
        </w:rPr>
        <w:t>配合甲方需求组建“轨道数智新自营”项目推广服务小组</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z w:val="24"/>
          <w:szCs w:val="24"/>
          <w:highlight w:val="none"/>
          <w:lang w:val="en-US" w:eastAsia="zh-Hans"/>
        </w:rPr>
        <w:t>利用</w:t>
      </w:r>
      <w:r>
        <w:rPr>
          <w:rFonts w:hint="eastAsia" w:ascii="仿宋" w:hAnsi="仿宋" w:eastAsia="仿宋" w:cs="仿宋"/>
          <w:color w:val="auto"/>
          <w:sz w:val="24"/>
          <w:szCs w:val="24"/>
          <w:highlight w:val="none"/>
          <w:lang w:val="en-US" w:eastAsia="zh-CN"/>
        </w:rPr>
        <w:t>阶段性传播策略、线下活动、</w:t>
      </w:r>
      <w:r>
        <w:rPr>
          <w:rFonts w:hint="eastAsia" w:ascii="仿宋" w:hAnsi="仿宋" w:eastAsia="仿宋" w:cs="仿宋"/>
          <w:color w:val="auto"/>
          <w:sz w:val="24"/>
          <w:szCs w:val="24"/>
          <w:highlight w:val="none"/>
          <w:lang w:val="en-US" w:eastAsia="zh-Hans"/>
        </w:rPr>
        <w:t>新媒体矩阵</w:t>
      </w:r>
      <w:r>
        <w:rPr>
          <w:rFonts w:hint="eastAsia" w:ascii="仿宋" w:hAnsi="仿宋" w:eastAsia="仿宋" w:cs="仿宋"/>
          <w:color w:val="auto"/>
          <w:sz w:val="24"/>
          <w:szCs w:val="24"/>
          <w:highlight w:val="none"/>
          <w:lang w:val="en-US" w:eastAsia="zh-CN"/>
        </w:rPr>
        <w:t>等方式</w:t>
      </w:r>
      <w:r>
        <w:rPr>
          <w:rFonts w:hint="eastAsia" w:ascii="仿宋" w:hAnsi="仿宋" w:eastAsia="仿宋" w:cs="仿宋"/>
          <w:color w:val="auto"/>
          <w:sz w:val="24"/>
          <w:szCs w:val="24"/>
          <w:highlight w:val="none"/>
          <w:lang w:val="en-US" w:eastAsia="zh-Hans"/>
        </w:rPr>
        <w:t>开拓市场</w:t>
      </w:r>
      <w:r>
        <w:rPr>
          <w:rFonts w:hint="eastAsia" w:ascii="仿宋" w:hAnsi="仿宋" w:eastAsia="仿宋" w:cs="仿宋"/>
          <w:color w:val="auto"/>
          <w:sz w:val="24"/>
          <w:szCs w:val="24"/>
          <w:highlight w:val="none"/>
          <w:lang w:val="en-US" w:eastAsia="zh-CN"/>
        </w:rPr>
        <w:t>，为甲方新自营项目提供从推广</w:t>
      </w:r>
      <w:r>
        <w:rPr>
          <w:rFonts w:hint="eastAsia" w:ascii="仿宋" w:hAnsi="仿宋" w:eastAsia="仿宋" w:cs="仿宋"/>
          <w:color w:val="auto"/>
          <w:sz w:val="24"/>
          <w:szCs w:val="24"/>
          <w:highlight w:val="none"/>
          <w:lang w:eastAsia="zh-CN"/>
        </w:rPr>
        <w:t>战略</w:t>
      </w:r>
      <w:r>
        <w:rPr>
          <w:rFonts w:hint="eastAsia" w:ascii="仿宋" w:hAnsi="仿宋" w:eastAsia="仿宋" w:cs="仿宋"/>
          <w:color w:val="auto"/>
          <w:sz w:val="24"/>
          <w:szCs w:val="24"/>
          <w:highlight w:val="none"/>
        </w:rPr>
        <w:t>决</w:t>
      </w:r>
      <w:r>
        <w:rPr>
          <w:rFonts w:hint="eastAsia" w:ascii="仿宋" w:hAnsi="仿宋" w:eastAsia="仿宋" w:cs="仿宋"/>
          <w:color w:val="auto"/>
          <w:sz w:val="24"/>
          <w:szCs w:val="24"/>
          <w:highlight w:val="none"/>
          <w:lang w:val="en-US" w:eastAsia="zh-CN"/>
        </w:rPr>
        <w:t>策</w:t>
      </w:r>
      <w:r>
        <w:rPr>
          <w:rFonts w:hint="eastAsia" w:ascii="仿宋" w:hAnsi="仿宋" w:eastAsia="仿宋" w:cs="仿宋"/>
          <w:color w:val="auto"/>
          <w:sz w:val="24"/>
          <w:szCs w:val="24"/>
          <w:highlight w:val="none"/>
          <w:lang w:eastAsia="zh-CN"/>
        </w:rPr>
        <w:t>到</w:t>
      </w:r>
      <w:r>
        <w:rPr>
          <w:rFonts w:hint="eastAsia" w:ascii="仿宋" w:hAnsi="仿宋" w:eastAsia="仿宋" w:cs="仿宋"/>
          <w:color w:val="auto"/>
          <w:sz w:val="24"/>
          <w:szCs w:val="24"/>
          <w:highlight w:val="none"/>
        </w:rPr>
        <w:t>执行的全面服务。为</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运营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Hans"/>
        </w:rPr>
        <w:t>宣传</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销售</w:t>
      </w:r>
      <w:r>
        <w:rPr>
          <w:rFonts w:hint="eastAsia" w:ascii="仿宋" w:hAnsi="仿宋" w:eastAsia="仿宋" w:cs="仿宋"/>
          <w:color w:val="auto"/>
          <w:sz w:val="24"/>
          <w:szCs w:val="24"/>
          <w:highlight w:val="none"/>
          <w:lang w:val="en-US" w:eastAsia="zh-CN"/>
        </w:rPr>
        <w:t>、加盟招商</w:t>
      </w:r>
      <w:r>
        <w:rPr>
          <w:rFonts w:hint="eastAsia" w:ascii="仿宋" w:hAnsi="仿宋" w:eastAsia="仿宋" w:cs="仿宋"/>
          <w:color w:val="auto"/>
          <w:sz w:val="24"/>
          <w:szCs w:val="24"/>
          <w:highlight w:val="none"/>
          <w:lang w:val="en-US" w:eastAsia="zh-Hans"/>
        </w:rPr>
        <w:t>提供全面的</w:t>
      </w:r>
      <w:r>
        <w:rPr>
          <w:rFonts w:hint="eastAsia" w:ascii="仿宋" w:hAnsi="仿宋" w:eastAsia="仿宋" w:cs="仿宋"/>
          <w:color w:val="auto"/>
          <w:sz w:val="24"/>
          <w:szCs w:val="24"/>
          <w:highlight w:val="none"/>
          <w:lang w:val="en-US" w:eastAsia="zh-CN"/>
        </w:rPr>
        <w:t>整合推广</w:t>
      </w:r>
      <w:r>
        <w:rPr>
          <w:rFonts w:hint="eastAsia" w:ascii="仿宋" w:hAnsi="仿宋" w:eastAsia="仿宋" w:cs="仿宋"/>
          <w:color w:val="auto"/>
          <w:sz w:val="24"/>
          <w:szCs w:val="24"/>
          <w:highlight w:val="none"/>
          <w:lang w:val="en-US" w:eastAsia="zh-Hans"/>
        </w:rPr>
        <w:t>实施服务</w:t>
      </w:r>
      <w:r>
        <w:rPr>
          <w:rFonts w:hint="eastAsia" w:ascii="仿宋" w:hAnsi="仿宋" w:eastAsia="仿宋" w:cs="仿宋"/>
          <w:color w:val="auto"/>
          <w:sz w:val="24"/>
          <w:szCs w:val="24"/>
          <w:highlight w:val="none"/>
          <w:lang w:val="en-US" w:eastAsia="zh-CN"/>
        </w:rPr>
        <w:t>。</w:t>
      </w:r>
    </w:p>
    <w:p w14:paraId="23C1F989">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1.4 乙方提供</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服务的具体方式：[详见附件：服务内容及要求]。</w:t>
      </w:r>
    </w:p>
    <w:p w14:paraId="346CD111">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1.5 乙方提供</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 xml:space="preserve">服务的具体人员：[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66ED0A8B">
      <w:pPr>
        <w:pStyle w:val="29"/>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eastAsia="zh-CN"/>
        </w:rPr>
        <w:t>　　</w:t>
      </w:r>
      <w:r>
        <w:rPr>
          <w:rFonts w:hint="eastAsia" w:ascii="仿宋" w:hAnsi="仿宋" w:eastAsia="仿宋" w:cs="仿宋"/>
          <w:color w:val="auto"/>
          <w:sz w:val="24"/>
          <w:highlight w:val="none"/>
          <w:lang w:val="en-US" w:eastAsia="zh-CN"/>
        </w:rPr>
        <w:t>1.6乙方每月定期按甲方要求做下一个月的整合推广实施计划，并经双方确认后按计划实施，乙方按验收要求定期提供上一个月成果给甲方验收，验收合格后甲方按合同约定向乙方支付服务费。</w:t>
      </w:r>
    </w:p>
    <w:p w14:paraId="0CC31557">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乙方同意按照甲方要求，采用不限于以上条款所列的服务方式和服务人员等完成本合同约定的服务。</w:t>
      </w:r>
    </w:p>
    <w:p w14:paraId="1F6C71D7">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2FD03283">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27" w:name="_Toc193265483"/>
      <w:r>
        <w:rPr>
          <w:rFonts w:hint="eastAsia" w:ascii="仿宋" w:hAnsi="仿宋" w:eastAsia="仿宋" w:cs="仿宋"/>
          <w:b/>
          <w:color w:val="auto"/>
          <w:sz w:val="24"/>
          <w:highlight w:val="none"/>
        </w:rPr>
        <w:t>第二条 合同金额和支付</w:t>
      </w:r>
      <w:bookmarkEnd w:id="427"/>
    </w:p>
    <w:p w14:paraId="57854AF3">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2.1 本合同</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费总额（含税价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税率[ ]%</w:t>
      </w: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]元（小写[</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]元）；其中价款为人民币大写[  ]元（小写[  ]元），增值税款为人民币大写[  ]元（小写[  ]元）。上述金额包括但不限于：调查费、</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费、交通通讯费、专家研究费、场地租赁费、鉴定费等乙方履行本合同的全部费用。除非甲方书面同意，甲方不再另行支付其他任何费用。</w:t>
      </w:r>
    </w:p>
    <w:p w14:paraId="283A4EFF">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2.2 甲方采用以下第[3]种方式[（1）支票；（2）现金；（3）转账支付。</w:t>
      </w:r>
    </w:p>
    <w:p w14:paraId="7176B486">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2.3 合同价款的支付时间、方式及验收：</w:t>
      </w:r>
    </w:p>
    <w:p w14:paraId="07AD7714">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2.3.1 </w:t>
      </w:r>
      <w:r>
        <w:rPr>
          <w:rFonts w:hint="eastAsia" w:ascii="仿宋" w:hAnsi="仿宋" w:eastAsia="仿宋" w:cs="仿宋"/>
          <w:color w:val="auto"/>
          <w:sz w:val="24"/>
          <w:highlight w:val="none"/>
          <w:lang w:val="en-US" w:eastAsia="zh-CN"/>
        </w:rPr>
        <w:t>本合同服务费采用分期付款方式支付，按月支付：</w:t>
      </w:r>
    </w:p>
    <w:p w14:paraId="146DB3F6">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在本合同签署并生效且收到乙方提供的合格增值税发票后[ 15 ]个工作日内，支付本合同</w:t>
      </w:r>
      <w:r>
        <w:rPr>
          <w:rFonts w:hint="eastAsia" w:ascii="仿宋" w:hAnsi="仿宋" w:eastAsia="仿宋" w:cs="仿宋"/>
          <w:color w:val="auto"/>
          <w:sz w:val="24"/>
          <w:highlight w:val="none"/>
          <w:lang w:val="en-US" w:eastAsia="zh-CN"/>
        </w:rPr>
        <w:t>首月服务费。</w:t>
      </w:r>
      <w:bookmarkStart w:id="428" w:name="_Hlk98773831"/>
    </w:p>
    <w:bookmarkEnd w:id="428"/>
    <w:p w14:paraId="0773709E">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除首月服务费外，</w:t>
      </w:r>
      <w:r>
        <w:rPr>
          <w:rFonts w:hint="eastAsia" w:ascii="仿宋" w:hAnsi="仿宋" w:eastAsia="仿宋" w:cs="仿宋"/>
          <w:color w:val="auto"/>
          <w:sz w:val="24"/>
          <w:highlight w:val="none"/>
        </w:rPr>
        <w:t>乙方在每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提供的</w:t>
      </w:r>
      <w:r>
        <w:rPr>
          <w:rFonts w:hint="eastAsia" w:ascii="仿宋" w:hAnsi="仿宋" w:eastAsia="仿宋" w:cs="仿宋"/>
          <w:color w:val="auto"/>
          <w:sz w:val="24"/>
          <w:highlight w:val="none"/>
          <w:lang w:val="en-US" w:eastAsia="zh-CN"/>
        </w:rPr>
        <w:t>整合传播</w:t>
      </w:r>
      <w:r>
        <w:rPr>
          <w:rFonts w:hint="eastAsia" w:ascii="仿宋" w:hAnsi="仿宋" w:eastAsia="仿宋" w:cs="仿宋"/>
          <w:color w:val="auto"/>
          <w:sz w:val="24"/>
          <w:highlight w:val="none"/>
        </w:rPr>
        <w:t>服务完成之后，经甲方验收合格且收到乙方提供的合格增值税发票后[15]个工作日内，支付</w:t>
      </w:r>
      <w:r>
        <w:rPr>
          <w:rFonts w:hint="eastAsia" w:ascii="仿宋" w:hAnsi="仿宋" w:eastAsia="仿宋" w:cs="仿宋"/>
          <w:color w:val="auto"/>
          <w:sz w:val="24"/>
          <w:highlight w:val="none"/>
          <w:lang w:val="en-US" w:eastAsia="zh-CN"/>
        </w:rPr>
        <w:t>上月的服务费</w:t>
      </w:r>
      <w:r>
        <w:rPr>
          <w:rFonts w:hint="eastAsia" w:ascii="仿宋" w:hAnsi="仿宋" w:eastAsia="仿宋" w:cs="仿宋"/>
          <w:color w:val="auto"/>
          <w:sz w:val="24"/>
          <w:highlight w:val="none"/>
        </w:rPr>
        <w:t>，即人民币（大写）元(¥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（小写）元)。 </w:t>
      </w:r>
      <w:r>
        <w:rPr>
          <w:rFonts w:hint="eastAsia" w:ascii="仿宋" w:hAnsi="仿宋" w:eastAsia="仿宋" w:cs="仿宋"/>
          <w:color w:val="auto"/>
          <w:sz w:val="24"/>
          <w:highlight w:val="none"/>
          <w:lang w:val="en-US" w:eastAsia="zh-CN"/>
        </w:rPr>
        <w:t>以此类推至合作结束。</w:t>
      </w:r>
    </w:p>
    <w:p w14:paraId="0B0D9BC0">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（3）如乙方未按甲方要求完成相关服务内容、计划，甲方有权扣除相应的服务费。</w:t>
      </w:r>
    </w:p>
    <w:p w14:paraId="01A394DB">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2.3.4 乙方应依据</w:t>
      </w:r>
      <w:r>
        <w:rPr>
          <w:rFonts w:hint="eastAsia" w:ascii="仿宋" w:hAnsi="仿宋" w:eastAsia="仿宋" w:cs="仿宋"/>
          <w:color w:val="auto"/>
          <w:sz w:val="24"/>
          <w:highlight w:val="none"/>
          <w:lang w:val="en-US" w:eastAsia="zh-CN"/>
        </w:rPr>
        <w:t>甲方要求</w:t>
      </w:r>
      <w:r>
        <w:rPr>
          <w:rFonts w:hint="eastAsia" w:ascii="仿宋" w:hAnsi="仿宋" w:eastAsia="仿宋" w:cs="仿宋"/>
          <w:color w:val="auto"/>
          <w:sz w:val="24"/>
          <w:highlight w:val="none"/>
        </w:rPr>
        <w:t>出具服务成果，并及时通知甲方进行验收。如服务成果未能通过甲方的验收，则乙方应依据甲方的意见进行重新调整，重新调整后及时通知甲方再次验收。如服务成果通过甲方的验收，双方应签署服务成果验收报告。</w:t>
      </w:r>
    </w:p>
    <w:p w14:paraId="71CF147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2.4 在本合同有效期内，双方可以书面补充协议方式调整合同金额。此种情形下，甲方实际支付的金额以双方最终达成一致的书面补充协议为准。</w:t>
      </w:r>
    </w:p>
    <w:p w14:paraId="5C48393D">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2.5 双方结算相关信息如下：</w:t>
      </w:r>
    </w:p>
    <w:p w14:paraId="1ABD84E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甲方名称：</w:t>
      </w:r>
      <w:r>
        <w:rPr>
          <w:rFonts w:hint="eastAsia" w:ascii="仿宋" w:hAnsi="仿宋" w:eastAsia="仿宋" w:cs="仿宋"/>
          <w:color w:val="auto"/>
          <w:sz w:val="24"/>
          <w:highlight w:val="none"/>
          <w:lang w:eastAsia="zh-CN"/>
        </w:rPr>
        <w:t>南宁轨道数智科技有限公司</w:t>
      </w:r>
    </w:p>
    <w:p w14:paraId="18D8134A">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户名：</w:t>
      </w:r>
    </w:p>
    <w:p w14:paraId="61722526">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开户行：中国工商银行股份有限公司南宁市共和支行</w:t>
      </w:r>
    </w:p>
    <w:p w14:paraId="6EEEF2F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账号：2102101009300800668</w:t>
      </w:r>
    </w:p>
    <w:p w14:paraId="4B3053A0">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地址：南宁市青秀区凤岭北路111号南宁国际旅游中心3号楼19层1901-1903、1905-1913、1915-1916办公室</w:t>
      </w:r>
    </w:p>
    <w:p w14:paraId="7D0FC4B9">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联系电话：0771-2277888</w:t>
      </w:r>
    </w:p>
    <w:p w14:paraId="6F5B8E10">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48FABA04">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乙方名称：</w:t>
      </w:r>
    </w:p>
    <w:p w14:paraId="210CBCE9">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户名：</w:t>
      </w:r>
    </w:p>
    <w:p w14:paraId="5D48230C">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w:t>
      </w:r>
    </w:p>
    <w:p w14:paraId="2EDE259D">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p w14:paraId="197A3497">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0E1A66A8">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13028B3">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2.6 甲方付款前，乙方应向甲方确认乙方账户信息。乙方如需改变其账户信息，应提前十（10）日书面通知甲方。乙方未按本合同约定通知或确认信息而使甲乙双方遭受的损失，由乙方承担。</w:t>
      </w:r>
    </w:p>
    <w:p w14:paraId="7747E96F">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2.7 乙方在甲方支付合同款项时，应按相应付款数额以及甲方的要求向甲方开具符合国家法律法规和标准的增值税专用发票，乙方承诺其开具发票的形式与内容均合法、有效、完整、准确，不开具或开具不合格的，甲方有权迟延支付应付款项直至乙方开具合格票据之日且不承担任何违约责任，且乙方的各项合同义务仍应按合同约定履行。</w:t>
      </w:r>
    </w:p>
    <w:p w14:paraId="1A02C9C9">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2.8 乙方应在接到甲方开票要求后开具发票，并须在开具发票之日起【10】个工作日内将增值税专用发票送达至甲方，甲方签收发票的日期为发票的送达日期。乙方开具的增值税专用发票不合格的，应在接到甲方要求后的【10】个工作日内重新开具合格的增值税专用发票并送达至甲方，乙方自行承担相关费用。</w:t>
      </w:r>
    </w:p>
    <w:p w14:paraId="37C5E771">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2.9 乙方有赔偿损失和/或支付违约金的责任的，甲方有权从应支付的任何一笔款项中扣除相应金额。</w:t>
      </w:r>
    </w:p>
    <w:p w14:paraId="486D72D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2.10 对于本合同涉及的所有税费，均应按照有关税收的法律规定，由双方各自承担，但本合同总额中包含的甲方应缴纳的税费仍应由乙方代为缴纳。</w:t>
      </w:r>
    </w:p>
    <w:p w14:paraId="24891D87">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23CFFAD4">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29" w:name="_Toc49312099"/>
      <w:bookmarkStart w:id="430" w:name="_Toc49311879"/>
      <w:bookmarkStart w:id="431" w:name="_Toc49312297"/>
      <w:bookmarkStart w:id="432" w:name="_Toc49312036"/>
      <w:bookmarkStart w:id="433" w:name="_Toc68595163"/>
      <w:bookmarkStart w:id="434" w:name="_Toc193265484"/>
      <w:r>
        <w:rPr>
          <w:rFonts w:hint="eastAsia" w:ascii="仿宋" w:hAnsi="仿宋" w:eastAsia="仿宋" w:cs="仿宋"/>
          <w:b/>
          <w:color w:val="auto"/>
          <w:sz w:val="24"/>
          <w:highlight w:val="none"/>
        </w:rPr>
        <w:t>第三条 双方权利和义务</w:t>
      </w:r>
      <w:bookmarkEnd w:id="429"/>
      <w:bookmarkEnd w:id="430"/>
      <w:bookmarkEnd w:id="431"/>
      <w:bookmarkEnd w:id="432"/>
      <w:bookmarkEnd w:id="433"/>
      <w:bookmarkEnd w:id="434"/>
    </w:p>
    <w:p w14:paraId="5016B45A">
      <w:pPr>
        <w:widowControl/>
        <w:autoSpaceDE w:val="0"/>
        <w:autoSpaceDN w:val="0"/>
        <w:spacing w:line="360" w:lineRule="auto"/>
        <w:ind w:firstLine="480"/>
        <w:textAlignment w:val="bottom"/>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 甲方权利和义务</w:t>
      </w:r>
    </w:p>
    <w:p w14:paraId="70CE07D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3.1.1 甲方有权对乙方的服务情况进行监督，有权要求乙方更换有关人员。</w:t>
      </w:r>
    </w:p>
    <w:p w14:paraId="66CE6A34">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3.1.2 甲方有权验收乙方提交的服务成果并提出验收意见。</w:t>
      </w:r>
    </w:p>
    <w:p w14:paraId="2FCA6CF0">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3.1.3 甲方委派[    ]（[    ]）名工作人员协助乙方工作。</w:t>
      </w:r>
    </w:p>
    <w:p w14:paraId="4C2576C7">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3.1.4 甲方应遵守国家有关法律、法规和其他规范性文件的规定，不得要求乙方从事违反上述法律规范的服务。</w:t>
      </w:r>
    </w:p>
    <w:p w14:paraId="400DD51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3.1.5 甲方应按照本合同约定向乙方支付相应的款项。</w:t>
      </w:r>
    </w:p>
    <w:p w14:paraId="7296698C">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3.1.6 甲方修改服务项目要求的，应提前通知乙方。</w:t>
      </w:r>
    </w:p>
    <w:p w14:paraId="792670C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3.1.7 甲方应为乙方开展</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服务提供必要的资料和协助。</w:t>
      </w:r>
    </w:p>
    <w:p w14:paraId="09741D2E">
      <w:pPr>
        <w:widowControl/>
        <w:autoSpaceDE w:val="0"/>
        <w:autoSpaceDN w:val="0"/>
        <w:spacing w:line="360" w:lineRule="auto"/>
        <w:ind w:firstLine="480"/>
        <w:textAlignment w:val="bottom"/>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 乙方权利和义务</w:t>
      </w:r>
    </w:p>
    <w:p w14:paraId="1FE09878">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3.2.1 乙方有权根据本合同约定获得相应的报酬。</w:t>
      </w:r>
    </w:p>
    <w:p w14:paraId="25B38A8A">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3.2.2 乙方应保证已经完全理解甲方对本合同约定的服务项目的具体要求，并有能力严格按照甲方要求提供</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服务，提交服务成果。</w:t>
      </w:r>
    </w:p>
    <w:p w14:paraId="6C06E4C7">
      <w:pPr>
        <w:widowControl w:val="0"/>
        <w:autoSpaceDE/>
        <w:autoSpaceDN/>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 乙方应保证其服务成果科学、客观、真实、有效，并且不得侵犯任何第三方的任何知识产权和/或其他合法权益。</w:t>
      </w:r>
    </w:p>
    <w:p w14:paraId="728AE2CD">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3.2.4 甲方修改服务项目要求的，乙方应在收到甲方通知后[ 3 ]个工作日内按照甲方要求对工作进行调整，并保证不得因此延误服务成果的提交。因修改服务项目要求而需调整合同金额的，双方应另行协商。</w:t>
      </w:r>
    </w:p>
    <w:p w14:paraId="71C35FB4">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3.2.5 甲方要求乙方更换有关人员的，乙方应在收到甲方通知后[ 3 ]个工作日内更换。</w:t>
      </w:r>
    </w:p>
    <w:p w14:paraId="73F65C6F">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3.2.6 乙方应保证其提供的服务符合有关法律、法规和其他规范性文件的规定，不存在违反上述法律规范的情形。</w:t>
      </w:r>
    </w:p>
    <w:p w14:paraId="25104660">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3.2.7 乙方应保证其具有履行本合同的各项法定资质。</w:t>
      </w:r>
    </w:p>
    <w:p w14:paraId="00D0F0C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3.2.8 乙方应负责办理本合同约定的服务所涉及的登记、备案、审批等有关手续。</w:t>
      </w:r>
    </w:p>
    <w:p w14:paraId="7903AD2F">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0F505D88">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35" w:name="_Toc193265485"/>
      <w:bookmarkStart w:id="436" w:name="_Toc49312038"/>
      <w:bookmarkStart w:id="437" w:name="_Toc49312101"/>
      <w:bookmarkStart w:id="438" w:name="_Toc68595165"/>
      <w:bookmarkStart w:id="439" w:name="_Toc49312299"/>
      <w:bookmarkStart w:id="440" w:name="_Toc49311881"/>
      <w:r>
        <w:rPr>
          <w:rFonts w:hint="eastAsia" w:ascii="仿宋" w:hAnsi="仿宋" w:eastAsia="仿宋" w:cs="仿宋"/>
          <w:b/>
          <w:color w:val="auto"/>
          <w:sz w:val="24"/>
          <w:highlight w:val="none"/>
        </w:rPr>
        <w:t>第四条 验收</w:t>
      </w:r>
      <w:bookmarkEnd w:id="435"/>
    </w:p>
    <w:p w14:paraId="48AA926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4.1 乙方应根据本合同约定</w:t>
      </w:r>
      <w:r>
        <w:rPr>
          <w:rFonts w:hint="eastAsia" w:ascii="仿宋" w:hAnsi="仿宋" w:eastAsia="仿宋" w:cs="仿宋"/>
          <w:color w:val="auto"/>
          <w:sz w:val="24"/>
          <w:highlight w:val="none"/>
          <w:lang w:val="en-US" w:eastAsia="zh-CN"/>
        </w:rPr>
        <w:t>每月5号（如遇法定节假日，顺延至法定节假日结束后第一个工作日）</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val="en-US" w:eastAsia="zh-CN"/>
        </w:rPr>
        <w:t>上个月</w:t>
      </w:r>
      <w:r>
        <w:rPr>
          <w:rFonts w:hint="eastAsia" w:ascii="仿宋" w:hAnsi="仿宋" w:eastAsia="仿宋" w:cs="仿宋"/>
          <w:color w:val="auto"/>
          <w:sz w:val="24"/>
          <w:highlight w:val="none"/>
        </w:rPr>
        <w:t>服务成果，并及时通知甲方进行验收。</w:t>
      </w:r>
      <w:r>
        <w:rPr>
          <w:rFonts w:hint="eastAsia" w:ascii="仿宋" w:hAnsi="仿宋" w:eastAsia="仿宋" w:cs="仿宋"/>
          <w:color w:val="auto"/>
          <w:sz w:val="24"/>
          <w:highlight w:val="none"/>
          <w:lang w:val="en-US" w:eastAsia="zh-CN"/>
        </w:rPr>
        <w:t>乙方根据甲方要求对上一期</w:t>
      </w:r>
      <w:r>
        <w:rPr>
          <w:rFonts w:hint="eastAsia" w:ascii="仿宋" w:hAnsi="仿宋" w:eastAsia="仿宋" w:cs="仿宋"/>
          <w:color w:val="auto"/>
          <w:sz w:val="24"/>
          <w:highlight w:val="none"/>
        </w:rPr>
        <w:t>服务成果</w:t>
      </w:r>
      <w:r>
        <w:rPr>
          <w:rFonts w:hint="eastAsia" w:ascii="仿宋" w:hAnsi="仿宋" w:eastAsia="仿宋" w:cs="仿宋"/>
          <w:color w:val="auto"/>
          <w:sz w:val="24"/>
          <w:highlight w:val="none"/>
          <w:lang w:val="en-US" w:eastAsia="zh-CN"/>
        </w:rPr>
        <w:t>汇总成包括但不限于文档、图片等形式提交甲方进行验收，甲方根据乙方提供材料在5个工作组织验收，经双方确认无异议候双方签字盖章确认</w:t>
      </w:r>
      <w:r>
        <w:rPr>
          <w:rFonts w:hint="eastAsia" w:ascii="仿宋" w:hAnsi="仿宋" w:eastAsia="仿宋" w:cs="仿宋"/>
          <w:color w:val="auto"/>
          <w:sz w:val="24"/>
          <w:highlight w:val="none"/>
        </w:rPr>
        <w:t>。</w:t>
      </w:r>
    </w:p>
    <w:p w14:paraId="6EB773D0">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4.2 服务成果未能通过甲方验收的，乙方应在按照甲方意见重新调整后及时通知甲方再次进行验收；但无论如何，乙方应在本合同第</w:t>
      </w: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条约定的期限内向甲方提交合格的服务成果。服务成果最终通过甲方验收的，甲方应出具验收合格意见。乙方未完成上述修改或修改后的市场调查成果仍不符合本合同约定和甲方要求的，视为没有完成服务，应按本合同</w:t>
      </w:r>
      <w:r>
        <w:rPr>
          <w:rFonts w:hint="eastAsia" w:ascii="仿宋" w:hAnsi="仿宋" w:eastAsia="仿宋" w:cs="仿宋"/>
          <w:color w:val="auto"/>
          <w:sz w:val="24"/>
          <w:highlight w:val="none"/>
          <w:lang w:val="en-US"/>
        </w:rPr>
        <w:t>的有关</w:t>
      </w:r>
      <w:r>
        <w:rPr>
          <w:rFonts w:hint="eastAsia" w:ascii="仿宋" w:hAnsi="仿宋" w:eastAsia="仿宋" w:cs="仿宋"/>
          <w:color w:val="auto"/>
          <w:sz w:val="24"/>
          <w:highlight w:val="none"/>
        </w:rPr>
        <w:t>约定承担违约责任。</w:t>
      </w:r>
    </w:p>
    <w:p w14:paraId="6A330566">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4.3 乙方因验收不合格而不能按时交付本合同约定的服务成果的，视为乙方履行迟延，应按本合同</w:t>
      </w:r>
      <w:r>
        <w:rPr>
          <w:rFonts w:hint="eastAsia" w:ascii="仿宋" w:hAnsi="仿宋" w:eastAsia="仿宋" w:cs="仿宋"/>
          <w:color w:val="auto"/>
          <w:sz w:val="24"/>
          <w:highlight w:val="none"/>
          <w:lang w:val="en-US"/>
        </w:rPr>
        <w:t>的有关</w:t>
      </w:r>
      <w:r>
        <w:rPr>
          <w:rFonts w:hint="eastAsia" w:ascii="仿宋" w:hAnsi="仿宋" w:eastAsia="仿宋" w:cs="仿宋"/>
          <w:color w:val="auto"/>
          <w:sz w:val="24"/>
          <w:highlight w:val="none"/>
        </w:rPr>
        <w:t>约定承担违约责任。</w:t>
      </w:r>
    </w:p>
    <w:p w14:paraId="12FDBAFF">
      <w:pPr>
        <w:widowControl/>
        <w:autoSpaceDE w:val="0"/>
        <w:autoSpaceDN w:val="0"/>
        <w:spacing w:line="360" w:lineRule="auto"/>
        <w:ind w:firstLine="480"/>
        <w:textAlignment w:val="bottom"/>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第五条 履约保证金及支付方式</w:t>
      </w:r>
    </w:p>
    <w:p w14:paraId="4F9B09AE">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 乙方应在合同签订之后5个工作日内向甲方缴纳履约保证金人民币（大写）壹万元整（￥：10000.00）。乙方按照合同约定将履约保证金通过银行转账方式支付至甲方如下账户：</w:t>
      </w:r>
    </w:p>
    <w:p w14:paraId="46B65227">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甲方账户名称：南宁轨道数智科技有限公司</w:t>
      </w:r>
    </w:p>
    <w:p w14:paraId="75B567F3">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开户行：中国工商银行股份有限公司南宁市兴宁支行</w:t>
      </w:r>
    </w:p>
    <w:p w14:paraId="3DD614A8">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银行账号：2102102019300543961</w:t>
      </w:r>
    </w:p>
    <w:p w14:paraId="0CC90A55">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 乙方完成甲方全部委托并验收成果后二十个工作日内，甲方将履约保证金的余额（不含按本合同约定甲方有权扣除的金额）无息退回给乙方。</w:t>
      </w:r>
    </w:p>
    <w:p w14:paraId="2DBF0859">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但出现下列情形之一的，甲方有权不予退还乙方的履约保证金：</w:t>
      </w:r>
    </w:p>
    <w:p w14:paraId="576B3439">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（1）合同没有到期，乙方单方解除、终止合同的； </w:t>
      </w:r>
    </w:p>
    <w:p w14:paraId="1019B57A">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（2）出现违反相关法律法规和合同约定等情形。</w:t>
      </w:r>
    </w:p>
    <w:p w14:paraId="330ED185">
      <w:pPr>
        <w:widowControl/>
        <w:autoSpaceDE w:val="0"/>
        <w:autoSpaceDN w:val="0"/>
        <w:spacing w:line="360" w:lineRule="auto"/>
        <w:ind w:firstLine="480"/>
        <w:textAlignment w:val="bottom"/>
        <w:rPr>
          <w:rFonts w:hint="eastAsia" w:ascii="仿宋" w:hAnsi="仿宋" w:eastAsia="仿宋" w:cs="仿宋"/>
          <w:b/>
          <w:color w:val="auto"/>
          <w:sz w:val="24"/>
          <w:highlight w:val="none"/>
        </w:rPr>
      </w:pPr>
      <w:bookmarkStart w:id="441" w:name="_Toc193265486"/>
    </w:p>
    <w:p w14:paraId="3EEC1C9E">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条 知识产权</w:t>
      </w:r>
      <w:bookmarkEnd w:id="436"/>
      <w:bookmarkEnd w:id="437"/>
      <w:bookmarkEnd w:id="438"/>
      <w:bookmarkEnd w:id="439"/>
      <w:bookmarkEnd w:id="440"/>
      <w:bookmarkEnd w:id="441"/>
    </w:p>
    <w:p w14:paraId="163223B9">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乙方根据本合同或在本合同履行过程中专门为甲方或根据甲方提供的有关信息、资料而产生的服务成果，其知识产权和其他权益全部归甲方所有，甲方可以不受限制地进行使用。未经甲方事先书面许可，乙方不得为本合同之外的任何目的、以任何形式自行使用、擅自许可任何第三方使用或向任何第三方提出有关意见和建议。</w:t>
      </w:r>
    </w:p>
    <w:p w14:paraId="1F59E1A6">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甲方授权乙方为本合同约定的目的使用其提供的企业名称、企业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14:paraId="0F37600A">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甲方根据本合同向乙方提供的技术性信息、商业性信息、文件、程序、计划、技术、图表、模型、参数、数据、标准、专有技术、业务或业务运作方法和其他专有信息等，其知识产权和其他权益全部归甲方所有，未经甲方事先书面许可，乙方不得为本合同之外的任何目的、以任何形式自行使用或擅自许可任何第三方使用。</w:t>
      </w:r>
    </w:p>
    <w:p w14:paraId="390C6D1A">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 乙方保证其提交的服务成果不侵犯任何第三方的知识产权和/或其他合法权益。任何第三方以本合同中的服务成果侵权为由向甲方主张权利的，乙方应按甲方要求处理，并按本合同的有关约定承担违约责任。</w:t>
      </w:r>
    </w:p>
    <w:p w14:paraId="76F40C03">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.5 本合同因履行完毕、解除或不可抗力等终止之日起[ 3 ]个工作日内，乙方应将甲方提供的所有信息和资料移交甲方，并且不得继续使用或擅自许可任何第三方使用。</w:t>
      </w:r>
    </w:p>
    <w:p w14:paraId="67AD77F4">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42965BAD">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42" w:name="_Toc49312102"/>
      <w:bookmarkStart w:id="443" w:name="_Toc49312300"/>
      <w:bookmarkStart w:id="444" w:name="_Toc68595166"/>
      <w:bookmarkStart w:id="445" w:name="_Toc49312039"/>
      <w:bookmarkStart w:id="446" w:name="_Toc49311882"/>
      <w:bookmarkStart w:id="447" w:name="_Toc193265487"/>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条 保密</w:t>
      </w:r>
      <w:bookmarkEnd w:id="442"/>
      <w:bookmarkEnd w:id="443"/>
      <w:bookmarkEnd w:id="444"/>
      <w:bookmarkEnd w:id="445"/>
      <w:bookmarkEnd w:id="446"/>
      <w:bookmarkEnd w:id="447"/>
    </w:p>
    <w:p w14:paraId="249595FA">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 本合同所称“保密信息”，是指本合同拥有信息的一方（“提供方”）根据本合同向另一方（“接受方”）提供的信息，包括但不限于技术信息、商业信息、文件、程序、计划、技术、图表、模型、参数、数据、标准、专有技术、业务或业务运作方法、客户资料和其他专有信息，本合同的条款和与本合同有关的其他信息，本合同履行过程中形成的所有信息、数据、资料、意见、建议、阶段性工作成果和最终工作成果等。</w:t>
      </w:r>
    </w:p>
    <w:p w14:paraId="4CEDB90E">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 保密信息只能由接受方及其人员为本合同目的而使用。除非本合同另有约定，对于提供方提供的任何保密信息，未经提供方事先书面同意，接受方及其知悉保密信息的有关人员均不得直接或间接地以任何方式提供或披露给任何“第三方”。本条所称“第三方”，是指本合同双方以外的任何自然人、法人或其他组织。但是，甲方向其关联公司披露保密信息不受本条约束。</w:t>
      </w:r>
    </w:p>
    <w:p w14:paraId="6083D1AC">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 提供方向接受方提供或披露的保密信息，仅可由接受方为履行本合同的目的披露给指定的雇员，并且仅在为履行本合同所需的范围内进行该等披露。但是，接受方在采取一切合理的预防措施前不得向其雇员披露任何保密信息，该等预防措施包括但不限于告知该等雇员将要披露信息的保密性质、由该等雇员做出至少同样严格于本合同保密义务的保密承诺等，以防止该等雇员为本合同之外的任何目的使用保密信息或未经授权将其披露给任何第三方。</w:t>
      </w:r>
    </w:p>
    <w:p w14:paraId="07AF86E0">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.4 接受方的律师、会计师、承包商、</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等为提供专业协助而需要了解保密信息时，接受方可向其披露保密信息，但应要求上述人员签订保密协议或按照有关职业道德标准履行保密义务。</w:t>
      </w:r>
    </w:p>
    <w:p w14:paraId="32FBC7BD">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 有关政府单位或监管机构要求接受方披露任何保密信息，接受方在该单位或机构要求的范围内进行披露的，无需承担本合同中的责任；但前提是该接受方应在信息披露前将需披露的保密信息书面通知提供方以便提供方采取必要的保护措施，并且应尽合理努力确保该等被披露的保密信息获得该单位或机构的保密待遇。</w:t>
      </w:r>
    </w:p>
    <w:p w14:paraId="02181783">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.6 在任何情形下，本合同约定的保密义务应永久持续有效。</w:t>
      </w:r>
    </w:p>
    <w:p w14:paraId="682ED301">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.7 本合同所称“保密信息”不包括：</w:t>
      </w:r>
    </w:p>
    <w:p w14:paraId="270DFA67">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（1）在一方披露时已为公众所知的信息，或在披露后并非由于接受方和/或其雇员、律师、会计师、承包商、</w:t>
      </w:r>
      <w:r>
        <w:rPr>
          <w:rFonts w:hint="eastAsia" w:ascii="仿宋" w:hAnsi="仿宋" w:eastAsia="仿宋" w:cs="仿宋"/>
          <w:color w:val="auto"/>
          <w:sz w:val="24"/>
          <w:highlight w:val="none"/>
          <w:lang w:eastAsia="zh-CN"/>
        </w:rPr>
        <w:t>整合传播</w:t>
      </w:r>
      <w:r>
        <w:rPr>
          <w:rFonts w:hint="eastAsia" w:ascii="仿宋" w:hAnsi="仿宋" w:eastAsia="仿宋" w:cs="仿宋"/>
          <w:color w:val="auto"/>
          <w:sz w:val="24"/>
          <w:highlight w:val="none"/>
        </w:rPr>
        <w:t>或其他人员的过失而为公众所知的信息；</w:t>
      </w:r>
    </w:p>
    <w:p w14:paraId="209DC827">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（2）有书面证据证明在披露时已由接受方掌握的信息，并且该信息并非直接或间接来自提供方；</w:t>
      </w:r>
    </w:p>
    <w:p w14:paraId="4230E175">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（3）有书面证据证明第三方已向接受方披露的信息，并且该第三方不承担保密义务并且有权披露。</w:t>
      </w:r>
    </w:p>
    <w:p w14:paraId="26856CB1">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.8 提供方有权随时书面通知接受方归还任何包含保密信息的材料和/或该等材料的任何复印件，并附上证明接受方在归还此类材料后不再直接或间接地保留或控制任何保密信息或包含保密信息的任何该等材料的书面声明。接受方应在收到该书面通知后的十（10）日内遵守任何该等要求。对于双方约定不必归还提供方的任何包含保密信息的材料和/或该等材料的任何复印件，接受方应按照提供方的要求销毁或不可恢复地删除并应向提供方书面确认该等销毁或删除。</w:t>
      </w:r>
    </w:p>
    <w:p w14:paraId="1EE2509F">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4965E2DB">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48" w:name="_Toc193265488"/>
      <w:bookmarkStart w:id="449" w:name="_Toc49311884"/>
      <w:bookmarkStart w:id="450" w:name="_Toc49312104"/>
      <w:bookmarkStart w:id="451" w:name="_Toc68595168"/>
      <w:bookmarkStart w:id="452" w:name="_Toc49312041"/>
      <w:bookmarkStart w:id="453" w:name="_Toc49312302"/>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条 合同变更和解除</w:t>
      </w:r>
      <w:bookmarkEnd w:id="448"/>
    </w:p>
    <w:p w14:paraId="3405E1C3">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本合同生效后，除法律、法规和其他规范性文件另有规定或本合同另有约定外，未经甲、乙双方书面协商一致，任何一方不得自行变更、中止或解除本合同。</w:t>
      </w:r>
    </w:p>
    <w:p w14:paraId="75EC7FD3">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任何一方要变更、中止或解除本合同的，应先向对方发出书面通知，然后进行协商。</w:t>
      </w:r>
    </w:p>
    <w:p w14:paraId="7B9E2E5C">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 甲方因特殊情况要求停止本合同约定的服务的，乙方应停止提供服务，但甲方应提前通知乙方。对于乙方收到甲方通知前已经完成的服务成果部分，甲方应按本合同约定支付有关费用。</w:t>
      </w:r>
    </w:p>
    <w:p w14:paraId="39CAD7DE">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.4 甲方依本合同约定发出了通知但乙方仍然进行服务的，有关费用由乙方承担。</w:t>
      </w:r>
    </w:p>
    <w:p w14:paraId="74C9DB7E">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37A21F60">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54" w:name="_Toc193265489"/>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条 违约责任</w:t>
      </w:r>
      <w:bookmarkEnd w:id="449"/>
      <w:bookmarkEnd w:id="450"/>
      <w:bookmarkEnd w:id="451"/>
      <w:bookmarkEnd w:id="452"/>
      <w:bookmarkEnd w:id="453"/>
      <w:bookmarkEnd w:id="454"/>
    </w:p>
    <w:p w14:paraId="0F7E06A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 任何一方不履行本合同约定的义务或履行义务不符合本合同约定的，视为违约，应停止违约行为，并承担继续履行、采取补救措施或赔偿损失等违约责任。</w:t>
      </w:r>
    </w:p>
    <w:p w14:paraId="0300C26F">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 任何一方在履行本合同过程中由于自身原因给对方和/或第三方造成损失的，应负责处理并承担赔偿责任。</w:t>
      </w:r>
    </w:p>
    <w:p w14:paraId="02FE113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 甲方无正当理由不按本合同约定付款的，每逾期一（1）日，应按应付金额的百分之[ 二 ]（[ 2 ]%）向乙方支付违约金。</w:t>
      </w:r>
    </w:p>
    <w:p w14:paraId="5CF3095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 乙方无法按照本合同约定提交符合甲方要求的服务成果的，每逾期一（1）日，应向甲方支付合同总额的百分之[ 二 ]（[ 2 ]%）作为违约金。</w:t>
      </w:r>
    </w:p>
    <w:p w14:paraId="6139008F">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 乙方无正当理由逾期提交符合甲方要求的服务成果达到[ 十五 ]（[ 15 ]个工作日）日或以上的，甲方有权解除本合同。乙方应在甲方解除合同的书面通知送达之日起[ 十五 ]（[ 15 ]个工作日）日内全额退还甲方已支付的合同款项，并向甲方支付合同总额的百分之[ 二 ]（[ 2 ]%）作为违约金。</w:t>
      </w:r>
    </w:p>
    <w:p w14:paraId="19D9B12C">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.6 甲方要求乙方继续履行合同的，乙方应在甲方要求的时间内完成所有工作，同时应根据本条约定向甲方支付合同总额的百分之[ 二 ]（[ 2 ]%）违约金。</w:t>
      </w:r>
    </w:p>
    <w:p w14:paraId="06D38B6A">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.7 乙方提交的服务成果经[ 3 ]（包含[ 3 ]次）次调整仍无法通过甲方验收的，甲方有权解除本合同。乙方应在甲方解除合同的书面通知送达之日起[ 十五 ]（[ 15 ]个工作日）日内全额退还甲方已支付的合同款项，并向甲方支付合同总额的百分之[ 二 ]（[ 2 ]%）作为违约金。</w:t>
      </w:r>
    </w:p>
    <w:p w14:paraId="06A27A81">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.8 乙方违反本合同知识产权条款的，应向甲方支付合同总额的百分之[ 五 ]（[ 5 ]%）作为违约金。乙方提交的服务成果侵犯第三方的知识产权和/或其他合法权益的，除应按照上述约定向甲方支付违约金外，还应赔偿因此给甲方和第三方造成的损失。</w:t>
      </w:r>
    </w:p>
    <w:p w14:paraId="22D46F65">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.9 乙方违反本合同约定的保密义务的，应向甲方支付合同总额的百分之[ 五 ]（[ 5 ]%）作为违约金。</w:t>
      </w:r>
    </w:p>
    <w:p w14:paraId="085F9021">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.10 乙方未按本合同约定开具、送达增值税专用发票的，应按甲方要求采取重新开具发票等补救措施，同时，甲方有权要求乙方支付合同总价[ 2 ]%的违约金，违约金不足以弥补甲方损失的，乙方还应予以赔偿；情节严重的，包括不限于出现乙方未按合同约定开具、送达发票次数达[ 3 ]次的、乙方违约给甲方造成严重损失的、乙方违约致使合同无法继续履行等情况，甲方可解除合同，乙方应赔偿甲方因此遭受的全部损失。</w:t>
      </w:r>
    </w:p>
    <w:p w14:paraId="525B56B1">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.11 乙方违反国家法律、法规、规章、政策等规定开具、提供发票的，乙方应自行承担相应法律责任，并承担如下违约责任：</w:t>
      </w:r>
    </w:p>
    <w:p w14:paraId="38F673D7">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（1）乙方应按甲方要求采取重新开具发票等补救措施；</w:t>
      </w:r>
    </w:p>
    <w:p w14:paraId="03B1806D">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（2）乙方应向甲方支付合同总价[ 5 ]% 的违约金，违约金不足以弥补甲方损失的，乙方还应予以赔偿；</w:t>
      </w:r>
    </w:p>
    <w:p w14:paraId="51BD54E0">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（3）乙方已经提交履约保证金的，甲方将不予退还。</w:t>
      </w:r>
    </w:p>
    <w:p w14:paraId="2A7547EC">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.12 乙方提供的增值税专用发票没有通过税务部门认证，造成买方不能抵扣的，乙方应向甲方支付未通过认证发票中载明的税款金额作为违约金。违约金不足以弥补甲方损失的，乙方还应予以赔偿。乙方未按甲方要求支付违约金的，甲方有权解除合同。</w:t>
      </w:r>
    </w:p>
    <w:p w14:paraId="7B7BCAB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.13 乙方因违反有关法律、法规和其他规范性文件的规定而导致甲方损失的，应承担责任并赔偿甲方所受损失。</w:t>
      </w:r>
    </w:p>
    <w:p w14:paraId="2C06F503">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.14 乙方因不具备有关法定资质而导致甲方损失的，应承担责任并赔偿甲方所受损失。</w:t>
      </w:r>
    </w:p>
    <w:p w14:paraId="0435A4C7">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.15 乙方因未办理本合同中广告发布所涉及的登记、备案、审批等有关手续而导致甲方损失的，应承担责任并赔偿甲方所受损失。</w:t>
      </w:r>
    </w:p>
    <w:p w14:paraId="33D7F485">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.16 </w:t>
      </w:r>
      <w:r>
        <w:rPr>
          <w:rFonts w:hint="eastAsia" w:ascii="仿宋" w:hAnsi="仿宋" w:eastAsia="仿宋" w:cs="仿宋"/>
          <w:color w:val="auto"/>
          <w:sz w:val="24"/>
          <w:highlight w:val="none"/>
          <w:lang w:val="en-US" w:eastAsia="zh-CN"/>
        </w:rPr>
        <w:t>未经甲方事先同意，乙方将</w:t>
      </w:r>
      <w:r>
        <w:rPr>
          <w:rFonts w:hint="eastAsia" w:ascii="仿宋" w:hAnsi="仿宋" w:eastAsia="仿宋" w:cs="仿宋"/>
          <w:color w:val="auto"/>
          <w:sz w:val="24"/>
          <w:highlight w:val="none"/>
        </w:rPr>
        <w:t>合同项下的</w:t>
      </w:r>
      <w:r>
        <w:rPr>
          <w:rFonts w:hint="eastAsia" w:ascii="仿宋" w:hAnsi="仿宋" w:eastAsia="仿宋" w:cs="仿宋"/>
          <w:color w:val="auto"/>
          <w:sz w:val="24"/>
          <w:highlight w:val="none"/>
          <w:lang w:val="en-US" w:eastAsia="zh-CN"/>
        </w:rPr>
        <w:t>权利和</w:t>
      </w:r>
      <w:r>
        <w:rPr>
          <w:rFonts w:hint="eastAsia" w:ascii="仿宋" w:hAnsi="仿宋" w:eastAsia="仿宋" w:cs="仿宋"/>
          <w:color w:val="auto"/>
          <w:sz w:val="24"/>
          <w:highlight w:val="none"/>
        </w:rPr>
        <w:t>义务</w:t>
      </w:r>
      <w:r>
        <w:rPr>
          <w:rFonts w:hint="eastAsia" w:ascii="仿宋" w:hAnsi="仿宋" w:eastAsia="仿宋" w:cs="仿宋"/>
          <w:color w:val="auto"/>
          <w:sz w:val="24"/>
          <w:highlight w:val="none"/>
          <w:lang w:val="en-US" w:eastAsia="zh-CN"/>
        </w:rPr>
        <w:t>转让给第三方的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甲方有权解除本合同，乙方应在甲方解除合同的书面通知送达之日起[ 十五 ]（[ 15 ]个工作日）日内全额退还甲方已支付的合同款项，并向甲方支付合同总额的百分之[ 二 ]（[ 2 ]%）作为违约金；给第三方造成</w:t>
      </w:r>
      <w:r>
        <w:rPr>
          <w:rFonts w:hint="eastAsia" w:ascii="仿宋" w:hAnsi="仿宋" w:eastAsia="仿宋" w:cs="仿宋"/>
          <w:color w:val="auto"/>
          <w:sz w:val="24"/>
          <w:highlight w:val="none"/>
          <w:lang w:val="en-US" w:eastAsia="zh-CN"/>
        </w:rPr>
        <w:t>损失</w:t>
      </w:r>
      <w:r>
        <w:rPr>
          <w:rFonts w:hint="eastAsia" w:ascii="仿宋" w:hAnsi="仿宋" w:eastAsia="仿宋" w:cs="仿宋"/>
          <w:color w:val="auto"/>
          <w:sz w:val="24"/>
          <w:highlight w:val="none"/>
        </w:rPr>
        <w:t>的，由乙方自行承担赔偿等全部法律责任。</w:t>
      </w:r>
    </w:p>
    <w:p w14:paraId="604F7FE9">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9.17 </w:t>
      </w:r>
      <w:r>
        <w:rPr>
          <w:rFonts w:hint="eastAsia" w:ascii="仿宋" w:hAnsi="仿宋" w:eastAsia="仿宋" w:cs="仿宋"/>
          <w:color w:val="auto"/>
          <w:sz w:val="24"/>
          <w:highlight w:val="none"/>
        </w:rPr>
        <w:t>乙方支付的违约金不足以弥补甲方损失的，还应根据甲方的实际损失予以赔偿。</w:t>
      </w:r>
    </w:p>
    <w:p w14:paraId="09674E8D">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本合同所称“损失”包括实际损失、合同履行后可以获得的利益和诉讼费、仲裁费、合理的调查费、</w:t>
      </w:r>
      <w:r>
        <w:rPr>
          <w:rFonts w:hint="eastAsia" w:ascii="仿宋" w:hAnsi="仿宋" w:eastAsia="仿宋" w:cs="仿宋"/>
          <w:color w:val="auto"/>
          <w:sz w:val="24"/>
          <w:highlight w:val="none"/>
          <w:lang w:val="en-US" w:eastAsia="zh-CN"/>
        </w:rPr>
        <w:t>保全费、</w:t>
      </w:r>
      <w:r>
        <w:rPr>
          <w:rFonts w:hint="eastAsia" w:ascii="仿宋" w:hAnsi="仿宋" w:eastAsia="仿宋" w:cs="仿宋"/>
          <w:color w:val="auto"/>
          <w:sz w:val="24"/>
          <w:highlight w:val="none"/>
        </w:rPr>
        <w:t>保险保全费、律师费等有关法律费用。</w:t>
      </w:r>
    </w:p>
    <w:p w14:paraId="5F099FDF">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38912108">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55" w:name="_Toc193265490"/>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rPr>
        <w:t>条 不可抗力</w:t>
      </w:r>
      <w:bookmarkEnd w:id="455"/>
    </w:p>
    <w:p w14:paraId="3DF76338">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 本合同所称“不可抗力”，是指不能预见、不能避免并不能克服的客观情况。</w:t>
      </w:r>
    </w:p>
    <w:p w14:paraId="43F5E8C0">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 本合同一方或双方在履行本合同的过程中因不可抗力而不能按约定全部或部分履行其义务，遇到不可抗力的一方（“受阻方”）满足下列所有条件的，不应被视为违反本合同：</w:t>
      </w:r>
    </w:p>
    <w:p w14:paraId="248FD1E7">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（1）受阻方不能全部或部分履行其义务是由不可抗力直接造成的，并且在不可抗力发生前不存在迟延履行义务的情形；</w:t>
      </w:r>
    </w:p>
    <w:p w14:paraId="7AA18EBE">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（2）受阻方已尽最大努力履行其义务并且减少由于不可抗力给另一方造成的损失；</w:t>
      </w:r>
    </w:p>
    <w:p w14:paraId="16D9BC83">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（3）受阻方在不可抗力发生后立即通知另一方，并且在不可抗力发生后的十五（15）日内向另一方提供有关该不可抗力的权威证明文件和书面说明，该书面说明中应包括对迟延或部分履行本合同的原因的说明。</w:t>
      </w:r>
    </w:p>
    <w:p w14:paraId="19E6A876">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.3 不可抗力终止后，受阻方应继续履行本合同并尽快通知另一方。受阻方应可延长履行本合同，延长的时间应相当于不可抗力实际造成延误的时间。</w:t>
      </w:r>
    </w:p>
    <w:p w14:paraId="05A8EFF1">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.4 不可抗力或其影响持续达三十（30）日或以上的，双方应根据该不可抗力对履行本合同的影响程度，协商变更或终止本合同。自一方发出书面协商通知之日起十五（15）日内双方无法达成一致的，任何一方均有权解除本合同并且不承担违约责任。</w:t>
      </w:r>
    </w:p>
    <w:p w14:paraId="1A73FBB9">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7ABBE292">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56" w:name="_Toc49312106"/>
      <w:bookmarkStart w:id="457" w:name="_Toc49311886"/>
      <w:bookmarkStart w:id="458" w:name="_Toc49312043"/>
      <w:bookmarkStart w:id="459" w:name="_Toc49312304"/>
      <w:bookmarkStart w:id="460" w:name="_Toc68595170"/>
      <w:bookmarkStart w:id="461" w:name="_Toc193265491"/>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条 通知和送达</w:t>
      </w:r>
      <w:bookmarkEnd w:id="456"/>
      <w:bookmarkEnd w:id="457"/>
      <w:bookmarkEnd w:id="458"/>
      <w:bookmarkEnd w:id="459"/>
      <w:bookmarkEnd w:id="460"/>
      <w:bookmarkEnd w:id="461"/>
    </w:p>
    <w:p w14:paraId="5B67AE3F">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根据本合同需要发出的全部通知，均应采取书面形式，以专人递送、特快专递、挂号信件或传真发出。特快专递或挂号信件的交寄日以邮戳为准。上述书面通知均应标明具体的收件人。</w:t>
      </w:r>
    </w:p>
    <w:p w14:paraId="51301588">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上述书面通知根据对方在本合同第10.4条中所列的联系方式发出，并根据本合同第10.3条约定的时间视为送达。任何一方的联系方式有变更的，应在变更前 （ 3 ）日书面通知对方。因迟延通知而造成的损失，由过错方承担。</w:t>
      </w:r>
    </w:p>
    <w:p w14:paraId="1646DE2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 双方将根据以下约定确定通知正式送达的时间：</w:t>
      </w:r>
    </w:p>
    <w:p w14:paraId="00731939">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（1）以专人递送的，接收人签收之日视为送达；</w:t>
      </w:r>
    </w:p>
    <w:p w14:paraId="2CA5410C">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以特快专递发出，发往本市内的，发出后第二日视为送达；发往国内其他地区的，发出后第三日视为送达；发往港、澳、台地区的，发出后第四日视为送达；发往境外其他国家或地区的，发出后第六日视为送达；</w:t>
      </w:r>
    </w:p>
    <w:p w14:paraId="22D8F98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以挂号信件发出，发往本市内的，邮寄后第三日视为送达；发往国内其他地区的，邮寄后第四日视为送达；发往港、澳、台地区的，邮寄后第五日视为送达；发往境外其他国家或地区的，邮寄后第七日视为送达；</w:t>
      </w:r>
    </w:p>
    <w:p w14:paraId="4605B843">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（4）以传真发出的，发件方打印的发送确认单所示时间视为送达。</w:t>
      </w:r>
    </w:p>
    <w:p w14:paraId="71B67799">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 各方联系方式如下：</w:t>
      </w:r>
    </w:p>
    <w:p w14:paraId="0248D1CA">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如致甲方：</w:t>
      </w:r>
    </w:p>
    <w:p w14:paraId="3D167EB0">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南宁轨道数智科技有限公司</w:t>
      </w:r>
    </w:p>
    <w:p w14:paraId="2F7A8C39">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地址：南宁市青秀区凤岭北路111号南宁国际旅游中心</w:t>
      </w: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rPr>
        <w:t>座</w:t>
      </w:r>
      <w:r>
        <w:rPr>
          <w:rFonts w:hint="eastAsia" w:ascii="仿宋" w:hAnsi="仿宋" w:eastAsia="仿宋" w:cs="仿宋"/>
          <w:color w:val="auto"/>
          <w:sz w:val="24"/>
          <w:highlight w:val="none"/>
          <w:lang w:val="en-US" w:eastAsia="zh-CN"/>
        </w:rPr>
        <w:t>19楼</w:t>
      </w:r>
    </w:p>
    <w:p w14:paraId="0E00FB91">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黄虎龙</w:t>
      </w:r>
    </w:p>
    <w:p w14:paraId="681A406A">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val="en-US" w:eastAsia="zh-CN"/>
        </w:rPr>
        <w:t>18172305698</w:t>
      </w:r>
    </w:p>
    <w:p w14:paraId="2DFF478E">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邮政编码：530000</w:t>
      </w:r>
    </w:p>
    <w:p w14:paraId="032FDF9D">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如致乙方：</w:t>
      </w:r>
    </w:p>
    <w:p w14:paraId="5BFE8D99">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p w14:paraId="242E5448">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54CAA515">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20653968">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p w14:paraId="13155135">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邮政编码：530000</w:t>
      </w:r>
    </w:p>
    <w:p w14:paraId="3C854469">
      <w:pPr>
        <w:widowControl/>
        <w:autoSpaceDE w:val="0"/>
        <w:autoSpaceDN w:val="0"/>
        <w:spacing w:line="360" w:lineRule="auto"/>
        <w:ind w:firstLine="48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11.5 各方确认上述送达地址及送达方式适用于诉讼/仲裁的各阶段，包括但不限于一审、二审、再审、特别程序及执行程序。</w:t>
      </w:r>
    </w:p>
    <w:p w14:paraId="3CCD990B">
      <w:pPr>
        <w:widowControl/>
        <w:autoSpaceDE w:val="0"/>
        <w:autoSpaceDN w:val="0"/>
        <w:spacing w:line="360" w:lineRule="auto"/>
        <w:ind w:firstLine="0"/>
        <w:textAlignment w:val="bottom"/>
        <w:rPr>
          <w:rFonts w:hint="eastAsia" w:ascii="仿宋" w:hAnsi="仿宋" w:eastAsia="仿宋" w:cs="仿宋"/>
          <w:color w:val="auto"/>
          <w:sz w:val="24"/>
          <w:highlight w:val="none"/>
          <w:lang w:val="en-US" w:eastAsia="zh-CN"/>
        </w:rPr>
      </w:pPr>
    </w:p>
    <w:p w14:paraId="202292A8">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第</w:t>
      </w:r>
      <w:bookmarkStart w:id="462" w:name="_Toc68595171"/>
      <w:bookmarkStart w:id="463" w:name="_Toc49312305"/>
      <w:bookmarkStart w:id="464" w:name="_Toc49312107"/>
      <w:bookmarkStart w:id="465" w:name="_Toc49311887"/>
      <w:bookmarkStart w:id="466" w:name="_Toc49312044"/>
      <w:bookmarkStart w:id="467" w:name="_Toc193265492"/>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条 适用法律和争议解决</w:t>
      </w:r>
      <w:bookmarkEnd w:id="462"/>
      <w:bookmarkEnd w:id="463"/>
      <w:bookmarkEnd w:id="464"/>
      <w:bookmarkEnd w:id="465"/>
      <w:bookmarkEnd w:id="466"/>
      <w:bookmarkEnd w:id="467"/>
    </w:p>
    <w:p w14:paraId="4274BB2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 本合同的成立、签订、效力、解释、履行、变更、终止和争议解决均适用中华人民共和国（不含香港、澳门特别行政区及台湾地区）法律。</w:t>
      </w:r>
    </w:p>
    <w:p w14:paraId="2711B780">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 与本合同有关的任何争议都应由双方通过友好协商解决。协商应在本合同一方向另一方送达关于协商的书面通知后开始。</w:t>
      </w:r>
    </w:p>
    <w:p w14:paraId="0B0CB3F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 本合同双方不能在一方送达书面协商通知后十（10）日内协商解决争议的，按以下第[2]种方式解决：</w:t>
      </w:r>
    </w:p>
    <w:p w14:paraId="5854DE68">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（1）将该争议提交至[ 南宁]仲裁委员会。该会依据其现行有效的仲裁规则在[南宁]进行仲裁。该仲裁裁决是终局的，对双方具有约束力，并可在任何有管辖权的法院或其他有权机构强制执行。除非仲裁裁决有不同规定，败诉方应支付双方因仲裁所发生的一切法律费用，包括但不限于律师费等。</w:t>
      </w:r>
    </w:p>
    <w:p w14:paraId="5C09A66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（2）向[甲方所在地有管辖权的]人民法院提起诉讼。</w:t>
      </w:r>
    </w:p>
    <w:p w14:paraId="6441FF7F">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 诉讼或仲裁进行过程中，除双方有争议的部分外，本合同其他部分仍然有效，各方应继续履行。</w:t>
      </w:r>
    </w:p>
    <w:p w14:paraId="01BE6096">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 双方同意使用本合同通知和送达条款约定的方式送达与仲裁或强制执行仲裁裁决有关的传票、通知或其他文件。本合同通知和送达条款的任何约定均不影响本合同一方或双方以法律允许的其他方式送达上述传票、通知或其他文件的权利。</w:t>
      </w:r>
    </w:p>
    <w:p w14:paraId="3F6B6B14">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.6 本合同全部或部分无效的，适用法律和争议解决条款依然有效。</w:t>
      </w:r>
    </w:p>
    <w:p w14:paraId="3B811479">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7D2F703F">
      <w:pPr>
        <w:widowControl/>
        <w:autoSpaceDE w:val="0"/>
        <w:autoSpaceDN w:val="0"/>
        <w:spacing w:line="360" w:lineRule="auto"/>
        <w:ind w:firstLine="480"/>
        <w:textAlignment w:val="bottom"/>
        <w:outlineLvl w:val="9"/>
        <w:rPr>
          <w:rFonts w:hint="eastAsia" w:ascii="仿宋" w:hAnsi="仿宋" w:eastAsia="仿宋" w:cs="仿宋"/>
          <w:b/>
          <w:color w:val="auto"/>
          <w:sz w:val="24"/>
          <w:highlight w:val="none"/>
        </w:rPr>
      </w:pPr>
      <w:bookmarkStart w:id="468" w:name="_Toc193265493"/>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条 其他</w:t>
      </w:r>
      <w:bookmarkEnd w:id="468"/>
    </w:p>
    <w:p w14:paraId="7CFB1F0E">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 新闻发布和公告。除非法律规定、政府单位要求或本合同另一方事先书面同意，任何一方不应发布或公告本合同和/或其任何有关事项。</w:t>
      </w:r>
    </w:p>
    <w:p w14:paraId="4E4D9EB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 第三方不受益。除本合同双方及其各自的继承人和允许的受让人外，本合同不应向任何自然人、法人或其他组织赋予权利或救济。</w:t>
      </w:r>
    </w:p>
    <w:p w14:paraId="4B98E001">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 转让。未经本合同一方书面同意，另一方不得转让本合同中的任何权利和义务。</w:t>
      </w:r>
    </w:p>
    <w:p w14:paraId="1561EFC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 无中间代理。没有任何代理人、中间人或中介人直接或间接地就本合同和/或其履行为任何一方提供服务或收取与本合同有关的任何代理费、中间人佣金、中介费或类似的佣金。</w:t>
      </w:r>
    </w:p>
    <w:p w14:paraId="31610229">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 弃权。本合同一方未行使其在本合同中的任何权利，或未要求另一方履行其在本合同中的任何义务，或未强制执行本合同中的一条或若干条款的，均不应被理解为该方放弃上述有关权利，或以任何方式影响本合同的效力，也不应阻止该方在任何时候行使其有权行使的其他任何权利。</w:t>
      </w:r>
    </w:p>
    <w:p w14:paraId="572B494A">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 费用。双方应各自承担与本合同及其履行有关的所有费用，本合同另有约定的除外。</w:t>
      </w:r>
    </w:p>
    <w:p w14:paraId="5B846C7E">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.7 整体合同。本合同及其附件构成双方就本合同标的达成的完整协议，取代双方之前达成的所有口头或书面的协议、协商、意向书和其他协议及文件。</w:t>
      </w:r>
    </w:p>
    <w:p w14:paraId="13267082">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.8 合同附件。附件为本合同不可分割的组成部分，与正文具有同等法律效力。本合同附件与正文冲突的，以正文为准。</w:t>
      </w:r>
    </w:p>
    <w:p w14:paraId="679264B4">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.9 鉴于条款纳入。鉴于条款以引用的方式纳入本合同，是本合同的一部分。</w:t>
      </w:r>
    </w:p>
    <w:p w14:paraId="46207F5F">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.10 合同修改和补充。本合同未尽事宜应由双方友好协商解决。对本合同和/或其附件的任何修改或补充均应采用书面形式。修改或补充文件与本合同不一致的，以该修改或补充文件为准。</w:t>
      </w:r>
    </w:p>
    <w:p w14:paraId="52FA9024">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.11 标题。本合同中加入的各条、款、项的标题仅为方便阅读而设，不应对本合同的含义或解释有任何影响。</w:t>
      </w:r>
    </w:p>
    <w:p w14:paraId="27D1C40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.12 可分割性。本合同的任何条款被有权机构判定为无效或不得执行的，不应影响该条款在其他情形下的效力或可执行性，也不应影响本合同其他条款的效力或可执行性。</w:t>
      </w:r>
    </w:p>
    <w:p w14:paraId="3CB1008F">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.13 语言和文本。本合同以中文签署，一式[肆]份，甲方持[叁]份，乙方持[壹]份，具有同等法律效力。</w:t>
      </w:r>
    </w:p>
    <w:p w14:paraId="042C797B">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.14 授权。双方应在本合同签订前分别向对方提供其授权有关人员签订本合同的授权文件。</w:t>
      </w:r>
    </w:p>
    <w:p w14:paraId="5DD2E947">
      <w:pPr>
        <w:widowControl/>
        <w:autoSpaceDE w:val="0"/>
        <w:autoSpaceDN w:val="0"/>
        <w:spacing w:line="360" w:lineRule="auto"/>
        <w:ind w:firstLine="48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.15 合同签订和效力。本合同自双方法定代表人或授权代表签字并盖章之日起生效；双方签字日期不一致的，自较迟的签字日起生效。双方履行完毕本合同及其有关的所有义务时，本合同终止。</w:t>
      </w:r>
    </w:p>
    <w:p w14:paraId="2D42BE26">
      <w:pPr>
        <w:widowControl/>
        <w:autoSpaceDE w:val="0"/>
        <w:autoSpaceDN w:val="0"/>
        <w:spacing w:line="360" w:lineRule="auto"/>
        <w:ind w:firstLine="480"/>
        <w:textAlignment w:val="bottom"/>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附件：</w:t>
      </w:r>
      <w:r>
        <w:rPr>
          <w:rFonts w:hint="eastAsia" w:ascii="仿宋" w:hAnsi="仿宋" w:eastAsia="仿宋" w:cs="仿宋"/>
          <w:color w:val="auto"/>
          <w:sz w:val="24"/>
          <w:highlight w:val="none"/>
        </w:rPr>
        <w:t>服务内容及要求</w:t>
      </w:r>
      <w:r>
        <w:rPr>
          <w:rFonts w:hint="eastAsia" w:ascii="仿宋" w:hAnsi="仿宋" w:eastAsia="仿宋" w:cs="仿宋"/>
          <w:color w:val="auto"/>
          <w:sz w:val="24"/>
          <w:highlight w:val="none"/>
          <w:lang w:val="en-US" w:eastAsia="zh-CN"/>
        </w:rPr>
        <w:t>根据投标服务方案另行与乙方商定。</w:t>
      </w:r>
    </w:p>
    <w:p w14:paraId="1B4F69CA">
      <w:pPr>
        <w:widowControl/>
        <w:autoSpaceDE w:val="0"/>
        <w:autoSpaceDN w:val="0"/>
        <w:spacing w:line="360" w:lineRule="auto"/>
        <w:ind w:firstLine="480"/>
        <w:textAlignment w:val="bottom"/>
        <w:rPr>
          <w:rFonts w:hint="eastAsia" w:ascii="仿宋" w:hAnsi="仿宋" w:eastAsia="仿宋" w:cs="仿宋"/>
          <w:color w:val="auto"/>
          <w:sz w:val="24"/>
          <w:highlight w:val="none"/>
        </w:rPr>
      </w:pPr>
    </w:p>
    <w:p w14:paraId="07D1CB5B">
      <w:pPr>
        <w:widowControl/>
        <w:autoSpaceDE w:val="0"/>
        <w:autoSpaceDN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（以下无正文）</w:t>
      </w:r>
    </w:p>
    <w:p w14:paraId="136F5F9B">
      <w:pPr>
        <w:widowControl/>
        <w:autoSpaceDE w:val="0"/>
        <w:autoSpaceDN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【签章页】</w:t>
      </w:r>
    </w:p>
    <w:p w14:paraId="1879562B">
      <w:pPr>
        <w:widowControl/>
        <w:autoSpaceDE w:val="0"/>
        <w:autoSpaceDN w:val="0"/>
        <w:spacing w:line="360" w:lineRule="auto"/>
        <w:textAlignment w:val="bottom"/>
        <w:rPr>
          <w:rFonts w:hint="eastAsia" w:ascii="仿宋" w:hAnsi="仿宋" w:eastAsia="仿宋" w:cs="仿宋"/>
          <w:color w:val="auto"/>
          <w:sz w:val="24"/>
          <w:highlight w:val="none"/>
        </w:rPr>
      </w:pPr>
    </w:p>
    <w:p w14:paraId="4BD4CCD5">
      <w:pPr>
        <w:widowControl/>
        <w:autoSpaceDE w:val="0"/>
        <w:autoSpaceDN w:val="0"/>
        <w:spacing w:line="360" w:lineRule="auto"/>
        <w:textAlignment w:val="bottom"/>
        <w:rPr>
          <w:rFonts w:hint="eastAsia" w:ascii="仿宋" w:hAnsi="仿宋" w:eastAsia="仿宋" w:cs="仿宋"/>
          <w:color w:val="auto"/>
          <w:sz w:val="24"/>
          <w:highlight w:val="none"/>
        </w:rPr>
      </w:pPr>
    </w:p>
    <w:tbl>
      <w:tblPr>
        <w:tblStyle w:val="43"/>
        <w:tblW w:w="5220" w:type="pct"/>
        <w:tblInd w:w="0" w:type="dxa"/>
        <w:tblLayout w:type="autofit"/>
        <w:tblCellMar>
          <w:top w:w="0" w:type="dxa"/>
          <w:left w:w="108" w:type="dxa"/>
          <w:bottom w:w="0" w:type="dxa"/>
          <w:right w:w="108" w:type="dxa"/>
        </w:tblCellMar>
      </w:tblPr>
      <w:tblGrid>
        <w:gridCol w:w="4754"/>
        <w:gridCol w:w="318"/>
        <w:gridCol w:w="4623"/>
      </w:tblGrid>
      <w:tr w14:paraId="6788445A">
        <w:tblPrEx>
          <w:tblCellMar>
            <w:top w:w="0" w:type="dxa"/>
            <w:left w:w="108" w:type="dxa"/>
            <w:bottom w:w="0" w:type="dxa"/>
            <w:right w:w="108" w:type="dxa"/>
          </w:tblCellMar>
        </w:tblPrEx>
        <w:tc>
          <w:tcPr>
            <w:tcW w:w="2616" w:type="pct"/>
            <w:gridSpan w:val="2"/>
            <w:noWrap w:val="0"/>
            <w:vAlign w:val="top"/>
          </w:tcPr>
          <w:p w14:paraId="26F3588B">
            <w:pPr>
              <w:spacing w:line="360" w:lineRule="auto"/>
              <w:ind w:right="-420" w:right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甲方（盖章）：南宁轨道</w:t>
            </w:r>
            <w:r>
              <w:rPr>
                <w:rFonts w:hint="eastAsia" w:ascii="仿宋" w:hAnsi="仿宋" w:eastAsia="仿宋" w:cs="仿宋"/>
                <w:color w:val="auto"/>
                <w:sz w:val="24"/>
                <w:highlight w:val="none"/>
                <w:lang w:val="en-US" w:eastAsia="zh-CN"/>
              </w:rPr>
              <w:t>数智科技</w:t>
            </w:r>
          </w:p>
          <w:p w14:paraId="0BE7D50E">
            <w:pPr>
              <w:spacing w:line="360" w:lineRule="auto"/>
              <w:ind w:right="-420" w:rightChars="-200" w:firstLine="1680" w:firstLineChars="7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有限责任公司</w:t>
            </w:r>
          </w:p>
        </w:tc>
        <w:tc>
          <w:tcPr>
            <w:tcW w:w="2384" w:type="pct"/>
            <w:noWrap w:val="0"/>
            <w:vAlign w:val="top"/>
          </w:tcPr>
          <w:p w14:paraId="481424C6">
            <w:pPr>
              <w:spacing w:line="360" w:lineRule="auto"/>
              <w:ind w:left="1860" w:leftChars="200" w:right="-420" w:rightChars="-200" w:hanging="1440" w:hangingChars="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乙方（盖章）：</w:t>
            </w:r>
          </w:p>
        </w:tc>
      </w:tr>
      <w:tr w14:paraId="4B442BE4">
        <w:tblPrEx>
          <w:tblCellMar>
            <w:top w:w="0" w:type="dxa"/>
            <w:left w:w="108" w:type="dxa"/>
            <w:bottom w:w="0" w:type="dxa"/>
            <w:right w:w="108" w:type="dxa"/>
          </w:tblCellMar>
        </w:tblPrEx>
        <w:tc>
          <w:tcPr>
            <w:tcW w:w="2452" w:type="pct"/>
            <w:noWrap w:val="0"/>
            <w:vAlign w:val="top"/>
          </w:tcPr>
          <w:p w14:paraId="2DA9320F">
            <w:pPr>
              <w:spacing w:line="360" w:lineRule="auto"/>
              <w:ind w:right="-420" w:rightChars="-200"/>
              <w:jc w:val="left"/>
              <w:rPr>
                <w:rFonts w:hint="eastAsia" w:ascii="仿宋" w:hAnsi="仿宋" w:eastAsia="仿宋" w:cs="仿宋"/>
                <w:color w:val="auto"/>
                <w:sz w:val="24"/>
                <w:highlight w:val="none"/>
              </w:rPr>
            </w:pPr>
          </w:p>
          <w:p w14:paraId="6A01B563">
            <w:pPr>
              <w:pStyle w:val="5"/>
              <w:ind w:firstLine="480"/>
              <w:rPr>
                <w:rFonts w:hint="eastAsia" w:ascii="仿宋" w:hAnsi="仿宋" w:eastAsia="仿宋" w:cs="仿宋"/>
                <w:color w:val="auto"/>
                <w:sz w:val="24"/>
                <w:highlight w:val="none"/>
              </w:rPr>
            </w:pPr>
          </w:p>
          <w:p w14:paraId="32A5CE4F">
            <w:pPr>
              <w:pStyle w:val="5"/>
              <w:ind w:firstLine="480"/>
              <w:rPr>
                <w:rFonts w:hint="eastAsia" w:ascii="仿宋" w:hAnsi="仿宋" w:eastAsia="仿宋" w:cs="仿宋"/>
                <w:color w:val="auto"/>
                <w:sz w:val="24"/>
                <w:highlight w:val="none"/>
              </w:rPr>
            </w:pPr>
          </w:p>
        </w:tc>
        <w:tc>
          <w:tcPr>
            <w:tcW w:w="2548" w:type="pct"/>
            <w:gridSpan w:val="2"/>
            <w:noWrap w:val="0"/>
            <w:vAlign w:val="top"/>
          </w:tcPr>
          <w:p w14:paraId="16B93EE1">
            <w:pPr>
              <w:spacing w:line="360" w:lineRule="auto"/>
              <w:ind w:right="-420" w:rightChars="-200"/>
              <w:jc w:val="left"/>
              <w:rPr>
                <w:rFonts w:hint="eastAsia" w:ascii="仿宋" w:hAnsi="仿宋" w:eastAsia="仿宋" w:cs="仿宋"/>
                <w:color w:val="auto"/>
                <w:sz w:val="24"/>
                <w:highlight w:val="none"/>
              </w:rPr>
            </w:pPr>
          </w:p>
        </w:tc>
      </w:tr>
      <w:tr w14:paraId="30B92FFA">
        <w:tblPrEx>
          <w:tblCellMar>
            <w:top w:w="0" w:type="dxa"/>
            <w:left w:w="108" w:type="dxa"/>
            <w:bottom w:w="0" w:type="dxa"/>
            <w:right w:w="108" w:type="dxa"/>
          </w:tblCellMar>
        </w:tblPrEx>
        <w:tc>
          <w:tcPr>
            <w:tcW w:w="2616" w:type="pct"/>
            <w:gridSpan w:val="2"/>
            <w:noWrap w:val="0"/>
            <w:vAlign w:val="top"/>
          </w:tcPr>
          <w:p w14:paraId="17DB6A20">
            <w:pPr>
              <w:spacing w:line="360" w:lineRule="auto"/>
              <w:ind w:right="-420" w:right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法人/代表人（签字）：</w:t>
            </w:r>
          </w:p>
        </w:tc>
        <w:tc>
          <w:tcPr>
            <w:tcW w:w="2384" w:type="pct"/>
            <w:noWrap w:val="0"/>
            <w:vAlign w:val="top"/>
          </w:tcPr>
          <w:p w14:paraId="092064D7">
            <w:pPr>
              <w:spacing w:line="360" w:lineRule="auto"/>
              <w:ind w:right="-420" w:right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法人/代表人（签字）：</w:t>
            </w:r>
          </w:p>
        </w:tc>
      </w:tr>
      <w:tr w14:paraId="0AF47C5E">
        <w:tblPrEx>
          <w:tblCellMar>
            <w:top w:w="0" w:type="dxa"/>
            <w:left w:w="108" w:type="dxa"/>
            <w:bottom w:w="0" w:type="dxa"/>
            <w:right w:w="108" w:type="dxa"/>
          </w:tblCellMar>
        </w:tblPrEx>
        <w:tc>
          <w:tcPr>
            <w:tcW w:w="2616" w:type="pct"/>
            <w:gridSpan w:val="2"/>
            <w:noWrap w:val="0"/>
            <w:vAlign w:val="top"/>
          </w:tcPr>
          <w:p w14:paraId="0E11126B">
            <w:pPr>
              <w:spacing w:line="360" w:lineRule="auto"/>
              <w:ind w:right="-420" w:right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或授权代表：（签字）</w:t>
            </w:r>
          </w:p>
          <w:p w14:paraId="045B77B2">
            <w:pPr>
              <w:pStyle w:val="5"/>
              <w:ind w:firstLine="480"/>
              <w:rPr>
                <w:rFonts w:hint="eastAsia" w:ascii="仿宋" w:hAnsi="仿宋" w:eastAsia="仿宋" w:cs="仿宋"/>
                <w:color w:val="auto"/>
                <w:sz w:val="24"/>
                <w:highlight w:val="none"/>
              </w:rPr>
            </w:pPr>
          </w:p>
          <w:p w14:paraId="70EFE957">
            <w:pPr>
              <w:pStyle w:val="5"/>
              <w:ind w:firstLine="480"/>
              <w:rPr>
                <w:rFonts w:hint="eastAsia" w:ascii="仿宋" w:hAnsi="仿宋" w:eastAsia="仿宋" w:cs="仿宋"/>
                <w:color w:val="auto"/>
                <w:sz w:val="24"/>
                <w:highlight w:val="none"/>
              </w:rPr>
            </w:pPr>
          </w:p>
        </w:tc>
        <w:tc>
          <w:tcPr>
            <w:tcW w:w="2384" w:type="pct"/>
            <w:noWrap w:val="0"/>
            <w:vAlign w:val="top"/>
          </w:tcPr>
          <w:p w14:paraId="2A8AE5FE">
            <w:pPr>
              <w:spacing w:line="360" w:lineRule="auto"/>
              <w:ind w:right="-420" w:right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或授权代表：（签字）</w:t>
            </w:r>
          </w:p>
        </w:tc>
      </w:tr>
      <w:tr w14:paraId="1CC85DA3">
        <w:tblPrEx>
          <w:tblCellMar>
            <w:top w:w="0" w:type="dxa"/>
            <w:left w:w="108" w:type="dxa"/>
            <w:bottom w:w="0" w:type="dxa"/>
            <w:right w:w="108" w:type="dxa"/>
          </w:tblCellMar>
        </w:tblPrEx>
        <w:tc>
          <w:tcPr>
            <w:tcW w:w="2616" w:type="pct"/>
            <w:gridSpan w:val="2"/>
            <w:noWrap w:val="0"/>
            <w:vAlign w:val="top"/>
          </w:tcPr>
          <w:p w14:paraId="741EA945">
            <w:pPr>
              <w:spacing w:line="360" w:lineRule="auto"/>
              <w:ind w:right="-420" w:right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c>
          <w:tcPr>
            <w:tcW w:w="2384" w:type="pct"/>
            <w:noWrap w:val="0"/>
            <w:vAlign w:val="top"/>
          </w:tcPr>
          <w:p w14:paraId="598C5FB0">
            <w:pPr>
              <w:spacing w:line="360" w:lineRule="auto"/>
              <w:ind w:right="-420" w:right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14:paraId="108C6CFB">
      <w:pPr>
        <w:widowControl/>
        <w:autoSpaceDE w:val="0"/>
        <w:autoSpaceDN w:val="0"/>
        <w:spacing w:line="360" w:lineRule="auto"/>
        <w:textAlignment w:val="bottom"/>
        <w:rPr>
          <w:rFonts w:hint="eastAsia" w:ascii="仿宋" w:hAnsi="仿宋" w:eastAsia="仿宋" w:cs="仿宋"/>
          <w:color w:val="auto"/>
          <w:sz w:val="24"/>
          <w:highlight w:val="none"/>
        </w:rPr>
      </w:pPr>
    </w:p>
    <w:p w14:paraId="53615D25">
      <w:pPr>
        <w:widowControl/>
        <w:autoSpaceDE w:val="0"/>
        <w:autoSpaceDN w:val="0"/>
        <w:spacing w:line="360" w:lineRule="auto"/>
        <w:ind w:firstLine="480" w:firstLineChars="200"/>
        <w:textAlignment w:val="bottom"/>
        <w:rPr>
          <w:rFonts w:hint="eastAsia" w:ascii="仿宋" w:hAnsi="仿宋" w:eastAsia="仿宋" w:cs="仿宋"/>
          <w:color w:val="auto"/>
          <w:sz w:val="24"/>
          <w:highlight w:val="none"/>
        </w:rPr>
      </w:pPr>
    </w:p>
    <w:bookmarkEnd w:id="391"/>
    <w:p w14:paraId="1C90194E">
      <w:pPr>
        <w:widowControl/>
        <w:jc w:val="left"/>
        <w:rPr>
          <w:rFonts w:hint="eastAsia" w:ascii="仿宋" w:hAnsi="仿宋" w:eastAsia="仿宋" w:cs="仿宋"/>
          <w:b/>
          <w:bCs/>
          <w:color w:val="auto"/>
          <w:sz w:val="24"/>
          <w:szCs w:val="32"/>
          <w:highlight w:val="none"/>
        </w:rPr>
      </w:pPr>
    </w:p>
    <w:bookmarkEnd w:id="392"/>
    <w:bookmarkEnd w:id="393"/>
    <w:bookmarkEnd w:id="394"/>
    <w:bookmarkEnd w:id="395"/>
    <w:p w14:paraId="1870536A">
      <w:pPr>
        <w:pStyle w:val="54"/>
        <w:spacing w:before="240" w:after="120" w:line="360" w:lineRule="auto"/>
        <w:outlineLvl w:val="9"/>
        <w:rPr>
          <w:rFonts w:hint="eastAsia" w:ascii="仿宋" w:hAnsi="仿宋" w:eastAsia="仿宋" w:cs="仿宋"/>
          <w:b/>
          <w:bCs w:val="0"/>
          <w:color w:val="auto"/>
          <w:kern w:val="0"/>
          <w:sz w:val="28"/>
          <w:szCs w:val="28"/>
          <w:highlight w:val="none"/>
        </w:rPr>
      </w:pPr>
      <w:bookmarkStart w:id="469" w:name="_Toc472689678"/>
      <w:bookmarkStart w:id="470" w:name="_Toc475117918"/>
      <w:bookmarkStart w:id="471" w:name="_Toc85401344"/>
      <w:bookmarkStart w:id="472" w:name="_Toc532656968"/>
    </w:p>
    <w:p w14:paraId="5F278F5D">
      <w:pPr>
        <w:pStyle w:val="54"/>
        <w:spacing w:before="240" w:after="120" w:line="360" w:lineRule="auto"/>
        <w:rPr>
          <w:rFonts w:hint="eastAsia" w:ascii="仿宋" w:hAnsi="仿宋" w:eastAsia="仿宋" w:cs="仿宋"/>
          <w:b/>
          <w:bCs w:val="0"/>
          <w:color w:val="auto"/>
          <w:kern w:val="0"/>
          <w:sz w:val="28"/>
          <w:szCs w:val="28"/>
          <w:highlight w:val="none"/>
        </w:rPr>
      </w:pPr>
      <w:bookmarkStart w:id="473" w:name="_Toc17264"/>
      <w:bookmarkStart w:id="474" w:name="_Toc31931"/>
      <w:bookmarkStart w:id="475" w:name="_Toc16506"/>
      <w:bookmarkStart w:id="476" w:name="_Toc7654"/>
      <w:bookmarkStart w:id="477" w:name="_Toc32345"/>
      <w:bookmarkStart w:id="478" w:name="_Toc17759"/>
      <w:r>
        <w:rPr>
          <w:rFonts w:hint="eastAsia" w:ascii="仿宋" w:hAnsi="仿宋" w:eastAsia="仿宋" w:cs="仿宋"/>
          <w:b/>
          <w:bCs w:val="0"/>
          <w:color w:val="auto"/>
          <w:kern w:val="0"/>
          <w:sz w:val="28"/>
          <w:szCs w:val="28"/>
          <w:highlight w:val="none"/>
        </w:rPr>
        <w:t>第</w:t>
      </w:r>
      <w:r>
        <w:rPr>
          <w:rFonts w:hint="default" w:ascii="仿宋" w:hAnsi="仿宋" w:eastAsia="仿宋" w:cs="仿宋"/>
          <w:b/>
          <w:bCs w:val="0"/>
          <w:color w:val="auto"/>
          <w:kern w:val="0"/>
          <w:sz w:val="28"/>
          <w:szCs w:val="28"/>
          <w:highlight w:val="none"/>
        </w:rPr>
        <w:t>五</w:t>
      </w:r>
      <w:r>
        <w:rPr>
          <w:rFonts w:hint="eastAsia" w:ascii="仿宋" w:hAnsi="仿宋" w:eastAsia="仿宋" w:cs="仿宋"/>
          <w:b/>
          <w:bCs w:val="0"/>
          <w:color w:val="auto"/>
          <w:kern w:val="0"/>
          <w:sz w:val="28"/>
          <w:szCs w:val="28"/>
          <w:highlight w:val="none"/>
        </w:rPr>
        <w:t>章</w:t>
      </w:r>
      <w:bookmarkEnd w:id="469"/>
      <w:bookmarkEnd w:id="470"/>
      <w:r>
        <w:rPr>
          <w:rFonts w:hint="eastAsia" w:ascii="仿宋" w:hAnsi="仿宋" w:eastAsia="仿宋" w:cs="仿宋"/>
          <w:b/>
          <w:bCs w:val="0"/>
          <w:color w:val="auto"/>
          <w:kern w:val="0"/>
          <w:sz w:val="28"/>
          <w:szCs w:val="28"/>
          <w:highlight w:val="none"/>
        </w:rPr>
        <w:t>※技术规范书</w:t>
      </w:r>
      <w:bookmarkEnd w:id="471"/>
      <w:bookmarkEnd w:id="472"/>
      <w:bookmarkEnd w:id="473"/>
      <w:bookmarkEnd w:id="474"/>
      <w:bookmarkEnd w:id="475"/>
      <w:bookmarkEnd w:id="476"/>
      <w:bookmarkEnd w:id="477"/>
      <w:bookmarkEnd w:id="478"/>
    </w:p>
    <w:bookmarkEnd w:id="396"/>
    <w:p w14:paraId="1B650B00">
      <w:pPr>
        <w:widowControl/>
        <w:adjustRightInd/>
        <w:snapToGrid/>
        <w:spacing w:line="24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参选单位通过各项资源支持，为品牌传播提供市场策略、创意设计、推广渠道等系统化战略以及全面落地执行，</w:t>
      </w:r>
      <w:r>
        <w:rPr>
          <w:rFonts w:hint="eastAsia" w:ascii="仿宋" w:hAnsi="仿宋" w:eastAsia="仿宋" w:cs="仿宋"/>
          <w:color w:val="auto"/>
          <w:sz w:val="24"/>
          <w:highlight w:val="none"/>
        </w:rPr>
        <w:t>助力</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实现品牌传播的数字化升级</w:t>
      </w:r>
      <w:r>
        <w:rPr>
          <w:rFonts w:hint="eastAsia" w:ascii="仿宋" w:hAnsi="仿宋" w:eastAsia="仿宋" w:cs="仿宋"/>
          <w:color w:val="auto"/>
          <w:sz w:val="24"/>
          <w:highlight w:val="none"/>
          <w:lang w:val="en-US" w:eastAsia="zh-CN"/>
        </w:rPr>
        <w:t>和传播内容的高效铺开</w:t>
      </w:r>
      <w:r>
        <w:rPr>
          <w:rFonts w:hint="eastAsia" w:ascii="仿宋" w:hAnsi="仿宋" w:eastAsia="仿宋" w:cs="仿宋"/>
          <w:color w:val="auto"/>
          <w:sz w:val="24"/>
          <w:highlight w:val="none"/>
        </w:rPr>
        <w:t>，有效吸引目标顾客群体，并推动营销活动的创新，进而增强</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的吸引力和竞争力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注：响应项目不能低于10条</w:t>
      </w:r>
      <w:r>
        <w:rPr>
          <w:rFonts w:hint="eastAsia" w:ascii="仿宋" w:hAnsi="仿宋" w:eastAsia="仿宋" w:cs="仿宋"/>
          <w:color w:val="auto"/>
          <w:sz w:val="24"/>
          <w:highlight w:val="none"/>
          <w:lang w:eastAsia="zh-CN"/>
        </w:rPr>
        <w:t>）</w:t>
      </w:r>
    </w:p>
    <w:p w14:paraId="71BEB361">
      <w:pPr>
        <w:widowControl/>
        <w:adjustRightInd/>
        <w:snapToGrid/>
        <w:spacing w:line="240" w:lineRule="auto"/>
        <w:ind w:firstLine="0" w:firstLineChars="0"/>
        <w:jc w:val="left"/>
        <w:rPr>
          <w:rFonts w:hint="eastAsia" w:ascii="仿宋" w:hAnsi="仿宋" w:eastAsia="仿宋" w:cs="仿宋"/>
          <w:color w:val="auto"/>
          <w:sz w:val="24"/>
          <w:highlight w:val="none"/>
          <w:lang w:eastAsia="zh-CN"/>
        </w:rPr>
      </w:pPr>
    </w:p>
    <w:p w14:paraId="5B85A5B9">
      <w:pPr>
        <w:widowControl/>
        <w:numPr>
          <w:ilvl w:val="-1"/>
          <w:numId w:val="0"/>
        </w:numPr>
        <w:adjustRightInd/>
        <w:snapToGrid/>
        <w:spacing w:line="240" w:lineRule="auto"/>
        <w:ind w:left="0" w:leftChars="0" w:firstLine="0" w:firstLineChars="0"/>
        <w:jc w:val="center"/>
        <w:rPr>
          <w:rFonts w:hint="eastAsia" w:ascii="仿宋" w:hAnsi="仿宋" w:eastAsia="仿宋" w:cs="仿宋"/>
          <w:color w:val="auto"/>
          <w:sz w:val="24"/>
          <w:highlight w:val="none"/>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150"/>
        <w:gridCol w:w="1946"/>
        <w:gridCol w:w="2024"/>
        <w:gridCol w:w="1072"/>
      </w:tblGrid>
      <w:tr w14:paraId="7397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14:paraId="28CA9749">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序号</w:t>
            </w:r>
          </w:p>
        </w:tc>
        <w:tc>
          <w:tcPr>
            <w:tcW w:w="1547" w:type="dxa"/>
          </w:tcPr>
          <w:p w14:paraId="7ED5DC57">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项目</w:t>
            </w:r>
          </w:p>
        </w:tc>
        <w:tc>
          <w:tcPr>
            <w:tcW w:w="5120" w:type="dxa"/>
            <w:gridSpan w:val="3"/>
          </w:tcPr>
          <w:p w14:paraId="4AE9077C">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服务内容</w:t>
            </w:r>
          </w:p>
        </w:tc>
        <w:tc>
          <w:tcPr>
            <w:tcW w:w="1072" w:type="dxa"/>
          </w:tcPr>
          <w:p w14:paraId="34A4B56E">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备注</w:t>
            </w:r>
          </w:p>
        </w:tc>
      </w:tr>
      <w:tr w14:paraId="3F95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6C0BFAEC">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1547" w:type="dxa"/>
            <w:vAlign w:val="center"/>
          </w:tcPr>
          <w:p w14:paraId="4280B81D">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lang w:val="en-US" w:eastAsia="zh-CN"/>
              </w:rPr>
              <w:t>项目前期落地执行总包</w:t>
            </w:r>
          </w:p>
        </w:tc>
        <w:tc>
          <w:tcPr>
            <w:tcW w:w="5120" w:type="dxa"/>
            <w:gridSpan w:val="3"/>
          </w:tcPr>
          <w:p w14:paraId="36F1C1AD">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品牌形象及推广策略 </w:t>
            </w:r>
          </w:p>
          <w:p w14:paraId="7F7808F8">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品牌形象</w:t>
            </w:r>
          </w:p>
          <w:p w14:paraId="181ACB96">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核心卖点 </w:t>
            </w:r>
          </w:p>
          <w:p w14:paraId="10007B99">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视觉符号 </w:t>
            </w:r>
          </w:p>
          <w:p w14:paraId="6FB74E81">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品牌口号 </w:t>
            </w:r>
          </w:p>
          <w:p w14:paraId="5CC2063F">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品牌故事及文化 </w:t>
            </w:r>
          </w:p>
          <w:p w14:paraId="7903741C">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c>
          <w:tcPr>
            <w:tcW w:w="1072" w:type="dxa"/>
          </w:tcPr>
          <w:p w14:paraId="3167FF3C">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4754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14:paraId="55DEE695">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2</w:t>
            </w:r>
          </w:p>
        </w:tc>
        <w:tc>
          <w:tcPr>
            <w:tcW w:w="1547" w:type="dxa"/>
            <w:vMerge w:val="restart"/>
            <w:vAlign w:val="center"/>
          </w:tcPr>
          <w:p w14:paraId="2F0168B7">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lang w:val="en-US" w:eastAsia="zh-CN"/>
              </w:rPr>
              <w:t>项目VI系统设计</w:t>
            </w:r>
          </w:p>
        </w:tc>
        <w:tc>
          <w:tcPr>
            <w:tcW w:w="1150" w:type="dxa"/>
            <w:vAlign w:val="center"/>
          </w:tcPr>
          <w:p w14:paraId="6C020214">
            <w:pPr>
              <w:keepNext w:val="0"/>
              <w:keepLines w:val="0"/>
              <w:widowControl/>
              <w:suppressLineNumbers w:val="0"/>
              <w:spacing w:line="240" w:lineRule="auto"/>
              <w:jc w:val="left"/>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lang w:val="en-US" w:eastAsia="zh-CN"/>
              </w:rPr>
              <w:t>品牌设计基础</w:t>
            </w:r>
          </w:p>
        </w:tc>
        <w:tc>
          <w:tcPr>
            <w:tcW w:w="1946" w:type="dxa"/>
            <w:vAlign w:val="center"/>
          </w:tcPr>
          <w:p w14:paraId="5E149B38">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 LOGO 图形设计</w:t>
            </w:r>
          </w:p>
          <w:p w14:paraId="2BE75762">
            <w:pPr>
              <w:keepNext w:val="0"/>
              <w:keepLines w:val="0"/>
              <w:widowControl/>
              <w:suppressLineNumbers w:val="0"/>
              <w:spacing w:line="240" w:lineRule="auto"/>
              <w:jc w:val="left"/>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lang w:val="en-US" w:eastAsia="zh-CN"/>
              </w:rPr>
              <w:t>品牌标识规范，字体规范，品牌基本要素组合规范，标准色彩规范。</w:t>
            </w:r>
          </w:p>
        </w:tc>
        <w:tc>
          <w:tcPr>
            <w:tcW w:w="2024" w:type="dxa"/>
            <w:vAlign w:val="center"/>
          </w:tcPr>
          <w:p w14:paraId="2C1C82C0">
            <w:pPr>
              <w:keepNext w:val="0"/>
              <w:keepLines w:val="0"/>
              <w:widowControl/>
              <w:suppressLineNumbers w:val="0"/>
              <w:spacing w:line="240" w:lineRule="auto"/>
              <w:jc w:val="left"/>
              <w:rPr>
                <w:rFonts w:hint="eastAsia" w:ascii="仿宋" w:hAnsi="仿宋" w:eastAsia="仿宋" w:cs="仿宋"/>
                <w:color w:val="auto"/>
                <w:sz w:val="24"/>
                <w:highlight w:val="none"/>
                <w:vertAlign w:val="baseline"/>
                <w:lang w:val="en-US" w:eastAsia="zh-CN"/>
              </w:rPr>
            </w:pPr>
          </w:p>
        </w:tc>
        <w:tc>
          <w:tcPr>
            <w:tcW w:w="1072" w:type="dxa"/>
          </w:tcPr>
          <w:p w14:paraId="05F3BD31">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3491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14:paraId="2A143F4C">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p>
        </w:tc>
        <w:tc>
          <w:tcPr>
            <w:tcW w:w="1547" w:type="dxa"/>
            <w:vMerge w:val="continue"/>
            <w:vAlign w:val="center"/>
          </w:tcPr>
          <w:p w14:paraId="1BACB349">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p>
        </w:tc>
        <w:tc>
          <w:tcPr>
            <w:tcW w:w="1150" w:type="dxa"/>
            <w:vMerge w:val="restart"/>
            <w:vAlign w:val="center"/>
          </w:tcPr>
          <w:p w14:paraId="1233A5F1">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品牌标识应用</w:t>
            </w:r>
          </w:p>
          <w:p w14:paraId="675BD8EE">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设计系统</w:t>
            </w:r>
          </w:p>
        </w:tc>
        <w:tc>
          <w:tcPr>
            <w:tcW w:w="1946" w:type="dxa"/>
            <w:vAlign w:val="center"/>
          </w:tcPr>
          <w:p w14:paraId="4E75442E">
            <w:pPr>
              <w:keepNext w:val="0"/>
              <w:keepLines w:val="0"/>
              <w:widowControl/>
              <w:suppressLineNumbers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办公事务用品 </w:t>
            </w:r>
          </w:p>
          <w:p w14:paraId="094B9E6A">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系统规范</w:t>
            </w:r>
          </w:p>
        </w:tc>
        <w:tc>
          <w:tcPr>
            <w:tcW w:w="2024" w:type="dxa"/>
            <w:vAlign w:val="center"/>
          </w:tcPr>
          <w:p w14:paraId="6CD69DA2">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名片，笔记本，信纸，信封，文件夹，档案袋，便笺，纸杯，电脑壁纸及屏保，PPT 模板（封面及内页），会议背景板，桌旗，广告伞，工作牌，出入证，来宾证，桌牌，手提袋，毛巾，雨具等。（如需）</w:t>
            </w:r>
          </w:p>
        </w:tc>
        <w:tc>
          <w:tcPr>
            <w:tcW w:w="1072" w:type="dxa"/>
          </w:tcPr>
          <w:p w14:paraId="58BC6F69">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6FCB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14:paraId="13D652D8">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p>
        </w:tc>
        <w:tc>
          <w:tcPr>
            <w:tcW w:w="1547" w:type="dxa"/>
            <w:vMerge w:val="continue"/>
            <w:vAlign w:val="center"/>
          </w:tcPr>
          <w:p w14:paraId="1AA85D19">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p>
        </w:tc>
        <w:tc>
          <w:tcPr>
            <w:tcW w:w="1150" w:type="dxa"/>
            <w:vMerge w:val="continue"/>
            <w:vAlign w:val="center"/>
          </w:tcPr>
          <w:p w14:paraId="16DA8B0F">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p>
        </w:tc>
        <w:tc>
          <w:tcPr>
            <w:tcW w:w="1946" w:type="dxa"/>
            <w:vAlign w:val="center"/>
          </w:tcPr>
          <w:p w14:paraId="4C375449">
            <w:pP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安健环系统</w:t>
            </w:r>
          </w:p>
          <w:p w14:paraId="10A63508">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规范</w:t>
            </w:r>
          </w:p>
        </w:tc>
        <w:tc>
          <w:tcPr>
            <w:tcW w:w="2024" w:type="dxa"/>
            <w:vAlign w:val="center"/>
          </w:tcPr>
          <w:p w14:paraId="7BD7F5B9">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警告标识，提示标识，门店导视系统，消防安全标识等（如需）</w:t>
            </w:r>
          </w:p>
        </w:tc>
        <w:tc>
          <w:tcPr>
            <w:tcW w:w="1072" w:type="dxa"/>
          </w:tcPr>
          <w:p w14:paraId="4AC8923B">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31C9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14:paraId="1C3E0433">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p>
        </w:tc>
        <w:tc>
          <w:tcPr>
            <w:tcW w:w="1547" w:type="dxa"/>
            <w:vMerge w:val="continue"/>
            <w:vAlign w:val="center"/>
          </w:tcPr>
          <w:p w14:paraId="4868B1EE">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p>
        </w:tc>
        <w:tc>
          <w:tcPr>
            <w:tcW w:w="1150" w:type="dxa"/>
            <w:vMerge w:val="continue"/>
            <w:vAlign w:val="center"/>
          </w:tcPr>
          <w:p w14:paraId="4E5D13FA">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p>
        </w:tc>
        <w:tc>
          <w:tcPr>
            <w:tcW w:w="1946" w:type="dxa"/>
            <w:vAlign w:val="center"/>
          </w:tcPr>
          <w:p w14:paraId="0AE48111">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运输系统设计 </w:t>
            </w:r>
          </w:p>
          <w:p w14:paraId="61F73585">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规范 </w:t>
            </w:r>
          </w:p>
        </w:tc>
        <w:tc>
          <w:tcPr>
            <w:tcW w:w="2024" w:type="dxa"/>
            <w:vAlign w:val="center"/>
          </w:tcPr>
          <w:p w14:paraId="21DD64D8">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轿车、面包车、小型运输车、大型运输车、叉车。（如需）</w:t>
            </w:r>
          </w:p>
        </w:tc>
        <w:tc>
          <w:tcPr>
            <w:tcW w:w="1072" w:type="dxa"/>
          </w:tcPr>
          <w:p w14:paraId="01550CEB">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4E32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14:paraId="693C5FA8">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p>
        </w:tc>
        <w:tc>
          <w:tcPr>
            <w:tcW w:w="1547" w:type="dxa"/>
            <w:vMerge w:val="continue"/>
            <w:vAlign w:val="center"/>
          </w:tcPr>
          <w:p w14:paraId="5D44656E">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p>
        </w:tc>
        <w:tc>
          <w:tcPr>
            <w:tcW w:w="1150" w:type="dxa"/>
            <w:vMerge w:val="continue"/>
            <w:vAlign w:val="center"/>
          </w:tcPr>
          <w:p w14:paraId="01605B50">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p>
        </w:tc>
        <w:tc>
          <w:tcPr>
            <w:tcW w:w="1946" w:type="dxa"/>
            <w:vAlign w:val="center"/>
          </w:tcPr>
          <w:p w14:paraId="46684323">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广告传播及宣 </w:t>
            </w:r>
          </w:p>
          <w:p w14:paraId="09C15B0D">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传系统规范</w:t>
            </w:r>
          </w:p>
        </w:tc>
        <w:tc>
          <w:tcPr>
            <w:tcW w:w="2024" w:type="dxa"/>
            <w:vAlign w:val="center"/>
          </w:tcPr>
          <w:p w14:paraId="5A6A275B">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小程序UI设计、推广及形象宣传海报，易拉宝，户外广告（高炮广告牌、 LED 大屏广告等）。（如需）</w:t>
            </w:r>
          </w:p>
        </w:tc>
        <w:tc>
          <w:tcPr>
            <w:tcW w:w="1072" w:type="dxa"/>
          </w:tcPr>
          <w:p w14:paraId="5315E759">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10AE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14:paraId="6C1716A7">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p>
        </w:tc>
        <w:tc>
          <w:tcPr>
            <w:tcW w:w="1547" w:type="dxa"/>
            <w:vMerge w:val="continue"/>
            <w:vAlign w:val="center"/>
          </w:tcPr>
          <w:p w14:paraId="6A335A6A">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p>
        </w:tc>
        <w:tc>
          <w:tcPr>
            <w:tcW w:w="1150" w:type="dxa"/>
            <w:vMerge w:val="continue"/>
            <w:vAlign w:val="center"/>
          </w:tcPr>
          <w:p w14:paraId="0041B1C0">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p>
        </w:tc>
        <w:tc>
          <w:tcPr>
            <w:tcW w:w="1946" w:type="dxa"/>
            <w:vAlign w:val="center"/>
          </w:tcPr>
          <w:p w14:paraId="5E3D5507">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数字传播系统 </w:t>
            </w:r>
          </w:p>
          <w:p w14:paraId="3A4DA3A1">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规范</w:t>
            </w:r>
          </w:p>
        </w:tc>
        <w:tc>
          <w:tcPr>
            <w:tcW w:w="2024" w:type="dxa"/>
            <w:vAlign w:val="center"/>
          </w:tcPr>
          <w:p w14:paraId="24D69696">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微信海报，微博封面，抖音头像。（如需）</w:t>
            </w:r>
          </w:p>
        </w:tc>
        <w:tc>
          <w:tcPr>
            <w:tcW w:w="1072" w:type="dxa"/>
          </w:tcPr>
          <w:p w14:paraId="132CCE39">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5E12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14:paraId="63890F87">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p>
        </w:tc>
        <w:tc>
          <w:tcPr>
            <w:tcW w:w="1547" w:type="dxa"/>
            <w:vMerge w:val="continue"/>
            <w:vAlign w:val="center"/>
          </w:tcPr>
          <w:p w14:paraId="2DA08503">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p>
        </w:tc>
        <w:tc>
          <w:tcPr>
            <w:tcW w:w="1150" w:type="dxa"/>
            <w:vMerge w:val="continue"/>
            <w:vAlign w:val="center"/>
          </w:tcPr>
          <w:p w14:paraId="3022D719">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p>
        </w:tc>
        <w:tc>
          <w:tcPr>
            <w:tcW w:w="1946" w:type="dxa"/>
            <w:vAlign w:val="center"/>
          </w:tcPr>
          <w:p w14:paraId="70279689">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媒体运用系统</w:t>
            </w:r>
          </w:p>
          <w:p w14:paraId="05AFFDBB">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规范</w:t>
            </w:r>
          </w:p>
        </w:tc>
        <w:tc>
          <w:tcPr>
            <w:tcW w:w="2024" w:type="dxa"/>
            <w:vAlign w:val="center"/>
          </w:tcPr>
          <w:p w14:paraId="6FB20170">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小红书、微信等广告（横版、竖版），户外灯箱（横版、竖版），户外横幅，户外吊幅。（如需）</w:t>
            </w:r>
          </w:p>
        </w:tc>
        <w:tc>
          <w:tcPr>
            <w:tcW w:w="1072" w:type="dxa"/>
          </w:tcPr>
          <w:p w14:paraId="0F3FFE26">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7CC6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4E13058C">
            <w:pPr>
              <w:widowControl/>
              <w:numPr>
                <w:ilvl w:val="-1"/>
                <w:numId w:val="0"/>
              </w:numPr>
              <w:adjustRightInd/>
              <w:snapToGrid/>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lang w:val="en-US" w:eastAsia="zh-CN"/>
              </w:rPr>
              <w:t>3</w:t>
            </w:r>
          </w:p>
        </w:tc>
        <w:tc>
          <w:tcPr>
            <w:tcW w:w="1547" w:type="dxa"/>
            <w:vAlign w:val="center"/>
          </w:tcPr>
          <w:p w14:paraId="664C56C3">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所有门店整体形象设计工作</w:t>
            </w:r>
          </w:p>
        </w:tc>
        <w:tc>
          <w:tcPr>
            <w:tcW w:w="5120" w:type="dxa"/>
            <w:gridSpan w:val="3"/>
            <w:vAlign w:val="center"/>
          </w:tcPr>
          <w:p w14:paraId="3EA2867F">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站点门店整体设计</w:t>
            </w:r>
          </w:p>
          <w:p w14:paraId="2914B24E">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门店外观设计</w:t>
            </w:r>
          </w:p>
          <w:p w14:paraId="337D5602">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门店内部布局设计</w:t>
            </w:r>
          </w:p>
          <w:p w14:paraId="4404E07A">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门店营销道具创意设计</w:t>
            </w:r>
          </w:p>
          <w:p w14:paraId="7AC784E4">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门店长期美陈设计</w:t>
            </w:r>
          </w:p>
          <w:p w14:paraId="6097EAD5">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p>
        </w:tc>
        <w:tc>
          <w:tcPr>
            <w:tcW w:w="1072" w:type="dxa"/>
          </w:tcPr>
          <w:p w14:paraId="74153648">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3182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3841958E">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547" w:type="dxa"/>
            <w:vAlign w:val="center"/>
          </w:tcPr>
          <w:p w14:paraId="77197324">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市场数据更新工作</w:t>
            </w:r>
          </w:p>
        </w:tc>
        <w:tc>
          <w:tcPr>
            <w:tcW w:w="5120" w:type="dxa"/>
            <w:gridSpan w:val="3"/>
            <w:vAlign w:val="center"/>
          </w:tcPr>
          <w:p w14:paraId="430A0CDC">
            <w:pPr>
              <w:widowControl/>
              <w:numPr>
                <w:ilvl w:val="-1"/>
                <w:numId w:val="0"/>
              </w:numPr>
              <w:adjustRightInd/>
              <w:snapToGrid/>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项目运营阶段推广更新</w:t>
            </w:r>
          </w:p>
          <w:p w14:paraId="17617384">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市场数据收集及调研分析                                            </w:t>
            </w:r>
          </w:p>
          <w:p w14:paraId="188B174C">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市场动态资讯收集分析</w:t>
            </w:r>
          </w:p>
          <w:p w14:paraId="0B912225">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项目营销环境分析、项目竞争对手调研分析</w:t>
            </w:r>
          </w:p>
          <w:p w14:paraId="3A0890CE">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p>
        </w:tc>
        <w:tc>
          <w:tcPr>
            <w:tcW w:w="1072" w:type="dxa"/>
          </w:tcPr>
          <w:p w14:paraId="755003F6">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4EBF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5AD04A2B">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547" w:type="dxa"/>
            <w:vAlign w:val="center"/>
          </w:tcPr>
          <w:p w14:paraId="615ACE8B">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阶段性策略系统</w:t>
            </w:r>
          </w:p>
        </w:tc>
        <w:tc>
          <w:tcPr>
            <w:tcW w:w="5120" w:type="dxa"/>
            <w:gridSpan w:val="3"/>
            <w:vAlign w:val="center"/>
          </w:tcPr>
          <w:p w14:paraId="20E0217A">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阶段运营策略</w:t>
            </w:r>
          </w:p>
          <w:p w14:paraId="60D0B703">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日常运营营销规划</w:t>
            </w:r>
          </w:p>
          <w:p w14:paraId="63A64036">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·营销推广节点日历</w:t>
            </w:r>
          </w:p>
          <w:p w14:paraId="66A0985D">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·门店运营优惠政策</w:t>
            </w:r>
          </w:p>
          <w:p w14:paraId="1B7F704B">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·门店SP活动策略</w:t>
            </w:r>
          </w:p>
          <w:p w14:paraId="1B135578">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p>
        </w:tc>
        <w:tc>
          <w:tcPr>
            <w:tcW w:w="1072" w:type="dxa"/>
          </w:tcPr>
          <w:p w14:paraId="282E0685">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7B80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08A029C1">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547" w:type="dxa"/>
            <w:vAlign w:val="center"/>
          </w:tcPr>
          <w:p w14:paraId="6AF35229">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产品包装策略及视觉设计；</w:t>
            </w:r>
          </w:p>
        </w:tc>
        <w:tc>
          <w:tcPr>
            <w:tcW w:w="5120" w:type="dxa"/>
            <w:gridSpan w:val="3"/>
            <w:vAlign w:val="center"/>
          </w:tcPr>
          <w:p w14:paraId="37A2E304">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·产品定位 </w:t>
            </w:r>
          </w:p>
          <w:p w14:paraId="4E783B49">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·价格体系</w:t>
            </w:r>
          </w:p>
          <w:p w14:paraId="37CC455E">
            <w:pPr>
              <w:widowControl/>
              <w:numPr>
                <w:ilvl w:val="-1"/>
                <w:numId w:val="0"/>
              </w:numPr>
              <w:adjustRightInd/>
              <w:snapToGrid/>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·产品卖点 </w:t>
            </w:r>
          </w:p>
          <w:p w14:paraId="68104FC7">
            <w:pPr>
              <w:widowControl/>
              <w:numPr>
                <w:ilvl w:val="-1"/>
                <w:numId w:val="0"/>
              </w:numPr>
              <w:adjustRightInd/>
              <w:snapToGrid/>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·产品口号 </w:t>
            </w:r>
          </w:p>
          <w:p w14:paraId="10C0777F">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p>
        </w:tc>
        <w:tc>
          <w:tcPr>
            <w:tcW w:w="1072" w:type="dxa"/>
          </w:tcPr>
          <w:p w14:paraId="17A2CF53">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1829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562A73AA">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547" w:type="dxa"/>
            <w:vAlign w:val="center"/>
          </w:tcPr>
          <w:p w14:paraId="515B5CEC">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阶段推广策略</w:t>
            </w:r>
          </w:p>
        </w:tc>
        <w:tc>
          <w:tcPr>
            <w:tcW w:w="5120" w:type="dxa"/>
            <w:gridSpan w:val="3"/>
            <w:vAlign w:val="center"/>
          </w:tcPr>
          <w:p w14:paraId="6BE90223">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·根据营销日历，提供阶段性推广策划整体方案</w:t>
            </w:r>
          </w:p>
          <w:p w14:paraId="0C1A2019">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·拟定阶段性项目形象推广主题、推广策略、推广风格</w:t>
            </w:r>
          </w:p>
          <w:p w14:paraId="4672C512">
            <w:pPr>
              <w:keepNext w:val="0"/>
              <w:keepLines w:val="0"/>
              <w:widowControl/>
              <w:numPr>
                <w:ilvl w:val="0"/>
                <w:numId w:val="0"/>
              </w:numPr>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·根据项目整合推广策略，创意设计项目宣传风格、广告创意表现</w:t>
            </w:r>
          </w:p>
        </w:tc>
        <w:tc>
          <w:tcPr>
            <w:tcW w:w="1072" w:type="dxa"/>
          </w:tcPr>
          <w:p w14:paraId="7DC791CD">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2238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2792DEDB">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547" w:type="dxa"/>
            <w:vAlign w:val="center"/>
          </w:tcPr>
          <w:p w14:paraId="54E7F608">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门店经营整合推广服务</w:t>
            </w:r>
          </w:p>
        </w:tc>
        <w:tc>
          <w:tcPr>
            <w:tcW w:w="5120" w:type="dxa"/>
            <w:gridSpan w:val="3"/>
            <w:vAlign w:val="center"/>
          </w:tcPr>
          <w:p w14:paraId="654589F9">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阶段性门店主题包装</w:t>
            </w:r>
          </w:p>
          <w:p w14:paraId="6B0AEBF2">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根据项目定位以及所处的门店选址环境，提供系统性的整体情景主题创意，规划打卡互动美陈设计、门店文化景观包装。</w:t>
            </w:r>
          </w:p>
          <w:p w14:paraId="455A961D">
            <w:pPr>
              <w:keepNext w:val="0"/>
              <w:keepLines w:val="0"/>
              <w:widowControl/>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根据推广阶段，不定期更新门店情景主题、打卡互动美陈，门店外立面设计包装、标识引导牌设计等</w:t>
            </w:r>
          </w:p>
        </w:tc>
        <w:tc>
          <w:tcPr>
            <w:tcW w:w="1072" w:type="dxa"/>
          </w:tcPr>
          <w:p w14:paraId="206836B9">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3312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6A87165D">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547" w:type="dxa"/>
            <w:vAlign w:val="center"/>
          </w:tcPr>
          <w:p w14:paraId="631B44F0">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阶段性传播设计</w:t>
            </w:r>
          </w:p>
        </w:tc>
        <w:tc>
          <w:tcPr>
            <w:tcW w:w="5120" w:type="dxa"/>
            <w:gridSpan w:val="3"/>
            <w:vAlign w:val="center"/>
          </w:tcPr>
          <w:p w14:paraId="27F286AF">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提供每月、每季度的推广引流方案</w:t>
            </w:r>
          </w:p>
          <w:p w14:paraId="05E8D027">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互联网广告创意、文字、平面设计</w:t>
            </w:r>
          </w:p>
          <w:p w14:paraId="73974241">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定期更新朋友圈微海报等线上传播内容</w:t>
            </w:r>
          </w:p>
          <w:p w14:paraId="2D3969EE">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电子充值券等线上销售类设计</w:t>
            </w:r>
          </w:p>
          <w:p w14:paraId="4576CCD4">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易拉宝等销售类印刷品设计</w:t>
            </w:r>
          </w:p>
          <w:p w14:paraId="7268F821">
            <w:pPr>
              <w:keepNext w:val="0"/>
              <w:keepLines w:val="0"/>
              <w:widowControl/>
              <w:numPr>
                <w:ilvl w:val="0"/>
                <w:numId w:val="0"/>
              </w:numPr>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定期推广软文创作大纲策划及文案撰写</w:t>
            </w:r>
          </w:p>
        </w:tc>
        <w:tc>
          <w:tcPr>
            <w:tcW w:w="1072" w:type="dxa"/>
          </w:tcPr>
          <w:p w14:paraId="391AC06E">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0EA8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6681FF58">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47" w:type="dxa"/>
            <w:vAlign w:val="center"/>
          </w:tcPr>
          <w:p w14:paraId="4AD6C3BD">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活动及外展场包装</w:t>
            </w:r>
          </w:p>
        </w:tc>
        <w:tc>
          <w:tcPr>
            <w:tcW w:w="5120" w:type="dxa"/>
            <w:gridSpan w:val="3"/>
            <w:vAlign w:val="center"/>
          </w:tcPr>
          <w:p w14:paraId="0C7A21AD">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活动的现场包装形象设计</w:t>
            </w:r>
          </w:p>
          <w:p w14:paraId="26DE373A">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外展场包装形象设计</w:t>
            </w:r>
          </w:p>
          <w:p w14:paraId="0977BC36">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外展场形象用品设计</w:t>
            </w:r>
          </w:p>
          <w:p w14:paraId="7F849053">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相关印刷</w:t>
            </w:r>
          </w:p>
          <w:p w14:paraId="74BF85C1">
            <w:pPr>
              <w:keepNext w:val="0"/>
              <w:keepLines w:val="0"/>
              <w:widowControl/>
              <w:numPr>
                <w:ilvl w:val="0"/>
                <w:numId w:val="0"/>
              </w:numPr>
              <w:suppressLineNumbers w:val="0"/>
              <w:spacing w:line="240" w:lineRule="auto"/>
              <w:jc w:val="left"/>
              <w:rPr>
                <w:rFonts w:hint="eastAsia" w:ascii="仿宋" w:hAnsi="仿宋" w:eastAsia="仿宋" w:cs="仿宋"/>
                <w:color w:val="auto"/>
                <w:sz w:val="24"/>
                <w:highlight w:val="none"/>
                <w:lang w:val="en-US" w:eastAsia="zh-CN"/>
              </w:rPr>
            </w:pPr>
          </w:p>
        </w:tc>
        <w:tc>
          <w:tcPr>
            <w:tcW w:w="1072" w:type="dxa"/>
          </w:tcPr>
          <w:p w14:paraId="7AABF779">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5032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48F93BB3">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547" w:type="dxa"/>
            <w:vAlign w:val="center"/>
          </w:tcPr>
          <w:p w14:paraId="1F3FE505">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媒体矩阵代运营服务</w:t>
            </w:r>
          </w:p>
        </w:tc>
        <w:tc>
          <w:tcPr>
            <w:tcW w:w="5120" w:type="dxa"/>
            <w:gridSpan w:val="3"/>
            <w:vAlign w:val="center"/>
          </w:tcPr>
          <w:p w14:paraId="2F1CFB21">
            <w:pPr>
              <w:widowControl/>
              <w:adjustRightInd/>
              <w:snapToGrid/>
              <w:spacing w:line="240" w:lineRule="auto"/>
              <w:jc w:val="left"/>
              <w:outlineLvl w:val="9"/>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平台搭建、宣传与推广</w:t>
            </w:r>
          </w:p>
          <w:p w14:paraId="11610EC3">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抖音、小红书、微博、微信公众号、私域社群搭建。</w:t>
            </w:r>
          </w:p>
          <w:p w14:paraId="7659A2AF">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在社交媒体、微信、微博以及其他在线平台上，对项目进行广泛的宣传和推广。</w:t>
            </w:r>
          </w:p>
          <w:p w14:paraId="5182CEF7">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结合时事热点、节日庆典或特色活动，策划和执行有针对性的营销活动，吸引用户关注和参与。</w:t>
            </w:r>
          </w:p>
          <w:p w14:paraId="210EC58A">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私域社群SOP流程管控和服务反馈</w:t>
            </w:r>
          </w:p>
          <w:p w14:paraId="1A7229C9">
            <w:pPr>
              <w:widowControl/>
              <w:numPr>
                <w:ilvl w:val="-1"/>
                <w:numId w:val="0"/>
              </w:numPr>
              <w:adjustRightInd/>
              <w:snapToGrid/>
              <w:spacing w:line="240" w:lineRule="auto"/>
              <w:ind w:leftChars="0"/>
              <w:jc w:val="left"/>
              <w:rPr>
                <w:rFonts w:hint="eastAsia" w:ascii="仿宋" w:hAnsi="仿宋" w:eastAsia="仿宋" w:cs="仿宋"/>
                <w:color w:val="auto"/>
                <w:sz w:val="24"/>
                <w:highlight w:val="none"/>
              </w:rPr>
            </w:pPr>
          </w:p>
          <w:p w14:paraId="4A97B969">
            <w:pPr>
              <w:widowControl/>
              <w:adjustRightInd/>
              <w:snapToGrid/>
              <w:spacing w:line="240" w:lineRule="auto"/>
              <w:jc w:val="left"/>
              <w:outlineLvl w:val="9"/>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内容生产与发布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Hans"/>
              </w:rPr>
              <w:t>招商</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lang w:val="en-US" w:eastAsia="zh-Hans"/>
              </w:rPr>
              <w:t>宣推</w:t>
            </w:r>
            <w:r>
              <w:rPr>
                <w:rFonts w:hint="eastAsia" w:ascii="仿宋" w:hAnsi="仿宋" w:eastAsia="仿宋" w:cs="仿宋"/>
                <w:color w:val="auto"/>
                <w:sz w:val="24"/>
                <w:highlight w:val="none"/>
                <w:lang w:eastAsia="zh-Hans"/>
              </w:rPr>
              <w:t>）</w:t>
            </w:r>
          </w:p>
          <w:p w14:paraId="03602420">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监测市场动态以及爆款话题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提供每月新媒体运营引流的策略方向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优化4大新媒体输出内容及传播声量</w:t>
            </w:r>
            <w:r>
              <w:rPr>
                <w:rFonts w:hint="eastAsia" w:ascii="仿宋" w:hAnsi="仿宋" w:eastAsia="仿宋" w:cs="仿宋"/>
                <w:color w:val="auto"/>
                <w:sz w:val="24"/>
                <w:highlight w:val="none"/>
                <w:lang w:eastAsia="zh-CN"/>
              </w:rPr>
              <w:t>。</w:t>
            </w:r>
          </w:p>
          <w:p w14:paraId="51C27E98">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在每月既定的新媒体推广主题框架下， 实现短视频创意脚本的撰写、优化、拍摄、剪辑等视频动态类内容输出。</w:t>
            </w:r>
          </w:p>
          <w:p w14:paraId="4F972983">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依托公众号、小红书等内容社区平台，实现长图文形式的创意内容撰写、编辑和发布；其中包含创意文案的撰写、优化、排版，以及标题封面等视觉设计输出，保持与用户的互动和沟通，提高品牌知名度和忠诚度。</w:t>
            </w:r>
          </w:p>
          <w:p w14:paraId="34841D7D">
            <w:pPr>
              <w:keepNext w:val="0"/>
              <w:keepLines w:val="0"/>
              <w:widowControl/>
              <w:numPr>
                <w:ilvl w:val="0"/>
                <w:numId w:val="0"/>
              </w:numPr>
              <w:suppressLineNumbers w:val="0"/>
              <w:spacing w:line="240" w:lineRule="auto"/>
              <w:jc w:val="left"/>
              <w:rPr>
                <w:rFonts w:hint="eastAsia" w:ascii="仿宋" w:hAnsi="仿宋" w:eastAsia="仿宋" w:cs="仿宋"/>
                <w:color w:val="auto"/>
                <w:sz w:val="24"/>
                <w:highlight w:val="none"/>
                <w:lang w:val="en-US" w:eastAsia="zh-CN"/>
              </w:rPr>
            </w:pPr>
          </w:p>
        </w:tc>
        <w:tc>
          <w:tcPr>
            <w:tcW w:w="1072" w:type="dxa"/>
          </w:tcPr>
          <w:p w14:paraId="36F37157">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560C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7C655F2D">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547" w:type="dxa"/>
            <w:vAlign w:val="center"/>
          </w:tcPr>
          <w:p w14:paraId="107324B4">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社区维护与管理</w:t>
            </w:r>
          </w:p>
        </w:tc>
        <w:tc>
          <w:tcPr>
            <w:tcW w:w="5120" w:type="dxa"/>
            <w:gridSpan w:val="3"/>
            <w:vAlign w:val="center"/>
          </w:tcPr>
          <w:p w14:paraId="2FCEA3E0">
            <w:pPr>
              <w:widowControl/>
              <w:numPr>
                <w:ilvl w:val="-1"/>
                <w:numId w:val="0"/>
              </w:numPr>
              <w:adjustRightInd/>
              <w:snapToGrid/>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维护和管理项目社交媒体账号，确保信息的准确性和及时性。</w:t>
            </w:r>
          </w:p>
          <w:p w14:paraId="06D13472">
            <w:pPr>
              <w:widowControl/>
              <w:numPr>
                <w:ilvl w:val="-1"/>
                <w:numId w:val="0"/>
              </w:numPr>
              <w:adjustRightInd/>
              <w:snapToGrid/>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回答用户问题和评论，处理用户的投诉与反馈，增加用户的参与度与忠诚度。</w:t>
            </w:r>
          </w:p>
          <w:p w14:paraId="63B7CD6F">
            <w:pPr>
              <w:keepNext w:val="0"/>
              <w:keepLines w:val="0"/>
              <w:widowControl/>
              <w:numPr>
                <w:ilvl w:val="0"/>
                <w:numId w:val="0"/>
              </w:numPr>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建立用户社群，通过举办线上活动、分享会等方式，增强用户之间的联动和互动。</w:t>
            </w:r>
          </w:p>
        </w:tc>
        <w:tc>
          <w:tcPr>
            <w:tcW w:w="1072" w:type="dxa"/>
          </w:tcPr>
          <w:p w14:paraId="62CFF733">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5545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2A42DA9F">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547" w:type="dxa"/>
            <w:vAlign w:val="center"/>
          </w:tcPr>
          <w:p w14:paraId="2ADD0391">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数据分析与报告</w:t>
            </w:r>
          </w:p>
        </w:tc>
        <w:tc>
          <w:tcPr>
            <w:tcW w:w="5120" w:type="dxa"/>
            <w:gridSpan w:val="3"/>
            <w:vAlign w:val="center"/>
          </w:tcPr>
          <w:p w14:paraId="6DCC75F2">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对社交媒体和网站的运营情况进行数据分析和报告，评估营销目标的完成情况、客户参与度等关键指标。</w:t>
            </w:r>
          </w:p>
          <w:p w14:paraId="7E65D395">
            <w:pPr>
              <w:keepNext w:val="0"/>
              <w:keepLines w:val="0"/>
              <w:widowControl/>
              <w:numPr>
                <w:ilvl w:val="0"/>
                <w:numId w:val="0"/>
              </w:numPr>
              <w:suppressLineNumbers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根据数据分析结果，调整和优化运营策略，提高运营效果。</w:t>
            </w:r>
          </w:p>
        </w:tc>
        <w:tc>
          <w:tcPr>
            <w:tcW w:w="1072" w:type="dxa"/>
          </w:tcPr>
          <w:p w14:paraId="157F5C21">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3EAB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4D9A1387">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547" w:type="dxa"/>
            <w:vAlign w:val="center"/>
          </w:tcPr>
          <w:p w14:paraId="02621660">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合作与推广</w:t>
            </w:r>
          </w:p>
        </w:tc>
        <w:tc>
          <w:tcPr>
            <w:tcW w:w="5120" w:type="dxa"/>
            <w:gridSpan w:val="3"/>
            <w:vAlign w:val="center"/>
          </w:tcPr>
          <w:p w14:paraId="52A5EB79">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与其他相关企业或机构合作，共同推广街区项目的品牌与产品，扩大影响力和市场份额。</w:t>
            </w:r>
          </w:p>
          <w:p w14:paraId="70DF2502">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探索新的合作模式和推广渠道，如与网红，KOL等合作，进行直播带货、短视频推广等。</w:t>
            </w:r>
          </w:p>
          <w:p w14:paraId="26B3DD59">
            <w:pPr>
              <w:keepNext w:val="0"/>
              <w:keepLines w:val="0"/>
              <w:widowControl/>
              <w:numPr>
                <w:ilvl w:val="0"/>
                <w:numId w:val="0"/>
              </w:numPr>
              <w:suppressLineNumbers w:val="0"/>
              <w:spacing w:line="240" w:lineRule="auto"/>
              <w:jc w:val="left"/>
              <w:rPr>
                <w:rFonts w:hint="eastAsia" w:ascii="仿宋" w:hAnsi="仿宋" w:eastAsia="仿宋" w:cs="仿宋"/>
                <w:color w:val="auto"/>
                <w:sz w:val="24"/>
                <w:highlight w:val="none"/>
                <w:lang w:val="en-US" w:eastAsia="zh-CN"/>
              </w:rPr>
            </w:pPr>
          </w:p>
        </w:tc>
        <w:tc>
          <w:tcPr>
            <w:tcW w:w="1072" w:type="dxa"/>
          </w:tcPr>
          <w:p w14:paraId="1816156A">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5EF2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677DC7D7">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547" w:type="dxa"/>
            <w:vAlign w:val="center"/>
          </w:tcPr>
          <w:p w14:paraId="0D7AFF30">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用户运营</w:t>
            </w:r>
          </w:p>
        </w:tc>
        <w:tc>
          <w:tcPr>
            <w:tcW w:w="5120" w:type="dxa"/>
            <w:gridSpan w:val="3"/>
            <w:vAlign w:val="center"/>
          </w:tcPr>
          <w:p w14:paraId="4CA1B3B7">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进行用户调研，构建潜在客户画像，了解客户需求和行为习惯。</w:t>
            </w:r>
          </w:p>
          <w:p w14:paraId="462EE203">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围绕潜在用户进行促活、留存、转化、召回等运营活动，延长用户对商业街的关注和消费时间。</w:t>
            </w:r>
          </w:p>
          <w:p w14:paraId="3C0F24A5">
            <w:pPr>
              <w:keepNext w:val="0"/>
              <w:keepLines w:val="0"/>
              <w:widowControl/>
              <w:numPr>
                <w:ilvl w:val="0"/>
                <w:numId w:val="0"/>
              </w:numPr>
              <w:suppressLineNumbers w:val="0"/>
              <w:spacing w:line="240" w:lineRule="auto"/>
              <w:jc w:val="left"/>
              <w:rPr>
                <w:rFonts w:hint="eastAsia" w:ascii="仿宋" w:hAnsi="仿宋" w:eastAsia="仿宋" w:cs="仿宋"/>
                <w:color w:val="auto"/>
                <w:sz w:val="24"/>
                <w:highlight w:val="none"/>
                <w:lang w:val="en-US" w:eastAsia="zh-CN"/>
              </w:rPr>
            </w:pPr>
          </w:p>
        </w:tc>
        <w:tc>
          <w:tcPr>
            <w:tcW w:w="1072" w:type="dxa"/>
          </w:tcPr>
          <w:p w14:paraId="68E161C7">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r w14:paraId="48C2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43741DD7">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547" w:type="dxa"/>
            <w:vAlign w:val="center"/>
          </w:tcPr>
          <w:p w14:paraId="12CE392A">
            <w:pPr>
              <w:widowControl/>
              <w:numPr>
                <w:ilvl w:val="-1"/>
                <w:numId w:val="0"/>
              </w:numPr>
              <w:adjustRightInd/>
              <w:snapToGrid/>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渠道运营</w:t>
            </w:r>
          </w:p>
        </w:tc>
        <w:tc>
          <w:tcPr>
            <w:tcW w:w="5120" w:type="dxa"/>
            <w:gridSpan w:val="3"/>
            <w:vAlign w:val="center"/>
          </w:tcPr>
          <w:p w14:paraId="2E2C9F20">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管理不同渠道的运营规则，包括账号创建、内容发布与优化、广告投放等。</w:t>
            </w:r>
          </w:p>
          <w:p w14:paraId="1EB321A3">
            <w:pPr>
              <w:widowControl/>
              <w:numPr>
                <w:ilvl w:val="-1"/>
                <w:numId w:val="0"/>
              </w:numPr>
              <w:adjustRightInd/>
              <w:snapToGrid/>
              <w:spacing w:line="240" w:lineRule="auto"/>
              <w:ind w:leftChars="0"/>
              <w:jc w:val="left"/>
              <w:rPr>
                <w:rFonts w:hint="eastAsia" w:ascii="仿宋" w:hAnsi="仿宋" w:eastAsia="仿宋" w:cs="仿宋"/>
                <w:color w:val="auto"/>
                <w:sz w:val="24"/>
                <w:highlight w:val="none"/>
                <w:lang w:val="en-US" w:eastAsia="zh-Hans"/>
              </w:rPr>
            </w:pPr>
            <w:r>
              <w:rPr>
                <w:rFonts w:hint="eastAsia" w:ascii="仿宋" w:hAnsi="仿宋" w:eastAsia="仿宋" w:cs="仿宋"/>
                <w:color w:val="auto"/>
                <w:sz w:val="24"/>
                <w:highlight w:val="none"/>
                <w:lang w:val="en-US" w:eastAsia="zh-CN"/>
              </w:rPr>
              <w:t>分析各渠道的运营效果，调整和优化渠道策略，提高推广效果。</w:t>
            </w:r>
          </w:p>
          <w:p w14:paraId="2BA57D2B">
            <w:pPr>
              <w:keepNext w:val="0"/>
              <w:keepLines w:val="0"/>
              <w:widowControl/>
              <w:numPr>
                <w:ilvl w:val="0"/>
                <w:numId w:val="0"/>
              </w:numPr>
              <w:suppressLineNumbers w:val="0"/>
              <w:spacing w:line="240" w:lineRule="auto"/>
              <w:jc w:val="left"/>
              <w:rPr>
                <w:rFonts w:hint="eastAsia" w:ascii="仿宋" w:hAnsi="仿宋" w:eastAsia="仿宋" w:cs="仿宋"/>
                <w:color w:val="auto"/>
                <w:sz w:val="24"/>
                <w:highlight w:val="none"/>
                <w:lang w:val="en-US" w:eastAsia="zh-CN"/>
              </w:rPr>
            </w:pPr>
          </w:p>
        </w:tc>
        <w:tc>
          <w:tcPr>
            <w:tcW w:w="1072" w:type="dxa"/>
          </w:tcPr>
          <w:p w14:paraId="1C2D97F2">
            <w:pPr>
              <w:widowControl/>
              <w:numPr>
                <w:ilvl w:val="-1"/>
                <w:numId w:val="0"/>
              </w:numPr>
              <w:adjustRightInd/>
              <w:snapToGrid/>
              <w:spacing w:line="240" w:lineRule="auto"/>
              <w:jc w:val="left"/>
              <w:rPr>
                <w:rFonts w:hint="eastAsia" w:ascii="仿宋" w:hAnsi="仿宋" w:eastAsia="仿宋" w:cs="仿宋"/>
                <w:color w:val="auto"/>
                <w:sz w:val="24"/>
                <w:highlight w:val="none"/>
                <w:vertAlign w:val="baseline"/>
                <w:lang w:val="en-US" w:eastAsia="zh-CN"/>
              </w:rPr>
            </w:pPr>
          </w:p>
        </w:tc>
      </w:tr>
    </w:tbl>
    <w:p w14:paraId="4AB67BD5">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p>
    <w:p w14:paraId="35F99699">
      <w:pPr>
        <w:widowControl/>
        <w:numPr>
          <w:ilvl w:val="-1"/>
          <w:numId w:val="0"/>
        </w:numPr>
        <w:adjustRightInd/>
        <w:snapToGrid/>
        <w:spacing w:line="240" w:lineRule="auto"/>
        <w:ind w:left="0" w:leftChars="0" w:firstLine="0" w:firstLineChars="0"/>
        <w:jc w:val="left"/>
        <w:rPr>
          <w:rFonts w:hint="eastAsia" w:ascii="仿宋" w:hAnsi="仿宋" w:eastAsia="仿宋" w:cs="仿宋"/>
          <w:color w:val="auto"/>
          <w:sz w:val="24"/>
          <w:highlight w:val="none"/>
          <w:lang w:val="en-US" w:eastAsia="zh-CN"/>
        </w:rPr>
      </w:pPr>
    </w:p>
    <w:p w14:paraId="3C7F64B2">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E46DA93">
      <w:pPr>
        <w:spacing w:line="360" w:lineRule="auto"/>
        <w:rPr>
          <w:rFonts w:hint="eastAsia" w:ascii="仿宋" w:hAnsi="仿宋" w:eastAsia="仿宋" w:cs="仿宋"/>
          <w:color w:val="auto"/>
          <w:highlight w:val="none"/>
        </w:rPr>
      </w:pPr>
    </w:p>
    <w:p w14:paraId="7F3C3867">
      <w:pPr>
        <w:pStyle w:val="54"/>
        <w:spacing w:before="0" w:after="0" w:line="360" w:lineRule="auto"/>
        <w:rPr>
          <w:rFonts w:hint="eastAsia" w:ascii="仿宋" w:hAnsi="仿宋" w:eastAsia="仿宋" w:cs="仿宋"/>
          <w:b/>
          <w:bCs w:val="0"/>
          <w:color w:val="auto"/>
          <w:kern w:val="0"/>
          <w:sz w:val="28"/>
          <w:szCs w:val="28"/>
          <w:highlight w:val="none"/>
        </w:rPr>
      </w:pPr>
      <w:bookmarkStart w:id="479" w:name="_Toc32206"/>
      <w:bookmarkStart w:id="480" w:name="_Toc11134"/>
      <w:bookmarkStart w:id="481" w:name="_Toc12344"/>
      <w:bookmarkStart w:id="482" w:name="_Toc12842"/>
      <w:bookmarkStart w:id="483" w:name="_Toc85401345"/>
      <w:bookmarkStart w:id="484" w:name="_Toc12466"/>
      <w:bookmarkStart w:id="485" w:name="_Toc15140"/>
      <w:r>
        <w:rPr>
          <w:rFonts w:hint="eastAsia" w:ascii="仿宋" w:hAnsi="仿宋" w:eastAsia="仿宋" w:cs="仿宋"/>
          <w:b/>
          <w:bCs w:val="0"/>
          <w:color w:val="auto"/>
          <w:kern w:val="0"/>
          <w:sz w:val="28"/>
          <w:szCs w:val="28"/>
          <w:highlight w:val="none"/>
        </w:rPr>
        <w:t>第</w:t>
      </w:r>
      <w:r>
        <w:rPr>
          <w:rFonts w:hint="default" w:ascii="仿宋" w:hAnsi="仿宋" w:eastAsia="仿宋" w:cs="仿宋"/>
          <w:b/>
          <w:bCs w:val="0"/>
          <w:color w:val="auto"/>
          <w:kern w:val="0"/>
          <w:sz w:val="28"/>
          <w:szCs w:val="28"/>
          <w:highlight w:val="none"/>
        </w:rPr>
        <w:t>六</w:t>
      </w:r>
      <w:r>
        <w:rPr>
          <w:rFonts w:hint="eastAsia" w:ascii="仿宋" w:hAnsi="仿宋" w:eastAsia="仿宋" w:cs="仿宋"/>
          <w:b/>
          <w:bCs w:val="0"/>
          <w:color w:val="auto"/>
          <w:kern w:val="0"/>
          <w:sz w:val="28"/>
          <w:szCs w:val="28"/>
          <w:highlight w:val="none"/>
        </w:rPr>
        <w:t>章  参选文件格式</w:t>
      </w:r>
      <w:bookmarkEnd w:id="397"/>
      <w:bookmarkEnd w:id="398"/>
      <w:bookmarkEnd w:id="399"/>
      <w:bookmarkEnd w:id="479"/>
      <w:bookmarkEnd w:id="480"/>
      <w:bookmarkEnd w:id="481"/>
      <w:bookmarkEnd w:id="482"/>
      <w:bookmarkEnd w:id="483"/>
      <w:bookmarkEnd w:id="484"/>
      <w:bookmarkEnd w:id="485"/>
    </w:p>
    <w:p w14:paraId="444CC320">
      <w:pPr>
        <w:widowControl/>
        <w:jc w:val="left"/>
        <w:rPr>
          <w:rFonts w:hint="eastAsia" w:ascii="仿宋" w:hAnsi="仿宋" w:eastAsia="仿宋" w:cs="仿宋"/>
          <w:b/>
          <w:color w:val="auto"/>
          <w:highlight w:val="none"/>
        </w:rPr>
      </w:pPr>
      <w:r>
        <w:rPr>
          <w:rFonts w:hint="eastAsia" w:ascii="仿宋" w:hAnsi="仿宋" w:eastAsia="仿宋" w:cs="仿宋"/>
          <w:b/>
          <w:color w:val="auto"/>
          <w:highlight w:val="none"/>
        </w:rPr>
        <w:t>注：请参选人制作参选文件后，自行比照第三章《评选办法》的相关评审标准，以免被否决参选</w:t>
      </w:r>
    </w:p>
    <w:p w14:paraId="4FE67844">
      <w:pPr>
        <w:widowControl/>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A0BA25">
      <w:pPr>
        <w:pStyle w:val="3"/>
        <w:spacing w:line="360" w:lineRule="auto"/>
        <w:rPr>
          <w:rFonts w:hint="eastAsia" w:ascii="仿宋" w:hAnsi="仿宋" w:eastAsia="仿宋" w:cs="仿宋"/>
          <w:bCs w:val="0"/>
          <w:color w:val="auto"/>
          <w:highlight w:val="none"/>
        </w:rPr>
      </w:pPr>
      <w:bookmarkStart w:id="486" w:name="_Toc532656970"/>
      <w:bookmarkStart w:id="487" w:name="_Toc8782"/>
      <w:bookmarkStart w:id="488" w:name="_Toc10909"/>
      <w:bookmarkStart w:id="489" w:name="_Toc85401346"/>
      <w:bookmarkStart w:id="490" w:name="_Toc24806"/>
      <w:bookmarkStart w:id="491" w:name="_Toc12442"/>
      <w:bookmarkStart w:id="492" w:name="_Toc16646"/>
      <w:bookmarkStart w:id="493" w:name="_Toc16679"/>
      <w:bookmarkStart w:id="494" w:name="_Toc475472670"/>
      <w:r>
        <w:rPr>
          <w:rFonts w:hint="eastAsia" w:ascii="仿宋" w:hAnsi="仿宋" w:eastAsia="仿宋" w:cs="仿宋"/>
          <w:color w:val="auto"/>
          <w:highlight w:val="none"/>
        </w:rPr>
        <w:t xml:space="preserve">6.1 </w:t>
      </w:r>
      <w:r>
        <w:rPr>
          <w:rFonts w:hint="eastAsia" w:ascii="仿宋" w:hAnsi="仿宋" w:eastAsia="仿宋" w:cs="仿宋"/>
          <w:color w:val="auto"/>
          <w:highlight w:val="none"/>
          <w:lang w:val="en-US" w:eastAsia="zh-CN"/>
        </w:rPr>
        <w:t>商务</w:t>
      </w:r>
      <w:r>
        <w:rPr>
          <w:rFonts w:hint="eastAsia" w:ascii="仿宋" w:hAnsi="仿宋" w:eastAsia="仿宋" w:cs="仿宋"/>
          <w:color w:val="auto"/>
          <w:highlight w:val="none"/>
        </w:rPr>
        <w:t>分册格式</w:t>
      </w:r>
      <w:bookmarkEnd w:id="486"/>
      <w:bookmarkEnd w:id="487"/>
      <w:bookmarkEnd w:id="488"/>
      <w:bookmarkEnd w:id="489"/>
      <w:bookmarkEnd w:id="490"/>
      <w:bookmarkEnd w:id="491"/>
      <w:bookmarkEnd w:id="492"/>
      <w:bookmarkEnd w:id="493"/>
    </w:p>
    <w:p w14:paraId="4C11F76E">
      <w:pPr>
        <w:widowControl/>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6.1.1价格分册密封体外层标签格式</w:t>
      </w:r>
    </w:p>
    <w:p w14:paraId="56731B9B">
      <w:pPr>
        <w:spacing w:line="360" w:lineRule="auto"/>
        <w:jc w:val="center"/>
        <w:rPr>
          <w:rFonts w:hint="eastAsia" w:ascii="仿宋" w:hAnsi="仿宋" w:eastAsia="仿宋" w:cs="仿宋"/>
          <w:b/>
          <w:bCs/>
          <w:color w:val="auto"/>
          <w:sz w:val="48"/>
          <w:szCs w:val="52"/>
          <w:highlight w:val="none"/>
          <w:lang w:eastAsia="zh-CN"/>
        </w:rPr>
      </w:pPr>
      <w:r>
        <w:rPr>
          <w:rFonts w:hint="eastAsia" w:ascii="仿宋" w:hAnsi="仿宋" w:eastAsia="仿宋" w:cs="仿宋"/>
          <w:b/>
          <w:bCs/>
          <w:color w:val="auto"/>
          <w:sz w:val="48"/>
          <w:szCs w:val="52"/>
          <w:highlight w:val="none"/>
          <w:lang w:eastAsia="zh-CN"/>
        </w:rPr>
        <w:t>南宁轨道数智科技有限公司</w:t>
      </w:r>
    </w:p>
    <w:p w14:paraId="684E1691">
      <w:pPr>
        <w:spacing w:line="360" w:lineRule="auto"/>
        <w:jc w:val="center"/>
        <w:rPr>
          <w:rFonts w:hint="eastAsia" w:ascii="仿宋" w:hAnsi="仿宋" w:eastAsia="仿宋" w:cs="仿宋"/>
          <w:b/>
          <w:color w:val="auto"/>
          <w:sz w:val="48"/>
          <w:szCs w:val="52"/>
          <w:highlight w:val="none"/>
        </w:rPr>
      </w:pPr>
      <w:r>
        <w:rPr>
          <w:rFonts w:hint="eastAsia" w:ascii="仿宋" w:hAnsi="仿宋" w:eastAsia="仿宋" w:cs="仿宋"/>
          <w:b/>
          <w:bCs/>
          <w:color w:val="auto"/>
          <w:sz w:val="48"/>
          <w:szCs w:val="52"/>
          <w:highlight w:val="none"/>
          <w:lang w:eastAsia="zh-CN"/>
        </w:rPr>
        <w:t>新自营项目整合传播服务</w:t>
      </w:r>
      <w:r>
        <w:rPr>
          <w:rFonts w:hint="eastAsia" w:ascii="仿宋" w:hAnsi="仿宋" w:eastAsia="仿宋" w:cs="仿宋"/>
          <w:b/>
          <w:bCs/>
          <w:color w:val="auto"/>
          <w:sz w:val="48"/>
          <w:szCs w:val="52"/>
          <w:highlight w:val="none"/>
        </w:rPr>
        <w:t>采购项目</w:t>
      </w:r>
    </w:p>
    <w:p w14:paraId="16C4B030">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参  选  文  件</w:t>
      </w:r>
    </w:p>
    <w:p w14:paraId="12A7F06A">
      <w:pPr>
        <w:spacing w:line="360" w:lineRule="auto"/>
        <w:jc w:val="center"/>
        <w:rPr>
          <w:rFonts w:hint="eastAsia" w:ascii="仿宋" w:hAnsi="仿宋" w:eastAsia="仿宋" w:cs="仿宋"/>
          <w:b/>
          <w:color w:val="auto"/>
          <w:sz w:val="44"/>
          <w:szCs w:val="52"/>
          <w:highlight w:val="none"/>
        </w:rPr>
      </w:pPr>
      <w:r>
        <w:rPr>
          <w:rFonts w:hint="eastAsia" w:ascii="仿宋" w:hAnsi="仿宋" w:eastAsia="仿宋" w:cs="仿宋"/>
          <w:b/>
          <w:color w:val="auto"/>
          <w:sz w:val="44"/>
          <w:szCs w:val="52"/>
          <w:highlight w:val="none"/>
          <w:lang w:val="en-US" w:eastAsia="zh-CN"/>
        </w:rPr>
        <w:t>商务</w:t>
      </w:r>
      <w:r>
        <w:rPr>
          <w:rFonts w:hint="eastAsia" w:ascii="仿宋" w:hAnsi="仿宋" w:eastAsia="仿宋" w:cs="仿宋"/>
          <w:b/>
          <w:color w:val="auto"/>
          <w:sz w:val="44"/>
          <w:szCs w:val="52"/>
          <w:highlight w:val="none"/>
        </w:rPr>
        <w:t>分册</w:t>
      </w:r>
    </w:p>
    <w:p w14:paraId="4FBED737">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44"/>
          <w:szCs w:val="52"/>
          <w:highlight w:val="none"/>
        </w:rPr>
        <w:t>（一正</w:t>
      </w:r>
      <w:r>
        <w:rPr>
          <w:rFonts w:hint="eastAsia" w:ascii="仿宋" w:hAnsi="仿宋" w:eastAsia="仿宋" w:cs="仿宋"/>
          <w:b/>
          <w:color w:val="auto"/>
          <w:sz w:val="44"/>
          <w:szCs w:val="52"/>
          <w:highlight w:val="none"/>
          <w:lang w:val="en-US" w:eastAsia="zh-CN"/>
        </w:rPr>
        <w:t>四</w:t>
      </w:r>
      <w:r>
        <w:rPr>
          <w:rFonts w:hint="eastAsia" w:ascii="仿宋" w:hAnsi="仿宋" w:eastAsia="仿宋" w:cs="仿宋"/>
          <w:b/>
          <w:color w:val="auto"/>
          <w:sz w:val="44"/>
          <w:szCs w:val="52"/>
          <w:highlight w:val="none"/>
        </w:rPr>
        <w:t>副）</w:t>
      </w:r>
    </w:p>
    <w:p w14:paraId="67534879">
      <w:pPr>
        <w:spacing w:line="360" w:lineRule="auto"/>
        <w:ind w:firstLine="562" w:firstLineChars="200"/>
        <w:rPr>
          <w:rFonts w:hint="eastAsia" w:ascii="仿宋" w:hAnsi="仿宋" w:eastAsia="仿宋" w:cs="仿宋"/>
          <w:b/>
          <w:color w:val="auto"/>
          <w:sz w:val="28"/>
          <w:szCs w:val="21"/>
          <w:highlight w:val="none"/>
          <w:u w:val="single"/>
        </w:rPr>
      </w:pPr>
      <w:r>
        <w:rPr>
          <w:rFonts w:hint="eastAsia" w:ascii="仿宋" w:hAnsi="仿宋" w:eastAsia="仿宋" w:cs="仿宋"/>
          <w:b/>
          <w:color w:val="auto"/>
          <w:sz w:val="28"/>
          <w:szCs w:val="21"/>
          <w:highlight w:val="none"/>
        </w:rPr>
        <w:t>年 月  日  时 分前不得开封</w:t>
      </w:r>
    </w:p>
    <w:p w14:paraId="01102E97">
      <w:pPr>
        <w:spacing w:line="360" w:lineRule="auto"/>
        <w:ind w:firstLine="980" w:firstLineChars="35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比选人：</w:t>
      </w:r>
      <w:r>
        <w:rPr>
          <w:rFonts w:hint="eastAsia" w:ascii="仿宋" w:hAnsi="仿宋" w:eastAsia="仿宋" w:cs="仿宋"/>
          <w:color w:val="auto"/>
          <w:sz w:val="28"/>
          <w:szCs w:val="28"/>
          <w:highlight w:val="none"/>
          <w:u w:val="single"/>
          <w:lang w:eastAsia="zh-CN"/>
        </w:rPr>
        <w:t>南宁轨道数智科技有限公司</w:t>
      </w:r>
    </w:p>
    <w:p w14:paraId="64D80828">
      <w:pPr>
        <w:spacing w:line="360" w:lineRule="auto"/>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参选人：（盖单位公章）</w:t>
      </w:r>
    </w:p>
    <w:p w14:paraId="4EBDD44D">
      <w:pPr>
        <w:spacing w:line="360" w:lineRule="auto"/>
        <w:ind w:firstLine="980" w:firstLineChars="3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参选人地址：</w:t>
      </w:r>
    </w:p>
    <w:p w14:paraId="6386773F">
      <w:pPr>
        <w:spacing w:line="360" w:lineRule="auto"/>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w:t>
      </w:r>
    </w:p>
    <w:p w14:paraId="38998D98">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法定代表人（负责人）或其委托代理人：（签字）</w:t>
      </w:r>
    </w:p>
    <w:p w14:paraId="75D9D4A9">
      <w:pPr>
        <w:spacing w:line="360" w:lineRule="auto"/>
        <w:jc w:val="center"/>
        <w:rPr>
          <w:rFonts w:hint="eastAsia" w:ascii="仿宋" w:hAnsi="仿宋" w:eastAsia="仿宋" w:cs="仿宋"/>
          <w:bCs/>
          <w:color w:val="auto"/>
          <w:szCs w:val="32"/>
          <w:highlight w:val="none"/>
        </w:rPr>
      </w:pPr>
      <w:r>
        <w:rPr>
          <w:rFonts w:hint="eastAsia" w:ascii="仿宋" w:hAnsi="仿宋" w:eastAsia="仿宋" w:cs="仿宋"/>
          <w:color w:val="auto"/>
          <w:sz w:val="28"/>
          <w:szCs w:val="28"/>
          <w:highlight w:val="none"/>
        </w:rPr>
        <w:t>年月日</w:t>
      </w:r>
      <w:r>
        <w:rPr>
          <w:rFonts w:hint="eastAsia" w:ascii="仿宋" w:hAnsi="仿宋" w:eastAsia="仿宋" w:cs="仿宋"/>
          <w:b/>
          <w:color w:val="auto"/>
          <w:highlight w:val="none"/>
        </w:rPr>
        <w:br w:type="page"/>
      </w:r>
    </w:p>
    <w:p w14:paraId="40C04C6F">
      <w:pPr>
        <w:widowControl/>
        <w:spacing w:line="360" w:lineRule="auto"/>
        <w:jc w:val="left"/>
        <w:rPr>
          <w:rFonts w:hint="eastAsia" w:ascii="仿宋" w:hAnsi="仿宋" w:eastAsia="仿宋" w:cs="仿宋"/>
          <w:b/>
          <w:color w:val="auto"/>
          <w:highlight w:val="none"/>
        </w:rPr>
      </w:pPr>
      <w:r>
        <w:rPr>
          <w:rFonts w:hint="eastAsia" w:ascii="仿宋" w:hAnsi="仿宋" w:eastAsia="仿宋" w:cs="仿宋"/>
          <w:b/>
          <w:bCs/>
          <w:color w:val="auto"/>
          <w:highlight w:val="none"/>
        </w:rPr>
        <w:t>6.1.2</w:t>
      </w:r>
      <w:r>
        <w:rPr>
          <w:rFonts w:hint="eastAsia" w:ascii="仿宋" w:hAnsi="仿宋" w:eastAsia="仿宋" w:cs="仿宋"/>
          <w:b/>
          <w:bCs/>
          <w:color w:val="auto"/>
          <w:highlight w:val="none"/>
          <w:lang w:val="en-US" w:eastAsia="zh-CN"/>
        </w:rPr>
        <w:t>商务</w:t>
      </w:r>
      <w:r>
        <w:rPr>
          <w:rFonts w:hint="eastAsia" w:ascii="仿宋" w:hAnsi="仿宋" w:eastAsia="仿宋" w:cs="仿宋"/>
          <w:b/>
          <w:color w:val="auto"/>
          <w:highlight w:val="none"/>
        </w:rPr>
        <w:t>分册封面格式</w:t>
      </w:r>
    </w:p>
    <w:p w14:paraId="2C410DAD">
      <w:pPr>
        <w:widowControl/>
        <w:spacing w:line="360" w:lineRule="auto"/>
        <w:jc w:val="center"/>
        <w:rPr>
          <w:rFonts w:hint="eastAsia" w:ascii="仿宋" w:hAnsi="仿宋" w:eastAsia="仿宋" w:cs="仿宋"/>
          <w:b/>
          <w:color w:val="auto"/>
          <w:highlight w:val="none"/>
        </w:rPr>
      </w:pPr>
    </w:p>
    <w:p w14:paraId="56B66709">
      <w:pPr>
        <w:spacing w:line="360" w:lineRule="auto"/>
        <w:jc w:val="right"/>
        <w:rPr>
          <w:rFonts w:hint="eastAsia" w:ascii="仿宋" w:hAnsi="仿宋" w:eastAsia="仿宋" w:cs="仿宋"/>
          <w:b/>
          <w:color w:val="auto"/>
          <w:sz w:val="44"/>
          <w:szCs w:val="28"/>
          <w:highlight w:val="none"/>
        </w:rPr>
      </w:pPr>
      <w:r>
        <w:rPr>
          <w:rFonts w:hint="eastAsia" w:ascii="仿宋" w:hAnsi="仿宋" w:eastAsia="仿宋" w:cs="仿宋"/>
          <w:b/>
          <w:color w:val="auto"/>
          <w:sz w:val="44"/>
          <w:szCs w:val="28"/>
          <w:highlight w:val="none"/>
        </w:rPr>
        <w:t>正本/副本</w:t>
      </w:r>
    </w:p>
    <w:p w14:paraId="2E9B9F29">
      <w:pPr>
        <w:spacing w:line="360" w:lineRule="auto"/>
        <w:jc w:val="center"/>
        <w:rPr>
          <w:rFonts w:hint="eastAsia" w:ascii="仿宋" w:hAnsi="仿宋" w:eastAsia="仿宋" w:cs="仿宋"/>
          <w:color w:val="auto"/>
          <w:sz w:val="28"/>
          <w:szCs w:val="28"/>
          <w:highlight w:val="none"/>
          <w:u w:val="single"/>
        </w:rPr>
      </w:pPr>
    </w:p>
    <w:p w14:paraId="49233C1A">
      <w:pPr>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南宁轨道数智公司</w:t>
      </w:r>
      <w:r>
        <w:rPr>
          <w:rFonts w:hint="eastAsia" w:ascii="仿宋" w:hAnsi="仿宋" w:eastAsia="仿宋" w:cs="仿宋"/>
          <w:b/>
          <w:bCs/>
          <w:color w:val="auto"/>
          <w:sz w:val="52"/>
          <w:szCs w:val="52"/>
          <w:highlight w:val="none"/>
        </w:rPr>
        <w:t>运营有限责任公</w:t>
      </w:r>
    </w:p>
    <w:p w14:paraId="2335A809">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bCs/>
          <w:color w:val="auto"/>
          <w:sz w:val="48"/>
          <w:szCs w:val="52"/>
          <w:highlight w:val="none"/>
          <w:lang w:eastAsia="zh-CN"/>
        </w:rPr>
        <w:t>新自营项目整合传播服务</w:t>
      </w:r>
      <w:r>
        <w:rPr>
          <w:rFonts w:hint="eastAsia" w:ascii="仿宋" w:hAnsi="仿宋" w:eastAsia="仿宋" w:cs="仿宋"/>
          <w:b/>
          <w:bCs/>
          <w:color w:val="auto"/>
          <w:sz w:val="48"/>
          <w:szCs w:val="52"/>
          <w:highlight w:val="none"/>
        </w:rPr>
        <w:t>采购项目</w:t>
      </w:r>
    </w:p>
    <w:p w14:paraId="5C7C2753">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参  选  文  件</w:t>
      </w:r>
    </w:p>
    <w:p w14:paraId="21FD94FD">
      <w:pPr>
        <w:spacing w:line="360" w:lineRule="auto"/>
        <w:jc w:val="center"/>
        <w:rPr>
          <w:rFonts w:hint="eastAsia" w:ascii="仿宋" w:hAnsi="仿宋" w:eastAsia="仿宋" w:cs="仿宋"/>
          <w:b/>
          <w:color w:val="auto"/>
          <w:sz w:val="44"/>
          <w:szCs w:val="52"/>
          <w:highlight w:val="none"/>
        </w:rPr>
      </w:pPr>
      <w:r>
        <w:rPr>
          <w:rFonts w:hint="eastAsia" w:ascii="仿宋" w:hAnsi="仿宋" w:eastAsia="仿宋" w:cs="仿宋"/>
          <w:b/>
          <w:color w:val="auto"/>
          <w:sz w:val="44"/>
          <w:szCs w:val="52"/>
          <w:highlight w:val="none"/>
        </w:rPr>
        <w:t>价格分册</w:t>
      </w:r>
    </w:p>
    <w:p w14:paraId="18496EBA">
      <w:pPr>
        <w:spacing w:line="360" w:lineRule="auto"/>
        <w:jc w:val="center"/>
        <w:rPr>
          <w:rFonts w:hint="eastAsia" w:ascii="仿宋" w:hAnsi="仿宋" w:eastAsia="仿宋" w:cs="仿宋"/>
          <w:color w:val="auto"/>
          <w:sz w:val="28"/>
          <w:szCs w:val="28"/>
          <w:highlight w:val="none"/>
        </w:rPr>
      </w:pPr>
    </w:p>
    <w:p w14:paraId="54298D9E">
      <w:pPr>
        <w:spacing w:line="360" w:lineRule="auto"/>
        <w:rPr>
          <w:rFonts w:hint="eastAsia" w:ascii="仿宋" w:hAnsi="仿宋" w:eastAsia="仿宋" w:cs="仿宋"/>
          <w:color w:val="auto"/>
          <w:sz w:val="28"/>
          <w:szCs w:val="28"/>
          <w:highlight w:val="none"/>
        </w:rPr>
      </w:pPr>
    </w:p>
    <w:p w14:paraId="592ABB24">
      <w:pPr>
        <w:spacing w:line="360" w:lineRule="auto"/>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参选人：（盖单位公章）</w:t>
      </w:r>
    </w:p>
    <w:p w14:paraId="575A3EA0">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法定代表人（负责人）或其委托代理人：（签字）</w:t>
      </w:r>
    </w:p>
    <w:p w14:paraId="3C216534">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年月日</w:t>
      </w:r>
    </w:p>
    <w:p w14:paraId="68345700">
      <w:pPr>
        <w:pStyle w:val="100"/>
        <w:ind w:firstLine="0" w:firstLineChars="0"/>
        <w:rPr>
          <w:rFonts w:hint="eastAsia" w:ascii="仿宋" w:hAnsi="仿宋" w:eastAsia="仿宋" w:cs="仿宋"/>
          <w:color w:val="auto"/>
          <w:sz w:val="21"/>
          <w:highlight w:val="none"/>
        </w:rPr>
      </w:pPr>
    </w:p>
    <w:p w14:paraId="3AFA9668">
      <w:pPr>
        <w:spacing w:line="360" w:lineRule="auto"/>
        <w:jc w:val="center"/>
        <w:rPr>
          <w:rFonts w:hint="eastAsia" w:ascii="仿宋" w:hAnsi="仿宋" w:eastAsia="仿宋" w:cs="仿宋"/>
          <w:bCs/>
          <w:color w:val="auto"/>
          <w:szCs w:val="32"/>
          <w:highlight w:val="none"/>
        </w:rPr>
      </w:pPr>
    </w:p>
    <w:p w14:paraId="3A68F3D7">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Cs w:val="21"/>
          <w:highlight w:val="none"/>
        </w:rPr>
        <w:t>目录</w:t>
      </w:r>
    </w:p>
    <w:p w14:paraId="675F53B3">
      <w:pPr>
        <w:spacing w:line="360" w:lineRule="auto"/>
        <w:jc w:val="center"/>
        <w:rPr>
          <w:rFonts w:hint="eastAsia" w:ascii="仿宋" w:hAnsi="仿宋" w:eastAsia="仿宋" w:cs="仿宋"/>
          <w:b/>
          <w:color w:val="auto"/>
          <w:szCs w:val="21"/>
          <w:highlight w:val="none"/>
        </w:rPr>
      </w:pPr>
    </w:p>
    <w:p w14:paraId="4F1AD6A3">
      <w:pPr>
        <w:pStyle w:val="6"/>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r>
        <w:rPr>
          <w:rFonts w:hint="eastAsia" w:ascii="仿宋" w:hAnsi="仿宋" w:eastAsia="仿宋" w:cs="仿宋"/>
          <w:b/>
          <w:color w:val="auto"/>
          <w:sz w:val="21"/>
          <w:szCs w:val="21"/>
          <w:highlight w:val="none"/>
        </w:rPr>
        <w:t>1.参选函</w:t>
      </w:r>
    </w:p>
    <w:p w14:paraId="53A91889">
      <w:pPr>
        <w:pStyle w:val="100"/>
        <w:ind w:firstLine="0" w:firstLineChars="0"/>
        <w:rPr>
          <w:rFonts w:hint="eastAsia" w:ascii="仿宋" w:hAnsi="仿宋" w:eastAsia="仿宋" w:cs="仿宋"/>
          <w:color w:val="auto"/>
          <w:sz w:val="21"/>
          <w:highlight w:val="none"/>
        </w:rPr>
      </w:pPr>
      <w:r>
        <w:rPr>
          <w:rFonts w:hint="eastAsia" w:ascii="仿宋" w:hAnsi="仿宋" w:eastAsia="仿宋" w:cs="仿宋"/>
          <w:color w:val="auto"/>
          <w:sz w:val="21"/>
          <w:highlight w:val="none"/>
        </w:rPr>
        <w:t>致</w:t>
      </w:r>
      <w:r>
        <w:rPr>
          <w:rFonts w:hint="eastAsia" w:ascii="仿宋" w:hAnsi="仿宋" w:eastAsia="仿宋" w:cs="仿宋"/>
          <w:color w:val="auto"/>
          <w:sz w:val="21"/>
          <w:highlight w:val="none"/>
          <w:u w:val="single"/>
          <w:lang w:eastAsia="zh-CN"/>
        </w:rPr>
        <w:t>南宁轨道数智科技有限公司</w:t>
      </w:r>
      <w:r>
        <w:rPr>
          <w:rFonts w:hint="eastAsia" w:ascii="仿宋" w:hAnsi="仿宋" w:eastAsia="仿宋" w:cs="仿宋"/>
          <w:color w:val="auto"/>
          <w:sz w:val="21"/>
          <w:highlight w:val="none"/>
        </w:rPr>
        <w:t>：</w:t>
      </w:r>
    </w:p>
    <w:p w14:paraId="191F1A23">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u w:val="single"/>
        </w:rPr>
        <w:t xml:space="preserve">    （参选人名称）    </w:t>
      </w:r>
      <w:r>
        <w:rPr>
          <w:rFonts w:hint="eastAsia" w:ascii="仿宋" w:hAnsi="仿宋" w:eastAsia="仿宋" w:cs="仿宋"/>
          <w:color w:val="auto"/>
          <w:sz w:val="21"/>
          <w:highlight w:val="none"/>
        </w:rPr>
        <w:t>（以下称“我方”）已仔细研究了</w:t>
      </w:r>
      <w:r>
        <w:rPr>
          <w:rFonts w:hint="eastAsia" w:ascii="仿宋" w:hAnsi="仿宋" w:eastAsia="仿宋" w:cs="仿宋"/>
          <w:color w:val="auto"/>
          <w:sz w:val="21"/>
          <w:highlight w:val="none"/>
          <w:u w:val="single"/>
          <w:lang w:eastAsia="zh-CN"/>
        </w:rPr>
        <w:t>南宁轨道数智科技有限公司新自营项目整合传播服务</w:t>
      </w:r>
      <w:r>
        <w:rPr>
          <w:rFonts w:hint="eastAsia" w:ascii="仿宋" w:hAnsi="仿宋" w:eastAsia="仿宋" w:cs="仿宋"/>
          <w:color w:val="auto"/>
          <w:sz w:val="21"/>
          <w:highlight w:val="none"/>
          <w:u w:val="single"/>
        </w:rPr>
        <w:t>采购项目</w:t>
      </w:r>
      <w:r>
        <w:rPr>
          <w:rFonts w:hint="eastAsia" w:ascii="仿宋" w:hAnsi="仿宋" w:eastAsia="仿宋" w:cs="仿宋"/>
          <w:color w:val="auto"/>
          <w:sz w:val="21"/>
          <w:highlight w:val="none"/>
        </w:rPr>
        <w:t>比选文件的全部内容，</w:t>
      </w:r>
      <w:r>
        <w:rPr>
          <w:rFonts w:hint="eastAsia" w:ascii="仿宋" w:hAnsi="仿宋" w:eastAsia="仿宋" w:cs="仿宋"/>
          <w:bCs/>
          <w:color w:val="auto"/>
          <w:sz w:val="21"/>
          <w:highlight w:val="none"/>
        </w:rPr>
        <w:t>包括澄清或者修改</w:t>
      </w:r>
      <w:r>
        <w:rPr>
          <w:rFonts w:hint="eastAsia" w:ascii="仿宋" w:hAnsi="仿宋" w:eastAsia="仿宋" w:cs="仿宋"/>
          <w:bCs/>
          <w:color w:val="auto"/>
          <w:spacing w:val="4"/>
          <w:sz w:val="21"/>
          <w:highlight w:val="none"/>
        </w:rPr>
        <w:t>文件以及有关附件</w:t>
      </w:r>
      <w:r>
        <w:rPr>
          <w:rFonts w:hint="eastAsia" w:ascii="仿宋" w:hAnsi="仿宋" w:eastAsia="仿宋" w:cs="仿宋"/>
          <w:color w:val="auto"/>
          <w:spacing w:val="4"/>
          <w:sz w:val="21"/>
          <w:highlight w:val="none"/>
        </w:rPr>
        <w:t>，我方将严格按照比选文件要求递交符合要求的全部参选文件。</w:t>
      </w:r>
    </w:p>
    <w:p w14:paraId="593A6670">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我方承诺如下内容：</w:t>
      </w:r>
    </w:p>
    <w:p w14:paraId="3078B998">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1．我方的参选文件包含第二章“参选人须知”第3.1款规定的全部内容。</w:t>
      </w:r>
    </w:p>
    <w:p w14:paraId="2274CD12">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2．我方承诺在比选文件规定的参选有效期（参选有效期为</w:t>
      </w:r>
      <w:r>
        <w:rPr>
          <w:rFonts w:hint="eastAsia" w:ascii="仿宋" w:hAnsi="仿宋" w:eastAsia="仿宋" w:cs="仿宋"/>
          <w:color w:val="auto"/>
          <w:sz w:val="21"/>
          <w:highlight w:val="none"/>
          <w:u w:val="single"/>
        </w:rPr>
        <w:t>90</w:t>
      </w:r>
      <w:r>
        <w:rPr>
          <w:rFonts w:hint="eastAsia" w:ascii="仿宋" w:hAnsi="仿宋" w:eastAsia="仿宋" w:cs="仿宋"/>
          <w:color w:val="auto"/>
          <w:sz w:val="21"/>
          <w:highlight w:val="none"/>
        </w:rPr>
        <w:t>天）内不修改、撤销参选文件。</w:t>
      </w:r>
    </w:p>
    <w:p w14:paraId="74C90EC5">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3</w:t>
      </w:r>
      <w:r>
        <w:rPr>
          <w:rFonts w:hint="eastAsia" w:ascii="仿宋" w:hAnsi="仿宋" w:eastAsia="仿宋" w:cs="仿宋"/>
          <w:color w:val="auto"/>
          <w:sz w:val="21"/>
          <w:highlight w:val="none"/>
        </w:rPr>
        <w:t>．</w:t>
      </w:r>
      <w:r>
        <w:rPr>
          <w:rFonts w:hint="eastAsia" w:ascii="仿宋" w:hAnsi="仿宋" w:eastAsia="仿宋" w:cs="仿宋"/>
          <w:color w:val="auto"/>
          <w:spacing w:val="-4"/>
          <w:sz w:val="21"/>
          <w:highlight w:val="none"/>
        </w:rPr>
        <w:t>我方在评审过程中根据</w:t>
      </w:r>
      <w:r>
        <w:rPr>
          <w:rFonts w:hint="eastAsia" w:ascii="仿宋" w:hAnsi="仿宋" w:eastAsia="仿宋" w:cs="仿宋"/>
          <w:color w:val="auto"/>
          <w:spacing w:val="-4"/>
          <w:sz w:val="21"/>
          <w:highlight w:val="none"/>
          <w:lang w:eastAsia="zh-CN"/>
        </w:rPr>
        <w:t>评审小组</w:t>
      </w:r>
      <w:r>
        <w:rPr>
          <w:rFonts w:hint="eastAsia" w:ascii="仿宋" w:hAnsi="仿宋" w:eastAsia="仿宋" w:cs="仿宋"/>
          <w:color w:val="auto"/>
          <w:spacing w:val="-4"/>
          <w:sz w:val="21"/>
          <w:highlight w:val="none"/>
        </w:rPr>
        <w:t>要求提供的符合相关规定的澄清文件，</w:t>
      </w:r>
      <w:r>
        <w:rPr>
          <w:rFonts w:hint="eastAsia" w:ascii="仿宋" w:hAnsi="仿宋" w:eastAsia="仿宋" w:cs="仿宋"/>
          <w:color w:val="auto"/>
          <w:sz w:val="21"/>
          <w:highlight w:val="none"/>
        </w:rPr>
        <w:t>构成参选文件的组成部分。</w:t>
      </w:r>
    </w:p>
    <w:p w14:paraId="604889A2">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4</w:t>
      </w:r>
      <w:r>
        <w:rPr>
          <w:rFonts w:hint="eastAsia" w:ascii="仿宋" w:hAnsi="仿宋" w:eastAsia="仿宋" w:cs="仿宋"/>
          <w:color w:val="auto"/>
          <w:sz w:val="21"/>
          <w:highlight w:val="none"/>
        </w:rPr>
        <w:t>．我方同意提供贵方可能要求的与参选有关的一切数据或者资料，并完全理解贵方不一定接受最低价的参选。</w:t>
      </w:r>
    </w:p>
    <w:p w14:paraId="59D5059C">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5</w:t>
      </w:r>
      <w:r>
        <w:rPr>
          <w:rFonts w:hint="eastAsia" w:ascii="仿宋" w:hAnsi="仿宋" w:eastAsia="仿宋" w:cs="仿宋"/>
          <w:color w:val="auto"/>
          <w:sz w:val="21"/>
          <w:highlight w:val="none"/>
        </w:rPr>
        <w:t>．我方承诺不向第三方透露与比选相关的所有信息。</w:t>
      </w:r>
    </w:p>
    <w:p w14:paraId="5C4511E1">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6</w:t>
      </w:r>
      <w:r>
        <w:rPr>
          <w:rFonts w:hint="eastAsia" w:ascii="仿宋" w:hAnsi="仿宋" w:eastAsia="仿宋" w:cs="仿宋"/>
          <w:color w:val="auto"/>
          <w:sz w:val="21"/>
          <w:highlight w:val="none"/>
        </w:rPr>
        <w:t>．如我方中选：</w:t>
      </w:r>
    </w:p>
    <w:p w14:paraId="60CBC744">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（1）我方承诺在收到中选通知书后，在中选通知书规定的期限内与你方签订合同。</w:t>
      </w:r>
    </w:p>
    <w:p w14:paraId="04A87671">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（2）我方承诺按照比选文件规定递交履约保证金、支付比选代理服务费。</w:t>
      </w:r>
    </w:p>
    <w:p w14:paraId="4DD46E65">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（3）质量要求：符合国家、行业质量合格标准及本项目技术规范书的要求。</w:t>
      </w:r>
    </w:p>
    <w:p w14:paraId="699BEC02">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（4）按照比选文件的规定及合同约定履行相关责任和义务。</w:t>
      </w:r>
    </w:p>
    <w:p w14:paraId="1DBA0855">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我方在此声明，所递交的参选文件及有关资料内容完整、真实和准确，且不存在第二章“参选人须知”第1.8款规定的任何一种情形。如有弄虚作假，将承担相应的法律责任，并赔偿由此造成的一切损失。</w:t>
      </w:r>
    </w:p>
    <w:p w14:paraId="04DE652C">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7</w:t>
      </w:r>
      <w:r>
        <w:rPr>
          <w:rFonts w:hint="eastAsia" w:ascii="仿宋" w:hAnsi="仿宋" w:eastAsia="仿宋" w:cs="仿宋"/>
          <w:color w:val="auto"/>
          <w:sz w:val="21"/>
          <w:highlight w:val="none"/>
        </w:rPr>
        <w:t>．其他补充说明：无</w:t>
      </w:r>
    </w:p>
    <w:p w14:paraId="62DBF69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参选人名称：（盖单位公章）</w:t>
      </w:r>
    </w:p>
    <w:p w14:paraId="2B90D6A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法定代表人（负责人）或者其委托代理人：（签字）</w:t>
      </w:r>
    </w:p>
    <w:p w14:paraId="6E86A00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地址：</w:t>
      </w:r>
    </w:p>
    <w:p w14:paraId="3DB6EA1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p w14:paraId="2D3F466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p w14:paraId="6F7CB349">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电子邮箱：</w:t>
      </w:r>
    </w:p>
    <w:p w14:paraId="1DF6D781">
      <w:pPr>
        <w:spacing w:line="360" w:lineRule="auto"/>
        <w:rPr>
          <w:rFonts w:hint="eastAsia" w:ascii="仿宋" w:hAnsi="仿宋" w:eastAsia="仿宋" w:cs="仿宋"/>
          <w:color w:val="auto"/>
          <w:szCs w:val="21"/>
          <w:highlight w:val="none"/>
        </w:rPr>
      </w:pPr>
    </w:p>
    <w:p w14:paraId="21B63D91">
      <w:pPr>
        <w:spacing w:line="360" w:lineRule="auto"/>
        <w:ind w:right="84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0980A07C">
      <w:pPr>
        <w:pStyle w:val="6"/>
        <w:spacing w:line="360" w:lineRule="auto"/>
        <w:rPr>
          <w:rFonts w:hint="eastAsia" w:ascii="仿宋" w:hAnsi="仿宋" w:eastAsia="仿宋" w:cs="仿宋"/>
          <w:color w:val="auto"/>
          <w:szCs w:val="21"/>
          <w:highlight w:val="none"/>
        </w:rPr>
      </w:pPr>
      <w:bookmarkStart w:id="495" w:name="_Toc474148165"/>
      <w:bookmarkStart w:id="496" w:name="_Toc478566137"/>
      <w:bookmarkStart w:id="497" w:name="_Toc478565774"/>
      <w:bookmarkStart w:id="498" w:name="_Toc478566329"/>
      <w:r>
        <w:rPr>
          <w:rFonts w:hint="eastAsia" w:ascii="仿宋" w:hAnsi="仿宋" w:eastAsia="仿宋" w:cs="仿宋"/>
          <w:color w:val="auto"/>
          <w:sz w:val="21"/>
          <w:szCs w:val="21"/>
          <w:highlight w:val="none"/>
        </w:rPr>
        <w:br w:type="page"/>
      </w:r>
      <w:r>
        <w:rPr>
          <w:rFonts w:hint="eastAsia" w:ascii="仿宋" w:hAnsi="仿宋" w:eastAsia="仿宋" w:cs="仿宋"/>
          <w:b/>
          <w:color w:val="auto"/>
          <w:sz w:val="21"/>
          <w:szCs w:val="21"/>
          <w:highlight w:val="none"/>
        </w:rPr>
        <w:t>2.参选一览表</w:t>
      </w:r>
      <w:bookmarkEnd w:id="495"/>
      <w:bookmarkEnd w:id="496"/>
      <w:bookmarkEnd w:id="497"/>
      <w:bookmarkEnd w:id="498"/>
    </w:p>
    <w:p w14:paraId="26996215">
      <w:pPr>
        <w:spacing w:line="360" w:lineRule="auto"/>
        <w:jc w:val="center"/>
        <w:rPr>
          <w:rFonts w:hint="eastAsia" w:ascii="仿宋" w:hAnsi="仿宋" w:eastAsia="仿宋" w:cs="仿宋"/>
          <w:b/>
          <w:color w:val="auto"/>
          <w:szCs w:val="21"/>
          <w:highlight w:val="none"/>
        </w:rPr>
      </w:pPr>
      <w:bookmarkStart w:id="499" w:name="_Toc6824504"/>
      <w:r>
        <w:rPr>
          <w:rFonts w:hint="eastAsia" w:ascii="仿宋" w:hAnsi="仿宋" w:eastAsia="仿宋" w:cs="仿宋"/>
          <w:b/>
          <w:color w:val="auto"/>
          <w:szCs w:val="21"/>
          <w:highlight w:val="none"/>
        </w:rPr>
        <w:t>参选一览表</w:t>
      </w:r>
    </w:p>
    <w:p w14:paraId="65547979">
      <w:pPr>
        <w:widowControl/>
        <w:spacing w:line="360" w:lineRule="auto"/>
        <w:rPr>
          <w:rFonts w:hint="eastAsia" w:ascii="仿宋" w:hAnsi="仿宋" w:eastAsia="仿宋" w:cs="仿宋"/>
          <w:color w:val="auto"/>
          <w:szCs w:val="21"/>
          <w:highlight w:val="none"/>
        </w:rPr>
      </w:pPr>
    </w:p>
    <w:p w14:paraId="43A404C8">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南宁轨道数智科技有限公司新自营项目整合传播服务</w:t>
      </w:r>
      <w:r>
        <w:rPr>
          <w:rFonts w:hint="eastAsia" w:ascii="仿宋" w:hAnsi="仿宋" w:eastAsia="仿宋" w:cs="仿宋"/>
          <w:color w:val="auto"/>
          <w:szCs w:val="21"/>
          <w:highlight w:val="none"/>
        </w:rPr>
        <w:t>采购项目</w:t>
      </w:r>
    </w:p>
    <w:p w14:paraId="0658348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货币单位：元人民币</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
        <w:gridCol w:w="7048"/>
      </w:tblGrid>
      <w:tr w14:paraId="641B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05" w:type="pct"/>
            <w:vAlign w:val="center"/>
          </w:tcPr>
          <w:p w14:paraId="00E366D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795" w:type="pct"/>
            <w:vAlign w:val="center"/>
          </w:tcPr>
          <w:p w14:paraId="2EED63D5">
            <w:pPr>
              <w:tabs>
                <w:tab w:val="left" w:pos="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含税总价（元）</w:t>
            </w:r>
          </w:p>
        </w:tc>
      </w:tr>
      <w:tr w14:paraId="1379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5" w:type="pct"/>
            <w:vAlign w:val="center"/>
          </w:tcPr>
          <w:p w14:paraId="13591854">
            <w:pPr>
              <w:tabs>
                <w:tab w:val="left" w:pos="0"/>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795" w:type="pct"/>
            <w:vAlign w:val="center"/>
          </w:tcPr>
          <w:p w14:paraId="5C06FF38">
            <w:pPr>
              <w:tabs>
                <w:tab w:val="left" w:pos="0"/>
              </w:tabs>
              <w:spacing w:line="360" w:lineRule="auto"/>
              <w:jc w:val="center"/>
              <w:rPr>
                <w:rFonts w:hint="eastAsia" w:ascii="仿宋" w:hAnsi="仿宋" w:eastAsia="仿宋" w:cs="仿宋"/>
                <w:color w:val="auto"/>
                <w:szCs w:val="21"/>
                <w:highlight w:val="none"/>
                <w:u w:val="single"/>
              </w:rPr>
            </w:pPr>
          </w:p>
        </w:tc>
      </w:tr>
    </w:tbl>
    <w:p w14:paraId="46225559">
      <w:pPr>
        <w:pStyle w:val="39"/>
        <w:spacing w:line="360" w:lineRule="auto"/>
        <w:ind w:firstLine="3045" w:firstLineChars="1450"/>
        <w:jc w:val="both"/>
        <w:rPr>
          <w:rFonts w:hint="eastAsia" w:ascii="仿宋" w:hAnsi="仿宋" w:eastAsia="仿宋" w:cs="仿宋"/>
          <w:color w:val="auto"/>
          <w:highlight w:val="none"/>
        </w:rPr>
      </w:pPr>
    </w:p>
    <w:p w14:paraId="2E311E0F">
      <w:pPr>
        <w:pStyle w:val="39"/>
        <w:spacing w:line="360" w:lineRule="auto"/>
        <w:ind w:firstLine="6195" w:firstLineChars="2950"/>
        <w:jc w:val="both"/>
        <w:rPr>
          <w:rFonts w:hint="eastAsia" w:ascii="仿宋" w:hAnsi="仿宋" w:eastAsia="仿宋" w:cs="仿宋"/>
          <w:color w:val="auto"/>
          <w:highlight w:val="none"/>
        </w:rPr>
      </w:pPr>
      <w:r>
        <w:rPr>
          <w:rFonts w:hint="eastAsia" w:ascii="仿宋" w:hAnsi="仿宋" w:eastAsia="仿宋" w:cs="仿宋"/>
          <w:color w:val="auto"/>
          <w:highlight w:val="none"/>
        </w:rPr>
        <w:t>参选人：（盖单位公章）</w:t>
      </w:r>
    </w:p>
    <w:p w14:paraId="2D5B006A">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法定代表人（负责人）或其委托代理人：</w:t>
      </w:r>
    </w:p>
    <w:p w14:paraId="172BA99E">
      <w:pPr>
        <w:spacing w:line="360" w:lineRule="auto"/>
        <w:ind w:firstLine="5985" w:firstLineChars="28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0116D457">
      <w:pPr>
        <w:rPr>
          <w:rFonts w:hint="eastAsia" w:ascii="仿宋" w:hAnsi="仿宋" w:eastAsia="仿宋" w:cs="仿宋"/>
          <w:color w:val="auto"/>
          <w:highlight w:val="none"/>
        </w:rPr>
      </w:pPr>
    </w:p>
    <w:p w14:paraId="63DCBB16">
      <w:pPr>
        <w:rPr>
          <w:rFonts w:hint="eastAsia" w:ascii="仿宋" w:hAnsi="仿宋" w:eastAsia="仿宋" w:cs="仿宋"/>
          <w:color w:val="auto"/>
          <w:highlight w:val="none"/>
        </w:rPr>
      </w:pPr>
    </w:p>
    <w:p w14:paraId="26021EA6">
      <w:pPr>
        <w:rPr>
          <w:rFonts w:hint="eastAsia" w:ascii="仿宋" w:hAnsi="仿宋" w:eastAsia="仿宋" w:cs="仿宋"/>
          <w:color w:val="auto"/>
          <w:highlight w:val="none"/>
        </w:rPr>
      </w:pPr>
      <w:r>
        <w:rPr>
          <w:rFonts w:hint="eastAsia" w:ascii="仿宋" w:hAnsi="仿宋" w:eastAsia="仿宋" w:cs="仿宋"/>
          <w:color w:val="auto"/>
          <w:highlight w:val="none"/>
        </w:rPr>
        <w:t>备注：</w:t>
      </w:r>
    </w:p>
    <w:p w14:paraId="3A5E9B93">
      <w:pPr>
        <w:rPr>
          <w:rFonts w:hint="eastAsia" w:ascii="仿宋" w:hAnsi="仿宋" w:eastAsia="仿宋" w:cs="仿宋"/>
          <w:color w:val="auto"/>
          <w:highlight w:val="none"/>
        </w:rPr>
      </w:pPr>
      <w:r>
        <w:rPr>
          <w:rFonts w:hint="eastAsia" w:ascii="仿宋" w:hAnsi="仿宋" w:eastAsia="仿宋" w:cs="仿宋"/>
          <w:color w:val="auto"/>
          <w:highlight w:val="none"/>
        </w:rPr>
        <w:t>※①本项目报价为满足比选人完成本项目所需的所有费用。如果有任何遗漏，均被视为参选人已经在其报价中体现。</w:t>
      </w:r>
    </w:p>
    <w:p w14:paraId="5A832500">
      <w:pPr>
        <w:rPr>
          <w:rFonts w:hint="eastAsia" w:ascii="仿宋" w:hAnsi="仿宋" w:eastAsia="仿宋" w:cs="仿宋"/>
          <w:color w:val="auto"/>
          <w:highlight w:val="none"/>
        </w:rPr>
      </w:pPr>
      <w:r>
        <w:rPr>
          <w:rFonts w:hint="eastAsia" w:ascii="仿宋" w:hAnsi="仿宋" w:eastAsia="仿宋" w:cs="仿宋"/>
          <w:color w:val="auto"/>
          <w:highlight w:val="none"/>
        </w:rPr>
        <w:t>※②本项目设置含税总价最高限价：人民币</w:t>
      </w:r>
      <w:r>
        <w:rPr>
          <w:rFonts w:hint="eastAsia" w:ascii="仿宋" w:hAnsi="仿宋" w:eastAsia="仿宋" w:cs="仿宋"/>
          <w:color w:val="auto"/>
          <w:highlight w:val="none"/>
          <w:lang w:val="en-US" w:eastAsia="zh-CN"/>
        </w:rPr>
        <w:t>792000</w:t>
      </w:r>
      <w:r>
        <w:rPr>
          <w:rFonts w:hint="eastAsia" w:ascii="仿宋" w:hAnsi="仿宋" w:eastAsia="仿宋" w:cs="仿宋"/>
          <w:color w:val="auto"/>
          <w:highlight w:val="none"/>
        </w:rPr>
        <w:t>.00元，参选人含税总价报价高于最高限价的将被否决。</w:t>
      </w:r>
    </w:p>
    <w:p w14:paraId="742F5F97">
      <w:pPr>
        <w:rPr>
          <w:rFonts w:hint="eastAsia" w:ascii="仿宋" w:hAnsi="仿宋" w:eastAsia="仿宋" w:cs="仿宋"/>
          <w:color w:val="auto"/>
          <w:highlight w:val="none"/>
        </w:rPr>
      </w:pPr>
      <w:r>
        <w:rPr>
          <w:rFonts w:hint="eastAsia" w:ascii="仿宋" w:hAnsi="仿宋" w:eastAsia="仿宋" w:cs="仿宋"/>
          <w:color w:val="auto"/>
          <w:highlight w:val="none"/>
        </w:rPr>
        <w:t>※③若不提供《参选一览表》或表中有缺漏项或篡改格式及内容将视为没有实质性响应比选文件，参选人将被否决参选。</w:t>
      </w:r>
    </w:p>
    <w:p w14:paraId="587327F4">
      <w:pPr>
        <w:rPr>
          <w:rFonts w:hint="eastAsia" w:ascii="仿宋" w:hAnsi="仿宋" w:eastAsia="仿宋" w:cs="仿宋"/>
          <w:color w:val="auto"/>
          <w:highlight w:val="none"/>
        </w:rPr>
      </w:pPr>
      <w:r>
        <w:rPr>
          <w:rFonts w:hint="eastAsia" w:ascii="仿宋" w:hAnsi="仿宋" w:eastAsia="仿宋" w:cs="仿宋"/>
          <w:color w:val="auto"/>
          <w:highlight w:val="none"/>
        </w:rPr>
        <w:t>※④如表格中报价出现计算错误，均以不含税总价为准修正其他报价（修正结果四舍五入后保留后两位小数），如参选人拒不修正或逾期不接受修正等，</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有权否决其参选。</w:t>
      </w:r>
    </w:p>
    <w:p w14:paraId="54D09E78">
      <w:pPr>
        <w:rPr>
          <w:rFonts w:hint="eastAsia" w:ascii="仿宋" w:hAnsi="仿宋" w:eastAsia="仿宋" w:cs="仿宋"/>
          <w:color w:val="auto"/>
          <w:highlight w:val="none"/>
        </w:rPr>
      </w:pPr>
      <w:r>
        <w:rPr>
          <w:rFonts w:hint="eastAsia" w:ascii="仿宋" w:hAnsi="仿宋" w:eastAsia="仿宋" w:cs="仿宋"/>
          <w:color w:val="auto"/>
          <w:highlight w:val="none"/>
        </w:rPr>
        <w:t>⑤所有报价均为小写，保留两位小数点，采用四舍五入规则。</w:t>
      </w:r>
    </w:p>
    <w:p w14:paraId="6031CF7B">
      <w:pPr>
        <w:rPr>
          <w:rFonts w:hint="eastAsia" w:ascii="仿宋" w:hAnsi="仿宋" w:eastAsia="仿宋" w:cs="仿宋"/>
          <w:color w:val="auto"/>
          <w:highlight w:val="none"/>
        </w:rPr>
        <w:sectPr>
          <w:footerReference r:id="rId13" w:type="first"/>
          <w:footerReference r:id="rId12" w:type="default"/>
          <w:pgSz w:w="11906" w:h="16838"/>
          <w:pgMar w:top="1701" w:right="1418" w:bottom="1418" w:left="1418" w:header="851" w:footer="992" w:gutter="0"/>
          <w:cols w:space="425" w:num="1"/>
          <w:docGrid w:linePitch="312" w:charSpace="0"/>
        </w:sectPr>
      </w:pPr>
    </w:p>
    <w:bookmarkEnd w:id="499"/>
    <w:p w14:paraId="7A9456ED">
      <w:pPr>
        <w:pStyle w:val="3"/>
        <w:spacing w:line="360" w:lineRule="auto"/>
        <w:rPr>
          <w:rFonts w:hint="eastAsia" w:ascii="仿宋" w:hAnsi="仿宋" w:eastAsia="仿宋" w:cs="仿宋"/>
          <w:color w:val="auto"/>
          <w:highlight w:val="none"/>
        </w:rPr>
      </w:pPr>
      <w:bookmarkStart w:id="500" w:name="_Toc496949791"/>
      <w:bookmarkStart w:id="501" w:name="_Toc19995"/>
      <w:bookmarkStart w:id="502" w:name="_Toc10639"/>
      <w:bookmarkStart w:id="503" w:name="_Toc12614"/>
      <w:bookmarkStart w:id="504" w:name="_Toc32567"/>
      <w:bookmarkStart w:id="505" w:name="_Toc6915"/>
      <w:bookmarkStart w:id="506" w:name="_Toc8183"/>
      <w:bookmarkStart w:id="507" w:name="_Toc479819006"/>
      <w:bookmarkStart w:id="508" w:name="_Toc479904140"/>
      <w:bookmarkStart w:id="509" w:name="_Toc513986868"/>
      <w:bookmarkStart w:id="510" w:name="_Toc513987558"/>
      <w:bookmarkStart w:id="511" w:name="_Toc85401347"/>
      <w:bookmarkStart w:id="512" w:name="_Toc532656971"/>
      <w:bookmarkStart w:id="513" w:name="_Toc505609711"/>
      <w:bookmarkStart w:id="514" w:name="_Toc474148166"/>
      <w:bookmarkStart w:id="515" w:name="_Toc478566138"/>
      <w:bookmarkStart w:id="516" w:name="_Toc478566330"/>
      <w:bookmarkStart w:id="517" w:name="_Toc478565775"/>
      <w:r>
        <w:rPr>
          <w:rFonts w:hint="eastAsia" w:ascii="仿宋" w:hAnsi="仿宋" w:eastAsia="仿宋" w:cs="仿宋"/>
          <w:color w:val="auto"/>
          <w:highlight w:val="none"/>
        </w:rPr>
        <w:t>6.2技术分册格式</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27D7BD5B">
      <w:pPr>
        <w:spacing w:line="360" w:lineRule="auto"/>
        <w:rPr>
          <w:rFonts w:hint="eastAsia" w:ascii="仿宋" w:hAnsi="仿宋" w:eastAsia="仿宋" w:cs="仿宋"/>
          <w:b/>
          <w:color w:val="auto"/>
          <w:sz w:val="44"/>
          <w:szCs w:val="28"/>
          <w:highlight w:val="none"/>
        </w:rPr>
      </w:pPr>
      <w:r>
        <w:rPr>
          <w:rFonts w:hint="eastAsia" w:ascii="仿宋" w:hAnsi="仿宋" w:eastAsia="仿宋" w:cs="仿宋"/>
          <w:color w:val="auto"/>
          <w:szCs w:val="21"/>
          <w:highlight w:val="none"/>
        </w:rPr>
        <w:t>6.2.1</w:t>
      </w:r>
      <w:bookmarkStart w:id="518" w:name="_Hlk479900971"/>
      <w:r>
        <w:rPr>
          <w:rFonts w:hint="eastAsia" w:ascii="仿宋" w:hAnsi="仿宋" w:eastAsia="仿宋" w:cs="仿宋"/>
          <w:color w:val="auto"/>
          <w:szCs w:val="21"/>
          <w:highlight w:val="none"/>
        </w:rPr>
        <w:t>技术分册密封体外层标签格式</w:t>
      </w:r>
      <w:bookmarkEnd w:id="518"/>
    </w:p>
    <w:p w14:paraId="1A881E42">
      <w:pPr>
        <w:spacing w:line="360" w:lineRule="auto"/>
        <w:jc w:val="center"/>
        <w:rPr>
          <w:rFonts w:hint="eastAsia" w:ascii="仿宋" w:hAnsi="仿宋" w:eastAsia="仿宋" w:cs="仿宋"/>
          <w:b/>
          <w:color w:val="auto"/>
          <w:sz w:val="44"/>
          <w:szCs w:val="28"/>
          <w:highlight w:val="none"/>
        </w:rPr>
      </w:pPr>
    </w:p>
    <w:p w14:paraId="107CDD27">
      <w:pPr>
        <w:spacing w:line="360" w:lineRule="auto"/>
        <w:jc w:val="center"/>
        <w:rPr>
          <w:rFonts w:hint="eastAsia" w:ascii="仿宋" w:hAnsi="仿宋" w:eastAsia="仿宋" w:cs="仿宋"/>
          <w:b/>
          <w:color w:val="auto"/>
          <w:sz w:val="44"/>
          <w:szCs w:val="28"/>
          <w:highlight w:val="none"/>
          <w:lang w:eastAsia="zh-CN"/>
        </w:rPr>
      </w:pPr>
      <w:r>
        <w:rPr>
          <w:rFonts w:hint="eastAsia" w:ascii="仿宋" w:hAnsi="仿宋" w:eastAsia="仿宋" w:cs="仿宋"/>
          <w:b/>
          <w:color w:val="auto"/>
          <w:sz w:val="44"/>
          <w:szCs w:val="28"/>
          <w:highlight w:val="none"/>
          <w:lang w:eastAsia="zh-CN"/>
        </w:rPr>
        <w:t>南宁轨道数智科技有限公司</w:t>
      </w:r>
    </w:p>
    <w:p w14:paraId="0340EB9E">
      <w:pPr>
        <w:spacing w:line="360" w:lineRule="auto"/>
        <w:jc w:val="center"/>
        <w:rPr>
          <w:rFonts w:hint="eastAsia" w:ascii="仿宋" w:hAnsi="仿宋" w:eastAsia="仿宋" w:cs="仿宋"/>
          <w:b/>
          <w:color w:val="auto"/>
          <w:sz w:val="44"/>
          <w:szCs w:val="28"/>
          <w:highlight w:val="none"/>
        </w:rPr>
      </w:pPr>
      <w:r>
        <w:rPr>
          <w:rFonts w:hint="eastAsia" w:ascii="仿宋" w:hAnsi="仿宋" w:eastAsia="仿宋" w:cs="仿宋"/>
          <w:b/>
          <w:color w:val="auto"/>
          <w:sz w:val="44"/>
          <w:szCs w:val="28"/>
          <w:highlight w:val="none"/>
        </w:rPr>
        <w:t>新自营项目整合传播服务</w:t>
      </w:r>
    </w:p>
    <w:p w14:paraId="6C9BB47C">
      <w:pPr>
        <w:spacing w:line="360" w:lineRule="auto"/>
        <w:jc w:val="center"/>
        <w:rPr>
          <w:rFonts w:hint="eastAsia" w:ascii="仿宋" w:hAnsi="仿宋" w:eastAsia="仿宋" w:cs="仿宋"/>
          <w:color w:val="auto"/>
          <w:sz w:val="20"/>
          <w:szCs w:val="20"/>
          <w:highlight w:val="none"/>
        </w:rPr>
      </w:pPr>
    </w:p>
    <w:p w14:paraId="2C67D9B5">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参  选  文  件</w:t>
      </w:r>
    </w:p>
    <w:p w14:paraId="2717CB73">
      <w:pPr>
        <w:spacing w:line="360" w:lineRule="auto"/>
        <w:jc w:val="center"/>
        <w:rPr>
          <w:rFonts w:hint="eastAsia" w:ascii="仿宋" w:hAnsi="仿宋" w:eastAsia="仿宋" w:cs="仿宋"/>
          <w:b/>
          <w:color w:val="auto"/>
          <w:sz w:val="44"/>
          <w:szCs w:val="52"/>
          <w:highlight w:val="none"/>
        </w:rPr>
      </w:pPr>
      <w:r>
        <w:rPr>
          <w:rFonts w:hint="eastAsia" w:ascii="仿宋" w:hAnsi="仿宋" w:eastAsia="仿宋" w:cs="仿宋"/>
          <w:b/>
          <w:color w:val="auto"/>
          <w:sz w:val="44"/>
          <w:szCs w:val="52"/>
          <w:highlight w:val="none"/>
        </w:rPr>
        <w:t>技术分册</w:t>
      </w:r>
    </w:p>
    <w:p w14:paraId="56E4B452">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44"/>
          <w:szCs w:val="52"/>
          <w:highlight w:val="none"/>
        </w:rPr>
        <w:t>（一正</w:t>
      </w:r>
      <w:r>
        <w:rPr>
          <w:rFonts w:hint="eastAsia" w:ascii="仿宋" w:hAnsi="仿宋" w:eastAsia="仿宋" w:cs="仿宋"/>
          <w:b/>
          <w:color w:val="auto"/>
          <w:sz w:val="44"/>
          <w:szCs w:val="52"/>
          <w:highlight w:val="none"/>
          <w:lang w:val="en-US" w:eastAsia="zh-CN"/>
        </w:rPr>
        <w:t>四</w:t>
      </w:r>
      <w:r>
        <w:rPr>
          <w:rFonts w:hint="eastAsia" w:ascii="仿宋" w:hAnsi="仿宋" w:eastAsia="仿宋" w:cs="仿宋"/>
          <w:b/>
          <w:color w:val="auto"/>
          <w:sz w:val="44"/>
          <w:szCs w:val="52"/>
          <w:highlight w:val="none"/>
        </w:rPr>
        <w:t>副）</w:t>
      </w:r>
    </w:p>
    <w:p w14:paraId="1EE69AD0">
      <w:pPr>
        <w:spacing w:line="360" w:lineRule="auto"/>
        <w:ind w:firstLine="562" w:firstLineChars="200"/>
        <w:rPr>
          <w:rFonts w:hint="eastAsia" w:ascii="仿宋" w:hAnsi="仿宋" w:eastAsia="仿宋" w:cs="仿宋"/>
          <w:b/>
          <w:color w:val="auto"/>
          <w:sz w:val="28"/>
          <w:szCs w:val="21"/>
          <w:highlight w:val="none"/>
          <w:u w:val="single"/>
        </w:rPr>
      </w:pPr>
      <w:r>
        <w:rPr>
          <w:rFonts w:hint="eastAsia" w:ascii="仿宋" w:hAnsi="仿宋" w:eastAsia="仿宋" w:cs="仿宋"/>
          <w:b/>
          <w:color w:val="auto"/>
          <w:sz w:val="28"/>
          <w:szCs w:val="21"/>
          <w:highlight w:val="none"/>
        </w:rPr>
        <w:t>年 月  日  时 分前不得开封</w:t>
      </w:r>
    </w:p>
    <w:p w14:paraId="0FCDDC0E">
      <w:pPr>
        <w:spacing w:line="360" w:lineRule="auto"/>
        <w:rPr>
          <w:rFonts w:hint="eastAsia" w:ascii="仿宋" w:hAnsi="仿宋" w:eastAsia="仿宋" w:cs="仿宋"/>
          <w:color w:val="auto"/>
          <w:sz w:val="28"/>
          <w:szCs w:val="28"/>
          <w:highlight w:val="none"/>
        </w:rPr>
      </w:pPr>
    </w:p>
    <w:p w14:paraId="677FCB4B">
      <w:pPr>
        <w:spacing w:line="360" w:lineRule="auto"/>
        <w:ind w:firstLine="980" w:firstLineChars="35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比选人：</w:t>
      </w:r>
      <w:r>
        <w:rPr>
          <w:rFonts w:hint="eastAsia" w:ascii="仿宋" w:hAnsi="仿宋" w:eastAsia="仿宋" w:cs="仿宋"/>
          <w:color w:val="auto"/>
          <w:sz w:val="28"/>
          <w:szCs w:val="28"/>
          <w:highlight w:val="none"/>
          <w:u w:val="single"/>
          <w:lang w:eastAsia="zh-CN"/>
        </w:rPr>
        <w:t>南宁轨道数智科技有限公司</w:t>
      </w:r>
    </w:p>
    <w:p w14:paraId="2CA6DDA8">
      <w:pPr>
        <w:spacing w:line="360" w:lineRule="auto"/>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参选人：（盖单位公章）</w:t>
      </w:r>
    </w:p>
    <w:p w14:paraId="18922E9B">
      <w:pPr>
        <w:spacing w:line="360" w:lineRule="auto"/>
        <w:ind w:firstLine="980" w:firstLineChars="35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参选人地址：</w:t>
      </w:r>
    </w:p>
    <w:p w14:paraId="3B12A91B">
      <w:pPr>
        <w:spacing w:line="360" w:lineRule="auto"/>
        <w:ind w:firstLine="980" w:firstLineChars="35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邮编：</w:t>
      </w:r>
    </w:p>
    <w:p w14:paraId="55EE3E82">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法定代表人（负责人）或其委托代理人：（签字）</w:t>
      </w:r>
    </w:p>
    <w:p w14:paraId="2FE0E8EE">
      <w:pPr>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bookmarkStart w:id="519" w:name="_Toc343102435"/>
      <w:bookmarkStart w:id="520" w:name="_Toc327353032"/>
      <w:bookmarkStart w:id="521" w:name="_Toc277059863"/>
      <w:bookmarkStart w:id="522" w:name="_Toc346722110"/>
      <w:bookmarkStart w:id="523" w:name="_Toc277059111"/>
      <w:bookmarkStart w:id="524" w:name="_Toc294538177"/>
      <w:bookmarkStart w:id="525" w:name="_Toc343503036"/>
      <w:bookmarkStart w:id="526" w:name="_Toc342743385"/>
      <w:bookmarkStart w:id="527" w:name="_Toc277058910"/>
      <w:bookmarkStart w:id="528" w:name="_Toc277058626"/>
      <w:bookmarkStart w:id="529" w:name="_Toc327265057"/>
      <w:bookmarkStart w:id="530" w:name="_Toc342743384"/>
      <w:bookmarkStart w:id="531" w:name="_Toc346722111"/>
      <w:bookmarkStart w:id="532" w:name="_Toc456563518"/>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14:paraId="6254B4EC">
      <w:pPr>
        <w:spacing w:line="360" w:lineRule="auto"/>
        <w:rPr>
          <w:rFonts w:hint="eastAsia" w:ascii="仿宋" w:hAnsi="仿宋" w:eastAsia="仿宋" w:cs="仿宋"/>
          <w:color w:val="auto"/>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Cs w:val="21"/>
          <w:highlight w:val="none"/>
        </w:rPr>
        <w:t>6.2.2技术分册封面格式</w:t>
      </w:r>
    </w:p>
    <w:p w14:paraId="66AD9FFE">
      <w:pPr>
        <w:widowControl/>
        <w:spacing w:line="360" w:lineRule="auto"/>
        <w:jc w:val="center"/>
        <w:rPr>
          <w:rFonts w:hint="eastAsia" w:ascii="仿宋" w:hAnsi="仿宋" w:eastAsia="仿宋" w:cs="仿宋"/>
          <w:b/>
          <w:color w:val="auto"/>
          <w:highlight w:val="none"/>
        </w:rPr>
      </w:pPr>
    </w:p>
    <w:p w14:paraId="2DDFC072">
      <w:pPr>
        <w:spacing w:line="360" w:lineRule="auto"/>
        <w:jc w:val="right"/>
        <w:rPr>
          <w:rFonts w:hint="eastAsia" w:ascii="仿宋" w:hAnsi="仿宋" w:eastAsia="仿宋" w:cs="仿宋"/>
          <w:b/>
          <w:color w:val="auto"/>
          <w:sz w:val="44"/>
          <w:szCs w:val="28"/>
          <w:highlight w:val="none"/>
        </w:rPr>
      </w:pPr>
      <w:r>
        <w:rPr>
          <w:rFonts w:hint="eastAsia" w:ascii="仿宋" w:hAnsi="仿宋" w:eastAsia="仿宋" w:cs="仿宋"/>
          <w:b/>
          <w:color w:val="auto"/>
          <w:sz w:val="44"/>
          <w:szCs w:val="28"/>
          <w:highlight w:val="none"/>
        </w:rPr>
        <w:t>正本/副本</w:t>
      </w:r>
    </w:p>
    <w:p w14:paraId="7BE6A1D6">
      <w:pPr>
        <w:spacing w:line="360" w:lineRule="auto"/>
        <w:jc w:val="center"/>
        <w:rPr>
          <w:rFonts w:hint="eastAsia" w:ascii="仿宋" w:hAnsi="仿宋" w:eastAsia="仿宋" w:cs="仿宋"/>
          <w:b/>
          <w:color w:val="auto"/>
          <w:sz w:val="44"/>
          <w:szCs w:val="28"/>
          <w:highlight w:val="none"/>
        </w:rPr>
      </w:pPr>
    </w:p>
    <w:p w14:paraId="0DCBCC18">
      <w:pPr>
        <w:spacing w:line="360" w:lineRule="auto"/>
        <w:jc w:val="center"/>
        <w:rPr>
          <w:rFonts w:hint="eastAsia" w:ascii="仿宋" w:hAnsi="仿宋" w:eastAsia="仿宋" w:cs="仿宋"/>
          <w:b/>
          <w:color w:val="auto"/>
          <w:sz w:val="44"/>
          <w:szCs w:val="28"/>
          <w:highlight w:val="none"/>
          <w:lang w:eastAsia="zh-CN"/>
        </w:rPr>
      </w:pPr>
      <w:r>
        <w:rPr>
          <w:rFonts w:hint="eastAsia" w:ascii="仿宋" w:hAnsi="仿宋" w:eastAsia="仿宋" w:cs="仿宋"/>
          <w:b/>
          <w:color w:val="auto"/>
          <w:sz w:val="44"/>
          <w:szCs w:val="28"/>
          <w:highlight w:val="none"/>
          <w:lang w:eastAsia="zh-CN"/>
        </w:rPr>
        <w:t>南宁轨道数智科技有限公司</w:t>
      </w:r>
    </w:p>
    <w:p w14:paraId="59DB996F">
      <w:pPr>
        <w:spacing w:line="360" w:lineRule="auto"/>
        <w:jc w:val="center"/>
        <w:rPr>
          <w:rFonts w:hint="eastAsia" w:ascii="仿宋" w:hAnsi="仿宋" w:eastAsia="仿宋" w:cs="仿宋"/>
          <w:color w:val="auto"/>
          <w:sz w:val="20"/>
          <w:szCs w:val="20"/>
          <w:highlight w:val="none"/>
        </w:rPr>
      </w:pPr>
      <w:r>
        <w:rPr>
          <w:rFonts w:hint="eastAsia" w:ascii="仿宋" w:hAnsi="仿宋" w:eastAsia="仿宋" w:cs="仿宋"/>
          <w:b/>
          <w:color w:val="auto"/>
          <w:sz w:val="44"/>
          <w:szCs w:val="28"/>
          <w:highlight w:val="none"/>
        </w:rPr>
        <w:t>新自营项目整合传播服务</w:t>
      </w:r>
    </w:p>
    <w:p w14:paraId="589A198E">
      <w:pPr>
        <w:spacing w:line="360" w:lineRule="auto"/>
        <w:jc w:val="center"/>
        <w:rPr>
          <w:rFonts w:hint="eastAsia" w:ascii="仿宋" w:hAnsi="仿宋" w:eastAsia="仿宋" w:cs="仿宋"/>
          <w:b/>
          <w:color w:val="auto"/>
          <w:sz w:val="44"/>
          <w:szCs w:val="28"/>
          <w:highlight w:val="none"/>
        </w:rPr>
      </w:pPr>
    </w:p>
    <w:p w14:paraId="2AD33B72">
      <w:pPr>
        <w:spacing w:line="360" w:lineRule="auto"/>
        <w:jc w:val="center"/>
        <w:rPr>
          <w:rFonts w:hint="eastAsia" w:ascii="仿宋" w:hAnsi="仿宋" w:eastAsia="仿宋" w:cs="仿宋"/>
          <w:color w:val="auto"/>
          <w:sz w:val="20"/>
          <w:szCs w:val="20"/>
          <w:highlight w:val="none"/>
        </w:rPr>
      </w:pPr>
    </w:p>
    <w:p w14:paraId="049C5C9C">
      <w:pPr>
        <w:spacing w:line="360" w:lineRule="auto"/>
        <w:jc w:val="center"/>
        <w:rPr>
          <w:rFonts w:hint="eastAsia" w:ascii="仿宋" w:hAnsi="仿宋" w:eastAsia="仿宋" w:cs="仿宋"/>
          <w:color w:val="auto"/>
          <w:sz w:val="20"/>
          <w:szCs w:val="20"/>
          <w:highlight w:val="none"/>
        </w:rPr>
      </w:pPr>
    </w:p>
    <w:p w14:paraId="7D997820">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参  选  文  件</w:t>
      </w:r>
    </w:p>
    <w:p w14:paraId="03A27152">
      <w:pPr>
        <w:spacing w:line="360" w:lineRule="auto"/>
        <w:jc w:val="center"/>
        <w:rPr>
          <w:rFonts w:hint="eastAsia" w:ascii="仿宋" w:hAnsi="仿宋" w:eastAsia="仿宋" w:cs="仿宋"/>
          <w:b/>
          <w:color w:val="auto"/>
          <w:sz w:val="44"/>
          <w:szCs w:val="52"/>
          <w:highlight w:val="none"/>
        </w:rPr>
      </w:pPr>
      <w:r>
        <w:rPr>
          <w:rFonts w:hint="eastAsia" w:ascii="仿宋" w:hAnsi="仿宋" w:eastAsia="仿宋" w:cs="仿宋"/>
          <w:b/>
          <w:color w:val="auto"/>
          <w:sz w:val="44"/>
          <w:szCs w:val="52"/>
          <w:highlight w:val="none"/>
        </w:rPr>
        <w:t>技术分册</w:t>
      </w:r>
    </w:p>
    <w:p w14:paraId="09E1F67D">
      <w:pPr>
        <w:spacing w:line="360" w:lineRule="auto"/>
        <w:jc w:val="center"/>
        <w:rPr>
          <w:rFonts w:hint="eastAsia" w:ascii="仿宋" w:hAnsi="仿宋" w:eastAsia="仿宋" w:cs="仿宋"/>
          <w:color w:val="auto"/>
          <w:sz w:val="28"/>
          <w:szCs w:val="28"/>
          <w:highlight w:val="none"/>
        </w:rPr>
      </w:pPr>
    </w:p>
    <w:p w14:paraId="3CB9C684">
      <w:pPr>
        <w:spacing w:line="360" w:lineRule="auto"/>
        <w:rPr>
          <w:rFonts w:hint="eastAsia" w:ascii="仿宋" w:hAnsi="仿宋" w:eastAsia="仿宋" w:cs="仿宋"/>
          <w:color w:val="auto"/>
          <w:sz w:val="28"/>
          <w:szCs w:val="28"/>
          <w:highlight w:val="none"/>
        </w:rPr>
      </w:pPr>
    </w:p>
    <w:p w14:paraId="3E019D21">
      <w:pPr>
        <w:spacing w:line="360" w:lineRule="auto"/>
        <w:rPr>
          <w:rFonts w:hint="eastAsia" w:ascii="仿宋" w:hAnsi="仿宋" w:eastAsia="仿宋" w:cs="仿宋"/>
          <w:color w:val="auto"/>
          <w:sz w:val="28"/>
          <w:szCs w:val="28"/>
          <w:highlight w:val="none"/>
        </w:rPr>
      </w:pPr>
    </w:p>
    <w:p w14:paraId="5EF5D965">
      <w:pPr>
        <w:spacing w:line="360" w:lineRule="auto"/>
        <w:rPr>
          <w:rFonts w:hint="eastAsia" w:ascii="仿宋" w:hAnsi="仿宋" w:eastAsia="仿宋" w:cs="仿宋"/>
          <w:color w:val="auto"/>
          <w:sz w:val="28"/>
          <w:szCs w:val="28"/>
          <w:highlight w:val="none"/>
        </w:rPr>
      </w:pPr>
    </w:p>
    <w:p w14:paraId="18A1F2CD">
      <w:pPr>
        <w:spacing w:line="360" w:lineRule="auto"/>
        <w:rPr>
          <w:rFonts w:hint="eastAsia" w:ascii="仿宋" w:hAnsi="仿宋" w:eastAsia="仿宋" w:cs="仿宋"/>
          <w:color w:val="auto"/>
          <w:sz w:val="28"/>
          <w:szCs w:val="28"/>
          <w:highlight w:val="none"/>
        </w:rPr>
      </w:pPr>
    </w:p>
    <w:p w14:paraId="17EC66A9">
      <w:pPr>
        <w:spacing w:line="360" w:lineRule="auto"/>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参选人：（盖单位公章）</w:t>
      </w:r>
    </w:p>
    <w:p w14:paraId="632B201C">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法定代表人（负责人）或其委托代理人：（签字）</w:t>
      </w:r>
    </w:p>
    <w:p w14:paraId="087BAD4A">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年月日</w:t>
      </w:r>
    </w:p>
    <w:p w14:paraId="0BB39E91">
      <w:pPr>
        <w:spacing w:line="360" w:lineRule="auto"/>
        <w:rPr>
          <w:rFonts w:hint="eastAsia" w:ascii="仿宋" w:hAnsi="仿宋" w:eastAsia="仿宋" w:cs="仿宋"/>
          <w:b/>
          <w:color w:val="auto"/>
          <w:szCs w:val="21"/>
          <w:highlight w:val="none"/>
        </w:rPr>
      </w:pPr>
    </w:p>
    <w:p w14:paraId="04D6DA60">
      <w:pPr>
        <w:spacing w:line="360" w:lineRule="auto"/>
        <w:rPr>
          <w:rFonts w:hint="eastAsia" w:ascii="仿宋" w:hAnsi="仿宋" w:eastAsia="仿宋" w:cs="仿宋"/>
          <w:b/>
          <w:color w:val="auto"/>
          <w:szCs w:val="21"/>
          <w:highlight w:val="none"/>
        </w:rPr>
      </w:pPr>
    </w:p>
    <w:p w14:paraId="4184431B">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目录</w:t>
      </w:r>
    </w:p>
    <w:p w14:paraId="0A0F3F6C">
      <w:pPr>
        <w:pStyle w:val="6"/>
        <w:pageBreakBefore/>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1.法定代表人（负责人）身份证明</w:t>
      </w:r>
    </w:p>
    <w:p w14:paraId="0600D932">
      <w:pPr>
        <w:topLinePunct/>
        <w:snapToGrid w:val="0"/>
        <w:spacing w:line="360" w:lineRule="auto"/>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参选人名称：</w:t>
      </w:r>
    </w:p>
    <w:p w14:paraId="69990729">
      <w:pPr>
        <w:topLinePunct/>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单位性质：</w:t>
      </w:r>
    </w:p>
    <w:p w14:paraId="2EB4B259">
      <w:pPr>
        <w:topLinePunct/>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成立时间：    年   月   日</w:t>
      </w:r>
    </w:p>
    <w:p w14:paraId="652ABCDF">
      <w:pPr>
        <w:topLinePunct/>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经营期限：</w:t>
      </w:r>
    </w:p>
    <w:p w14:paraId="339CAE39">
      <w:pPr>
        <w:topLinePunct/>
        <w:snapToGrid w:val="0"/>
        <w:spacing w:line="360" w:lineRule="auto"/>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姓名：          性别：          年龄：          职务：</w:t>
      </w:r>
    </w:p>
    <w:p w14:paraId="1CD49A2D">
      <w:pPr>
        <w:topLinePunct/>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系（参选人名称）的法定代表人。</w:t>
      </w:r>
    </w:p>
    <w:p w14:paraId="232B5F2E">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特此证明。</w:t>
      </w:r>
    </w:p>
    <w:p w14:paraId="51EF2F57">
      <w:pPr>
        <w:topLinePunct/>
        <w:snapToGrid w:val="0"/>
        <w:spacing w:line="360" w:lineRule="auto"/>
        <w:ind w:firstLine="420" w:firstLineChars="200"/>
        <w:rPr>
          <w:rFonts w:hint="eastAsia" w:ascii="仿宋" w:hAnsi="仿宋" w:eastAsia="仿宋" w:cs="仿宋"/>
          <w:bCs/>
          <w:color w:val="auto"/>
          <w:szCs w:val="21"/>
          <w:highlight w:val="none"/>
        </w:rPr>
      </w:pPr>
    </w:p>
    <w:p w14:paraId="5FF80F52">
      <w:pPr>
        <w:topLinePunct/>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附：法定代表人（负责人）身份证扫描件</w:t>
      </w:r>
      <w:r>
        <w:rPr>
          <w:rFonts w:hint="eastAsia" w:ascii="仿宋" w:hAnsi="仿宋" w:eastAsia="仿宋" w:cs="仿宋"/>
          <w:bCs/>
          <w:color w:val="auto"/>
          <w:szCs w:val="21"/>
          <w:highlight w:val="none"/>
        </w:rPr>
        <w:t>(需同时提供正面及背面)</w:t>
      </w:r>
    </w:p>
    <w:p w14:paraId="4A709A2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2"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369ECAA">
                            <w:pPr>
                              <w:jc w:val="center"/>
                              <w:rPr>
                                <w:sz w:val="18"/>
                                <w:szCs w:val="21"/>
                              </w:rPr>
                            </w:pPr>
                            <w:r>
                              <w:rPr>
                                <w:rFonts w:hint="eastAsia"/>
                                <w:sz w:val="18"/>
                                <w:szCs w:val="21"/>
                              </w:rPr>
                              <w:t>法定代表人（负责人）身份证背面扫描件贴于此处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HfpoEmUCAACvBAAADgAAAGRycy9lMm9Eb2MueG1srVTN&#10;btQwEL4j8Q6W7zSbdEO7UbNV1aoIqUClwgN4HWdj4T/G3s2WE5wqxIEH4AW4ceIKT1N+3oKJk122&#10;hUMP5GB5PPY333wzk4PDlVZkKcBLa0qa7owoEYbbSpp5SV88P32wT4kPzFRMWSNKeik8PZzev3fQ&#10;ukJktrGqEkAQxPiidSVtQnBFknjeCM38jnXCoLO2oFlAE+ZJBaxFdK2SbDR6mLQWKgeWC+/x9KR3&#10;0gER7gJo61pycWL5QgsTelQQigVMyTfSeTqNbOta8PCsrr0IRJUUMw1xxSC4n3VrMj1gxRyYayQf&#10;KLC7ULiVk2bSYNAN1AkLjCxA/gWlJQfrbR12uNVJn0hUBLNIR7e0uWiYEzEXlNq7jej+/8Hyp8tz&#10;ILIqaUaJYRoL/v3L2x+f3l9//FqQ6w+ff7159/PbFR6QcSdW63yBby7cOXTpendm+UtPjD1umJmL&#10;IwDbNoJVSDHt7ic3HnSGx6dk1j6xFcZii2CjbqsadAeIipBVLM/lpjxiFQjHw91sspfnOSUcfVma&#10;7k7SPMZgxfq5Ax8eCatJtylprWyLxCAcqSDAsCDO+8aLMdnyzIeOIyvW72JOVsnqVCoVDZjPjhWQ&#10;JcMGOo3fENJvX1OGtCWd5FkekW/4/DbEKH7/gtASKRIldUn3ty8p0/EQsZcHvmsZ+3KE1Ww1VGZm&#10;q0tUF2zf5zjluGksvKakxR4vqX+1YCAoUY8NVmiSjsfdUERjnO9laMC2Z7btYYYjVEkDJf32OPSD&#10;tHAg5w1GSmPyxh5hVWsZpe2o9qyGXsA+jooPM9cNyrYdb/35z0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ACJfjYAAAACgEAAA8AAAAAAAAAAQAgAAAAIgAAAGRycy9kb3ducmV2LnhtbFBLAQIU&#10;ABQAAAAIAIdO4kAd+mgSZQIAAK8EAAAOAAAAAAAAAAEAIAAAACcBAABkcnMvZTJvRG9jLnhtbFBL&#10;BQYAAAAABgAGAFkBAAD+BQAAAAA=&#10;">
                <v:fill on="t" focussize="0,0"/>
                <v:stroke color="#000000" miterlimit="8" joinstyle="miter"/>
                <v:imagedata o:title=""/>
                <o:lock v:ext="edit" aspectratio="f"/>
                <v:textbox>
                  <w:txbxContent>
                    <w:p w14:paraId="0369ECAA">
                      <w:pPr>
                        <w:jc w:val="center"/>
                        <w:rPr>
                          <w:sz w:val="18"/>
                          <w:szCs w:val="21"/>
                        </w:rPr>
                      </w:pPr>
                      <w:r>
                        <w:rPr>
                          <w:rFonts w:hint="eastAsia"/>
                          <w:sz w:val="18"/>
                          <w:szCs w:val="21"/>
                        </w:rPr>
                        <w:t>法定代表人（负责人）身份证背面扫描件贴于此处</w:t>
                      </w:r>
                    </w:p>
                  </w:txbxContent>
                </v:textbox>
              </v:shape>
            </w:pict>
          </mc:Fallback>
        </mc:AlternateContent>
      </w:r>
      <w:r>
        <w:rPr>
          <w:rFonts w:hint="eastAsia" w:ascii="仿宋" w:hAnsi="仿宋" w:eastAsia="仿宋" w:cs="仿宋"/>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1"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CD13D28">
                            <w:pPr>
                              <w:jc w:val="center"/>
                              <w:rPr>
                                <w:sz w:val="18"/>
                                <w:szCs w:val="21"/>
                              </w:rPr>
                            </w:pPr>
                            <w:r>
                              <w:rPr>
                                <w:rFonts w:hint="eastAsia"/>
                                <w:sz w:val="18"/>
                                <w:szCs w:val="21"/>
                              </w:rPr>
                              <w:t>法定代表人（负责人）身份证正面扫描件贴于此处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X6y29lAgAArwQAAA4AAABkcnMvZTJvRG9jLnhtbK1U&#10;zW7UMBC+I/EOlu80m21Du1GzVdWqCKnASoUH8DrOxsLxmLF3s+UEpwpx4AF4AW6cuMLTlJ+3YOKk&#10;ZVs49EAOlsdjf/PNNzPZP1g3hq0Ueg224OnWiDNlJZTaLgr+4vnJgz3OfBC2FAasKvi58vxgev/e&#10;futyNYYaTKmQEYj1eesKXofg8iTxslaN8FvglCVnBdiIQCYukhJFS+iNScaj0cOkBSwdglTe0+lx&#10;7+QDIt4FEKpKS3UMctkoG3pUVEYESsnX2nk+jWyrSsnwrKq8CswUnDINcaUgtJ93azLdF/kChau1&#10;HCiIu1C4lVMjtKWg11DHIgi2RP0XVKMlgocqbElokj6RqAhlkY5uaXNWC6diLiS1d9ei+/8HK5+u&#10;Zsh0SZ3AmRUNFfz7l7c/Pr2//Pg1Z5cfPv968+7ntws6YNudWK3zOb05czPs0vXuFORLzywc1cIu&#10;1CEitLUSJVFMu/vJjQed4ekpm7dPoKRYYhkg6rausOkASRG2juU5vy6PWgcm6XB7PNnNsowzSb5x&#10;mm5P0izGEPnVc4c+PFLQsG5T8MpAS8QwHJqg0IqgZn3jxZhidepDx1HkV+9iTmB0eaKNiQYu5kcG&#10;2UpQA53EbwjpN68Zy9qCT7JxFpFv+PwmxCh+/4JoNFFkRjcF39u8ZGzHQ8VeHvheydiXI6zn66Ey&#10;cyjPSV2Evs9pymlTA77mrKUeL7h/tRSoODOPLVVoku7sdEMRjZ1sd0wGbnrmmx5hJUEVPHDWb49C&#10;P0hLh3pRU6Q0Jm/hkKpa6ShtR7VnNfQC9XFUfJi5blA27Xjrz39m+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Aglc2QAAAAsBAAAPAAAAAAAAAAEAIAAAACIAAABkcnMvZG93bnJldi54bWxQSwEC&#10;FAAUAAAACACHTuJAlfrLb2UCAACvBAAADgAAAAAAAAABACAAAAAoAQAAZHJzL2Uyb0RvYy54bWxQ&#10;SwUGAAAAAAYABgBZAQAA/wUAAAAA&#10;">
                <v:fill on="t" focussize="0,0"/>
                <v:stroke color="#000000" miterlimit="8" joinstyle="miter"/>
                <v:imagedata o:title=""/>
                <o:lock v:ext="edit" aspectratio="f"/>
                <v:textbox>
                  <w:txbxContent>
                    <w:p w14:paraId="7CD13D28">
                      <w:pPr>
                        <w:jc w:val="center"/>
                        <w:rPr>
                          <w:sz w:val="18"/>
                          <w:szCs w:val="21"/>
                        </w:rPr>
                      </w:pPr>
                      <w:r>
                        <w:rPr>
                          <w:rFonts w:hint="eastAsia"/>
                          <w:sz w:val="18"/>
                          <w:szCs w:val="21"/>
                        </w:rPr>
                        <w:t>法定代表人（负责人）身份证正面扫描件贴于此处</w:t>
                      </w:r>
                    </w:p>
                  </w:txbxContent>
                </v:textbox>
              </v:shape>
            </w:pict>
          </mc:Fallback>
        </mc:AlternateContent>
      </w:r>
    </w:p>
    <w:p w14:paraId="5D6E58BB">
      <w:pPr>
        <w:spacing w:line="360" w:lineRule="auto"/>
        <w:rPr>
          <w:rFonts w:hint="eastAsia" w:ascii="仿宋" w:hAnsi="仿宋" w:eastAsia="仿宋" w:cs="仿宋"/>
          <w:color w:val="auto"/>
          <w:szCs w:val="21"/>
          <w:highlight w:val="none"/>
        </w:rPr>
      </w:pPr>
    </w:p>
    <w:p w14:paraId="6D4EE808">
      <w:pPr>
        <w:spacing w:line="360" w:lineRule="auto"/>
        <w:rPr>
          <w:rFonts w:hint="eastAsia" w:ascii="仿宋" w:hAnsi="仿宋" w:eastAsia="仿宋" w:cs="仿宋"/>
          <w:color w:val="auto"/>
          <w:szCs w:val="21"/>
          <w:highlight w:val="none"/>
        </w:rPr>
      </w:pPr>
    </w:p>
    <w:p w14:paraId="07285C8B">
      <w:pPr>
        <w:spacing w:line="360" w:lineRule="auto"/>
        <w:rPr>
          <w:rFonts w:hint="eastAsia" w:ascii="仿宋" w:hAnsi="仿宋" w:eastAsia="仿宋" w:cs="仿宋"/>
          <w:color w:val="auto"/>
          <w:szCs w:val="21"/>
          <w:highlight w:val="none"/>
        </w:rPr>
      </w:pPr>
    </w:p>
    <w:p w14:paraId="3272E7AF">
      <w:pPr>
        <w:spacing w:line="360" w:lineRule="auto"/>
        <w:rPr>
          <w:rFonts w:hint="eastAsia" w:ascii="仿宋" w:hAnsi="仿宋" w:eastAsia="仿宋" w:cs="仿宋"/>
          <w:color w:val="auto"/>
          <w:szCs w:val="21"/>
          <w:highlight w:val="none"/>
        </w:rPr>
      </w:pPr>
    </w:p>
    <w:p w14:paraId="7D2EFE56">
      <w:pPr>
        <w:spacing w:line="360" w:lineRule="auto"/>
        <w:rPr>
          <w:rFonts w:hint="eastAsia" w:ascii="仿宋" w:hAnsi="仿宋" w:eastAsia="仿宋" w:cs="仿宋"/>
          <w:color w:val="auto"/>
          <w:szCs w:val="21"/>
          <w:highlight w:val="none"/>
        </w:rPr>
      </w:pPr>
    </w:p>
    <w:p w14:paraId="0EE01A50">
      <w:pPr>
        <w:spacing w:line="360" w:lineRule="auto"/>
        <w:rPr>
          <w:rFonts w:hint="eastAsia" w:ascii="仿宋" w:hAnsi="仿宋" w:eastAsia="仿宋" w:cs="仿宋"/>
          <w:color w:val="auto"/>
          <w:szCs w:val="21"/>
          <w:highlight w:val="none"/>
        </w:rPr>
      </w:pPr>
    </w:p>
    <w:p w14:paraId="465E2649">
      <w:pPr>
        <w:spacing w:line="360" w:lineRule="auto"/>
        <w:rPr>
          <w:rFonts w:hint="eastAsia" w:ascii="仿宋" w:hAnsi="仿宋" w:eastAsia="仿宋" w:cs="仿宋"/>
          <w:color w:val="auto"/>
          <w:szCs w:val="21"/>
          <w:highlight w:val="none"/>
        </w:rPr>
      </w:pPr>
    </w:p>
    <w:p w14:paraId="24EF9357">
      <w:pPr>
        <w:spacing w:line="360" w:lineRule="auto"/>
        <w:rPr>
          <w:rFonts w:hint="eastAsia" w:ascii="仿宋" w:hAnsi="仿宋" w:eastAsia="仿宋" w:cs="仿宋"/>
          <w:color w:val="auto"/>
          <w:szCs w:val="21"/>
          <w:highlight w:val="none"/>
        </w:rPr>
      </w:pPr>
    </w:p>
    <w:p w14:paraId="15F43BC3">
      <w:pPr>
        <w:spacing w:line="360" w:lineRule="auto"/>
        <w:rPr>
          <w:rFonts w:hint="eastAsia" w:ascii="仿宋" w:hAnsi="仿宋" w:eastAsia="仿宋" w:cs="仿宋"/>
          <w:color w:val="auto"/>
          <w:szCs w:val="21"/>
          <w:highlight w:val="none"/>
        </w:rPr>
      </w:pPr>
    </w:p>
    <w:p w14:paraId="55A5626F">
      <w:pPr>
        <w:spacing w:line="360" w:lineRule="auto"/>
        <w:ind w:firstLine="4305" w:firstLineChars="2050"/>
        <w:rPr>
          <w:rFonts w:hint="eastAsia" w:ascii="仿宋" w:hAnsi="仿宋" w:eastAsia="仿宋" w:cs="仿宋"/>
          <w:color w:val="auto"/>
          <w:szCs w:val="21"/>
          <w:highlight w:val="none"/>
        </w:rPr>
      </w:pPr>
    </w:p>
    <w:p w14:paraId="44BE17D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参选人名称：（盖单位公章）</w:t>
      </w:r>
    </w:p>
    <w:p w14:paraId="4BA45816">
      <w:pPr>
        <w:spacing w:line="360" w:lineRule="auto"/>
        <w:rPr>
          <w:rFonts w:hint="eastAsia" w:ascii="仿宋" w:hAnsi="仿宋" w:eastAsia="仿宋" w:cs="仿宋"/>
          <w:color w:val="auto"/>
          <w:szCs w:val="21"/>
          <w:highlight w:val="none"/>
        </w:rPr>
      </w:pPr>
    </w:p>
    <w:p w14:paraId="7AD40F71">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p w14:paraId="34615EE2">
      <w:pPr>
        <w:pStyle w:val="6"/>
        <w:pageBreakBefore/>
        <w:spacing w:line="360" w:lineRule="auto"/>
        <w:rPr>
          <w:rFonts w:hint="eastAsia" w:ascii="仿宋" w:hAnsi="仿宋" w:eastAsia="仿宋" w:cs="仿宋"/>
          <w:b/>
          <w:color w:val="auto"/>
          <w:sz w:val="21"/>
          <w:szCs w:val="21"/>
          <w:highlight w:val="none"/>
        </w:rPr>
      </w:pPr>
      <w:bookmarkStart w:id="533" w:name="_Toc478566331"/>
      <w:bookmarkStart w:id="534" w:name="_Toc478566139"/>
      <w:bookmarkStart w:id="535" w:name="_Toc478565776"/>
      <w:bookmarkStart w:id="536" w:name="_Toc474148167"/>
      <w:r>
        <w:rPr>
          <w:rFonts w:hint="eastAsia" w:ascii="仿宋" w:hAnsi="仿宋" w:eastAsia="仿宋" w:cs="仿宋"/>
          <w:b/>
          <w:color w:val="auto"/>
          <w:sz w:val="21"/>
          <w:szCs w:val="21"/>
          <w:highlight w:val="none"/>
        </w:rPr>
        <w:t>2.法定代表人（负责人）授权委托书</w:t>
      </w:r>
      <w:bookmarkEnd w:id="533"/>
      <w:bookmarkEnd w:id="534"/>
      <w:bookmarkEnd w:id="535"/>
      <w:bookmarkEnd w:id="536"/>
    </w:p>
    <w:p w14:paraId="1681CF42">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本人</w:t>
      </w:r>
      <w:r>
        <w:rPr>
          <w:rFonts w:hint="eastAsia" w:ascii="仿宋" w:hAnsi="仿宋" w:eastAsia="仿宋" w:cs="仿宋"/>
          <w:bCs/>
          <w:color w:val="auto"/>
          <w:szCs w:val="21"/>
          <w:highlight w:val="none"/>
          <w:u w:val="single"/>
        </w:rPr>
        <w:t>（姓名）</w:t>
      </w:r>
      <w:r>
        <w:rPr>
          <w:rFonts w:hint="eastAsia" w:ascii="仿宋" w:hAnsi="仿宋" w:eastAsia="仿宋" w:cs="仿宋"/>
          <w:bCs/>
          <w:color w:val="auto"/>
          <w:szCs w:val="21"/>
          <w:highlight w:val="none"/>
        </w:rPr>
        <w:t xml:space="preserve">系 </w:t>
      </w:r>
      <w:r>
        <w:rPr>
          <w:rFonts w:hint="eastAsia" w:ascii="仿宋" w:hAnsi="仿宋" w:eastAsia="仿宋" w:cs="仿宋"/>
          <w:bCs/>
          <w:color w:val="auto"/>
          <w:szCs w:val="21"/>
          <w:highlight w:val="none"/>
          <w:u w:val="single"/>
        </w:rPr>
        <w:t>（参选人名称）</w:t>
      </w:r>
      <w:r>
        <w:rPr>
          <w:rFonts w:hint="eastAsia" w:ascii="仿宋" w:hAnsi="仿宋" w:eastAsia="仿宋" w:cs="仿宋"/>
          <w:bCs/>
          <w:color w:val="auto"/>
          <w:szCs w:val="21"/>
          <w:highlight w:val="none"/>
        </w:rPr>
        <w:t>的法定代表人</w:t>
      </w:r>
      <w:r>
        <w:rPr>
          <w:rFonts w:hint="eastAsia" w:ascii="仿宋" w:hAnsi="仿宋" w:eastAsia="仿宋" w:cs="仿宋"/>
          <w:color w:val="auto"/>
          <w:szCs w:val="21"/>
          <w:highlight w:val="none"/>
        </w:rPr>
        <w:t>（负责人）</w:t>
      </w:r>
      <w:r>
        <w:rPr>
          <w:rFonts w:hint="eastAsia" w:ascii="仿宋" w:hAnsi="仿宋" w:eastAsia="仿宋" w:cs="仿宋"/>
          <w:bCs/>
          <w:color w:val="auto"/>
          <w:szCs w:val="21"/>
          <w:highlight w:val="none"/>
        </w:rPr>
        <w:t>，现委托</w:t>
      </w:r>
      <w:r>
        <w:rPr>
          <w:rFonts w:hint="eastAsia" w:ascii="仿宋" w:hAnsi="仿宋" w:eastAsia="仿宋" w:cs="仿宋"/>
          <w:bCs/>
          <w:color w:val="auto"/>
          <w:szCs w:val="21"/>
          <w:highlight w:val="none"/>
          <w:u w:val="single"/>
        </w:rPr>
        <w:t>（姓名）</w:t>
      </w:r>
      <w:r>
        <w:rPr>
          <w:rFonts w:hint="eastAsia" w:ascii="仿宋" w:hAnsi="仿宋" w:eastAsia="仿宋" w:cs="仿宋"/>
          <w:bCs/>
          <w:color w:val="auto"/>
          <w:szCs w:val="21"/>
          <w:highlight w:val="none"/>
        </w:rPr>
        <w:t>为我方代理人。代理人根据授权，以我方名义全权处理</w:t>
      </w:r>
      <w:r>
        <w:rPr>
          <w:rFonts w:hint="eastAsia" w:ascii="仿宋" w:hAnsi="仿宋" w:eastAsia="仿宋" w:cs="仿宋"/>
          <w:bCs/>
          <w:color w:val="auto"/>
          <w:szCs w:val="21"/>
          <w:highlight w:val="none"/>
          <w:u w:val="single"/>
          <w:lang w:eastAsia="zh-CN"/>
        </w:rPr>
        <w:t>南宁轨道数智科技有限公司新自营项目整合传播服务</w:t>
      </w:r>
      <w:r>
        <w:rPr>
          <w:rFonts w:hint="eastAsia" w:ascii="仿宋" w:hAnsi="仿宋" w:eastAsia="仿宋" w:cs="仿宋"/>
          <w:bCs/>
          <w:color w:val="auto"/>
          <w:szCs w:val="21"/>
          <w:highlight w:val="none"/>
          <w:u w:val="single"/>
        </w:rPr>
        <w:t>采购项目</w:t>
      </w:r>
      <w:r>
        <w:rPr>
          <w:rFonts w:hint="eastAsia" w:ascii="仿宋" w:hAnsi="仿宋" w:eastAsia="仿宋" w:cs="仿宋"/>
          <w:bCs/>
          <w:color w:val="auto"/>
          <w:szCs w:val="21"/>
          <w:highlight w:val="none"/>
        </w:rPr>
        <w:t>签署、澄清、说明、补正、递交、撤回、修改参选文件，签订合同和处理一切有关事宜，其法律后果由我方承担。</w:t>
      </w:r>
    </w:p>
    <w:p w14:paraId="0CF8D193">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委托期限：</w:t>
      </w:r>
      <w:r>
        <w:rPr>
          <w:rFonts w:hint="eastAsia" w:ascii="仿宋" w:hAnsi="仿宋" w:eastAsia="仿宋" w:cs="仿宋"/>
          <w:bCs/>
          <w:color w:val="auto"/>
          <w:szCs w:val="21"/>
          <w:highlight w:val="none"/>
          <w:u w:val="single"/>
        </w:rPr>
        <w:t>自签字之日起至本项目采购结束为止</w:t>
      </w:r>
      <w:r>
        <w:rPr>
          <w:rFonts w:hint="eastAsia" w:ascii="仿宋" w:hAnsi="仿宋" w:eastAsia="仿宋" w:cs="仿宋"/>
          <w:bCs/>
          <w:color w:val="auto"/>
          <w:szCs w:val="21"/>
          <w:highlight w:val="none"/>
        </w:rPr>
        <w:t>。</w:t>
      </w:r>
    </w:p>
    <w:p w14:paraId="408CA987">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代理人无转委托权。</w:t>
      </w:r>
    </w:p>
    <w:p w14:paraId="6F507190">
      <w:pPr>
        <w:topLinePunct/>
        <w:snapToGrid w:val="0"/>
        <w:spacing w:line="360" w:lineRule="auto"/>
        <w:ind w:firstLine="420" w:firstLineChars="200"/>
        <w:rPr>
          <w:rFonts w:hint="eastAsia" w:ascii="仿宋" w:hAnsi="仿宋" w:eastAsia="仿宋" w:cs="仿宋"/>
          <w:bCs/>
          <w:color w:val="auto"/>
          <w:szCs w:val="21"/>
          <w:highlight w:val="none"/>
        </w:rPr>
      </w:pPr>
    </w:p>
    <w:p w14:paraId="7C219320">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附：委托代理人身份证扫描件(需同时提供正面及背面)</w:t>
      </w:r>
    </w:p>
    <w:p w14:paraId="2F162F8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4"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B367AB6">
                            <w:pPr>
                              <w:jc w:val="center"/>
                              <w:rPr>
                                <w:sz w:val="18"/>
                                <w:szCs w:val="21"/>
                              </w:rPr>
                            </w:pPr>
                            <w:r>
                              <w:rPr>
                                <w:rFonts w:hint="eastAsia"/>
                                <w:sz w:val="18"/>
                                <w:szCs w:val="21"/>
                              </w:rPr>
                              <w:t>委托代理人身份证背面扫描件贴于此处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ZAB/52UCAACvBAAADgAAAGRycy9lMm9Eb2MueG1srVTN&#10;btQwEL4j8Q6W7zSbdEO7UbNV1aoIqUClwgN4HWdj4T/G3s2WE5wqxIEH4AW4ceIKT1N+3oKJk122&#10;hUMP5GB5PPY333wzk4PDlVZkKcBLa0qa7owoEYbbSpp5SV88P32wT4kPzFRMWSNKeik8PZzev3fQ&#10;ukJktrGqEkAQxPiidSVtQnBFknjeCM38jnXCoLO2oFlAE+ZJBaxFdK2SbDR6mLQWKgeWC+/x9KR3&#10;0gER7gJo61pycWL5QgsTelQQigVMyTfSeTqNbOta8PCsrr0IRJUUMw1xxSC4n3VrMj1gxRyYayQf&#10;KLC7ULiVk2bSYNAN1AkLjCxA/gWlJQfrbR12uNVJn0hUBLNIR7e0uWiYEzEXlNq7jej+/8Hyp8tz&#10;ILIq6ZgSwzQW/PuXtz8+vb/++LUg1x8+/3rz7ue3KzwgWSdW63yBby7cOXTpendm+UtPjD1umJmL&#10;IwDbNoJVSDHt7ic3HnSGx6dk1j6xFcZii2CjbqsadAeIipBVLM/lpjxiFQjHw91sspfnOSUcfVma&#10;7k7SPMZgxfq5Ax8eCatJtylprWyLxCAcqSDAsCDO+8aLMdnyzIeOIyvW72JOVsnqVCoVDZjPjhWQ&#10;JcMGOo3fENJvX1OGtCWd5FkekW/4/DbEKH7/gtASKRIldUn3ty8p0/EQsZcHvmsZ+3KE1Ww1VGZm&#10;q0tUF2zf5zjluGksvKakxR4vqX+1YCAoUY8NVmiSjsfdUERjnO9laMC2Z7btYYYjVEkDJf32OPSD&#10;tHAg5w1GSmPyxh5hVWsZpe2o9qyGXsA+jooPM9cNyrYdb/35z0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ACJfjYAAAACgEAAA8AAAAAAAAAAQAgAAAAIgAAAGRycy9kb3ducmV2LnhtbFBLAQIU&#10;ABQAAAAIAIdO4kBkAH/nZQIAAK8EAAAOAAAAAAAAAAEAIAAAACcBAABkcnMvZTJvRG9jLnhtbFBL&#10;BQYAAAAABgAGAFkBAAD+BQAAAAA=&#10;">
                <v:fill on="t" focussize="0,0"/>
                <v:stroke color="#000000" miterlimit="8" joinstyle="miter"/>
                <v:imagedata o:title=""/>
                <o:lock v:ext="edit" aspectratio="f"/>
                <v:textbox>
                  <w:txbxContent>
                    <w:p w14:paraId="4B367AB6">
                      <w:pPr>
                        <w:jc w:val="center"/>
                        <w:rPr>
                          <w:sz w:val="18"/>
                          <w:szCs w:val="21"/>
                        </w:rPr>
                      </w:pPr>
                      <w:r>
                        <w:rPr>
                          <w:rFonts w:hint="eastAsia"/>
                          <w:sz w:val="18"/>
                          <w:szCs w:val="21"/>
                        </w:rPr>
                        <w:t>委托代理人身份证背面扫描件贴于此处</w:t>
                      </w:r>
                    </w:p>
                  </w:txbxContent>
                </v:textbox>
              </v:shape>
            </w:pict>
          </mc:Fallback>
        </mc:AlternateContent>
      </w:r>
      <w:r>
        <w:rPr>
          <w:rFonts w:hint="eastAsia" w:ascii="仿宋" w:hAnsi="仿宋" w:eastAsia="仿宋" w:cs="仿宋"/>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3"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ED08107">
                            <w:pPr>
                              <w:jc w:val="center"/>
                              <w:rPr>
                                <w:sz w:val="18"/>
                                <w:szCs w:val="21"/>
                              </w:rPr>
                            </w:pPr>
                            <w:r>
                              <w:rPr>
                                <w:rFonts w:hint="eastAsia"/>
                                <w:sz w:val="18"/>
                                <w:szCs w:val="21"/>
                              </w:rPr>
                              <w:t>委托代理人身份证正面扫描件贴于此处</w:t>
                            </w:r>
                          </w:p>
                          <w:p w14:paraId="0FF2C3D6">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H1RFoplAgAArwQAAA4AAABkcnMvZTJvRG9jLnhtbK1U&#10;zW7UMBC+I/EOlu80m21Du1GzVdWqCKlApcIDeB1nY2F7zNi72XKCE0IceABegBsnrvA05ectmDjb&#10;sgUOPZCD5fF4vvnmm3H2D1bWsKXCoMFVPN8acaachFq7ecWfPT25t8dZiMLVwoBTFb9QgR9M797Z&#10;73ypxtCCqRUyAnGh7HzF2xh9mWVBtsqKsAVeOXI2gFZEMnGe1Sg6QrcmG49G97MOsPYIUoVAp8eD&#10;k68R8TaA0DRaqmOQC6tcHFBRGRGppNBqH/g0sW0aJeOTpgkqMlNxqjSmlZLQftav2XRflHMUvtVy&#10;TUHchsIfNVmhHSW9hjoWUbAF6r+grJYIAZq4JcFmQyFJEaoiH/2hzXkrvEq1kNTBX4se/h+sfLw8&#10;Q6brim9z5oSlhn/7/Pr7x3eXH76U7PL9p5+v3v74+oYOWN6L1flQUsy5P8O+3OBPQT4PzMFRK9xc&#10;HSJC1ypRE8V0P7sR0BuBQtmsewQ15RKLCEm3VYO2ByRF2Cq15+K6PWoVmaTD7fFktygKziT5xnm+&#10;PcmLnlMmyqtwjyE+UGBZv6l4Y6AjYhgPTVToRFRnw+ClnGJ5GuIQfxWXagKj6xNtTDJwPjsyyJaC&#10;BugkfeuUYfOacayr+KQYFwn5hi9sQozS9y8Iq4kiM9pWfG/zknE9D5Vmec33SsahHXE1W607M4P6&#10;gtRFGOacXjltWsCXnHU04xUPLxYCFWfmoaMOTfKdnf5RJGOn2B2TgZue2aZHOElQFY+cDdujODyk&#10;hUc9bylTnop3cEhdbXSStqc6sKI+9QbNcerY+s31D2XTTrd+/2e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Aglc2QAAAAsBAAAPAAAAAAAAAAEAIAAAACIAAABkcnMvZG93bnJldi54bWxQSwEC&#10;FAAUAAAACACHTuJAfVEWimUCAACvBAAADgAAAAAAAAABACAAAAAoAQAAZHJzL2Uyb0RvYy54bWxQ&#10;SwUGAAAAAAYABgBZAQAA/wUAAAAA&#10;">
                <v:fill on="t" focussize="0,0"/>
                <v:stroke color="#000000" miterlimit="8" joinstyle="miter"/>
                <v:imagedata o:title=""/>
                <o:lock v:ext="edit" aspectratio="f"/>
                <v:textbox>
                  <w:txbxContent>
                    <w:p w14:paraId="2ED08107">
                      <w:pPr>
                        <w:jc w:val="center"/>
                        <w:rPr>
                          <w:sz w:val="18"/>
                          <w:szCs w:val="21"/>
                        </w:rPr>
                      </w:pPr>
                      <w:r>
                        <w:rPr>
                          <w:rFonts w:hint="eastAsia"/>
                          <w:sz w:val="18"/>
                          <w:szCs w:val="21"/>
                        </w:rPr>
                        <w:t>委托代理人身份证正面扫描件贴于此处</w:t>
                      </w:r>
                    </w:p>
                    <w:p w14:paraId="0FF2C3D6">
                      <w:pPr>
                        <w:jc w:val="center"/>
                        <w:rPr>
                          <w:szCs w:val="21"/>
                        </w:rPr>
                      </w:pPr>
                    </w:p>
                  </w:txbxContent>
                </v:textbox>
              </v:shape>
            </w:pict>
          </mc:Fallback>
        </mc:AlternateContent>
      </w:r>
    </w:p>
    <w:p w14:paraId="041F7DCF">
      <w:pPr>
        <w:spacing w:line="360" w:lineRule="auto"/>
        <w:rPr>
          <w:rFonts w:hint="eastAsia" w:ascii="仿宋" w:hAnsi="仿宋" w:eastAsia="仿宋" w:cs="仿宋"/>
          <w:color w:val="auto"/>
          <w:szCs w:val="21"/>
          <w:highlight w:val="none"/>
        </w:rPr>
      </w:pPr>
    </w:p>
    <w:p w14:paraId="472A2BCA">
      <w:pPr>
        <w:spacing w:line="360" w:lineRule="auto"/>
        <w:rPr>
          <w:rFonts w:hint="eastAsia" w:ascii="仿宋" w:hAnsi="仿宋" w:eastAsia="仿宋" w:cs="仿宋"/>
          <w:color w:val="auto"/>
          <w:szCs w:val="21"/>
          <w:highlight w:val="none"/>
        </w:rPr>
      </w:pPr>
    </w:p>
    <w:p w14:paraId="37DECA10">
      <w:pPr>
        <w:spacing w:line="360" w:lineRule="auto"/>
        <w:rPr>
          <w:rFonts w:hint="eastAsia" w:ascii="仿宋" w:hAnsi="仿宋" w:eastAsia="仿宋" w:cs="仿宋"/>
          <w:color w:val="auto"/>
          <w:szCs w:val="21"/>
          <w:highlight w:val="none"/>
        </w:rPr>
      </w:pPr>
    </w:p>
    <w:p w14:paraId="78FA8DF1">
      <w:pPr>
        <w:spacing w:line="360" w:lineRule="auto"/>
        <w:rPr>
          <w:rFonts w:hint="eastAsia" w:ascii="仿宋" w:hAnsi="仿宋" w:eastAsia="仿宋" w:cs="仿宋"/>
          <w:color w:val="auto"/>
          <w:szCs w:val="21"/>
          <w:highlight w:val="none"/>
        </w:rPr>
      </w:pPr>
    </w:p>
    <w:p w14:paraId="3F24575A">
      <w:pPr>
        <w:spacing w:line="360" w:lineRule="auto"/>
        <w:rPr>
          <w:rFonts w:hint="eastAsia" w:ascii="仿宋" w:hAnsi="仿宋" w:eastAsia="仿宋" w:cs="仿宋"/>
          <w:color w:val="auto"/>
          <w:szCs w:val="21"/>
          <w:highlight w:val="none"/>
        </w:rPr>
      </w:pPr>
    </w:p>
    <w:p w14:paraId="7037FAD3">
      <w:pPr>
        <w:spacing w:line="360" w:lineRule="auto"/>
        <w:rPr>
          <w:rFonts w:hint="eastAsia" w:ascii="仿宋" w:hAnsi="仿宋" w:eastAsia="仿宋" w:cs="仿宋"/>
          <w:color w:val="auto"/>
          <w:szCs w:val="21"/>
          <w:highlight w:val="none"/>
        </w:rPr>
      </w:pPr>
    </w:p>
    <w:p w14:paraId="2E9E5668">
      <w:pPr>
        <w:spacing w:line="360" w:lineRule="auto"/>
        <w:rPr>
          <w:rFonts w:hint="eastAsia" w:ascii="仿宋" w:hAnsi="仿宋" w:eastAsia="仿宋" w:cs="仿宋"/>
          <w:color w:val="auto"/>
          <w:szCs w:val="21"/>
          <w:highlight w:val="none"/>
        </w:rPr>
      </w:pPr>
    </w:p>
    <w:p w14:paraId="0B65A109">
      <w:pPr>
        <w:spacing w:line="360" w:lineRule="auto"/>
        <w:rPr>
          <w:rFonts w:hint="eastAsia" w:ascii="仿宋" w:hAnsi="仿宋" w:eastAsia="仿宋" w:cs="仿宋"/>
          <w:color w:val="auto"/>
          <w:szCs w:val="21"/>
          <w:highlight w:val="none"/>
        </w:rPr>
      </w:pPr>
    </w:p>
    <w:p w14:paraId="54DF9429">
      <w:pPr>
        <w:spacing w:line="360" w:lineRule="auto"/>
        <w:rPr>
          <w:rFonts w:hint="eastAsia" w:ascii="仿宋" w:hAnsi="仿宋" w:eastAsia="仿宋" w:cs="仿宋"/>
          <w:color w:val="auto"/>
          <w:szCs w:val="21"/>
          <w:highlight w:val="none"/>
        </w:rPr>
      </w:pPr>
    </w:p>
    <w:p w14:paraId="2043C416">
      <w:pPr>
        <w:spacing w:line="360" w:lineRule="auto"/>
        <w:jc w:val="left"/>
        <w:rPr>
          <w:rFonts w:hint="eastAsia" w:ascii="仿宋" w:hAnsi="仿宋" w:eastAsia="仿宋" w:cs="仿宋"/>
          <w:color w:val="auto"/>
          <w:szCs w:val="21"/>
          <w:highlight w:val="none"/>
        </w:rPr>
      </w:pPr>
    </w:p>
    <w:p w14:paraId="62C635A4">
      <w:pPr>
        <w:topLinePunct/>
        <w:snapToGrid w:val="0"/>
        <w:spacing w:line="360" w:lineRule="auto"/>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参选人名称：（盖单位公章）</w:t>
      </w:r>
    </w:p>
    <w:p w14:paraId="6904B083">
      <w:pPr>
        <w:topLinePunct/>
        <w:snapToGrid w:val="0"/>
        <w:spacing w:line="360" w:lineRule="auto"/>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w:t>
      </w:r>
      <w:r>
        <w:rPr>
          <w:rFonts w:hint="eastAsia" w:ascii="仿宋" w:hAnsi="仿宋" w:eastAsia="仿宋" w:cs="仿宋"/>
          <w:color w:val="auto"/>
          <w:szCs w:val="21"/>
          <w:highlight w:val="none"/>
        </w:rPr>
        <w:t>（负责人）</w:t>
      </w:r>
      <w:r>
        <w:rPr>
          <w:rFonts w:hint="eastAsia" w:ascii="仿宋" w:hAnsi="仿宋" w:eastAsia="仿宋" w:cs="仿宋"/>
          <w:bCs/>
          <w:color w:val="auto"/>
          <w:szCs w:val="21"/>
          <w:highlight w:val="none"/>
        </w:rPr>
        <w:t>：（签字）</w:t>
      </w:r>
    </w:p>
    <w:p w14:paraId="73F48CEB">
      <w:pPr>
        <w:topLinePunct/>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w:t>
      </w:r>
      <w:r>
        <w:rPr>
          <w:rFonts w:hint="eastAsia" w:ascii="仿宋" w:hAnsi="仿宋" w:eastAsia="仿宋" w:cs="仿宋"/>
          <w:color w:val="auto"/>
          <w:szCs w:val="21"/>
          <w:highlight w:val="none"/>
        </w:rPr>
        <w:t>（负责人）</w:t>
      </w:r>
      <w:r>
        <w:rPr>
          <w:rFonts w:hint="eastAsia" w:ascii="仿宋" w:hAnsi="仿宋" w:eastAsia="仿宋" w:cs="仿宋"/>
          <w:bCs/>
          <w:color w:val="auto"/>
          <w:szCs w:val="21"/>
          <w:highlight w:val="none"/>
        </w:rPr>
        <w:t>身份证号码：</w:t>
      </w:r>
    </w:p>
    <w:p w14:paraId="07CF12D4">
      <w:pPr>
        <w:topLinePunct/>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委托代理人：（签字） </w:t>
      </w:r>
    </w:p>
    <w:p w14:paraId="2E120172">
      <w:pPr>
        <w:topLinePunct/>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委托代理人身份证号码：</w:t>
      </w:r>
    </w:p>
    <w:p w14:paraId="03CE2F43">
      <w:pPr>
        <w:topLinePunct/>
        <w:snapToGrid w:val="0"/>
        <w:spacing w:line="360" w:lineRule="auto"/>
        <w:ind w:firstLine="1050" w:firstLineChars="5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年   月   日</w:t>
      </w:r>
    </w:p>
    <w:p w14:paraId="17F7BD56">
      <w:pPr>
        <w:topLinePunct/>
        <w:snapToGrid w:val="0"/>
        <w:spacing w:line="360" w:lineRule="auto"/>
        <w:jc w:val="center"/>
        <w:rPr>
          <w:rFonts w:hint="eastAsia" w:ascii="仿宋" w:hAnsi="仿宋" w:eastAsia="仿宋" w:cs="仿宋"/>
          <w:bCs/>
          <w:color w:val="auto"/>
          <w:szCs w:val="21"/>
          <w:highlight w:val="none"/>
        </w:rPr>
      </w:pPr>
    </w:p>
    <w:p w14:paraId="5004E638">
      <w:pPr>
        <w:topLinePunct/>
        <w:snapToGrid w:val="0"/>
        <w:spacing w:line="360" w:lineRule="auto"/>
        <w:jc w:val="center"/>
        <w:rPr>
          <w:rFonts w:hint="eastAsia" w:ascii="仿宋" w:hAnsi="仿宋" w:eastAsia="仿宋" w:cs="仿宋"/>
          <w:bCs/>
          <w:color w:val="auto"/>
          <w:szCs w:val="21"/>
          <w:highlight w:val="none"/>
        </w:rPr>
        <w:sectPr>
          <w:pgSz w:w="11906" w:h="16838"/>
          <w:pgMar w:top="1701" w:right="1418" w:bottom="1418" w:left="1418" w:header="851" w:footer="992" w:gutter="0"/>
          <w:cols w:space="425" w:num="1"/>
          <w:docGrid w:linePitch="312" w:charSpace="0"/>
        </w:sectPr>
      </w:pPr>
    </w:p>
    <w:p w14:paraId="7DFD4265">
      <w:pPr>
        <w:pStyle w:val="6"/>
        <w:pageBreakBefore/>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3.营业执照等</w:t>
      </w:r>
    </w:p>
    <w:p w14:paraId="45EF2463">
      <w:pPr>
        <w:widowControl/>
        <w:spacing w:line="360" w:lineRule="auto"/>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3.1</w:t>
      </w:r>
      <w:r>
        <w:rPr>
          <w:rFonts w:hint="eastAsia" w:ascii="仿宋" w:hAnsi="仿宋" w:eastAsia="仿宋" w:cs="仿宋"/>
          <w:bCs/>
          <w:color w:val="auto"/>
          <w:szCs w:val="21"/>
          <w:highlight w:val="none"/>
        </w:rPr>
        <w:tab/>
      </w:r>
      <w:r>
        <w:rPr>
          <w:rFonts w:hint="eastAsia" w:ascii="仿宋" w:hAnsi="仿宋" w:eastAsia="仿宋" w:cs="仿宋"/>
          <w:bCs/>
          <w:color w:val="auto"/>
          <w:szCs w:val="21"/>
          <w:highlight w:val="none"/>
        </w:rPr>
        <w:t>参选人须是在中华人民共和国境内注册，合法运作并独立于比选人，具备独立法人资格或依法登记注册的组织，有能力为本项目提供技术服务的能力，具有有效的营业执照或事业单位法人证书，以及提供</w:t>
      </w:r>
      <w:r>
        <w:rPr>
          <w:rFonts w:hint="eastAsia" w:ascii="仿宋" w:hAnsi="仿宋" w:eastAsia="仿宋" w:cs="仿宋"/>
          <w:b/>
          <w:color w:val="auto"/>
          <w:szCs w:val="21"/>
          <w:highlight w:val="none"/>
        </w:rPr>
        <w:t>企业信用网查询截图。（必须提供）</w:t>
      </w:r>
    </w:p>
    <w:p w14:paraId="3AA0B77E">
      <w:pPr>
        <w:pStyle w:val="6"/>
        <w:pageBreakBefore/>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4.参选人控股及管理关系情况申报表</w:t>
      </w:r>
    </w:p>
    <w:p w14:paraId="7E4A08B6">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lang w:eastAsia="zh-CN"/>
        </w:rPr>
        <w:t>南宁轨道数智科技有限公司</w:t>
      </w:r>
      <w:r>
        <w:rPr>
          <w:rFonts w:hint="eastAsia" w:ascii="仿宋" w:hAnsi="仿宋" w:eastAsia="仿宋" w:cs="仿宋"/>
          <w:color w:val="auto"/>
          <w:szCs w:val="21"/>
          <w:highlight w:val="none"/>
        </w:rPr>
        <w:t>：</w:t>
      </w:r>
    </w:p>
    <w:p w14:paraId="793D3AD4">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我方参加本项目的参选，根据法律法规维护参选公正性的相关规定，特就本单位控股及管理关系情况申报如下，并承担申报不实的责任。</w:t>
      </w:r>
    </w:p>
    <w:tbl>
      <w:tblPr>
        <w:tblStyle w:val="43"/>
        <w:tblW w:w="911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2460"/>
        <w:gridCol w:w="3983"/>
      </w:tblGrid>
      <w:tr w14:paraId="23F5A6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14:paraId="4B3348D0">
            <w:pPr>
              <w:adjustRightInd w:val="0"/>
              <w:spacing w:before="96" w:beforeLines="40" w:after="96" w:afterLines="4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申报人名称</w:t>
            </w:r>
          </w:p>
        </w:tc>
        <w:tc>
          <w:tcPr>
            <w:tcW w:w="6443" w:type="dxa"/>
            <w:gridSpan w:val="2"/>
            <w:vAlign w:val="center"/>
          </w:tcPr>
          <w:p w14:paraId="097D38B8">
            <w:pPr>
              <w:adjustRightInd w:val="0"/>
              <w:spacing w:before="96" w:beforeLines="40" w:after="96" w:afterLines="40" w:line="360" w:lineRule="auto"/>
              <w:rPr>
                <w:rFonts w:hint="eastAsia" w:ascii="仿宋" w:hAnsi="仿宋" w:eastAsia="仿宋" w:cs="仿宋"/>
                <w:color w:val="auto"/>
                <w:sz w:val="28"/>
                <w:szCs w:val="21"/>
                <w:highlight w:val="none"/>
              </w:rPr>
            </w:pPr>
          </w:p>
        </w:tc>
      </w:tr>
      <w:tr w14:paraId="4AEA18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67" w:type="dxa"/>
            <w:vMerge w:val="restart"/>
            <w:vAlign w:val="center"/>
          </w:tcPr>
          <w:p w14:paraId="2203B33D">
            <w:pPr>
              <w:adjustRightInd w:val="0"/>
              <w:spacing w:before="96" w:beforeLines="40" w:after="96" w:afterLines="4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w:t>
            </w:r>
          </w:p>
        </w:tc>
        <w:tc>
          <w:tcPr>
            <w:tcW w:w="2460" w:type="dxa"/>
            <w:vAlign w:val="center"/>
          </w:tcPr>
          <w:p w14:paraId="02FFE53C">
            <w:pPr>
              <w:adjustRightInd w:val="0"/>
              <w:spacing w:before="96" w:beforeLines="40" w:after="96" w:afterLines="4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3983" w:type="dxa"/>
            <w:vAlign w:val="center"/>
          </w:tcPr>
          <w:p w14:paraId="2E09D982">
            <w:pPr>
              <w:adjustRightInd w:val="0"/>
              <w:spacing w:line="360" w:lineRule="auto"/>
              <w:rPr>
                <w:rFonts w:hint="eastAsia" w:ascii="仿宋" w:hAnsi="仿宋" w:eastAsia="仿宋" w:cs="仿宋"/>
                <w:color w:val="auto"/>
                <w:szCs w:val="21"/>
                <w:highlight w:val="none"/>
              </w:rPr>
            </w:pPr>
          </w:p>
        </w:tc>
      </w:tr>
      <w:tr w14:paraId="2E0972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67" w:type="dxa"/>
            <w:vMerge w:val="continue"/>
            <w:vAlign w:val="center"/>
          </w:tcPr>
          <w:p w14:paraId="11B095A2">
            <w:pPr>
              <w:adjustRightInd w:val="0"/>
              <w:spacing w:before="96" w:beforeLines="40" w:after="96" w:afterLines="40" w:line="360" w:lineRule="auto"/>
              <w:rPr>
                <w:rFonts w:hint="eastAsia" w:ascii="仿宋" w:hAnsi="仿宋" w:eastAsia="仿宋" w:cs="仿宋"/>
                <w:b/>
                <w:bCs/>
                <w:color w:val="auto"/>
                <w:sz w:val="44"/>
                <w:szCs w:val="21"/>
                <w:highlight w:val="none"/>
              </w:rPr>
            </w:pPr>
          </w:p>
        </w:tc>
        <w:tc>
          <w:tcPr>
            <w:tcW w:w="2460" w:type="dxa"/>
            <w:vAlign w:val="center"/>
          </w:tcPr>
          <w:p w14:paraId="3E69278B">
            <w:pPr>
              <w:adjustRightInd w:val="0"/>
              <w:spacing w:before="96" w:beforeLines="40" w:after="96" w:afterLines="4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p>
        </w:tc>
        <w:tc>
          <w:tcPr>
            <w:tcW w:w="3983" w:type="dxa"/>
            <w:vAlign w:val="center"/>
          </w:tcPr>
          <w:p w14:paraId="631EC21B">
            <w:pPr>
              <w:adjustRightInd w:val="0"/>
              <w:spacing w:line="360" w:lineRule="auto"/>
              <w:rPr>
                <w:rFonts w:hint="eastAsia" w:ascii="仿宋" w:hAnsi="仿宋" w:eastAsia="仿宋" w:cs="仿宋"/>
                <w:color w:val="auto"/>
                <w:szCs w:val="21"/>
                <w:highlight w:val="none"/>
              </w:rPr>
            </w:pPr>
          </w:p>
        </w:tc>
      </w:tr>
      <w:tr w14:paraId="54F08B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14:paraId="3B67754B">
            <w:pPr>
              <w:adjustRightIn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控股股东/投资人名称及出资比例</w:t>
            </w:r>
          </w:p>
        </w:tc>
        <w:tc>
          <w:tcPr>
            <w:tcW w:w="6443" w:type="dxa"/>
            <w:gridSpan w:val="2"/>
            <w:vAlign w:val="center"/>
          </w:tcPr>
          <w:p w14:paraId="0B0B8B6D">
            <w:pPr>
              <w:adjustRightInd w:val="0"/>
              <w:spacing w:line="360" w:lineRule="auto"/>
              <w:jc w:val="center"/>
              <w:rPr>
                <w:rFonts w:hint="eastAsia" w:ascii="仿宋" w:hAnsi="仿宋" w:eastAsia="仿宋" w:cs="仿宋"/>
                <w:color w:val="auto"/>
                <w:szCs w:val="21"/>
                <w:highlight w:val="none"/>
              </w:rPr>
            </w:pPr>
          </w:p>
        </w:tc>
      </w:tr>
      <w:tr w14:paraId="0C8E25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14:paraId="2B254CA0">
            <w:pPr>
              <w:adjustRightIn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非控股股东/投资人名称及出资比例</w:t>
            </w:r>
          </w:p>
        </w:tc>
        <w:tc>
          <w:tcPr>
            <w:tcW w:w="6443" w:type="dxa"/>
            <w:gridSpan w:val="2"/>
            <w:vAlign w:val="center"/>
          </w:tcPr>
          <w:p w14:paraId="50F971C3">
            <w:pPr>
              <w:adjustRightInd w:val="0"/>
              <w:spacing w:line="360" w:lineRule="auto"/>
              <w:jc w:val="center"/>
              <w:rPr>
                <w:rFonts w:hint="eastAsia" w:ascii="仿宋" w:hAnsi="仿宋" w:eastAsia="仿宋" w:cs="仿宋"/>
                <w:color w:val="auto"/>
                <w:szCs w:val="21"/>
                <w:highlight w:val="none"/>
              </w:rPr>
            </w:pPr>
          </w:p>
        </w:tc>
      </w:tr>
      <w:tr w14:paraId="1CFA46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67" w:type="dxa"/>
            <w:vMerge w:val="restart"/>
            <w:vAlign w:val="center"/>
          </w:tcPr>
          <w:p w14:paraId="4439BE2F">
            <w:pPr>
              <w:adjustRightIn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管理关系单位名称</w:t>
            </w:r>
          </w:p>
        </w:tc>
        <w:tc>
          <w:tcPr>
            <w:tcW w:w="2460" w:type="dxa"/>
            <w:vAlign w:val="center"/>
          </w:tcPr>
          <w:p w14:paraId="7641E84A">
            <w:pPr>
              <w:adjustRightInd w:val="0"/>
              <w:spacing w:before="96" w:beforeLines="40" w:after="96" w:afterLines="4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管理关系单位名称</w:t>
            </w:r>
          </w:p>
        </w:tc>
        <w:tc>
          <w:tcPr>
            <w:tcW w:w="3983" w:type="dxa"/>
            <w:vAlign w:val="center"/>
          </w:tcPr>
          <w:p w14:paraId="59794934">
            <w:pPr>
              <w:adjustRightInd w:val="0"/>
              <w:spacing w:line="360" w:lineRule="auto"/>
              <w:rPr>
                <w:rFonts w:hint="eastAsia" w:ascii="仿宋" w:hAnsi="仿宋" w:eastAsia="仿宋" w:cs="仿宋"/>
                <w:color w:val="auto"/>
                <w:szCs w:val="21"/>
                <w:highlight w:val="none"/>
              </w:rPr>
            </w:pPr>
          </w:p>
        </w:tc>
      </w:tr>
      <w:tr w14:paraId="7D7DAB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67" w:type="dxa"/>
            <w:vMerge w:val="continue"/>
            <w:vAlign w:val="center"/>
          </w:tcPr>
          <w:p w14:paraId="486F8AF2">
            <w:pPr>
              <w:adjustRightInd w:val="0"/>
              <w:spacing w:line="360" w:lineRule="auto"/>
              <w:rPr>
                <w:rFonts w:hint="eastAsia" w:ascii="仿宋" w:hAnsi="仿宋" w:eastAsia="仿宋" w:cs="仿宋"/>
                <w:color w:val="auto"/>
                <w:szCs w:val="21"/>
                <w:highlight w:val="none"/>
              </w:rPr>
            </w:pPr>
          </w:p>
        </w:tc>
        <w:tc>
          <w:tcPr>
            <w:tcW w:w="2460" w:type="dxa"/>
            <w:vAlign w:val="center"/>
          </w:tcPr>
          <w:p w14:paraId="7A3235B6">
            <w:pPr>
              <w:adjustRightInd w:val="0"/>
              <w:spacing w:before="96" w:beforeLines="40" w:after="96" w:afterLines="4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被管理关系单位名称</w:t>
            </w:r>
          </w:p>
        </w:tc>
        <w:tc>
          <w:tcPr>
            <w:tcW w:w="3983" w:type="dxa"/>
            <w:vAlign w:val="center"/>
          </w:tcPr>
          <w:p w14:paraId="7343721D">
            <w:pPr>
              <w:adjustRightInd w:val="0"/>
              <w:spacing w:line="360" w:lineRule="auto"/>
              <w:rPr>
                <w:rFonts w:hint="eastAsia" w:ascii="仿宋" w:hAnsi="仿宋" w:eastAsia="仿宋" w:cs="仿宋"/>
                <w:color w:val="auto"/>
                <w:szCs w:val="21"/>
                <w:highlight w:val="none"/>
              </w:rPr>
            </w:pPr>
          </w:p>
        </w:tc>
      </w:tr>
      <w:tr w14:paraId="137326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9110" w:type="dxa"/>
            <w:gridSpan w:val="3"/>
            <w:vAlign w:val="center"/>
          </w:tcPr>
          <w:p w14:paraId="59184746">
            <w:pPr>
              <w:adjustRightInd w:val="0"/>
              <w:spacing w:before="96" w:beforeLines="40" w:after="96" w:afterLines="4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bl>
    <w:p w14:paraId="43A2FAFB">
      <w:pPr>
        <w:adjustRightInd w:val="0"/>
        <w:snapToGrid w:val="0"/>
        <w:spacing w:line="360" w:lineRule="auto"/>
        <w:ind w:left="735" w:hanging="735" w:hangingChars="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注：1．控股股东/投资人是指出资比例在50%以上，或者出资比例不足50%，但享有公司股东会/董事会控制权的投资方（含单位或者个人）；</w:t>
      </w:r>
    </w:p>
    <w:p w14:paraId="5E83377D">
      <w:pPr>
        <w:pStyle w:val="100"/>
        <w:ind w:left="693" w:leftChars="180" w:hanging="315" w:hangingChars="150"/>
        <w:jc w:val="left"/>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pacing w:val="4"/>
          <w:sz w:val="21"/>
          <w:highlight w:val="none"/>
        </w:rPr>
        <w:t>管理关系单位是指与不具有出资持股关系的其他单位之间存在管理与被管理关系的单</w:t>
      </w:r>
      <w:r>
        <w:rPr>
          <w:rFonts w:hint="eastAsia" w:ascii="仿宋" w:hAnsi="仿宋" w:eastAsia="仿宋" w:cs="仿宋"/>
          <w:color w:val="auto"/>
          <w:sz w:val="21"/>
          <w:highlight w:val="none"/>
        </w:rPr>
        <w:t xml:space="preserve">位； </w:t>
      </w:r>
    </w:p>
    <w:p w14:paraId="6AF49B1D">
      <w:pPr>
        <w:pStyle w:val="100"/>
        <w:ind w:left="693" w:leftChars="180" w:hanging="315" w:hangingChars="150"/>
        <w:jc w:val="left"/>
        <w:rPr>
          <w:rFonts w:hint="eastAsia" w:ascii="仿宋" w:hAnsi="仿宋" w:eastAsia="仿宋" w:cs="仿宋"/>
          <w:color w:val="auto"/>
          <w:sz w:val="21"/>
          <w:highlight w:val="none"/>
        </w:rPr>
      </w:pPr>
      <w:r>
        <w:rPr>
          <w:rFonts w:hint="eastAsia" w:ascii="仿宋" w:hAnsi="仿宋" w:eastAsia="仿宋" w:cs="仿宋"/>
          <w:color w:val="auto"/>
          <w:sz w:val="21"/>
          <w:highlight w:val="none"/>
        </w:rPr>
        <w:t>3．如未有相关情况，请在相应栏填写“无”。</w:t>
      </w:r>
    </w:p>
    <w:p w14:paraId="03D75F03">
      <w:pPr>
        <w:pStyle w:val="100"/>
        <w:ind w:left="693" w:leftChars="180" w:hanging="315" w:hangingChars="150"/>
        <w:jc w:val="left"/>
        <w:rPr>
          <w:rFonts w:hint="eastAsia" w:ascii="仿宋" w:hAnsi="仿宋" w:eastAsia="仿宋" w:cs="仿宋"/>
          <w:color w:val="auto"/>
          <w:sz w:val="21"/>
          <w:highlight w:val="none"/>
        </w:rPr>
      </w:pPr>
    </w:p>
    <w:p w14:paraId="7864BB18">
      <w:pPr>
        <w:adjustRightInd w:val="0"/>
        <w:snapToGrid w:val="0"/>
        <w:spacing w:line="360" w:lineRule="auto"/>
        <w:jc w:val="right"/>
        <w:rPr>
          <w:rFonts w:hint="eastAsia" w:ascii="仿宋" w:hAnsi="仿宋" w:eastAsia="仿宋" w:cs="仿宋"/>
          <w:color w:val="auto"/>
          <w:szCs w:val="21"/>
          <w:highlight w:val="none"/>
        </w:rPr>
      </w:pPr>
    </w:p>
    <w:p w14:paraId="4B6A9316">
      <w:pPr>
        <w:adjustRightInd w:val="0"/>
        <w:snapToGrid w:val="0"/>
        <w:spacing w:line="360" w:lineRule="auto"/>
        <w:ind w:left="2425" w:leftChars="115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参选人：（盖单位公章）</w:t>
      </w:r>
    </w:p>
    <w:p w14:paraId="52998723">
      <w:pPr>
        <w:adjustRightInd w:val="0"/>
        <w:snapToGrid w:val="0"/>
        <w:spacing w:line="360" w:lineRule="auto"/>
        <w:ind w:right="210"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法定代表人（负责人）或者其委托代理人：（签字）</w:t>
      </w:r>
    </w:p>
    <w:p w14:paraId="66E222E1">
      <w:pPr>
        <w:topLinePunct/>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p w14:paraId="4AE1C110">
      <w:pPr>
        <w:pStyle w:val="36"/>
        <w:spacing w:line="360" w:lineRule="auto"/>
        <w:rPr>
          <w:rFonts w:hint="eastAsia" w:ascii="仿宋" w:hAnsi="仿宋" w:eastAsia="仿宋" w:cs="仿宋"/>
          <w:color w:val="auto"/>
          <w:szCs w:val="21"/>
          <w:highlight w:val="none"/>
        </w:rPr>
        <w:sectPr>
          <w:pgSz w:w="11906" w:h="16838"/>
          <w:pgMar w:top="1701" w:right="1418" w:bottom="1418" w:left="1418" w:header="851" w:footer="992" w:gutter="0"/>
          <w:cols w:space="425" w:num="1"/>
          <w:docGrid w:linePitch="312" w:charSpace="0"/>
        </w:sectPr>
      </w:pPr>
    </w:p>
    <w:bookmarkEnd w:id="514"/>
    <w:bookmarkEnd w:id="515"/>
    <w:bookmarkEnd w:id="516"/>
    <w:bookmarkEnd w:id="517"/>
    <w:p w14:paraId="7E1A9459">
      <w:pPr>
        <w:pStyle w:val="6"/>
        <w:pageBreakBefore/>
        <w:spacing w:line="360" w:lineRule="auto"/>
        <w:rPr>
          <w:rFonts w:hint="eastAsia" w:ascii="仿宋" w:hAnsi="仿宋" w:eastAsia="仿宋" w:cs="仿宋"/>
          <w:b/>
          <w:color w:val="auto"/>
          <w:sz w:val="21"/>
          <w:szCs w:val="21"/>
          <w:highlight w:val="none"/>
        </w:rPr>
      </w:pPr>
      <w:bookmarkStart w:id="537" w:name="_Toc478566144"/>
      <w:bookmarkStart w:id="538" w:name="_Toc478566336"/>
      <w:bookmarkStart w:id="539" w:name="_Toc474148170"/>
      <w:bookmarkStart w:id="540" w:name="_Toc478565781"/>
      <w:r>
        <w:rPr>
          <w:rFonts w:hint="eastAsia" w:ascii="仿宋" w:hAnsi="仿宋" w:eastAsia="仿宋" w:cs="仿宋"/>
          <w:b/>
          <w:color w:val="auto"/>
          <w:sz w:val="21"/>
          <w:szCs w:val="21"/>
          <w:highlight w:val="none"/>
        </w:rPr>
        <w:t>5.承诺函</w:t>
      </w:r>
    </w:p>
    <w:p w14:paraId="760DEBB9">
      <w:pPr>
        <w:tabs>
          <w:tab w:val="left" w:pos="3450"/>
        </w:tabs>
        <w:spacing w:line="360" w:lineRule="auto"/>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承诺函1</w:t>
      </w:r>
    </w:p>
    <w:p w14:paraId="0F191BE6">
      <w:pPr>
        <w:adjustRightInd w:val="0"/>
        <w:snapToGrid w:val="0"/>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致：</w:t>
      </w:r>
      <w:r>
        <w:rPr>
          <w:rFonts w:hint="eastAsia" w:ascii="仿宋" w:hAnsi="仿宋" w:eastAsia="仿宋" w:cs="仿宋"/>
          <w:color w:val="auto"/>
          <w:highlight w:val="none"/>
          <w:lang w:eastAsia="zh-CN"/>
        </w:rPr>
        <w:t>南宁轨道数智科技有限公司</w:t>
      </w:r>
    </w:p>
    <w:p w14:paraId="514FEFD7">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我公司承诺未出现以下情形：</w:t>
      </w:r>
    </w:p>
    <w:p w14:paraId="02B0E82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（1）为采购人不具有独立法人资格的附属机构（单位）；</w:t>
      </w:r>
    </w:p>
    <w:p w14:paraId="57C7840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（2）被暂停或取消投标资格的；</w:t>
      </w:r>
    </w:p>
    <w:p w14:paraId="1C20C22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（3）被责令停产停业、暂扣或者吊销许可证、暂扣或者吊销执照； </w:t>
      </w:r>
    </w:p>
    <w:p w14:paraId="2FC6540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（4）进入清算程序，或被宣告破产，或其他丧失履约能力的情形； </w:t>
      </w:r>
    </w:p>
    <w:p w14:paraId="66933B6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（5）在最近五年内，存在与采购活动相关的行贿犯罪记录的（以“中国裁判文书网”为准）；</w:t>
      </w:r>
    </w:p>
    <w:p w14:paraId="395BDA7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（6）相关产品（服务）在</w:t>
      </w:r>
      <w:r>
        <w:rPr>
          <w:rFonts w:hint="eastAsia" w:ascii="仿宋" w:hAnsi="仿宋" w:eastAsia="仿宋" w:cs="仿宋"/>
          <w:color w:val="auto"/>
          <w:szCs w:val="21"/>
          <w:highlight w:val="none"/>
          <w:lang w:eastAsia="zh-CN"/>
        </w:rPr>
        <w:t>南宁轨道数智科技有限公司</w:t>
      </w:r>
      <w:r>
        <w:rPr>
          <w:rFonts w:hint="eastAsia" w:ascii="仿宋" w:hAnsi="仿宋" w:eastAsia="仿宋" w:cs="仿宋"/>
          <w:color w:val="auto"/>
          <w:szCs w:val="21"/>
          <w:highlight w:val="none"/>
        </w:rPr>
        <w:t>或其全资子公司出现过重大质量或安全问题且未妥善解决的；</w:t>
      </w:r>
    </w:p>
    <w:p w14:paraId="13D878C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（7）在最近三年内被相关行业主管部门或司法机关认定有骗取中标、严重违约、重大工程质量或者安全问题的（以相关行业主管部门的行政处罚决定或司法机关出具的有关法律文书为准）；</w:t>
      </w:r>
    </w:p>
    <w:p w14:paraId="729DF53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（8）被最高人民法院认定为失信被执行人的(以“信用中国”网站（www.creditchina.gov.cn）或各级信用信息共享平台公布的失信被执行人名单为准)，已执行完毕或不再执行的除外。</w:t>
      </w:r>
    </w:p>
    <w:p w14:paraId="30D5C634">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如有发现以上情形之一，比选人有权取消我方参选资格。</w:t>
      </w:r>
    </w:p>
    <w:p w14:paraId="142196C7">
      <w:pPr>
        <w:tabs>
          <w:tab w:val="left" w:pos="3450"/>
        </w:tabs>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highlight w:val="none"/>
        </w:rPr>
        <w:t>特此承诺！</w:t>
      </w:r>
    </w:p>
    <w:p w14:paraId="67A21A9F">
      <w:pPr>
        <w:tabs>
          <w:tab w:val="left" w:pos="3450"/>
        </w:tabs>
        <w:spacing w:line="360" w:lineRule="auto"/>
        <w:ind w:firstLine="480"/>
        <w:rPr>
          <w:rFonts w:hint="eastAsia" w:ascii="仿宋" w:hAnsi="仿宋" w:eastAsia="仿宋" w:cs="仿宋"/>
          <w:color w:val="auto"/>
          <w:kern w:val="0"/>
          <w:szCs w:val="21"/>
          <w:highlight w:val="none"/>
        </w:rPr>
      </w:pPr>
    </w:p>
    <w:p w14:paraId="50E426CB">
      <w:pPr>
        <w:pStyle w:val="39"/>
        <w:spacing w:line="360" w:lineRule="auto"/>
        <w:ind w:firstLine="3045" w:firstLineChars="1450"/>
        <w:jc w:val="both"/>
        <w:rPr>
          <w:rFonts w:hint="eastAsia" w:ascii="仿宋" w:hAnsi="仿宋" w:eastAsia="仿宋" w:cs="仿宋"/>
          <w:color w:val="auto"/>
          <w:highlight w:val="none"/>
        </w:rPr>
      </w:pPr>
      <w:r>
        <w:rPr>
          <w:rFonts w:hint="eastAsia" w:ascii="仿宋" w:hAnsi="仿宋" w:eastAsia="仿宋" w:cs="仿宋"/>
          <w:color w:val="auto"/>
          <w:highlight w:val="none"/>
        </w:rPr>
        <w:t>参选人：（盖单位印章）</w:t>
      </w:r>
    </w:p>
    <w:p w14:paraId="5BB11C33">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法定代表人或其委托代理人：</w:t>
      </w:r>
    </w:p>
    <w:p w14:paraId="3493C44B">
      <w:pPr>
        <w:spacing w:line="360" w:lineRule="auto"/>
        <w:ind w:firstLine="4305" w:firstLineChars="20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年月日</w:t>
      </w:r>
    </w:p>
    <w:p w14:paraId="22397B58">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CEB114E">
      <w:pPr>
        <w:pStyle w:val="249"/>
        <w:spacing w:line="36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承诺函2</w:t>
      </w:r>
    </w:p>
    <w:p w14:paraId="31039C21">
      <w:pPr>
        <w:pStyle w:val="249"/>
        <w:spacing w:line="36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增值税发票开票承诺函</w:t>
      </w:r>
    </w:p>
    <w:p w14:paraId="728959B4">
      <w:pPr>
        <w:tabs>
          <w:tab w:val="left" w:pos="3450"/>
        </w:tabs>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lang w:eastAsia="zh-CN"/>
        </w:rPr>
        <w:t>南宁轨道数智科技有限公司</w:t>
      </w:r>
    </w:p>
    <w:p w14:paraId="1A4345AE">
      <w:pPr>
        <w:tabs>
          <w:tab w:val="left" w:pos="3450"/>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如我公司中选本项目，我公司承诺为本项目开具符合国家规定的增值税专用发票，如后期服务过程中我公司违反本承诺，我公司愿承担因此给贵公司造成的一切损失，同时贵公司有权单方解除合同。</w:t>
      </w:r>
    </w:p>
    <w:p w14:paraId="21D4DE48">
      <w:pPr>
        <w:tabs>
          <w:tab w:val="left" w:pos="3450"/>
        </w:tabs>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特此承诺！</w:t>
      </w:r>
    </w:p>
    <w:p w14:paraId="7E60413A">
      <w:pPr>
        <w:tabs>
          <w:tab w:val="left" w:pos="3450"/>
        </w:tabs>
        <w:spacing w:line="360" w:lineRule="auto"/>
        <w:ind w:firstLine="480"/>
        <w:rPr>
          <w:rFonts w:hint="eastAsia" w:ascii="仿宋" w:hAnsi="仿宋" w:eastAsia="仿宋" w:cs="仿宋"/>
          <w:color w:val="auto"/>
          <w:kern w:val="0"/>
          <w:szCs w:val="21"/>
          <w:highlight w:val="none"/>
        </w:rPr>
      </w:pPr>
    </w:p>
    <w:p w14:paraId="4DB33C70">
      <w:pPr>
        <w:pStyle w:val="39"/>
        <w:spacing w:line="360" w:lineRule="auto"/>
        <w:ind w:firstLine="3045" w:firstLineChars="1450"/>
        <w:jc w:val="both"/>
        <w:rPr>
          <w:rFonts w:hint="eastAsia" w:ascii="仿宋" w:hAnsi="仿宋" w:eastAsia="仿宋" w:cs="仿宋"/>
          <w:color w:val="auto"/>
          <w:highlight w:val="none"/>
        </w:rPr>
      </w:pPr>
      <w:r>
        <w:rPr>
          <w:rFonts w:hint="eastAsia" w:ascii="仿宋" w:hAnsi="仿宋" w:eastAsia="仿宋" w:cs="仿宋"/>
          <w:color w:val="auto"/>
          <w:highlight w:val="none"/>
        </w:rPr>
        <w:t>参选人：（盖单位印章）</w:t>
      </w:r>
    </w:p>
    <w:p w14:paraId="702283F4">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法定代表人或其委托代理人：</w:t>
      </w:r>
    </w:p>
    <w:p w14:paraId="772D1DB9">
      <w:pPr>
        <w:spacing w:line="360" w:lineRule="auto"/>
        <w:ind w:firstLine="4305" w:firstLineChars="20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年月日</w:t>
      </w:r>
    </w:p>
    <w:p w14:paraId="6E062AAE">
      <w:pPr>
        <w:widowControl/>
        <w:jc w:val="left"/>
        <w:rPr>
          <w:rFonts w:hint="eastAsia" w:ascii="仿宋" w:hAnsi="仿宋" w:eastAsia="仿宋" w:cs="仿宋"/>
          <w:color w:val="auto"/>
          <w:szCs w:val="21"/>
          <w:highlight w:val="none"/>
        </w:rPr>
      </w:pPr>
    </w:p>
    <w:bookmarkEnd w:id="537"/>
    <w:bookmarkEnd w:id="538"/>
    <w:bookmarkEnd w:id="539"/>
    <w:bookmarkEnd w:id="540"/>
    <w:p w14:paraId="6CB5DE74">
      <w:pPr>
        <w:pStyle w:val="6"/>
        <w:pageBreakBefore/>
        <w:spacing w:line="360" w:lineRule="auto"/>
        <w:rPr>
          <w:rFonts w:hint="eastAsia" w:ascii="仿宋" w:hAnsi="仿宋" w:eastAsia="仿宋" w:cs="仿宋"/>
          <w:b/>
          <w:color w:val="auto"/>
          <w:sz w:val="21"/>
          <w:szCs w:val="21"/>
          <w:highlight w:val="none"/>
        </w:rPr>
      </w:pPr>
      <w:bookmarkStart w:id="541" w:name="_Toc478566338"/>
      <w:bookmarkStart w:id="542" w:name="_Toc478565783"/>
      <w:bookmarkStart w:id="543" w:name="_Toc478566146"/>
      <w:bookmarkStart w:id="544" w:name="_Toc474148172"/>
      <w:r>
        <w:rPr>
          <w:rFonts w:hint="eastAsia" w:ascii="仿宋" w:hAnsi="仿宋" w:eastAsia="仿宋" w:cs="仿宋"/>
          <w:b/>
          <w:color w:val="auto"/>
          <w:sz w:val="21"/>
          <w:szCs w:val="21"/>
          <w:highlight w:val="none"/>
        </w:rPr>
        <w:t>6.廉洁承诺书</w:t>
      </w:r>
    </w:p>
    <w:p w14:paraId="1823EBF3">
      <w:pPr>
        <w:topLinePunct/>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bCs/>
          <w:color w:val="auto"/>
          <w:szCs w:val="21"/>
          <w:highlight w:val="none"/>
          <w:lang w:eastAsia="zh-CN"/>
        </w:rPr>
        <w:t>南宁轨道数智科技有限公司</w:t>
      </w:r>
      <w:r>
        <w:rPr>
          <w:rFonts w:hint="eastAsia" w:ascii="仿宋" w:hAnsi="仿宋" w:eastAsia="仿宋" w:cs="仿宋"/>
          <w:bCs/>
          <w:color w:val="auto"/>
          <w:szCs w:val="21"/>
          <w:highlight w:val="none"/>
        </w:rPr>
        <w:t>（简称“</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w:t>
      </w:r>
    </w:p>
    <w:p w14:paraId="351F7AA8">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本公司自愿参加本项目，为确保本项目活动的规范与廉洁，从源头上预防和遏制违法违纪问题的发生，特作以下承诺：</w:t>
      </w:r>
    </w:p>
    <w:p w14:paraId="13B14D69">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一、在业务往来中，本公司保证严格遵守《中华人民共和国反不正当竞争法》、《关于禁止商业贿赂行为的暂行规定》、《中华人民共和国刑法》、《关于办理商业贿赂刑事案件适用法律若干问题的意见》等关于禁止商业贿赂行为的规定，坚决拒绝商业贿赂、行贿及其他不正当之商业行为。商业贿赂是指本公司或其工作人员为促成交易或从</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取得比他人更多的商业利益或更特殊的商业待遇而给予</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人员不正当利益的行为，包括但不限于提供：</w:t>
      </w:r>
    </w:p>
    <w:p w14:paraId="13F36879">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1.促销费、宣传费、赞助费、科研费、劳务费、咨询费、佣金或报销各种费用、含有金额的会员卡、代币卡（劵）、旅游、考察、房屋装修等。</w:t>
      </w:r>
    </w:p>
    <w:p w14:paraId="7BFBADB0">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2.借款、融资担保、商品赊销、回扣、购物折扣、置业、礼品（如纪念品、节日礼品等）、馈赠、娱乐、招待等。</w:t>
      </w:r>
    </w:p>
    <w:p w14:paraId="014340F0">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二、本公司承诺秉着公平、公开、公正、诚实信用的原则参与招标等采购活动，绝不参与围标、串标、行贿等行为。本公司承诺组建优秀的管理团队完成承接本项目，保证项目顺利实施。</w:t>
      </w:r>
    </w:p>
    <w:p w14:paraId="0C1EDE61">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三、本公司愿意按照下列规定承担违反廉洁承诺的责任：</w:t>
      </w:r>
    </w:p>
    <w:p w14:paraId="1745E2A5">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有权解除合同，本公司除需按</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查明的行贿金额的两倍向</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支付违约金外，还需按合同其他约定承担导致合同终止的违约责任。同时</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可依法对本公司采取必要措施（包括暂停支付所有应付账款，或通过司法途径向本公司追偿由此造成本项目的一切经济及商誉损失）。</w:t>
      </w:r>
    </w:p>
    <w:p w14:paraId="6F1483C8">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2.本公司向</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支付合同项下约定或预计总金额的30%作为补偿金，补偿金不能支付时，</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有权从本公司与其他签订合同项下约定或预估金额中相应扣除。</w:t>
      </w:r>
    </w:p>
    <w:p w14:paraId="01107BD2">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有权通过诉讼或仲裁方式向我公司主张权利。</w:t>
      </w:r>
    </w:p>
    <w:p w14:paraId="706ACF39">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w:t>
      </w:r>
      <w:r>
        <w:rPr>
          <w:rFonts w:hint="eastAsia" w:ascii="仿宋" w:hAnsi="仿宋" w:eastAsia="仿宋" w:cs="仿宋"/>
          <w:bCs/>
          <w:color w:val="auto"/>
          <w:szCs w:val="21"/>
          <w:highlight w:val="none"/>
          <w:lang w:eastAsia="zh-CN"/>
        </w:rPr>
        <w:t>南宁轨道数智公司</w:t>
      </w:r>
      <w:r>
        <w:rPr>
          <w:rFonts w:hint="eastAsia" w:ascii="仿宋" w:hAnsi="仿宋" w:eastAsia="仿宋" w:cs="仿宋"/>
          <w:bCs/>
          <w:color w:val="auto"/>
          <w:szCs w:val="21"/>
          <w:highlight w:val="none"/>
        </w:rPr>
        <w:t>有权将本公司列入黑名单，永不合作。</w:t>
      </w:r>
    </w:p>
    <w:p w14:paraId="4C9CB6CB">
      <w:pPr>
        <w:topLinePunct/>
        <w:snapToGrid w:val="0"/>
        <w:spacing w:line="360" w:lineRule="auto"/>
        <w:ind w:firstLine="420" w:firstLineChars="200"/>
        <w:rPr>
          <w:rFonts w:hint="eastAsia" w:ascii="仿宋" w:hAnsi="仿宋" w:eastAsia="仿宋" w:cs="仿宋"/>
          <w:bCs/>
          <w:color w:val="auto"/>
          <w:szCs w:val="21"/>
          <w:highlight w:val="none"/>
        </w:rPr>
      </w:pPr>
    </w:p>
    <w:p w14:paraId="331D5D24">
      <w:pPr>
        <w:topLinePunct/>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此承诺书加盖本公司公章后生效。</w:t>
      </w:r>
    </w:p>
    <w:p w14:paraId="088B0E4A">
      <w:pPr>
        <w:pStyle w:val="39"/>
        <w:spacing w:line="360" w:lineRule="auto"/>
        <w:ind w:firstLine="3045" w:firstLineChars="1450"/>
        <w:jc w:val="both"/>
        <w:rPr>
          <w:rFonts w:hint="eastAsia" w:ascii="仿宋" w:hAnsi="仿宋" w:eastAsia="仿宋" w:cs="仿宋"/>
          <w:color w:val="auto"/>
          <w:highlight w:val="none"/>
        </w:rPr>
      </w:pPr>
    </w:p>
    <w:p w14:paraId="59AFE90D">
      <w:pPr>
        <w:pStyle w:val="39"/>
        <w:spacing w:line="360" w:lineRule="auto"/>
        <w:ind w:firstLine="3045" w:firstLineChars="1450"/>
        <w:jc w:val="both"/>
        <w:rPr>
          <w:rFonts w:hint="eastAsia" w:ascii="仿宋" w:hAnsi="仿宋" w:eastAsia="仿宋" w:cs="仿宋"/>
          <w:color w:val="auto"/>
          <w:highlight w:val="none"/>
        </w:rPr>
      </w:pPr>
    </w:p>
    <w:p w14:paraId="4C8C6C17">
      <w:pPr>
        <w:topLinePunct/>
        <w:snapToGrid w:val="0"/>
        <w:spacing w:line="360" w:lineRule="auto"/>
        <w:ind w:firstLine="420" w:firstLineChars="200"/>
        <w:jc w:val="righ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参选人：（盖单位公章）</w:t>
      </w:r>
    </w:p>
    <w:p w14:paraId="421B9C6D">
      <w:pPr>
        <w:topLinePunct/>
        <w:snapToGrid w:val="0"/>
        <w:spacing w:line="360" w:lineRule="auto"/>
        <w:ind w:right="840" w:firstLine="3780" w:firstLineChars="18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法定代表人（负责人）或其委托代理人：</w:t>
      </w:r>
    </w:p>
    <w:p w14:paraId="384CD4EB">
      <w:pPr>
        <w:topLinePunct/>
        <w:snapToGrid w:val="0"/>
        <w:spacing w:line="360" w:lineRule="auto"/>
        <w:ind w:firstLine="420" w:firstLineChars="20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年   月    日</w:t>
      </w:r>
    </w:p>
    <w:p w14:paraId="7691149C">
      <w:pPr>
        <w:pStyle w:val="6"/>
        <w:pageBreakBefore/>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7.合同条款偏离表</w:t>
      </w:r>
      <w:bookmarkEnd w:id="541"/>
      <w:bookmarkEnd w:id="542"/>
      <w:bookmarkEnd w:id="543"/>
      <w:bookmarkEnd w:id="544"/>
    </w:p>
    <w:p w14:paraId="36D08B53">
      <w:pPr>
        <w:adjustRightInd w:val="0"/>
        <w:snapToGrid w:val="0"/>
        <w:spacing w:after="12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南宁轨道数智科技有限公司新自营项目整合传播服务</w:t>
      </w:r>
      <w:r>
        <w:rPr>
          <w:rFonts w:hint="eastAsia" w:ascii="仿宋" w:hAnsi="仿宋" w:eastAsia="仿宋" w:cs="仿宋"/>
          <w:color w:val="auto"/>
          <w:szCs w:val="21"/>
          <w:highlight w:val="none"/>
        </w:rPr>
        <w:t>采购项目</w:t>
      </w:r>
    </w:p>
    <w:tbl>
      <w:tblPr>
        <w:tblStyle w:val="43"/>
        <w:tblW w:w="912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28" w:type="dxa"/>
          <w:bottom w:w="0" w:type="dxa"/>
          <w:right w:w="28" w:type="dxa"/>
        </w:tblCellMar>
      </w:tblPr>
      <w:tblGrid>
        <w:gridCol w:w="742"/>
        <w:gridCol w:w="1889"/>
        <w:gridCol w:w="2387"/>
        <w:gridCol w:w="2940"/>
        <w:gridCol w:w="1168"/>
      </w:tblGrid>
      <w:tr w14:paraId="1378AC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824" w:hRule="atLeast"/>
        </w:trPr>
        <w:tc>
          <w:tcPr>
            <w:tcW w:w="742" w:type="dxa"/>
            <w:vAlign w:val="center"/>
          </w:tcPr>
          <w:p w14:paraId="797DC34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889" w:type="dxa"/>
            <w:vAlign w:val="center"/>
          </w:tcPr>
          <w:p w14:paraId="68BA13C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比选文件条目号</w:t>
            </w:r>
          </w:p>
        </w:tc>
        <w:tc>
          <w:tcPr>
            <w:tcW w:w="2387" w:type="dxa"/>
            <w:vAlign w:val="center"/>
          </w:tcPr>
          <w:p w14:paraId="459572C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比选文件的合同条款</w:t>
            </w:r>
          </w:p>
        </w:tc>
        <w:tc>
          <w:tcPr>
            <w:tcW w:w="2940" w:type="dxa"/>
            <w:vAlign w:val="center"/>
          </w:tcPr>
          <w:p w14:paraId="116088E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参选文件偏离情况</w:t>
            </w:r>
          </w:p>
          <w:p w14:paraId="3F707BCE">
            <w:pPr>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（正偏离/负偏离/无偏离）</w:t>
            </w:r>
          </w:p>
        </w:tc>
        <w:tc>
          <w:tcPr>
            <w:tcW w:w="1168" w:type="dxa"/>
            <w:vAlign w:val="center"/>
          </w:tcPr>
          <w:p w14:paraId="594A53A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652FB7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c>
          <w:tcPr>
            <w:tcW w:w="742" w:type="dxa"/>
            <w:vAlign w:val="center"/>
          </w:tcPr>
          <w:p w14:paraId="176D3BE7">
            <w:pPr>
              <w:spacing w:line="360" w:lineRule="auto"/>
              <w:rPr>
                <w:rFonts w:hint="eastAsia" w:ascii="仿宋" w:hAnsi="仿宋" w:eastAsia="仿宋" w:cs="仿宋"/>
                <w:color w:val="auto"/>
                <w:szCs w:val="21"/>
                <w:highlight w:val="none"/>
              </w:rPr>
            </w:pPr>
          </w:p>
        </w:tc>
        <w:tc>
          <w:tcPr>
            <w:tcW w:w="1889" w:type="dxa"/>
            <w:vAlign w:val="center"/>
          </w:tcPr>
          <w:p w14:paraId="549FC3D7">
            <w:pPr>
              <w:spacing w:line="360" w:lineRule="auto"/>
              <w:rPr>
                <w:rFonts w:hint="eastAsia" w:ascii="仿宋" w:hAnsi="仿宋" w:eastAsia="仿宋" w:cs="仿宋"/>
                <w:color w:val="auto"/>
                <w:szCs w:val="21"/>
                <w:highlight w:val="none"/>
              </w:rPr>
            </w:pPr>
          </w:p>
        </w:tc>
        <w:tc>
          <w:tcPr>
            <w:tcW w:w="2387" w:type="dxa"/>
            <w:vAlign w:val="center"/>
          </w:tcPr>
          <w:p w14:paraId="1028EE6B">
            <w:pPr>
              <w:spacing w:line="360" w:lineRule="auto"/>
              <w:rPr>
                <w:rFonts w:hint="eastAsia" w:ascii="仿宋" w:hAnsi="仿宋" w:eastAsia="仿宋" w:cs="仿宋"/>
                <w:color w:val="auto"/>
                <w:szCs w:val="21"/>
                <w:highlight w:val="none"/>
              </w:rPr>
            </w:pPr>
          </w:p>
        </w:tc>
        <w:tc>
          <w:tcPr>
            <w:tcW w:w="2940" w:type="dxa"/>
            <w:vAlign w:val="center"/>
          </w:tcPr>
          <w:p w14:paraId="0D4F3426">
            <w:pPr>
              <w:spacing w:line="360" w:lineRule="auto"/>
              <w:rPr>
                <w:rFonts w:hint="eastAsia" w:ascii="仿宋" w:hAnsi="仿宋" w:eastAsia="仿宋" w:cs="仿宋"/>
                <w:color w:val="auto"/>
                <w:szCs w:val="21"/>
                <w:highlight w:val="none"/>
              </w:rPr>
            </w:pPr>
          </w:p>
        </w:tc>
        <w:tc>
          <w:tcPr>
            <w:tcW w:w="1168" w:type="dxa"/>
            <w:vAlign w:val="center"/>
          </w:tcPr>
          <w:p w14:paraId="32904EE7">
            <w:pPr>
              <w:spacing w:line="360" w:lineRule="auto"/>
              <w:rPr>
                <w:rFonts w:hint="eastAsia" w:ascii="仿宋" w:hAnsi="仿宋" w:eastAsia="仿宋" w:cs="仿宋"/>
                <w:color w:val="auto"/>
                <w:szCs w:val="21"/>
                <w:highlight w:val="none"/>
              </w:rPr>
            </w:pPr>
          </w:p>
        </w:tc>
      </w:tr>
      <w:tr w14:paraId="334D21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c>
          <w:tcPr>
            <w:tcW w:w="742" w:type="dxa"/>
            <w:vAlign w:val="center"/>
          </w:tcPr>
          <w:p w14:paraId="72914434">
            <w:pPr>
              <w:spacing w:line="360" w:lineRule="auto"/>
              <w:rPr>
                <w:rFonts w:hint="eastAsia" w:ascii="仿宋" w:hAnsi="仿宋" w:eastAsia="仿宋" w:cs="仿宋"/>
                <w:color w:val="auto"/>
                <w:szCs w:val="21"/>
                <w:highlight w:val="none"/>
              </w:rPr>
            </w:pPr>
          </w:p>
        </w:tc>
        <w:tc>
          <w:tcPr>
            <w:tcW w:w="1889" w:type="dxa"/>
            <w:vAlign w:val="center"/>
          </w:tcPr>
          <w:p w14:paraId="49F26937">
            <w:pPr>
              <w:spacing w:line="360" w:lineRule="auto"/>
              <w:rPr>
                <w:rFonts w:hint="eastAsia" w:ascii="仿宋" w:hAnsi="仿宋" w:eastAsia="仿宋" w:cs="仿宋"/>
                <w:color w:val="auto"/>
                <w:szCs w:val="21"/>
                <w:highlight w:val="none"/>
              </w:rPr>
            </w:pPr>
          </w:p>
        </w:tc>
        <w:tc>
          <w:tcPr>
            <w:tcW w:w="2387" w:type="dxa"/>
            <w:vAlign w:val="center"/>
          </w:tcPr>
          <w:p w14:paraId="73BB333A">
            <w:pPr>
              <w:spacing w:line="360" w:lineRule="auto"/>
              <w:rPr>
                <w:rFonts w:hint="eastAsia" w:ascii="仿宋" w:hAnsi="仿宋" w:eastAsia="仿宋" w:cs="仿宋"/>
                <w:color w:val="auto"/>
                <w:szCs w:val="21"/>
                <w:highlight w:val="none"/>
              </w:rPr>
            </w:pPr>
          </w:p>
        </w:tc>
        <w:tc>
          <w:tcPr>
            <w:tcW w:w="2940" w:type="dxa"/>
            <w:vAlign w:val="center"/>
          </w:tcPr>
          <w:p w14:paraId="6FA92683">
            <w:pPr>
              <w:spacing w:line="360" w:lineRule="auto"/>
              <w:rPr>
                <w:rFonts w:hint="eastAsia" w:ascii="仿宋" w:hAnsi="仿宋" w:eastAsia="仿宋" w:cs="仿宋"/>
                <w:color w:val="auto"/>
                <w:szCs w:val="21"/>
                <w:highlight w:val="none"/>
              </w:rPr>
            </w:pPr>
          </w:p>
        </w:tc>
        <w:tc>
          <w:tcPr>
            <w:tcW w:w="1168" w:type="dxa"/>
            <w:vAlign w:val="center"/>
          </w:tcPr>
          <w:p w14:paraId="473765E7">
            <w:pPr>
              <w:spacing w:line="360" w:lineRule="auto"/>
              <w:rPr>
                <w:rFonts w:hint="eastAsia" w:ascii="仿宋" w:hAnsi="仿宋" w:eastAsia="仿宋" w:cs="仿宋"/>
                <w:color w:val="auto"/>
                <w:szCs w:val="21"/>
                <w:highlight w:val="none"/>
              </w:rPr>
            </w:pPr>
          </w:p>
        </w:tc>
      </w:tr>
      <w:tr w14:paraId="7C7B94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c>
          <w:tcPr>
            <w:tcW w:w="742" w:type="dxa"/>
            <w:vAlign w:val="center"/>
          </w:tcPr>
          <w:p w14:paraId="310D7891">
            <w:pPr>
              <w:spacing w:line="360" w:lineRule="auto"/>
              <w:rPr>
                <w:rFonts w:hint="eastAsia" w:ascii="仿宋" w:hAnsi="仿宋" w:eastAsia="仿宋" w:cs="仿宋"/>
                <w:color w:val="auto"/>
                <w:szCs w:val="21"/>
                <w:highlight w:val="none"/>
              </w:rPr>
            </w:pPr>
          </w:p>
        </w:tc>
        <w:tc>
          <w:tcPr>
            <w:tcW w:w="1889" w:type="dxa"/>
            <w:vAlign w:val="center"/>
          </w:tcPr>
          <w:p w14:paraId="6CD711B0">
            <w:pPr>
              <w:spacing w:line="360" w:lineRule="auto"/>
              <w:rPr>
                <w:rFonts w:hint="eastAsia" w:ascii="仿宋" w:hAnsi="仿宋" w:eastAsia="仿宋" w:cs="仿宋"/>
                <w:color w:val="auto"/>
                <w:szCs w:val="21"/>
                <w:highlight w:val="none"/>
              </w:rPr>
            </w:pPr>
          </w:p>
        </w:tc>
        <w:tc>
          <w:tcPr>
            <w:tcW w:w="2387" w:type="dxa"/>
            <w:vAlign w:val="center"/>
          </w:tcPr>
          <w:p w14:paraId="11CE83ED">
            <w:pPr>
              <w:spacing w:line="360" w:lineRule="auto"/>
              <w:rPr>
                <w:rFonts w:hint="eastAsia" w:ascii="仿宋" w:hAnsi="仿宋" w:eastAsia="仿宋" w:cs="仿宋"/>
                <w:color w:val="auto"/>
                <w:szCs w:val="21"/>
                <w:highlight w:val="none"/>
              </w:rPr>
            </w:pPr>
          </w:p>
        </w:tc>
        <w:tc>
          <w:tcPr>
            <w:tcW w:w="2940" w:type="dxa"/>
            <w:vAlign w:val="center"/>
          </w:tcPr>
          <w:p w14:paraId="3AA7DFA8">
            <w:pPr>
              <w:spacing w:line="360" w:lineRule="auto"/>
              <w:rPr>
                <w:rFonts w:hint="eastAsia" w:ascii="仿宋" w:hAnsi="仿宋" w:eastAsia="仿宋" w:cs="仿宋"/>
                <w:color w:val="auto"/>
                <w:szCs w:val="21"/>
                <w:highlight w:val="none"/>
              </w:rPr>
            </w:pPr>
          </w:p>
        </w:tc>
        <w:tc>
          <w:tcPr>
            <w:tcW w:w="1168" w:type="dxa"/>
            <w:vAlign w:val="center"/>
          </w:tcPr>
          <w:p w14:paraId="553C1196">
            <w:pPr>
              <w:spacing w:line="360" w:lineRule="auto"/>
              <w:rPr>
                <w:rFonts w:hint="eastAsia" w:ascii="仿宋" w:hAnsi="仿宋" w:eastAsia="仿宋" w:cs="仿宋"/>
                <w:color w:val="auto"/>
                <w:szCs w:val="21"/>
                <w:highlight w:val="none"/>
              </w:rPr>
            </w:pPr>
          </w:p>
        </w:tc>
      </w:tr>
      <w:tr w14:paraId="38B760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c>
          <w:tcPr>
            <w:tcW w:w="742" w:type="dxa"/>
            <w:vAlign w:val="center"/>
          </w:tcPr>
          <w:p w14:paraId="2BF78AB4">
            <w:pPr>
              <w:spacing w:line="360" w:lineRule="auto"/>
              <w:rPr>
                <w:rFonts w:hint="eastAsia" w:ascii="仿宋" w:hAnsi="仿宋" w:eastAsia="仿宋" w:cs="仿宋"/>
                <w:color w:val="auto"/>
                <w:szCs w:val="21"/>
                <w:highlight w:val="none"/>
              </w:rPr>
            </w:pPr>
          </w:p>
        </w:tc>
        <w:tc>
          <w:tcPr>
            <w:tcW w:w="1889" w:type="dxa"/>
            <w:vAlign w:val="center"/>
          </w:tcPr>
          <w:p w14:paraId="5290E9D7">
            <w:pPr>
              <w:spacing w:line="360" w:lineRule="auto"/>
              <w:rPr>
                <w:rFonts w:hint="eastAsia" w:ascii="仿宋" w:hAnsi="仿宋" w:eastAsia="仿宋" w:cs="仿宋"/>
                <w:color w:val="auto"/>
                <w:szCs w:val="21"/>
                <w:highlight w:val="none"/>
              </w:rPr>
            </w:pPr>
          </w:p>
        </w:tc>
        <w:tc>
          <w:tcPr>
            <w:tcW w:w="2387" w:type="dxa"/>
            <w:vAlign w:val="center"/>
          </w:tcPr>
          <w:p w14:paraId="1C67BDC4">
            <w:pPr>
              <w:spacing w:line="360" w:lineRule="auto"/>
              <w:rPr>
                <w:rFonts w:hint="eastAsia" w:ascii="仿宋" w:hAnsi="仿宋" w:eastAsia="仿宋" w:cs="仿宋"/>
                <w:color w:val="auto"/>
                <w:szCs w:val="21"/>
                <w:highlight w:val="none"/>
              </w:rPr>
            </w:pPr>
          </w:p>
        </w:tc>
        <w:tc>
          <w:tcPr>
            <w:tcW w:w="2940" w:type="dxa"/>
            <w:vAlign w:val="center"/>
          </w:tcPr>
          <w:p w14:paraId="52E7C7D1">
            <w:pPr>
              <w:spacing w:line="360" w:lineRule="auto"/>
              <w:rPr>
                <w:rFonts w:hint="eastAsia" w:ascii="仿宋" w:hAnsi="仿宋" w:eastAsia="仿宋" w:cs="仿宋"/>
                <w:color w:val="auto"/>
                <w:szCs w:val="21"/>
                <w:highlight w:val="none"/>
              </w:rPr>
            </w:pPr>
          </w:p>
        </w:tc>
        <w:tc>
          <w:tcPr>
            <w:tcW w:w="1168" w:type="dxa"/>
            <w:vAlign w:val="center"/>
          </w:tcPr>
          <w:p w14:paraId="20E97EEF">
            <w:pPr>
              <w:spacing w:line="360" w:lineRule="auto"/>
              <w:rPr>
                <w:rFonts w:hint="eastAsia" w:ascii="仿宋" w:hAnsi="仿宋" w:eastAsia="仿宋" w:cs="仿宋"/>
                <w:color w:val="auto"/>
                <w:szCs w:val="21"/>
                <w:highlight w:val="none"/>
              </w:rPr>
            </w:pPr>
          </w:p>
        </w:tc>
      </w:tr>
      <w:tr w14:paraId="57B658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c>
          <w:tcPr>
            <w:tcW w:w="742" w:type="dxa"/>
            <w:vAlign w:val="center"/>
          </w:tcPr>
          <w:p w14:paraId="6E0896D8">
            <w:pPr>
              <w:spacing w:line="360" w:lineRule="auto"/>
              <w:rPr>
                <w:rFonts w:hint="eastAsia" w:ascii="仿宋" w:hAnsi="仿宋" w:eastAsia="仿宋" w:cs="仿宋"/>
                <w:color w:val="auto"/>
                <w:szCs w:val="21"/>
                <w:highlight w:val="none"/>
              </w:rPr>
            </w:pPr>
          </w:p>
        </w:tc>
        <w:tc>
          <w:tcPr>
            <w:tcW w:w="1889" w:type="dxa"/>
            <w:vAlign w:val="center"/>
          </w:tcPr>
          <w:p w14:paraId="5A8FD387">
            <w:pPr>
              <w:spacing w:line="360" w:lineRule="auto"/>
              <w:rPr>
                <w:rFonts w:hint="eastAsia" w:ascii="仿宋" w:hAnsi="仿宋" w:eastAsia="仿宋" w:cs="仿宋"/>
                <w:color w:val="auto"/>
                <w:szCs w:val="21"/>
                <w:highlight w:val="none"/>
              </w:rPr>
            </w:pPr>
          </w:p>
        </w:tc>
        <w:tc>
          <w:tcPr>
            <w:tcW w:w="2387" w:type="dxa"/>
            <w:vAlign w:val="center"/>
          </w:tcPr>
          <w:p w14:paraId="5AB2D402">
            <w:pPr>
              <w:spacing w:line="360" w:lineRule="auto"/>
              <w:rPr>
                <w:rFonts w:hint="eastAsia" w:ascii="仿宋" w:hAnsi="仿宋" w:eastAsia="仿宋" w:cs="仿宋"/>
                <w:color w:val="auto"/>
                <w:szCs w:val="21"/>
                <w:highlight w:val="none"/>
              </w:rPr>
            </w:pPr>
          </w:p>
        </w:tc>
        <w:tc>
          <w:tcPr>
            <w:tcW w:w="2940" w:type="dxa"/>
            <w:vAlign w:val="center"/>
          </w:tcPr>
          <w:p w14:paraId="197C3522">
            <w:pPr>
              <w:spacing w:line="360" w:lineRule="auto"/>
              <w:rPr>
                <w:rFonts w:hint="eastAsia" w:ascii="仿宋" w:hAnsi="仿宋" w:eastAsia="仿宋" w:cs="仿宋"/>
                <w:color w:val="auto"/>
                <w:szCs w:val="21"/>
                <w:highlight w:val="none"/>
              </w:rPr>
            </w:pPr>
          </w:p>
        </w:tc>
        <w:tc>
          <w:tcPr>
            <w:tcW w:w="1168" w:type="dxa"/>
            <w:vAlign w:val="center"/>
          </w:tcPr>
          <w:p w14:paraId="4D0F1C1D">
            <w:pPr>
              <w:spacing w:line="360" w:lineRule="auto"/>
              <w:rPr>
                <w:rFonts w:hint="eastAsia" w:ascii="仿宋" w:hAnsi="仿宋" w:eastAsia="仿宋" w:cs="仿宋"/>
                <w:color w:val="auto"/>
                <w:szCs w:val="21"/>
                <w:highlight w:val="none"/>
              </w:rPr>
            </w:pPr>
          </w:p>
        </w:tc>
      </w:tr>
      <w:tr w14:paraId="3D0A05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527" w:hRule="atLeast"/>
        </w:trPr>
        <w:tc>
          <w:tcPr>
            <w:tcW w:w="9126" w:type="dxa"/>
            <w:gridSpan w:val="5"/>
            <w:vAlign w:val="center"/>
          </w:tcPr>
          <w:p w14:paraId="09668507">
            <w:pP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除以上条款外，我公司对比选文件第四章《合同条款》其他内容均无偏离。</w:t>
            </w:r>
          </w:p>
        </w:tc>
      </w:tr>
    </w:tbl>
    <w:p w14:paraId="4472B30D">
      <w:pPr>
        <w:pStyle w:val="100"/>
        <w:ind w:firstLine="420"/>
        <w:rPr>
          <w:rFonts w:hint="eastAsia" w:ascii="仿宋" w:hAnsi="仿宋" w:eastAsia="仿宋" w:cs="仿宋"/>
          <w:color w:val="auto"/>
          <w:sz w:val="21"/>
          <w:highlight w:val="none"/>
        </w:rPr>
      </w:pPr>
      <w:r>
        <w:rPr>
          <w:rFonts w:hint="eastAsia" w:ascii="仿宋" w:hAnsi="仿宋" w:eastAsia="仿宋" w:cs="仿宋"/>
          <w:color w:val="auto"/>
          <w:sz w:val="21"/>
          <w:highlight w:val="none"/>
        </w:rPr>
        <w:t>注：</w:t>
      </w:r>
    </w:p>
    <w:p w14:paraId="7F4BD62E">
      <w:pPr>
        <w:pStyle w:val="100"/>
        <w:ind w:left="735" w:leftChars="200" w:hanging="315" w:hangingChars="150"/>
        <w:rPr>
          <w:rFonts w:hint="eastAsia" w:ascii="仿宋" w:hAnsi="仿宋" w:eastAsia="仿宋" w:cs="仿宋"/>
          <w:color w:val="auto"/>
          <w:sz w:val="21"/>
          <w:highlight w:val="none"/>
        </w:rPr>
      </w:pPr>
      <w:r>
        <w:rPr>
          <w:rFonts w:hint="eastAsia" w:ascii="仿宋" w:hAnsi="仿宋" w:eastAsia="仿宋" w:cs="仿宋"/>
          <w:color w:val="auto"/>
          <w:sz w:val="21"/>
          <w:highlight w:val="none"/>
        </w:rPr>
        <w:t>1．参选人应当逐条对照比选文件第四章《合同条款》，就参选文件对《合同条款》存在的偏差与例外逐条做出说明；</w:t>
      </w:r>
    </w:p>
    <w:p w14:paraId="1B64A876">
      <w:pPr>
        <w:pStyle w:val="100"/>
        <w:ind w:left="735" w:leftChars="200" w:hanging="315" w:hangingChars="150"/>
        <w:rPr>
          <w:rFonts w:hint="eastAsia" w:ascii="仿宋" w:hAnsi="仿宋" w:eastAsia="仿宋" w:cs="仿宋"/>
          <w:color w:val="auto"/>
          <w:sz w:val="21"/>
          <w:highlight w:val="none"/>
        </w:rPr>
      </w:pPr>
      <w:r>
        <w:rPr>
          <w:rFonts w:hint="eastAsia" w:ascii="仿宋" w:hAnsi="仿宋" w:eastAsia="仿宋" w:cs="仿宋"/>
          <w:color w:val="auto"/>
          <w:sz w:val="21"/>
          <w:highlight w:val="none"/>
        </w:rPr>
        <w:t>2．如参选文件对第四章《合同条款》无任何偏差，参选人仅需在本偏离表中填写“无偏离”或不填写内容即可。</w:t>
      </w:r>
    </w:p>
    <w:p w14:paraId="7F9F732E">
      <w:pPr>
        <w:pStyle w:val="100"/>
        <w:ind w:left="735" w:leftChars="200" w:hanging="315" w:hangingChars="150"/>
        <w:rPr>
          <w:rFonts w:hint="eastAsia" w:ascii="仿宋" w:hAnsi="仿宋" w:eastAsia="仿宋" w:cs="仿宋"/>
          <w:color w:val="auto"/>
          <w:sz w:val="21"/>
          <w:highlight w:val="none"/>
        </w:rPr>
      </w:pPr>
      <w:r>
        <w:rPr>
          <w:rFonts w:hint="eastAsia" w:ascii="仿宋" w:hAnsi="仿宋" w:eastAsia="仿宋" w:cs="仿宋"/>
          <w:color w:val="auto"/>
          <w:sz w:val="21"/>
          <w:highlight w:val="none"/>
        </w:rPr>
        <w:t>3．参选人在本偏离表中填写“无偏离”或不填写内容视为满足第四章《合同条款》所有内容，如点对点应答和偏离表不一致，以《合同条款偏离表》为准。</w:t>
      </w:r>
    </w:p>
    <w:p w14:paraId="2312B462">
      <w:pPr>
        <w:adjustRightInd w:val="0"/>
        <w:snapToGrid w:val="0"/>
        <w:spacing w:after="120" w:line="360" w:lineRule="auto"/>
        <w:ind w:left="378" w:hanging="378" w:hangingChars="180"/>
        <w:rPr>
          <w:rFonts w:hint="eastAsia" w:ascii="仿宋" w:hAnsi="仿宋" w:eastAsia="仿宋" w:cs="仿宋"/>
          <w:color w:val="auto"/>
          <w:szCs w:val="21"/>
          <w:highlight w:val="none"/>
        </w:rPr>
      </w:pPr>
    </w:p>
    <w:p w14:paraId="1F9ED311">
      <w:pPr>
        <w:adjustRightInd w:val="0"/>
        <w:snapToGrid w:val="0"/>
        <w:spacing w:after="12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参选人：（盖单位公章）</w:t>
      </w:r>
    </w:p>
    <w:p w14:paraId="2B14073F">
      <w:pPr>
        <w:widowControl/>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法定代表人（负责人）或者其委托代理人：（签字）</w:t>
      </w:r>
    </w:p>
    <w:p w14:paraId="3A66CE15">
      <w:pPr>
        <w:topLinePunct/>
        <w:adjustRightInd w:val="0"/>
        <w:snapToGrid w:val="0"/>
        <w:spacing w:line="360" w:lineRule="auto"/>
        <w:ind w:right="360" w:firstLine="4515" w:firstLineChars="2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01117C79">
      <w:pPr>
        <w:topLinePunct/>
        <w:adjustRightInd w:val="0"/>
        <w:snapToGrid w:val="0"/>
        <w:spacing w:line="360" w:lineRule="auto"/>
        <w:ind w:right="210"/>
        <w:jc w:val="right"/>
        <w:rPr>
          <w:rFonts w:hint="eastAsia" w:ascii="仿宋" w:hAnsi="仿宋" w:eastAsia="仿宋" w:cs="仿宋"/>
          <w:color w:val="auto"/>
          <w:szCs w:val="21"/>
          <w:highlight w:val="none"/>
        </w:rPr>
        <w:sectPr>
          <w:pgSz w:w="11906" w:h="16838"/>
          <w:pgMar w:top="1701" w:right="1418" w:bottom="1418" w:left="1418" w:header="851" w:footer="992" w:gutter="0"/>
          <w:cols w:space="425" w:num="1"/>
          <w:docGrid w:linePitch="312" w:charSpace="0"/>
        </w:sectPr>
      </w:pPr>
    </w:p>
    <w:bookmarkEnd w:id="494"/>
    <w:p w14:paraId="3073A5B3">
      <w:pPr>
        <w:pStyle w:val="6"/>
        <w:pageBreakBefore/>
        <w:spacing w:line="360" w:lineRule="auto"/>
        <w:rPr>
          <w:rFonts w:hint="eastAsia" w:ascii="仿宋" w:hAnsi="仿宋" w:eastAsia="仿宋" w:cs="仿宋"/>
          <w:b/>
          <w:color w:val="auto"/>
          <w:sz w:val="21"/>
          <w:szCs w:val="21"/>
          <w:highlight w:val="none"/>
        </w:rPr>
      </w:pPr>
      <w:bookmarkStart w:id="545" w:name="_Toc512282396"/>
      <w:bookmarkStart w:id="546" w:name="_Toc500343040"/>
      <w:bookmarkStart w:id="547" w:name="_Toc480187429"/>
      <w:r>
        <w:rPr>
          <w:rFonts w:hint="eastAsia" w:ascii="仿宋" w:hAnsi="仿宋" w:eastAsia="仿宋" w:cs="仿宋"/>
          <w:b/>
          <w:color w:val="auto"/>
          <w:sz w:val="21"/>
          <w:szCs w:val="21"/>
          <w:highlight w:val="none"/>
          <w:lang w:val="en-US" w:eastAsia="zh-CN"/>
        </w:rPr>
        <w:t>8</w:t>
      </w:r>
      <w:r>
        <w:rPr>
          <w:rFonts w:hint="eastAsia" w:ascii="仿宋" w:hAnsi="仿宋" w:eastAsia="仿宋" w:cs="仿宋"/>
          <w:b/>
          <w:color w:val="auto"/>
          <w:sz w:val="21"/>
          <w:szCs w:val="21"/>
          <w:highlight w:val="none"/>
        </w:rPr>
        <w:t>.业绩情况表</w:t>
      </w:r>
    </w:p>
    <w:p w14:paraId="5FA881D7">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根据参选人提供自20</w:t>
      </w:r>
      <w:r>
        <w:rPr>
          <w:rFonts w:hint="eastAsia" w:ascii="仿宋" w:hAnsi="仿宋" w:eastAsia="仿宋" w:cs="仿宋"/>
          <w:color w:val="auto"/>
          <w:kern w:val="0"/>
          <w:szCs w:val="21"/>
          <w:highlight w:val="none"/>
          <w:lang w:val="en-US" w:eastAsia="zh-CN"/>
        </w:rPr>
        <w:t>20</w:t>
      </w:r>
      <w:r>
        <w:rPr>
          <w:rFonts w:hint="eastAsia" w:ascii="仿宋" w:hAnsi="仿宋" w:eastAsia="仿宋" w:cs="仿宋"/>
          <w:color w:val="auto"/>
          <w:kern w:val="0"/>
          <w:szCs w:val="21"/>
          <w:highlight w:val="none"/>
        </w:rPr>
        <w:t>年1月1日（含）至参选文件截止递交时间国内承接过同类服务项目经验业绩累计金额进行评审</w:t>
      </w:r>
      <w:r>
        <w:rPr>
          <w:rFonts w:hint="eastAsia" w:ascii="仿宋" w:hAnsi="仿宋" w:eastAsia="仿宋" w:cs="仿宋"/>
          <w:color w:val="auto"/>
          <w:szCs w:val="21"/>
          <w:highlight w:val="none"/>
        </w:rPr>
        <w:t>。</w:t>
      </w:r>
    </w:p>
    <w:p w14:paraId="5E8A0FB0">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提供合同关键页：须含合同名称、合同金额、合同签订日期等内容，所提供合同以合同签署日期为准，如为框架合同则以框架合同加（结算订单（盖章）或对应发票）为准,材料不全无法确定的业绩，不予认可，原件现场备查，提供虚假业绩证明的，否决其参选。</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561"/>
        <w:gridCol w:w="1592"/>
        <w:gridCol w:w="1745"/>
        <w:gridCol w:w="1580"/>
        <w:gridCol w:w="1147"/>
      </w:tblGrid>
      <w:tr w14:paraId="1601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pct"/>
            <w:shd w:val="clear" w:color="auto" w:fill="auto"/>
            <w:noWrap/>
            <w:vAlign w:val="center"/>
          </w:tcPr>
          <w:p w14:paraId="7188B31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16" w:type="pct"/>
            <w:shd w:val="clear" w:color="auto" w:fill="auto"/>
            <w:vAlign w:val="center"/>
          </w:tcPr>
          <w:p w14:paraId="244A951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甲方单位名称</w:t>
            </w:r>
          </w:p>
        </w:tc>
        <w:tc>
          <w:tcPr>
            <w:tcW w:w="934" w:type="pct"/>
            <w:shd w:val="clear" w:color="auto" w:fill="auto"/>
            <w:vAlign w:val="center"/>
          </w:tcPr>
          <w:p w14:paraId="5C46DF1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合同名称</w:t>
            </w:r>
          </w:p>
        </w:tc>
        <w:tc>
          <w:tcPr>
            <w:tcW w:w="1024" w:type="pct"/>
            <w:shd w:val="clear" w:color="auto" w:fill="auto"/>
            <w:vAlign w:val="center"/>
          </w:tcPr>
          <w:p w14:paraId="25E9244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合同总额(万元)</w:t>
            </w:r>
          </w:p>
        </w:tc>
        <w:tc>
          <w:tcPr>
            <w:tcW w:w="927" w:type="pct"/>
          </w:tcPr>
          <w:p w14:paraId="7C20ECF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合同签订时间（按年份统计）</w:t>
            </w:r>
          </w:p>
        </w:tc>
        <w:tc>
          <w:tcPr>
            <w:tcW w:w="674" w:type="pct"/>
            <w:shd w:val="clear" w:color="auto" w:fill="auto"/>
            <w:vAlign w:val="center"/>
          </w:tcPr>
          <w:p w14:paraId="162EA1C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所提供合同对应页码</w:t>
            </w:r>
          </w:p>
        </w:tc>
      </w:tr>
      <w:tr w14:paraId="5389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26" w:type="pct"/>
            <w:shd w:val="clear" w:color="auto" w:fill="auto"/>
            <w:noWrap/>
            <w:vAlign w:val="center"/>
          </w:tcPr>
          <w:p w14:paraId="4BE9061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16" w:type="pct"/>
            <w:shd w:val="clear" w:color="auto" w:fill="auto"/>
            <w:vAlign w:val="center"/>
          </w:tcPr>
          <w:p w14:paraId="459B3CE7">
            <w:pPr>
              <w:spacing w:line="360" w:lineRule="auto"/>
              <w:jc w:val="center"/>
              <w:rPr>
                <w:rFonts w:hint="eastAsia" w:ascii="仿宋" w:hAnsi="仿宋" w:eastAsia="仿宋" w:cs="仿宋"/>
                <w:color w:val="auto"/>
                <w:szCs w:val="21"/>
                <w:highlight w:val="none"/>
              </w:rPr>
            </w:pPr>
          </w:p>
        </w:tc>
        <w:tc>
          <w:tcPr>
            <w:tcW w:w="934" w:type="pct"/>
            <w:shd w:val="clear" w:color="auto" w:fill="auto"/>
            <w:vAlign w:val="center"/>
          </w:tcPr>
          <w:p w14:paraId="6F7C4B9F">
            <w:pPr>
              <w:spacing w:line="360" w:lineRule="auto"/>
              <w:jc w:val="center"/>
              <w:rPr>
                <w:rFonts w:hint="eastAsia" w:ascii="仿宋" w:hAnsi="仿宋" w:eastAsia="仿宋" w:cs="仿宋"/>
                <w:color w:val="auto"/>
                <w:szCs w:val="21"/>
                <w:highlight w:val="none"/>
              </w:rPr>
            </w:pPr>
          </w:p>
        </w:tc>
        <w:tc>
          <w:tcPr>
            <w:tcW w:w="1024" w:type="pct"/>
            <w:shd w:val="clear" w:color="auto" w:fill="auto"/>
            <w:vAlign w:val="center"/>
          </w:tcPr>
          <w:p w14:paraId="0E6E0D93">
            <w:pPr>
              <w:spacing w:line="360" w:lineRule="auto"/>
              <w:jc w:val="center"/>
              <w:rPr>
                <w:rFonts w:hint="eastAsia" w:ascii="仿宋" w:hAnsi="仿宋" w:eastAsia="仿宋" w:cs="仿宋"/>
                <w:color w:val="auto"/>
                <w:szCs w:val="21"/>
                <w:highlight w:val="none"/>
              </w:rPr>
            </w:pPr>
          </w:p>
        </w:tc>
        <w:tc>
          <w:tcPr>
            <w:tcW w:w="927" w:type="pct"/>
          </w:tcPr>
          <w:p w14:paraId="2F0B68CA">
            <w:pPr>
              <w:spacing w:line="360" w:lineRule="auto"/>
              <w:jc w:val="center"/>
              <w:rPr>
                <w:rFonts w:hint="eastAsia" w:ascii="仿宋" w:hAnsi="仿宋" w:eastAsia="仿宋" w:cs="仿宋"/>
                <w:color w:val="auto"/>
                <w:szCs w:val="21"/>
                <w:highlight w:val="none"/>
              </w:rPr>
            </w:pPr>
          </w:p>
        </w:tc>
        <w:tc>
          <w:tcPr>
            <w:tcW w:w="674" w:type="pct"/>
            <w:shd w:val="clear" w:color="auto" w:fill="auto"/>
            <w:vAlign w:val="center"/>
          </w:tcPr>
          <w:p w14:paraId="63BFE38C">
            <w:pPr>
              <w:spacing w:line="360" w:lineRule="auto"/>
              <w:jc w:val="center"/>
              <w:rPr>
                <w:rFonts w:hint="eastAsia" w:ascii="仿宋" w:hAnsi="仿宋" w:eastAsia="仿宋" w:cs="仿宋"/>
                <w:color w:val="auto"/>
                <w:szCs w:val="21"/>
                <w:highlight w:val="none"/>
              </w:rPr>
            </w:pPr>
          </w:p>
        </w:tc>
      </w:tr>
      <w:tr w14:paraId="34DC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26" w:type="pct"/>
            <w:shd w:val="clear" w:color="auto" w:fill="auto"/>
            <w:noWrap/>
            <w:vAlign w:val="center"/>
          </w:tcPr>
          <w:p w14:paraId="5A42E8F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16" w:type="pct"/>
            <w:shd w:val="clear" w:color="auto" w:fill="auto"/>
            <w:vAlign w:val="center"/>
          </w:tcPr>
          <w:p w14:paraId="53F0EDC7">
            <w:pPr>
              <w:spacing w:line="360" w:lineRule="auto"/>
              <w:jc w:val="center"/>
              <w:rPr>
                <w:rFonts w:hint="eastAsia" w:ascii="仿宋" w:hAnsi="仿宋" w:eastAsia="仿宋" w:cs="仿宋"/>
                <w:color w:val="auto"/>
                <w:szCs w:val="21"/>
                <w:highlight w:val="none"/>
              </w:rPr>
            </w:pPr>
          </w:p>
        </w:tc>
        <w:tc>
          <w:tcPr>
            <w:tcW w:w="934" w:type="pct"/>
            <w:shd w:val="clear" w:color="auto" w:fill="auto"/>
            <w:vAlign w:val="center"/>
          </w:tcPr>
          <w:p w14:paraId="5CDECA27">
            <w:pPr>
              <w:spacing w:line="360" w:lineRule="auto"/>
              <w:jc w:val="center"/>
              <w:rPr>
                <w:rFonts w:hint="eastAsia" w:ascii="仿宋" w:hAnsi="仿宋" w:eastAsia="仿宋" w:cs="仿宋"/>
                <w:color w:val="auto"/>
                <w:szCs w:val="21"/>
                <w:highlight w:val="none"/>
              </w:rPr>
            </w:pPr>
          </w:p>
        </w:tc>
        <w:tc>
          <w:tcPr>
            <w:tcW w:w="1024" w:type="pct"/>
            <w:shd w:val="clear" w:color="auto" w:fill="auto"/>
            <w:vAlign w:val="center"/>
          </w:tcPr>
          <w:p w14:paraId="69FE125B">
            <w:pPr>
              <w:spacing w:line="360" w:lineRule="auto"/>
              <w:jc w:val="center"/>
              <w:rPr>
                <w:rFonts w:hint="eastAsia" w:ascii="仿宋" w:hAnsi="仿宋" w:eastAsia="仿宋" w:cs="仿宋"/>
                <w:color w:val="auto"/>
                <w:szCs w:val="21"/>
                <w:highlight w:val="none"/>
              </w:rPr>
            </w:pPr>
          </w:p>
        </w:tc>
        <w:tc>
          <w:tcPr>
            <w:tcW w:w="927" w:type="pct"/>
          </w:tcPr>
          <w:p w14:paraId="5313253E">
            <w:pPr>
              <w:spacing w:line="360" w:lineRule="auto"/>
              <w:jc w:val="center"/>
              <w:rPr>
                <w:rFonts w:hint="eastAsia" w:ascii="仿宋" w:hAnsi="仿宋" w:eastAsia="仿宋" w:cs="仿宋"/>
                <w:color w:val="auto"/>
                <w:szCs w:val="21"/>
                <w:highlight w:val="none"/>
              </w:rPr>
            </w:pPr>
          </w:p>
        </w:tc>
        <w:tc>
          <w:tcPr>
            <w:tcW w:w="674" w:type="pct"/>
            <w:shd w:val="clear" w:color="auto" w:fill="auto"/>
            <w:vAlign w:val="center"/>
          </w:tcPr>
          <w:p w14:paraId="2088A2DA">
            <w:pPr>
              <w:spacing w:line="360" w:lineRule="auto"/>
              <w:jc w:val="center"/>
              <w:rPr>
                <w:rFonts w:hint="eastAsia" w:ascii="仿宋" w:hAnsi="仿宋" w:eastAsia="仿宋" w:cs="仿宋"/>
                <w:color w:val="auto"/>
                <w:szCs w:val="21"/>
                <w:highlight w:val="none"/>
              </w:rPr>
            </w:pPr>
          </w:p>
        </w:tc>
      </w:tr>
      <w:tr w14:paraId="6821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26" w:type="pct"/>
            <w:shd w:val="clear" w:color="auto" w:fill="auto"/>
            <w:noWrap/>
            <w:vAlign w:val="center"/>
          </w:tcPr>
          <w:p w14:paraId="023CF03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16" w:type="pct"/>
            <w:shd w:val="clear" w:color="auto" w:fill="auto"/>
            <w:vAlign w:val="center"/>
          </w:tcPr>
          <w:p w14:paraId="76D832E9">
            <w:pPr>
              <w:spacing w:line="360" w:lineRule="auto"/>
              <w:jc w:val="center"/>
              <w:rPr>
                <w:rFonts w:hint="eastAsia" w:ascii="仿宋" w:hAnsi="仿宋" w:eastAsia="仿宋" w:cs="仿宋"/>
                <w:color w:val="auto"/>
                <w:szCs w:val="21"/>
                <w:highlight w:val="none"/>
              </w:rPr>
            </w:pPr>
          </w:p>
        </w:tc>
        <w:tc>
          <w:tcPr>
            <w:tcW w:w="934" w:type="pct"/>
            <w:shd w:val="clear" w:color="auto" w:fill="auto"/>
            <w:vAlign w:val="center"/>
          </w:tcPr>
          <w:p w14:paraId="5F26190B">
            <w:pPr>
              <w:spacing w:line="360" w:lineRule="auto"/>
              <w:jc w:val="center"/>
              <w:rPr>
                <w:rFonts w:hint="eastAsia" w:ascii="仿宋" w:hAnsi="仿宋" w:eastAsia="仿宋" w:cs="仿宋"/>
                <w:color w:val="auto"/>
                <w:szCs w:val="21"/>
                <w:highlight w:val="none"/>
              </w:rPr>
            </w:pPr>
          </w:p>
        </w:tc>
        <w:tc>
          <w:tcPr>
            <w:tcW w:w="1024" w:type="pct"/>
            <w:shd w:val="clear" w:color="auto" w:fill="auto"/>
            <w:vAlign w:val="center"/>
          </w:tcPr>
          <w:p w14:paraId="539BAA44">
            <w:pPr>
              <w:spacing w:line="360" w:lineRule="auto"/>
              <w:jc w:val="center"/>
              <w:rPr>
                <w:rFonts w:hint="eastAsia" w:ascii="仿宋" w:hAnsi="仿宋" w:eastAsia="仿宋" w:cs="仿宋"/>
                <w:color w:val="auto"/>
                <w:szCs w:val="21"/>
                <w:highlight w:val="none"/>
              </w:rPr>
            </w:pPr>
          </w:p>
        </w:tc>
        <w:tc>
          <w:tcPr>
            <w:tcW w:w="927" w:type="pct"/>
          </w:tcPr>
          <w:p w14:paraId="15DFC26E">
            <w:pPr>
              <w:spacing w:line="360" w:lineRule="auto"/>
              <w:jc w:val="center"/>
              <w:rPr>
                <w:rFonts w:hint="eastAsia" w:ascii="仿宋" w:hAnsi="仿宋" w:eastAsia="仿宋" w:cs="仿宋"/>
                <w:color w:val="auto"/>
                <w:szCs w:val="21"/>
                <w:highlight w:val="none"/>
              </w:rPr>
            </w:pPr>
          </w:p>
        </w:tc>
        <w:tc>
          <w:tcPr>
            <w:tcW w:w="674" w:type="pct"/>
            <w:shd w:val="clear" w:color="auto" w:fill="auto"/>
            <w:vAlign w:val="center"/>
          </w:tcPr>
          <w:p w14:paraId="4432B3A1">
            <w:pPr>
              <w:spacing w:line="360" w:lineRule="auto"/>
              <w:jc w:val="center"/>
              <w:rPr>
                <w:rFonts w:hint="eastAsia" w:ascii="仿宋" w:hAnsi="仿宋" w:eastAsia="仿宋" w:cs="仿宋"/>
                <w:color w:val="auto"/>
                <w:szCs w:val="21"/>
                <w:highlight w:val="none"/>
              </w:rPr>
            </w:pPr>
          </w:p>
        </w:tc>
      </w:tr>
      <w:tr w14:paraId="7A27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6" w:type="pct"/>
            <w:shd w:val="clear" w:color="auto" w:fill="auto"/>
            <w:noWrap/>
            <w:vAlign w:val="center"/>
          </w:tcPr>
          <w:p w14:paraId="78AB86F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916" w:type="pct"/>
            <w:shd w:val="clear" w:color="auto" w:fill="auto"/>
            <w:noWrap/>
            <w:vAlign w:val="center"/>
          </w:tcPr>
          <w:p w14:paraId="6764A65D">
            <w:pPr>
              <w:spacing w:line="360" w:lineRule="auto"/>
              <w:jc w:val="center"/>
              <w:rPr>
                <w:rFonts w:hint="eastAsia" w:ascii="仿宋" w:hAnsi="仿宋" w:eastAsia="仿宋" w:cs="仿宋"/>
                <w:color w:val="auto"/>
                <w:szCs w:val="21"/>
                <w:highlight w:val="none"/>
              </w:rPr>
            </w:pPr>
          </w:p>
        </w:tc>
        <w:tc>
          <w:tcPr>
            <w:tcW w:w="934" w:type="pct"/>
            <w:shd w:val="clear" w:color="auto" w:fill="auto"/>
            <w:noWrap/>
            <w:vAlign w:val="center"/>
          </w:tcPr>
          <w:p w14:paraId="1B4F1D52">
            <w:pPr>
              <w:spacing w:line="360" w:lineRule="auto"/>
              <w:jc w:val="center"/>
              <w:rPr>
                <w:rFonts w:hint="eastAsia" w:ascii="仿宋" w:hAnsi="仿宋" w:eastAsia="仿宋" w:cs="仿宋"/>
                <w:color w:val="auto"/>
                <w:szCs w:val="21"/>
                <w:highlight w:val="none"/>
              </w:rPr>
            </w:pPr>
          </w:p>
        </w:tc>
        <w:tc>
          <w:tcPr>
            <w:tcW w:w="1024" w:type="pct"/>
            <w:shd w:val="clear" w:color="auto" w:fill="auto"/>
            <w:noWrap/>
            <w:vAlign w:val="center"/>
          </w:tcPr>
          <w:p w14:paraId="45249CF8">
            <w:pPr>
              <w:spacing w:line="360" w:lineRule="auto"/>
              <w:jc w:val="center"/>
              <w:rPr>
                <w:rFonts w:hint="eastAsia" w:ascii="仿宋" w:hAnsi="仿宋" w:eastAsia="仿宋" w:cs="仿宋"/>
                <w:color w:val="auto"/>
                <w:szCs w:val="21"/>
                <w:highlight w:val="none"/>
              </w:rPr>
            </w:pPr>
          </w:p>
        </w:tc>
        <w:tc>
          <w:tcPr>
            <w:tcW w:w="927" w:type="pct"/>
          </w:tcPr>
          <w:p w14:paraId="28A6A931">
            <w:pPr>
              <w:spacing w:line="360" w:lineRule="auto"/>
              <w:jc w:val="center"/>
              <w:rPr>
                <w:rFonts w:hint="eastAsia" w:ascii="仿宋" w:hAnsi="仿宋" w:eastAsia="仿宋" w:cs="仿宋"/>
                <w:color w:val="auto"/>
                <w:szCs w:val="21"/>
                <w:highlight w:val="none"/>
              </w:rPr>
            </w:pPr>
          </w:p>
        </w:tc>
        <w:tc>
          <w:tcPr>
            <w:tcW w:w="674" w:type="pct"/>
            <w:shd w:val="clear" w:color="auto" w:fill="auto"/>
            <w:vAlign w:val="center"/>
          </w:tcPr>
          <w:p w14:paraId="1CB58123">
            <w:pPr>
              <w:spacing w:line="360" w:lineRule="auto"/>
              <w:jc w:val="center"/>
              <w:rPr>
                <w:rFonts w:hint="eastAsia" w:ascii="仿宋" w:hAnsi="仿宋" w:eastAsia="仿宋" w:cs="仿宋"/>
                <w:color w:val="auto"/>
                <w:szCs w:val="21"/>
                <w:highlight w:val="none"/>
              </w:rPr>
            </w:pPr>
          </w:p>
        </w:tc>
      </w:tr>
      <w:tr w14:paraId="2F03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26" w:type="pct"/>
            <w:shd w:val="clear" w:color="auto" w:fill="auto"/>
            <w:vAlign w:val="center"/>
          </w:tcPr>
          <w:p w14:paraId="680A310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总计</w:t>
            </w:r>
          </w:p>
        </w:tc>
        <w:tc>
          <w:tcPr>
            <w:tcW w:w="916" w:type="pct"/>
            <w:shd w:val="clear" w:color="auto" w:fill="auto"/>
            <w:noWrap/>
            <w:vAlign w:val="center"/>
          </w:tcPr>
          <w:p w14:paraId="6A0762C2">
            <w:pPr>
              <w:spacing w:line="360" w:lineRule="auto"/>
              <w:jc w:val="center"/>
              <w:rPr>
                <w:rFonts w:hint="eastAsia" w:ascii="仿宋" w:hAnsi="仿宋" w:eastAsia="仿宋" w:cs="仿宋"/>
                <w:color w:val="auto"/>
                <w:szCs w:val="21"/>
                <w:highlight w:val="none"/>
              </w:rPr>
            </w:pPr>
          </w:p>
        </w:tc>
        <w:tc>
          <w:tcPr>
            <w:tcW w:w="934" w:type="pct"/>
            <w:shd w:val="clear" w:color="auto" w:fill="auto"/>
            <w:noWrap/>
            <w:vAlign w:val="center"/>
          </w:tcPr>
          <w:p w14:paraId="3864936E">
            <w:pPr>
              <w:spacing w:line="360" w:lineRule="auto"/>
              <w:jc w:val="center"/>
              <w:rPr>
                <w:rFonts w:hint="eastAsia" w:ascii="仿宋" w:hAnsi="仿宋" w:eastAsia="仿宋" w:cs="仿宋"/>
                <w:color w:val="auto"/>
                <w:szCs w:val="21"/>
                <w:highlight w:val="none"/>
              </w:rPr>
            </w:pPr>
          </w:p>
        </w:tc>
        <w:tc>
          <w:tcPr>
            <w:tcW w:w="1024" w:type="pct"/>
            <w:shd w:val="clear" w:color="auto" w:fill="auto"/>
            <w:noWrap/>
            <w:vAlign w:val="center"/>
          </w:tcPr>
          <w:p w14:paraId="0578AC78">
            <w:pPr>
              <w:spacing w:line="360" w:lineRule="auto"/>
              <w:jc w:val="center"/>
              <w:rPr>
                <w:rFonts w:hint="eastAsia" w:ascii="仿宋" w:hAnsi="仿宋" w:eastAsia="仿宋" w:cs="仿宋"/>
                <w:color w:val="auto"/>
                <w:szCs w:val="21"/>
                <w:highlight w:val="none"/>
              </w:rPr>
            </w:pPr>
          </w:p>
        </w:tc>
        <w:tc>
          <w:tcPr>
            <w:tcW w:w="927" w:type="pct"/>
          </w:tcPr>
          <w:p w14:paraId="017D3257">
            <w:pPr>
              <w:spacing w:line="360" w:lineRule="auto"/>
              <w:jc w:val="center"/>
              <w:rPr>
                <w:rFonts w:hint="eastAsia" w:ascii="仿宋" w:hAnsi="仿宋" w:eastAsia="仿宋" w:cs="仿宋"/>
                <w:color w:val="auto"/>
                <w:szCs w:val="21"/>
                <w:highlight w:val="none"/>
              </w:rPr>
            </w:pPr>
          </w:p>
        </w:tc>
        <w:tc>
          <w:tcPr>
            <w:tcW w:w="674" w:type="pct"/>
            <w:shd w:val="clear" w:color="auto" w:fill="auto"/>
            <w:vAlign w:val="center"/>
          </w:tcPr>
          <w:p w14:paraId="3B00F6AB">
            <w:pPr>
              <w:spacing w:line="360" w:lineRule="auto"/>
              <w:jc w:val="center"/>
              <w:rPr>
                <w:rFonts w:hint="eastAsia" w:ascii="仿宋" w:hAnsi="仿宋" w:eastAsia="仿宋" w:cs="仿宋"/>
                <w:color w:val="auto"/>
                <w:szCs w:val="21"/>
                <w:highlight w:val="none"/>
              </w:rPr>
            </w:pPr>
          </w:p>
        </w:tc>
      </w:tr>
    </w:tbl>
    <w:p w14:paraId="3F059216">
      <w:pPr>
        <w:rPr>
          <w:rFonts w:hint="eastAsia" w:ascii="仿宋" w:hAnsi="仿宋" w:eastAsia="仿宋" w:cs="仿宋"/>
          <w:color w:val="auto"/>
          <w:highlight w:val="none"/>
        </w:rPr>
      </w:pPr>
    </w:p>
    <w:p w14:paraId="53C21D66">
      <w:pPr>
        <w:pStyle w:val="249"/>
        <w:spacing w:line="360" w:lineRule="auto"/>
        <w:ind w:left="420" w:firstLine="0" w:firstLineChars="0"/>
        <w:rPr>
          <w:rFonts w:hint="eastAsia" w:ascii="仿宋" w:hAnsi="仿宋" w:eastAsia="仿宋" w:cs="仿宋"/>
          <w:color w:val="auto"/>
          <w:sz w:val="21"/>
          <w:szCs w:val="21"/>
          <w:highlight w:val="none"/>
        </w:rPr>
      </w:pPr>
    </w:p>
    <w:p w14:paraId="58EEAFDD">
      <w:pPr>
        <w:rPr>
          <w:rFonts w:hint="eastAsia" w:ascii="仿宋" w:hAnsi="仿宋" w:eastAsia="仿宋" w:cs="仿宋"/>
          <w:bCs/>
          <w:color w:val="auto"/>
          <w:kern w:val="0"/>
          <w:szCs w:val="21"/>
          <w:highlight w:val="none"/>
        </w:rPr>
      </w:pPr>
    </w:p>
    <w:p w14:paraId="57DD9B02">
      <w:pPr>
        <w:rPr>
          <w:rFonts w:hint="eastAsia" w:ascii="仿宋" w:hAnsi="仿宋" w:eastAsia="仿宋" w:cs="仿宋"/>
          <w:color w:val="auto"/>
          <w:highlight w:val="none"/>
        </w:rPr>
      </w:pPr>
    </w:p>
    <w:p w14:paraId="6B9080E1">
      <w:pPr>
        <w:pStyle w:val="249"/>
        <w:ind w:left="420" w:firstLine="0" w:firstLineChars="0"/>
        <w:rPr>
          <w:rFonts w:hint="eastAsia" w:ascii="仿宋" w:hAnsi="仿宋" w:eastAsia="仿宋" w:cs="仿宋"/>
          <w:color w:val="auto"/>
          <w:sz w:val="21"/>
          <w:szCs w:val="21"/>
          <w:highlight w:val="none"/>
        </w:rPr>
      </w:pPr>
    </w:p>
    <w:p w14:paraId="21AD19D2">
      <w:pPr>
        <w:pStyle w:val="6"/>
        <w:pageBreakBefore/>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9</w:t>
      </w:r>
      <w:r>
        <w:rPr>
          <w:rFonts w:hint="eastAsia" w:ascii="仿宋" w:hAnsi="仿宋" w:eastAsia="仿宋" w:cs="仿宋"/>
          <w:b/>
          <w:bCs/>
          <w:color w:val="auto"/>
          <w:sz w:val="21"/>
          <w:szCs w:val="21"/>
          <w:highlight w:val="none"/>
        </w:rPr>
        <w:t>.服务团队</w:t>
      </w:r>
    </w:p>
    <w:p w14:paraId="08C45E4A">
      <w:pPr>
        <w:pStyle w:val="249"/>
        <w:spacing w:line="360" w:lineRule="auto"/>
        <w:ind w:left="420"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服务团队配备表</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3828"/>
        <w:gridCol w:w="2318"/>
      </w:tblGrid>
      <w:tr w14:paraId="3F80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6" w:type="pct"/>
            <w:shd w:val="clear" w:color="auto" w:fill="auto"/>
            <w:vAlign w:val="center"/>
          </w:tcPr>
          <w:p w14:paraId="7061FDEB">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48" w:type="pct"/>
            <w:shd w:val="clear" w:color="auto" w:fill="auto"/>
            <w:vAlign w:val="center"/>
          </w:tcPr>
          <w:p w14:paraId="7A5713AF">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姓名</w:t>
            </w:r>
          </w:p>
        </w:tc>
        <w:tc>
          <w:tcPr>
            <w:tcW w:w="2246" w:type="pct"/>
            <w:shd w:val="clear" w:color="auto" w:fill="auto"/>
            <w:vAlign w:val="center"/>
          </w:tcPr>
          <w:p w14:paraId="799B0F64">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身份证号码</w:t>
            </w:r>
          </w:p>
        </w:tc>
        <w:tc>
          <w:tcPr>
            <w:tcW w:w="1360" w:type="pct"/>
            <w:vAlign w:val="center"/>
          </w:tcPr>
          <w:p w14:paraId="4CAA620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328D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30F5F235">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48" w:type="pct"/>
            <w:shd w:val="clear" w:color="auto" w:fill="auto"/>
            <w:vAlign w:val="center"/>
          </w:tcPr>
          <w:p w14:paraId="6659AEA6">
            <w:pPr>
              <w:widowControl/>
              <w:spacing w:line="360" w:lineRule="auto"/>
              <w:jc w:val="center"/>
              <w:rPr>
                <w:rFonts w:hint="eastAsia" w:ascii="仿宋" w:hAnsi="仿宋" w:eastAsia="仿宋" w:cs="仿宋"/>
                <w:color w:val="auto"/>
                <w:kern w:val="0"/>
                <w:szCs w:val="21"/>
                <w:highlight w:val="none"/>
              </w:rPr>
            </w:pPr>
          </w:p>
        </w:tc>
        <w:tc>
          <w:tcPr>
            <w:tcW w:w="2246" w:type="pct"/>
            <w:shd w:val="clear" w:color="auto" w:fill="auto"/>
            <w:vAlign w:val="center"/>
          </w:tcPr>
          <w:p w14:paraId="198DF684">
            <w:pPr>
              <w:widowControl/>
              <w:spacing w:line="360" w:lineRule="auto"/>
              <w:jc w:val="center"/>
              <w:rPr>
                <w:rFonts w:hint="eastAsia" w:ascii="仿宋" w:hAnsi="仿宋" w:eastAsia="仿宋" w:cs="仿宋"/>
                <w:color w:val="auto"/>
                <w:kern w:val="0"/>
                <w:szCs w:val="21"/>
                <w:highlight w:val="none"/>
              </w:rPr>
            </w:pPr>
          </w:p>
        </w:tc>
        <w:tc>
          <w:tcPr>
            <w:tcW w:w="1360" w:type="pct"/>
            <w:vAlign w:val="center"/>
          </w:tcPr>
          <w:p w14:paraId="7636E21E">
            <w:pPr>
              <w:spacing w:line="360" w:lineRule="auto"/>
              <w:jc w:val="center"/>
              <w:rPr>
                <w:rFonts w:hint="eastAsia" w:ascii="仿宋" w:hAnsi="仿宋" w:eastAsia="仿宋" w:cs="仿宋"/>
                <w:color w:val="auto"/>
                <w:kern w:val="0"/>
                <w:szCs w:val="21"/>
                <w:highlight w:val="none"/>
              </w:rPr>
            </w:pPr>
          </w:p>
        </w:tc>
      </w:tr>
      <w:tr w14:paraId="1533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7C6575B4">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48" w:type="pct"/>
            <w:shd w:val="clear" w:color="auto" w:fill="auto"/>
            <w:vAlign w:val="center"/>
          </w:tcPr>
          <w:p w14:paraId="5B618202">
            <w:pPr>
              <w:widowControl/>
              <w:spacing w:line="360" w:lineRule="auto"/>
              <w:jc w:val="center"/>
              <w:rPr>
                <w:rFonts w:hint="eastAsia" w:ascii="仿宋" w:hAnsi="仿宋" w:eastAsia="仿宋" w:cs="仿宋"/>
                <w:color w:val="auto"/>
                <w:kern w:val="0"/>
                <w:szCs w:val="21"/>
                <w:highlight w:val="none"/>
              </w:rPr>
            </w:pPr>
          </w:p>
        </w:tc>
        <w:tc>
          <w:tcPr>
            <w:tcW w:w="2246" w:type="pct"/>
            <w:shd w:val="clear" w:color="auto" w:fill="auto"/>
            <w:vAlign w:val="center"/>
          </w:tcPr>
          <w:p w14:paraId="46C57E3D">
            <w:pPr>
              <w:widowControl/>
              <w:spacing w:line="360" w:lineRule="auto"/>
              <w:jc w:val="center"/>
              <w:rPr>
                <w:rFonts w:hint="eastAsia" w:ascii="仿宋" w:hAnsi="仿宋" w:eastAsia="仿宋" w:cs="仿宋"/>
                <w:color w:val="auto"/>
                <w:kern w:val="0"/>
                <w:szCs w:val="21"/>
                <w:highlight w:val="none"/>
              </w:rPr>
            </w:pPr>
          </w:p>
        </w:tc>
        <w:tc>
          <w:tcPr>
            <w:tcW w:w="1360" w:type="pct"/>
            <w:vAlign w:val="center"/>
          </w:tcPr>
          <w:p w14:paraId="2188B923">
            <w:pPr>
              <w:widowControl/>
              <w:spacing w:line="360" w:lineRule="auto"/>
              <w:jc w:val="center"/>
              <w:rPr>
                <w:rFonts w:hint="eastAsia" w:ascii="仿宋" w:hAnsi="仿宋" w:eastAsia="仿宋" w:cs="仿宋"/>
                <w:color w:val="auto"/>
                <w:kern w:val="0"/>
                <w:szCs w:val="21"/>
                <w:highlight w:val="none"/>
              </w:rPr>
            </w:pPr>
          </w:p>
        </w:tc>
      </w:tr>
      <w:tr w14:paraId="2EA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690876BA">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48" w:type="pct"/>
            <w:shd w:val="clear" w:color="auto" w:fill="auto"/>
            <w:vAlign w:val="center"/>
          </w:tcPr>
          <w:p w14:paraId="04BFA234">
            <w:pPr>
              <w:widowControl/>
              <w:spacing w:line="360" w:lineRule="auto"/>
              <w:jc w:val="center"/>
              <w:rPr>
                <w:rFonts w:hint="eastAsia" w:ascii="仿宋" w:hAnsi="仿宋" w:eastAsia="仿宋" w:cs="仿宋"/>
                <w:color w:val="auto"/>
                <w:kern w:val="0"/>
                <w:szCs w:val="21"/>
                <w:highlight w:val="none"/>
              </w:rPr>
            </w:pPr>
          </w:p>
        </w:tc>
        <w:tc>
          <w:tcPr>
            <w:tcW w:w="2246" w:type="pct"/>
            <w:shd w:val="clear" w:color="auto" w:fill="auto"/>
            <w:vAlign w:val="center"/>
          </w:tcPr>
          <w:p w14:paraId="46BE5632">
            <w:pPr>
              <w:widowControl/>
              <w:spacing w:line="360" w:lineRule="auto"/>
              <w:jc w:val="center"/>
              <w:rPr>
                <w:rFonts w:hint="eastAsia" w:ascii="仿宋" w:hAnsi="仿宋" w:eastAsia="仿宋" w:cs="仿宋"/>
                <w:color w:val="auto"/>
                <w:kern w:val="0"/>
                <w:szCs w:val="21"/>
                <w:highlight w:val="none"/>
              </w:rPr>
            </w:pPr>
          </w:p>
        </w:tc>
        <w:tc>
          <w:tcPr>
            <w:tcW w:w="1360" w:type="pct"/>
            <w:vAlign w:val="center"/>
          </w:tcPr>
          <w:p w14:paraId="0EFD8393">
            <w:pPr>
              <w:widowControl/>
              <w:spacing w:line="360" w:lineRule="auto"/>
              <w:jc w:val="center"/>
              <w:rPr>
                <w:rFonts w:hint="eastAsia" w:ascii="仿宋" w:hAnsi="仿宋" w:eastAsia="仿宋" w:cs="仿宋"/>
                <w:color w:val="auto"/>
                <w:kern w:val="0"/>
                <w:szCs w:val="21"/>
                <w:highlight w:val="none"/>
              </w:rPr>
            </w:pPr>
          </w:p>
        </w:tc>
      </w:tr>
      <w:tr w14:paraId="210B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4AC34F8E">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48" w:type="pct"/>
            <w:shd w:val="clear" w:color="auto" w:fill="auto"/>
            <w:vAlign w:val="center"/>
          </w:tcPr>
          <w:p w14:paraId="41CFDFBD">
            <w:pPr>
              <w:widowControl/>
              <w:spacing w:line="360" w:lineRule="auto"/>
              <w:jc w:val="center"/>
              <w:rPr>
                <w:rFonts w:hint="eastAsia" w:ascii="仿宋" w:hAnsi="仿宋" w:eastAsia="仿宋" w:cs="仿宋"/>
                <w:color w:val="auto"/>
                <w:kern w:val="0"/>
                <w:szCs w:val="21"/>
                <w:highlight w:val="none"/>
              </w:rPr>
            </w:pPr>
          </w:p>
        </w:tc>
        <w:tc>
          <w:tcPr>
            <w:tcW w:w="2246" w:type="pct"/>
            <w:shd w:val="clear" w:color="auto" w:fill="auto"/>
            <w:vAlign w:val="center"/>
          </w:tcPr>
          <w:p w14:paraId="5EC737BD">
            <w:pPr>
              <w:widowControl/>
              <w:spacing w:line="360" w:lineRule="auto"/>
              <w:jc w:val="center"/>
              <w:rPr>
                <w:rFonts w:hint="eastAsia" w:ascii="仿宋" w:hAnsi="仿宋" w:eastAsia="仿宋" w:cs="仿宋"/>
                <w:color w:val="auto"/>
                <w:kern w:val="0"/>
                <w:szCs w:val="21"/>
                <w:highlight w:val="none"/>
              </w:rPr>
            </w:pPr>
          </w:p>
        </w:tc>
        <w:tc>
          <w:tcPr>
            <w:tcW w:w="1360" w:type="pct"/>
            <w:vAlign w:val="center"/>
          </w:tcPr>
          <w:p w14:paraId="1BB244F3">
            <w:pPr>
              <w:widowControl/>
              <w:spacing w:line="360" w:lineRule="auto"/>
              <w:jc w:val="center"/>
              <w:rPr>
                <w:rFonts w:hint="eastAsia" w:ascii="仿宋" w:hAnsi="仿宋" w:eastAsia="仿宋" w:cs="仿宋"/>
                <w:color w:val="auto"/>
                <w:kern w:val="0"/>
                <w:szCs w:val="21"/>
                <w:highlight w:val="none"/>
              </w:rPr>
            </w:pPr>
          </w:p>
        </w:tc>
      </w:tr>
      <w:tr w14:paraId="18AB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5E779F67">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48" w:type="pct"/>
            <w:shd w:val="clear" w:color="auto" w:fill="auto"/>
            <w:vAlign w:val="center"/>
          </w:tcPr>
          <w:p w14:paraId="2E2B20CA">
            <w:pPr>
              <w:widowControl/>
              <w:spacing w:line="360" w:lineRule="auto"/>
              <w:jc w:val="center"/>
              <w:rPr>
                <w:rFonts w:hint="eastAsia" w:ascii="仿宋" w:hAnsi="仿宋" w:eastAsia="仿宋" w:cs="仿宋"/>
                <w:color w:val="auto"/>
                <w:kern w:val="0"/>
                <w:szCs w:val="21"/>
                <w:highlight w:val="none"/>
              </w:rPr>
            </w:pPr>
          </w:p>
        </w:tc>
        <w:tc>
          <w:tcPr>
            <w:tcW w:w="2246" w:type="pct"/>
            <w:shd w:val="clear" w:color="auto" w:fill="auto"/>
            <w:vAlign w:val="center"/>
          </w:tcPr>
          <w:p w14:paraId="4795AE37">
            <w:pPr>
              <w:widowControl/>
              <w:spacing w:line="360" w:lineRule="auto"/>
              <w:jc w:val="center"/>
              <w:rPr>
                <w:rFonts w:hint="eastAsia" w:ascii="仿宋" w:hAnsi="仿宋" w:eastAsia="仿宋" w:cs="仿宋"/>
                <w:color w:val="auto"/>
                <w:kern w:val="0"/>
                <w:szCs w:val="21"/>
                <w:highlight w:val="none"/>
              </w:rPr>
            </w:pPr>
          </w:p>
        </w:tc>
        <w:tc>
          <w:tcPr>
            <w:tcW w:w="1360" w:type="pct"/>
            <w:vAlign w:val="center"/>
          </w:tcPr>
          <w:p w14:paraId="54493CBC">
            <w:pPr>
              <w:widowControl/>
              <w:spacing w:line="360" w:lineRule="auto"/>
              <w:jc w:val="center"/>
              <w:rPr>
                <w:rFonts w:hint="eastAsia" w:ascii="仿宋" w:hAnsi="仿宋" w:eastAsia="仿宋" w:cs="仿宋"/>
                <w:color w:val="auto"/>
                <w:kern w:val="0"/>
                <w:szCs w:val="21"/>
                <w:highlight w:val="none"/>
              </w:rPr>
            </w:pPr>
          </w:p>
        </w:tc>
      </w:tr>
      <w:tr w14:paraId="1DD5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14CE61B0">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748" w:type="pct"/>
            <w:shd w:val="clear" w:color="auto" w:fill="auto"/>
            <w:vAlign w:val="center"/>
          </w:tcPr>
          <w:p w14:paraId="4C866278">
            <w:pPr>
              <w:widowControl/>
              <w:spacing w:line="360" w:lineRule="auto"/>
              <w:jc w:val="center"/>
              <w:rPr>
                <w:rFonts w:hint="eastAsia" w:ascii="仿宋" w:hAnsi="仿宋" w:eastAsia="仿宋" w:cs="仿宋"/>
                <w:color w:val="auto"/>
                <w:kern w:val="0"/>
                <w:szCs w:val="21"/>
                <w:highlight w:val="none"/>
              </w:rPr>
            </w:pPr>
          </w:p>
        </w:tc>
        <w:tc>
          <w:tcPr>
            <w:tcW w:w="2246" w:type="pct"/>
            <w:shd w:val="clear" w:color="auto" w:fill="auto"/>
            <w:vAlign w:val="center"/>
          </w:tcPr>
          <w:p w14:paraId="5A7C8503">
            <w:pPr>
              <w:widowControl/>
              <w:spacing w:line="360" w:lineRule="auto"/>
              <w:jc w:val="center"/>
              <w:rPr>
                <w:rFonts w:hint="eastAsia" w:ascii="仿宋" w:hAnsi="仿宋" w:eastAsia="仿宋" w:cs="仿宋"/>
                <w:color w:val="auto"/>
                <w:kern w:val="0"/>
                <w:szCs w:val="21"/>
                <w:highlight w:val="none"/>
              </w:rPr>
            </w:pPr>
          </w:p>
        </w:tc>
        <w:tc>
          <w:tcPr>
            <w:tcW w:w="1360" w:type="pct"/>
            <w:vAlign w:val="center"/>
          </w:tcPr>
          <w:p w14:paraId="7607A1BF">
            <w:pPr>
              <w:widowControl/>
              <w:spacing w:line="360" w:lineRule="auto"/>
              <w:jc w:val="center"/>
              <w:rPr>
                <w:rFonts w:hint="eastAsia" w:ascii="仿宋" w:hAnsi="仿宋" w:eastAsia="仿宋" w:cs="仿宋"/>
                <w:color w:val="auto"/>
                <w:kern w:val="0"/>
                <w:szCs w:val="21"/>
                <w:highlight w:val="none"/>
              </w:rPr>
            </w:pPr>
          </w:p>
        </w:tc>
      </w:tr>
      <w:tr w14:paraId="234B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14015B3E">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748" w:type="pct"/>
            <w:shd w:val="clear" w:color="auto" w:fill="auto"/>
            <w:vAlign w:val="center"/>
          </w:tcPr>
          <w:p w14:paraId="13161B77">
            <w:pPr>
              <w:widowControl/>
              <w:spacing w:line="360" w:lineRule="auto"/>
              <w:jc w:val="center"/>
              <w:rPr>
                <w:rFonts w:hint="eastAsia" w:ascii="仿宋" w:hAnsi="仿宋" w:eastAsia="仿宋" w:cs="仿宋"/>
                <w:color w:val="auto"/>
                <w:kern w:val="0"/>
                <w:szCs w:val="21"/>
                <w:highlight w:val="none"/>
              </w:rPr>
            </w:pPr>
          </w:p>
        </w:tc>
        <w:tc>
          <w:tcPr>
            <w:tcW w:w="2246" w:type="pct"/>
            <w:shd w:val="clear" w:color="auto" w:fill="auto"/>
            <w:vAlign w:val="center"/>
          </w:tcPr>
          <w:p w14:paraId="522851B6">
            <w:pPr>
              <w:widowControl/>
              <w:spacing w:line="360" w:lineRule="auto"/>
              <w:jc w:val="center"/>
              <w:rPr>
                <w:rFonts w:hint="eastAsia" w:ascii="仿宋" w:hAnsi="仿宋" w:eastAsia="仿宋" w:cs="仿宋"/>
                <w:color w:val="auto"/>
                <w:kern w:val="0"/>
                <w:szCs w:val="21"/>
                <w:highlight w:val="none"/>
              </w:rPr>
            </w:pPr>
          </w:p>
        </w:tc>
        <w:tc>
          <w:tcPr>
            <w:tcW w:w="1360" w:type="pct"/>
            <w:vAlign w:val="center"/>
          </w:tcPr>
          <w:p w14:paraId="6FD396C5">
            <w:pPr>
              <w:widowControl/>
              <w:spacing w:line="360" w:lineRule="auto"/>
              <w:jc w:val="center"/>
              <w:rPr>
                <w:rFonts w:hint="eastAsia" w:ascii="仿宋" w:hAnsi="仿宋" w:eastAsia="仿宋" w:cs="仿宋"/>
                <w:color w:val="auto"/>
                <w:kern w:val="0"/>
                <w:szCs w:val="21"/>
                <w:highlight w:val="none"/>
              </w:rPr>
            </w:pPr>
          </w:p>
        </w:tc>
      </w:tr>
      <w:tr w14:paraId="738B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33D249FD">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748" w:type="pct"/>
            <w:shd w:val="clear" w:color="auto" w:fill="auto"/>
            <w:vAlign w:val="center"/>
          </w:tcPr>
          <w:p w14:paraId="256D4ED2">
            <w:pPr>
              <w:widowControl/>
              <w:spacing w:line="360" w:lineRule="auto"/>
              <w:jc w:val="center"/>
              <w:rPr>
                <w:rFonts w:hint="eastAsia" w:ascii="仿宋" w:hAnsi="仿宋" w:eastAsia="仿宋" w:cs="仿宋"/>
                <w:color w:val="auto"/>
                <w:kern w:val="0"/>
                <w:szCs w:val="21"/>
                <w:highlight w:val="none"/>
              </w:rPr>
            </w:pPr>
          </w:p>
        </w:tc>
        <w:tc>
          <w:tcPr>
            <w:tcW w:w="2246" w:type="pct"/>
            <w:shd w:val="clear" w:color="auto" w:fill="auto"/>
            <w:vAlign w:val="center"/>
          </w:tcPr>
          <w:p w14:paraId="6D7594F2">
            <w:pPr>
              <w:widowControl/>
              <w:spacing w:line="360" w:lineRule="auto"/>
              <w:jc w:val="center"/>
              <w:rPr>
                <w:rFonts w:hint="eastAsia" w:ascii="仿宋" w:hAnsi="仿宋" w:eastAsia="仿宋" w:cs="仿宋"/>
                <w:color w:val="auto"/>
                <w:kern w:val="0"/>
                <w:szCs w:val="21"/>
                <w:highlight w:val="none"/>
              </w:rPr>
            </w:pPr>
          </w:p>
        </w:tc>
        <w:tc>
          <w:tcPr>
            <w:tcW w:w="1360" w:type="pct"/>
            <w:vAlign w:val="center"/>
          </w:tcPr>
          <w:p w14:paraId="52DFECC4">
            <w:pPr>
              <w:widowControl/>
              <w:spacing w:line="360" w:lineRule="auto"/>
              <w:jc w:val="center"/>
              <w:rPr>
                <w:rFonts w:hint="eastAsia" w:ascii="仿宋" w:hAnsi="仿宋" w:eastAsia="仿宋" w:cs="仿宋"/>
                <w:color w:val="auto"/>
                <w:kern w:val="0"/>
                <w:szCs w:val="21"/>
                <w:highlight w:val="none"/>
              </w:rPr>
            </w:pPr>
          </w:p>
        </w:tc>
      </w:tr>
      <w:tr w14:paraId="04B1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6" w:type="pct"/>
            <w:shd w:val="clear" w:color="auto" w:fill="auto"/>
            <w:vAlign w:val="center"/>
          </w:tcPr>
          <w:p w14:paraId="37BBD814">
            <w:pPr>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748" w:type="pct"/>
            <w:shd w:val="clear" w:color="auto" w:fill="auto"/>
            <w:vAlign w:val="center"/>
          </w:tcPr>
          <w:p w14:paraId="3C5D4E1C">
            <w:pPr>
              <w:widowControl/>
              <w:spacing w:line="360" w:lineRule="auto"/>
              <w:jc w:val="center"/>
              <w:rPr>
                <w:rFonts w:hint="eastAsia" w:ascii="仿宋" w:hAnsi="仿宋" w:eastAsia="仿宋" w:cs="仿宋"/>
                <w:color w:val="auto"/>
                <w:kern w:val="0"/>
                <w:szCs w:val="21"/>
                <w:highlight w:val="none"/>
              </w:rPr>
            </w:pPr>
          </w:p>
        </w:tc>
        <w:tc>
          <w:tcPr>
            <w:tcW w:w="2246" w:type="pct"/>
            <w:shd w:val="clear" w:color="auto" w:fill="auto"/>
            <w:vAlign w:val="center"/>
          </w:tcPr>
          <w:p w14:paraId="628A4FA7">
            <w:pPr>
              <w:widowControl/>
              <w:spacing w:line="360" w:lineRule="auto"/>
              <w:jc w:val="center"/>
              <w:rPr>
                <w:rFonts w:hint="eastAsia" w:ascii="仿宋" w:hAnsi="仿宋" w:eastAsia="仿宋" w:cs="仿宋"/>
                <w:color w:val="auto"/>
                <w:kern w:val="0"/>
                <w:szCs w:val="21"/>
                <w:highlight w:val="none"/>
              </w:rPr>
            </w:pPr>
          </w:p>
        </w:tc>
        <w:tc>
          <w:tcPr>
            <w:tcW w:w="1360" w:type="pct"/>
            <w:vAlign w:val="center"/>
          </w:tcPr>
          <w:p w14:paraId="6F1E9E72">
            <w:pPr>
              <w:widowControl/>
              <w:spacing w:line="360" w:lineRule="auto"/>
              <w:jc w:val="center"/>
              <w:rPr>
                <w:rFonts w:hint="eastAsia" w:ascii="仿宋" w:hAnsi="仿宋" w:eastAsia="仿宋" w:cs="仿宋"/>
                <w:color w:val="auto"/>
                <w:kern w:val="0"/>
                <w:szCs w:val="21"/>
                <w:highlight w:val="none"/>
              </w:rPr>
            </w:pPr>
          </w:p>
        </w:tc>
      </w:tr>
    </w:tbl>
    <w:p w14:paraId="23E3BBFC">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备注：需提供团队服务人员的身份证正反面复印件（有效期内）。</w:t>
      </w:r>
    </w:p>
    <w:p w14:paraId="72AF6ABE">
      <w:pPr>
        <w:rPr>
          <w:rFonts w:hint="eastAsia" w:ascii="仿宋" w:hAnsi="仿宋" w:eastAsia="仿宋" w:cs="仿宋"/>
          <w:color w:val="auto"/>
          <w:highlight w:val="none"/>
        </w:rPr>
      </w:pPr>
    </w:p>
    <w:p w14:paraId="5B9999C6">
      <w:pPr>
        <w:pStyle w:val="6"/>
        <w:pageBreakBefore/>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0</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整合传播</w:t>
      </w:r>
      <w:r>
        <w:rPr>
          <w:rFonts w:hint="eastAsia" w:ascii="仿宋" w:hAnsi="仿宋" w:eastAsia="仿宋" w:cs="仿宋"/>
          <w:b/>
          <w:bCs/>
          <w:color w:val="auto"/>
          <w:sz w:val="21"/>
          <w:szCs w:val="21"/>
          <w:highlight w:val="none"/>
        </w:rPr>
        <w:t>服务经验及案例</w:t>
      </w:r>
    </w:p>
    <w:p w14:paraId="2EAD397E">
      <w:pPr>
        <w:rPr>
          <w:rFonts w:hint="eastAsia" w:ascii="仿宋" w:hAnsi="仿宋" w:eastAsia="仿宋" w:cs="仿宋"/>
          <w:color w:val="auto"/>
          <w:highlight w:val="none"/>
        </w:rPr>
      </w:pPr>
      <w:r>
        <w:rPr>
          <w:rFonts w:hint="eastAsia" w:ascii="仿宋" w:hAnsi="仿宋" w:eastAsia="仿宋" w:cs="仿宋"/>
          <w:color w:val="auto"/>
          <w:highlight w:val="none"/>
        </w:rPr>
        <w:t>内容包括但不限于</w:t>
      </w:r>
      <w:r>
        <w:rPr>
          <w:rFonts w:hint="eastAsia" w:ascii="仿宋" w:hAnsi="仿宋" w:eastAsia="仿宋" w:cs="仿宋"/>
          <w:color w:val="auto"/>
          <w:highlight w:val="none"/>
          <w:lang w:eastAsia="zh-CN"/>
        </w:rPr>
        <w:t>整合传播</w:t>
      </w:r>
      <w:r>
        <w:rPr>
          <w:rFonts w:hint="eastAsia" w:ascii="仿宋" w:hAnsi="仿宋" w:eastAsia="仿宋" w:cs="仿宋"/>
          <w:color w:val="auto"/>
          <w:highlight w:val="none"/>
        </w:rPr>
        <w:t>服务经验及案例进行评审，内容不限于参选人具备大规模的商业类活动</w:t>
      </w:r>
      <w:r>
        <w:rPr>
          <w:rFonts w:hint="eastAsia" w:ascii="仿宋" w:hAnsi="仿宋" w:eastAsia="仿宋" w:cs="仿宋"/>
          <w:color w:val="auto"/>
          <w:highlight w:val="none"/>
          <w:lang w:eastAsia="zh-CN"/>
        </w:rPr>
        <w:t>整合传播</w:t>
      </w:r>
      <w:r>
        <w:rPr>
          <w:rFonts w:hint="eastAsia" w:ascii="仿宋" w:hAnsi="仿宋" w:eastAsia="仿宋" w:cs="仿宋"/>
          <w:color w:val="auto"/>
          <w:highlight w:val="none"/>
        </w:rPr>
        <w:t>经历、相关案例、专业的服务资质等。格式自拟。</w:t>
      </w:r>
    </w:p>
    <w:p w14:paraId="46835437">
      <w:pPr>
        <w:pStyle w:val="6"/>
        <w:pageBreakBefore/>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.服务方案</w:t>
      </w:r>
    </w:p>
    <w:p w14:paraId="374299B9">
      <w:pPr>
        <w:rPr>
          <w:rFonts w:hint="eastAsia" w:ascii="仿宋" w:hAnsi="仿宋" w:eastAsia="仿宋" w:cs="仿宋"/>
          <w:color w:val="auto"/>
          <w:highlight w:val="none"/>
        </w:rPr>
      </w:pPr>
      <w:r>
        <w:rPr>
          <w:rFonts w:hint="eastAsia" w:ascii="仿宋" w:hAnsi="仿宋" w:eastAsia="仿宋" w:cs="仿宋"/>
          <w:b w:val="0"/>
          <w:color w:val="auto"/>
          <w:kern w:val="2"/>
          <w:szCs w:val="24"/>
          <w:highlight w:val="none"/>
        </w:rPr>
        <w:t>内容包括但不限于</w:t>
      </w:r>
      <w:r>
        <w:rPr>
          <w:rFonts w:hint="eastAsia" w:ascii="仿宋" w:hAnsi="仿宋" w:eastAsia="仿宋" w:cs="仿宋"/>
          <w:b w:val="0"/>
          <w:color w:val="auto"/>
          <w:kern w:val="2"/>
          <w:szCs w:val="24"/>
          <w:highlight w:val="none"/>
          <w:lang w:val="en-US" w:eastAsia="zh-CN"/>
        </w:rPr>
        <w:t>项目的市场分析、推广策略、实施计划、响应《第五章 技术规范书》服务清单（特别重要：</w:t>
      </w:r>
      <w:r>
        <w:rPr>
          <w:rFonts w:hint="eastAsia" w:ascii="仿宋" w:hAnsi="仿宋" w:eastAsia="仿宋" w:cs="仿宋"/>
          <w:b w:val="0"/>
          <w:bCs w:val="0"/>
          <w:color w:val="auto"/>
          <w:kern w:val="2"/>
          <w:sz w:val="21"/>
          <w:szCs w:val="24"/>
          <w:highlight w:val="none"/>
          <w:lang w:val="en-US" w:eastAsia="zh-CN"/>
        </w:rPr>
        <w:t>该项为服务方案必含项）、服务计划、公司资质（证书）优势</w:t>
      </w:r>
      <w:r>
        <w:rPr>
          <w:rFonts w:hint="eastAsia" w:ascii="仿宋" w:hAnsi="仿宋" w:eastAsia="仿宋" w:cs="仿宋"/>
          <w:b/>
          <w:bCs w:val="0"/>
          <w:color w:val="auto"/>
          <w:kern w:val="0"/>
          <w:sz w:val="21"/>
          <w:szCs w:val="21"/>
          <w:highlight w:val="none"/>
          <w:u w:val="none"/>
          <w:lang w:val="en-US" w:eastAsia="zh-CN"/>
        </w:rPr>
        <w:t>；</w:t>
      </w:r>
      <w:r>
        <w:rPr>
          <w:rFonts w:hint="eastAsia" w:ascii="仿宋" w:hAnsi="仿宋" w:eastAsia="仿宋" w:cs="仿宋"/>
          <w:color w:val="auto"/>
          <w:highlight w:val="none"/>
        </w:rPr>
        <w:t>格式自拟。</w:t>
      </w:r>
    </w:p>
    <w:p w14:paraId="5878B210">
      <w:pPr>
        <w:pStyle w:val="6"/>
        <w:pageBreakBefore/>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w:t>
      </w:r>
      <w:r>
        <w:rPr>
          <w:rFonts w:hint="eastAsia" w:ascii="仿宋" w:hAnsi="仿宋" w:eastAsia="仿宋" w:cs="仿宋"/>
          <w:b/>
          <w:color w:val="auto"/>
          <w:kern w:val="2"/>
          <w:sz w:val="21"/>
          <w:szCs w:val="21"/>
          <w:highlight w:val="none"/>
          <w:lang w:val="en-US" w:eastAsia="zh-CN"/>
        </w:rPr>
        <w:t>响应技术规范书服务表</w:t>
      </w:r>
      <w:r>
        <w:rPr>
          <w:rFonts w:hint="eastAsia" w:ascii="仿宋" w:hAnsi="仿宋" w:eastAsia="仿宋" w:cs="仿宋"/>
          <w:b/>
          <w:color w:val="auto"/>
          <w:sz w:val="21"/>
          <w:szCs w:val="21"/>
          <w:highlight w:val="none"/>
        </w:rPr>
        <w:t xml:space="preserve"> </w:t>
      </w:r>
    </w:p>
    <w:p w14:paraId="55DC9C14">
      <w:pPr>
        <w:topLinePunct/>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《技术规范书》类共16类、服务表需逐类回应响应服务内容、频次/月度，响应不得低于10条，是否接受甲方公司合同前调配商榷；）</w:t>
      </w:r>
    </w:p>
    <w:bookmarkEnd w:id="545"/>
    <w:bookmarkEnd w:id="546"/>
    <w:bookmarkEnd w:id="547"/>
    <w:p w14:paraId="4646E987">
      <w:pPr>
        <w:spacing w:before="312" w:beforeLines="100" w:after="312" w:afterLines="100" w:line="360" w:lineRule="auto"/>
        <w:jc w:val="left"/>
        <w:rPr>
          <w:rFonts w:hint="eastAsia" w:ascii="仿宋" w:hAnsi="仿宋" w:eastAsia="仿宋" w:cs="仿宋"/>
          <w:color w:val="auto"/>
          <w:kern w:val="24"/>
          <w:szCs w:val="21"/>
          <w:highlight w:val="none"/>
        </w:rPr>
      </w:pPr>
    </w:p>
    <w:p w14:paraId="188A33C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8F13635">
      <w:pPr>
        <w:spacing w:line="360" w:lineRule="auto"/>
        <w:jc w:val="center"/>
        <w:rPr>
          <w:rFonts w:hint="eastAsia" w:ascii="仿宋" w:hAnsi="仿宋" w:eastAsia="仿宋" w:cs="仿宋"/>
          <w:color w:val="auto"/>
          <w:sz w:val="28"/>
          <w:szCs w:val="28"/>
          <w:highlight w:val="none"/>
        </w:rPr>
      </w:pPr>
    </w:p>
    <w:p w14:paraId="28B94BB9">
      <w:pPr>
        <w:spacing w:after="120" w:line="360" w:lineRule="auto"/>
        <w:jc w:val="center"/>
        <w:rPr>
          <w:rFonts w:hint="eastAsia" w:ascii="仿宋" w:hAnsi="仿宋" w:eastAsia="仿宋" w:cs="仿宋"/>
          <w:color w:val="auto"/>
          <w:sz w:val="32"/>
          <w:szCs w:val="32"/>
          <w:highlight w:val="none"/>
          <w:u w:val="single"/>
        </w:rPr>
      </w:pPr>
    </w:p>
    <w:p w14:paraId="679AC216">
      <w:pPr>
        <w:spacing w:line="360" w:lineRule="auto"/>
        <w:rPr>
          <w:rFonts w:hint="eastAsia" w:ascii="仿宋" w:hAnsi="仿宋" w:eastAsia="仿宋" w:cs="仿宋"/>
          <w:color w:val="auto"/>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简体">
    <w:altName w:val="微软雅黑"/>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儷宋 Pro">
    <w:altName w:val="宋体"/>
    <w:panose1 w:val="02020300000000000000"/>
    <w:charset w:val="88"/>
    <w:family w:val="auto"/>
    <w:pitch w:val="default"/>
    <w:sig w:usb0="00000000" w:usb1="00000000" w:usb2="00000016" w:usb3="00000000" w:csb0="00100000" w:csb1="00000000"/>
  </w:font>
  <w:font w:name="Arial Narrow">
    <w:altName w:val="Arial"/>
    <w:panose1 w:val="020B0606020202030204"/>
    <w:charset w:val="00"/>
    <w:family w:val="swiss"/>
    <w:pitch w:val="default"/>
    <w:sig w:usb0="00000000" w:usb1="00000000" w:usb2="00000000" w:usb3="00000000" w:csb0="2000009F" w:csb1="DFD7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E22E7406-D4AA-48FA-8299-695D7708C949}"/>
  </w:font>
  <w:font w:name="方正小标宋简体">
    <w:panose1 w:val="03000509000000000000"/>
    <w:charset w:val="86"/>
    <w:family w:val="auto"/>
    <w:pitch w:val="default"/>
    <w:sig w:usb0="00000001" w:usb1="080E0000" w:usb2="00000000" w:usb3="00000000" w:csb0="00040000" w:csb1="00000000"/>
    <w:embedRegular r:id="rId2" w:fontKey="{655EACA1-71F0-42BC-8C0F-4620E6F9BBFC}"/>
  </w:font>
  <w:font w:name="方正小标宋_GBK">
    <w:panose1 w:val="02000000000000000000"/>
    <w:charset w:val="86"/>
    <w:family w:val="script"/>
    <w:pitch w:val="default"/>
    <w:sig w:usb0="A00002BF" w:usb1="38CF7CFA" w:usb2="00082016" w:usb3="00000000" w:csb0="00040001" w:csb1="00000000"/>
    <w:embedRegular r:id="rId3" w:fontKey="{6667D420-3B4F-45AA-8B7E-59325FAF2566}"/>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D07A">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A687A">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6011">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3796C">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643796C">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C3DD">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0FA97">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5C0FA97">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w:t>
                    </w:r>
                    <w:r>
                      <w:rPr>
                        <w:rFonts w:ascii="宋体" w:hAnsi="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A6A0">
    <w:pPr>
      <w:pStyle w:val="2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B45C3">
                          <w:pPr>
                            <w:pStyle w:val="29"/>
                            <w:jc w:val="center"/>
                          </w:pPr>
                          <w:r>
                            <w:fldChar w:fldCharType="begin"/>
                          </w:r>
                          <w:r>
                            <w:instrText xml:space="preserve">PAGE   \* MERGEFORMAT</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FB45C3">
                    <w:pPr>
                      <w:pStyle w:val="29"/>
                      <w:jc w:val="center"/>
                    </w:pPr>
                    <w:r>
                      <w:fldChar w:fldCharType="begin"/>
                    </w:r>
                    <w:r>
                      <w:instrText xml:space="preserve">PAGE   \* MERGEFORMAT</w:instrText>
                    </w:r>
                    <w:r>
                      <w:fldChar w:fldCharType="separate"/>
                    </w:r>
                    <w:r>
                      <w:rPr>
                        <w:lang w:val="zh-CN"/>
                      </w:rPr>
                      <w:t>3</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B77A">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A2690">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26</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4A2690">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26</w:t>
                    </w:r>
                    <w:r>
                      <w:rPr>
                        <w:rFonts w:ascii="宋体" w:hAnsi="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3D10">
    <w:pPr>
      <w:pStyle w:val="29"/>
      <w:jc w:val="center"/>
    </w:pPr>
    <w:r>
      <w:fldChar w:fldCharType="begin"/>
    </w:r>
    <w:r>
      <w:instrText xml:space="preserve">PAGE   \* MERGEFORMAT</w:instrText>
    </w:r>
    <w:r>
      <w:fldChar w:fldCharType="separate"/>
    </w:r>
    <w:r>
      <w:rPr>
        <w:lang w:val="zh-CN"/>
      </w:rPr>
      <w:t>7</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08B9">
    <w:pPr>
      <w:pStyle w:val="2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566F1">
                          <w:pPr>
                            <w:pStyle w:val="29"/>
                            <w:jc w:val="center"/>
                          </w:pPr>
                          <w:r>
                            <w:fldChar w:fldCharType="begin"/>
                          </w:r>
                          <w:r>
                            <w:instrText xml:space="preserve">PAGE   \* MERGEFORMAT</w:instrText>
                          </w:r>
                          <w:r>
                            <w:fldChar w:fldCharType="separate"/>
                          </w:r>
                          <w:r>
                            <w:rPr>
                              <w:lang w:val="zh-CN"/>
                            </w:rPr>
                            <w:t>56</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04566F1">
                    <w:pPr>
                      <w:pStyle w:val="29"/>
                      <w:jc w:val="center"/>
                    </w:pPr>
                    <w:r>
                      <w:fldChar w:fldCharType="begin"/>
                    </w:r>
                    <w:r>
                      <w:instrText xml:space="preserve">PAGE   \* MERGEFORMAT</w:instrText>
                    </w:r>
                    <w:r>
                      <w:fldChar w:fldCharType="separate"/>
                    </w:r>
                    <w:r>
                      <w:rPr>
                        <w:lang w:val="zh-CN"/>
                      </w:rPr>
                      <w:t>56</w:t>
                    </w:r>
                    <w:r>
                      <w:rPr>
                        <w:lang w:val="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5C55">
    <w:pPr>
      <w:pStyle w:val="29"/>
      <w:jc w:val="center"/>
    </w:pPr>
    <w:r>
      <w:fldChar w:fldCharType="begin"/>
    </w:r>
    <w:r>
      <w:instrText xml:space="preserve">PAGE   \* MERGEFORMAT</w:instrText>
    </w:r>
    <w:r>
      <w:fldChar w:fldCharType="separate"/>
    </w:r>
    <w:r>
      <w:rPr>
        <w:lang w:val="zh-CN"/>
      </w:rPr>
      <w:t>8</w:t>
    </w:r>
    <w:r>
      <w:rPr>
        <w:lang w:val="zh-CN"/>
      </w:rPr>
      <w:fldChar w:fldCharType="end"/>
    </w:r>
  </w:p>
  <w:p w14:paraId="772ED75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1A72">
    <w:pPr>
      <w:pStyle w:val="30"/>
      <w:pBdr>
        <w:bottom w:val="none" w:color="auto" w:sz="0" w:space="1"/>
      </w:pBdr>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084E">
    <w:pPr>
      <w:pStyle w:val="30"/>
      <w:pBdr>
        <w:bottom w:val="none" w:color="auto" w:sz="0" w:space="1"/>
      </w:pBdr>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36FF9910"/>
    <w:multiLevelType w:val="singleLevel"/>
    <w:tmpl w:val="36FF9910"/>
    <w:lvl w:ilvl="0" w:tentative="0">
      <w:start w:val="1"/>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6"/>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0241948"/>
    <w:multiLevelType w:val="multilevel"/>
    <w:tmpl w:val="60241948"/>
    <w:lvl w:ilvl="0" w:tentative="0">
      <w:start w:val="1"/>
      <w:numFmt w:val="lowerLetter"/>
      <w:pStyle w:val="162"/>
      <w:suff w:val="space"/>
      <w:lvlText w:val="%1)"/>
      <w:lvlJc w:val="left"/>
      <w:pPr>
        <w:ind w:left="1333" w:hanging="482"/>
      </w:pPr>
      <w:rPr>
        <w:rFonts w:hint="eastAsia" w:ascii="黑体" w:eastAsia="黑体"/>
        <w:b w:val="0"/>
        <w:i w:val="0"/>
        <w:sz w:val="24"/>
        <w:szCs w:val="21"/>
      </w:rPr>
    </w:lvl>
    <w:lvl w:ilvl="1" w:tentative="0">
      <w:start w:val="1"/>
      <w:numFmt w:val="decimal"/>
      <w:pStyle w:val="161"/>
      <w:lvlText w:val="%2)"/>
      <w:lvlJc w:val="left"/>
      <w:pPr>
        <w:tabs>
          <w:tab w:val="left" w:pos="1815"/>
        </w:tabs>
        <w:ind w:left="1815" w:hanging="482"/>
      </w:pPr>
      <w:rPr>
        <w:rFonts w:hint="eastAsia" w:ascii="黑体" w:eastAsia="黑体"/>
        <w:b w:val="0"/>
        <w:i w:val="0"/>
        <w:sz w:val="24"/>
      </w:rPr>
    </w:lvl>
    <w:lvl w:ilvl="2" w:tentative="0">
      <w:start w:val="1"/>
      <w:numFmt w:val="decimal"/>
      <w:pStyle w:val="163"/>
      <w:lvlText w:val="(%3)"/>
      <w:lvlJc w:val="left"/>
      <w:pPr>
        <w:tabs>
          <w:tab w:val="left" w:pos="2297"/>
        </w:tabs>
        <w:ind w:left="2297" w:hanging="482"/>
      </w:pPr>
      <w:rPr>
        <w:rFonts w:hint="eastAsia" w:ascii="黑体" w:eastAsia="黑体"/>
        <w:b w:val="0"/>
        <w:i w:val="0"/>
        <w:sz w:val="24"/>
        <w:szCs w:val="21"/>
      </w:rPr>
    </w:lvl>
    <w:lvl w:ilvl="3" w:tentative="0">
      <w:start w:val="1"/>
      <w:numFmt w:val="none"/>
      <w:lvlText w:val=""/>
      <w:lvlJc w:val="left"/>
      <w:pPr>
        <w:tabs>
          <w:tab w:val="left" w:pos="2469"/>
        </w:tabs>
        <w:ind w:left="2468" w:hanging="419"/>
      </w:pPr>
      <w:rPr>
        <w:rFonts w:hint="eastAsia"/>
      </w:rPr>
    </w:lvl>
    <w:lvl w:ilvl="4" w:tentative="0">
      <w:start w:val="1"/>
      <w:numFmt w:val="none"/>
      <w:lvlText w:val="%5"/>
      <w:lvlJc w:val="left"/>
      <w:pPr>
        <w:tabs>
          <w:tab w:val="left" w:pos="2889"/>
        </w:tabs>
        <w:ind w:left="2888" w:hanging="419"/>
      </w:pPr>
      <w:rPr>
        <w:rFonts w:hint="eastAsia"/>
      </w:rPr>
    </w:lvl>
    <w:lvl w:ilvl="5" w:tentative="0">
      <w:start w:val="1"/>
      <w:numFmt w:val="none"/>
      <w:lvlText w:val=""/>
      <w:lvlJc w:val="right"/>
      <w:pPr>
        <w:tabs>
          <w:tab w:val="left" w:pos="3309"/>
        </w:tabs>
        <w:ind w:left="3308" w:hanging="419"/>
      </w:pPr>
      <w:rPr>
        <w:rFonts w:hint="eastAsia"/>
      </w:rPr>
    </w:lvl>
    <w:lvl w:ilvl="6" w:tentative="0">
      <w:start w:val="1"/>
      <w:numFmt w:val="none"/>
      <w:lvlText w:val=""/>
      <w:lvlJc w:val="left"/>
      <w:pPr>
        <w:tabs>
          <w:tab w:val="left" w:pos="3729"/>
        </w:tabs>
        <w:ind w:left="3728" w:hanging="419"/>
      </w:pPr>
      <w:rPr>
        <w:rFonts w:hint="eastAsia"/>
      </w:rPr>
    </w:lvl>
    <w:lvl w:ilvl="7" w:tentative="0">
      <w:start w:val="1"/>
      <w:numFmt w:val="none"/>
      <w:lvlText w:val=""/>
      <w:lvlJc w:val="left"/>
      <w:pPr>
        <w:tabs>
          <w:tab w:val="left" w:pos="4149"/>
        </w:tabs>
        <w:ind w:left="4148" w:hanging="419"/>
      </w:pPr>
      <w:rPr>
        <w:rFonts w:hint="eastAsia"/>
      </w:rPr>
    </w:lvl>
    <w:lvl w:ilvl="8" w:tentative="0">
      <w:start w:val="1"/>
      <w:numFmt w:val="none"/>
      <w:lvlText w:val=""/>
      <w:lvlJc w:val="right"/>
      <w:pPr>
        <w:tabs>
          <w:tab w:val="left" w:pos="4569"/>
        </w:tabs>
        <w:ind w:left="4568" w:hanging="419"/>
      </w:pPr>
      <w:rPr>
        <w:rFonts w:hint="eastAsia"/>
      </w:rPr>
    </w:lvl>
  </w:abstractNum>
  <w:abstractNum w:abstractNumId="5">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99024B"/>
    <w:multiLevelType w:val="multilevel"/>
    <w:tmpl w:val="6C99024B"/>
    <w:lvl w:ilvl="0" w:tentative="0">
      <w:start w:val="1"/>
      <w:numFmt w:val="decimal"/>
      <w:pStyle w:val="14"/>
      <w:lvlText w:val="1.%1 "/>
      <w:lvlJc w:val="left"/>
      <w:pPr>
        <w:ind w:left="420" w:hanging="420"/>
      </w:pPr>
      <w:rPr>
        <w:rFonts w:hint="eastAsia" w:cs="Times New Roman"/>
      </w:rPr>
    </w:lvl>
    <w:lvl w:ilvl="1" w:tentative="0">
      <w:start w:val="1"/>
      <w:numFmt w:val="decimal"/>
      <w:lvlText w:val="1.%2. "/>
      <w:lvlJc w:val="left"/>
      <w:pPr>
        <w:ind w:left="840" w:hanging="420"/>
      </w:pPr>
      <w:rPr>
        <w:rFonts w:hint="eastAsia" w:cs="Times New Roman"/>
      </w:rPr>
    </w:lvl>
    <w:lvl w:ilvl="2" w:tentative="0">
      <w:start w:val="1"/>
      <w:numFmt w:val="decimal"/>
      <w:lvlText w:val="%3)"/>
      <w:lvlJc w:val="left"/>
      <w:pPr>
        <w:ind w:left="1200" w:hanging="360"/>
      </w:pPr>
      <w:rPr>
        <w:rFonts w:hint="default" w:cs="Times New Roman"/>
        <w:color w:val="auto"/>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7FA36634"/>
    <w:multiLevelType w:val="multilevel"/>
    <w:tmpl w:val="7FA3663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GM3MzYxYWU3NGUyZGU5NTM0NDI5ZGZiNDhjMDYifQ=="/>
  </w:docVars>
  <w:rsids>
    <w:rsidRoot w:val="006D1E24"/>
    <w:rsid w:val="00000B22"/>
    <w:rsid w:val="00001213"/>
    <w:rsid w:val="00001589"/>
    <w:rsid w:val="00001D14"/>
    <w:rsid w:val="00003644"/>
    <w:rsid w:val="00003E73"/>
    <w:rsid w:val="00004907"/>
    <w:rsid w:val="00004CC6"/>
    <w:rsid w:val="00005214"/>
    <w:rsid w:val="00005386"/>
    <w:rsid w:val="00005869"/>
    <w:rsid w:val="0000597B"/>
    <w:rsid w:val="00006319"/>
    <w:rsid w:val="0001056E"/>
    <w:rsid w:val="00010968"/>
    <w:rsid w:val="00010E81"/>
    <w:rsid w:val="000112E1"/>
    <w:rsid w:val="000127BC"/>
    <w:rsid w:val="00013BC9"/>
    <w:rsid w:val="000155EC"/>
    <w:rsid w:val="00016CB3"/>
    <w:rsid w:val="00017110"/>
    <w:rsid w:val="00017C1E"/>
    <w:rsid w:val="00017FA0"/>
    <w:rsid w:val="00020364"/>
    <w:rsid w:val="0002038B"/>
    <w:rsid w:val="00020A4E"/>
    <w:rsid w:val="00020D9C"/>
    <w:rsid w:val="00020F55"/>
    <w:rsid w:val="0002129D"/>
    <w:rsid w:val="00021A11"/>
    <w:rsid w:val="0002222C"/>
    <w:rsid w:val="000226EE"/>
    <w:rsid w:val="0002322E"/>
    <w:rsid w:val="000237BC"/>
    <w:rsid w:val="0002398D"/>
    <w:rsid w:val="00023ED1"/>
    <w:rsid w:val="0002468F"/>
    <w:rsid w:val="00026C30"/>
    <w:rsid w:val="00026F20"/>
    <w:rsid w:val="00027253"/>
    <w:rsid w:val="000274E7"/>
    <w:rsid w:val="00027794"/>
    <w:rsid w:val="0003147B"/>
    <w:rsid w:val="00031589"/>
    <w:rsid w:val="00033551"/>
    <w:rsid w:val="00033ED9"/>
    <w:rsid w:val="00034D73"/>
    <w:rsid w:val="0003525D"/>
    <w:rsid w:val="00035522"/>
    <w:rsid w:val="000358AD"/>
    <w:rsid w:val="00035B15"/>
    <w:rsid w:val="000363FB"/>
    <w:rsid w:val="000364D0"/>
    <w:rsid w:val="00036C8F"/>
    <w:rsid w:val="0003775A"/>
    <w:rsid w:val="00037901"/>
    <w:rsid w:val="00040735"/>
    <w:rsid w:val="00041DE4"/>
    <w:rsid w:val="00041E4B"/>
    <w:rsid w:val="0004206C"/>
    <w:rsid w:val="000421CD"/>
    <w:rsid w:val="00042522"/>
    <w:rsid w:val="0004255D"/>
    <w:rsid w:val="00044409"/>
    <w:rsid w:val="000445C6"/>
    <w:rsid w:val="0004477D"/>
    <w:rsid w:val="00046854"/>
    <w:rsid w:val="00047CB9"/>
    <w:rsid w:val="00047E9C"/>
    <w:rsid w:val="000507FE"/>
    <w:rsid w:val="00050E70"/>
    <w:rsid w:val="00051CBD"/>
    <w:rsid w:val="00053992"/>
    <w:rsid w:val="0005487F"/>
    <w:rsid w:val="000548E6"/>
    <w:rsid w:val="000551AF"/>
    <w:rsid w:val="00055616"/>
    <w:rsid w:val="000560BC"/>
    <w:rsid w:val="00056B02"/>
    <w:rsid w:val="00057211"/>
    <w:rsid w:val="000575D6"/>
    <w:rsid w:val="00057AC7"/>
    <w:rsid w:val="0006029F"/>
    <w:rsid w:val="00060DD2"/>
    <w:rsid w:val="0006107E"/>
    <w:rsid w:val="000614A5"/>
    <w:rsid w:val="00061AE3"/>
    <w:rsid w:val="00061B23"/>
    <w:rsid w:val="00062473"/>
    <w:rsid w:val="000626E7"/>
    <w:rsid w:val="00062A74"/>
    <w:rsid w:val="00062AA4"/>
    <w:rsid w:val="00063079"/>
    <w:rsid w:val="00064975"/>
    <w:rsid w:val="00065B5B"/>
    <w:rsid w:val="00065C77"/>
    <w:rsid w:val="00065E15"/>
    <w:rsid w:val="00065E41"/>
    <w:rsid w:val="0006774E"/>
    <w:rsid w:val="000677EA"/>
    <w:rsid w:val="0006780D"/>
    <w:rsid w:val="00070589"/>
    <w:rsid w:val="00070AC5"/>
    <w:rsid w:val="000732DE"/>
    <w:rsid w:val="00073923"/>
    <w:rsid w:val="00073E0B"/>
    <w:rsid w:val="0007441B"/>
    <w:rsid w:val="00074565"/>
    <w:rsid w:val="000757D8"/>
    <w:rsid w:val="00076B28"/>
    <w:rsid w:val="00076F23"/>
    <w:rsid w:val="00077274"/>
    <w:rsid w:val="0007738B"/>
    <w:rsid w:val="00080074"/>
    <w:rsid w:val="00081A08"/>
    <w:rsid w:val="00081C20"/>
    <w:rsid w:val="0008220C"/>
    <w:rsid w:val="00083712"/>
    <w:rsid w:val="00083801"/>
    <w:rsid w:val="00083CA8"/>
    <w:rsid w:val="000846B9"/>
    <w:rsid w:val="00085CAA"/>
    <w:rsid w:val="000870A5"/>
    <w:rsid w:val="000870AF"/>
    <w:rsid w:val="000877E3"/>
    <w:rsid w:val="000901AA"/>
    <w:rsid w:val="0009041E"/>
    <w:rsid w:val="000906DA"/>
    <w:rsid w:val="00091A8A"/>
    <w:rsid w:val="00092050"/>
    <w:rsid w:val="00092670"/>
    <w:rsid w:val="00093015"/>
    <w:rsid w:val="00093D78"/>
    <w:rsid w:val="00094362"/>
    <w:rsid w:val="00094678"/>
    <w:rsid w:val="000948BE"/>
    <w:rsid w:val="00094AA9"/>
    <w:rsid w:val="00096477"/>
    <w:rsid w:val="00096BF6"/>
    <w:rsid w:val="000970C8"/>
    <w:rsid w:val="000975BF"/>
    <w:rsid w:val="00097DFC"/>
    <w:rsid w:val="000A0EF5"/>
    <w:rsid w:val="000A13FE"/>
    <w:rsid w:val="000A1448"/>
    <w:rsid w:val="000A1A84"/>
    <w:rsid w:val="000A1E36"/>
    <w:rsid w:val="000A2258"/>
    <w:rsid w:val="000A529E"/>
    <w:rsid w:val="000A5B94"/>
    <w:rsid w:val="000A63AB"/>
    <w:rsid w:val="000A64BD"/>
    <w:rsid w:val="000A6869"/>
    <w:rsid w:val="000A6DED"/>
    <w:rsid w:val="000A704E"/>
    <w:rsid w:val="000A7096"/>
    <w:rsid w:val="000A71E6"/>
    <w:rsid w:val="000A7D3F"/>
    <w:rsid w:val="000B047B"/>
    <w:rsid w:val="000B256E"/>
    <w:rsid w:val="000B2763"/>
    <w:rsid w:val="000B2D53"/>
    <w:rsid w:val="000B2FCF"/>
    <w:rsid w:val="000B406B"/>
    <w:rsid w:val="000B4445"/>
    <w:rsid w:val="000B4583"/>
    <w:rsid w:val="000B4D8A"/>
    <w:rsid w:val="000B55EC"/>
    <w:rsid w:val="000B5A12"/>
    <w:rsid w:val="000B60CD"/>
    <w:rsid w:val="000B6EB8"/>
    <w:rsid w:val="000B7211"/>
    <w:rsid w:val="000B731B"/>
    <w:rsid w:val="000B750C"/>
    <w:rsid w:val="000B7746"/>
    <w:rsid w:val="000C09BF"/>
    <w:rsid w:val="000C0A67"/>
    <w:rsid w:val="000C0E43"/>
    <w:rsid w:val="000C0E88"/>
    <w:rsid w:val="000C1E9B"/>
    <w:rsid w:val="000C21C1"/>
    <w:rsid w:val="000C246E"/>
    <w:rsid w:val="000C37EF"/>
    <w:rsid w:val="000C4D25"/>
    <w:rsid w:val="000C4F91"/>
    <w:rsid w:val="000C57B2"/>
    <w:rsid w:val="000C5DC1"/>
    <w:rsid w:val="000C6012"/>
    <w:rsid w:val="000C6512"/>
    <w:rsid w:val="000C761E"/>
    <w:rsid w:val="000D090B"/>
    <w:rsid w:val="000D0D7D"/>
    <w:rsid w:val="000D2757"/>
    <w:rsid w:val="000D2B64"/>
    <w:rsid w:val="000D2BE2"/>
    <w:rsid w:val="000D2C2A"/>
    <w:rsid w:val="000D3811"/>
    <w:rsid w:val="000D384C"/>
    <w:rsid w:val="000D43D9"/>
    <w:rsid w:val="000D47DA"/>
    <w:rsid w:val="000D4F2E"/>
    <w:rsid w:val="000D51E1"/>
    <w:rsid w:val="000E045B"/>
    <w:rsid w:val="000E114E"/>
    <w:rsid w:val="000E1C06"/>
    <w:rsid w:val="000E1C72"/>
    <w:rsid w:val="000E28EF"/>
    <w:rsid w:val="000E2DD2"/>
    <w:rsid w:val="000E3B21"/>
    <w:rsid w:val="000E4603"/>
    <w:rsid w:val="000E4B58"/>
    <w:rsid w:val="000E4D4E"/>
    <w:rsid w:val="000E5F8C"/>
    <w:rsid w:val="000E65C0"/>
    <w:rsid w:val="000E68A1"/>
    <w:rsid w:val="000E7115"/>
    <w:rsid w:val="000E717B"/>
    <w:rsid w:val="000F0928"/>
    <w:rsid w:val="000F0FE3"/>
    <w:rsid w:val="000F1811"/>
    <w:rsid w:val="000F2054"/>
    <w:rsid w:val="000F2072"/>
    <w:rsid w:val="000F24D0"/>
    <w:rsid w:val="000F2AFA"/>
    <w:rsid w:val="000F2CAD"/>
    <w:rsid w:val="000F3127"/>
    <w:rsid w:val="000F3D6D"/>
    <w:rsid w:val="000F4664"/>
    <w:rsid w:val="000F4FAC"/>
    <w:rsid w:val="000F51CD"/>
    <w:rsid w:val="000F5EC4"/>
    <w:rsid w:val="000F643C"/>
    <w:rsid w:val="000F6AD7"/>
    <w:rsid w:val="000F6C5A"/>
    <w:rsid w:val="000F76E4"/>
    <w:rsid w:val="000F7C96"/>
    <w:rsid w:val="000F7D8A"/>
    <w:rsid w:val="00100742"/>
    <w:rsid w:val="00101D75"/>
    <w:rsid w:val="0010258A"/>
    <w:rsid w:val="00102BE9"/>
    <w:rsid w:val="00102DB9"/>
    <w:rsid w:val="00103218"/>
    <w:rsid w:val="001032CC"/>
    <w:rsid w:val="00103FC3"/>
    <w:rsid w:val="00104207"/>
    <w:rsid w:val="00104246"/>
    <w:rsid w:val="00104443"/>
    <w:rsid w:val="001051DB"/>
    <w:rsid w:val="001069E8"/>
    <w:rsid w:val="00107748"/>
    <w:rsid w:val="00107807"/>
    <w:rsid w:val="00107E05"/>
    <w:rsid w:val="00110A63"/>
    <w:rsid w:val="00110E1D"/>
    <w:rsid w:val="00110F21"/>
    <w:rsid w:val="001112C1"/>
    <w:rsid w:val="00112FE2"/>
    <w:rsid w:val="0011307C"/>
    <w:rsid w:val="00113520"/>
    <w:rsid w:val="00113542"/>
    <w:rsid w:val="00113AA7"/>
    <w:rsid w:val="00114100"/>
    <w:rsid w:val="0011437E"/>
    <w:rsid w:val="001148FC"/>
    <w:rsid w:val="00114F32"/>
    <w:rsid w:val="001162FF"/>
    <w:rsid w:val="00117438"/>
    <w:rsid w:val="001175B5"/>
    <w:rsid w:val="00117A80"/>
    <w:rsid w:val="00120BBC"/>
    <w:rsid w:val="00120C25"/>
    <w:rsid w:val="00120CA5"/>
    <w:rsid w:val="00120D8F"/>
    <w:rsid w:val="00121275"/>
    <w:rsid w:val="00121698"/>
    <w:rsid w:val="001223BC"/>
    <w:rsid w:val="001226E0"/>
    <w:rsid w:val="00123059"/>
    <w:rsid w:val="00123B4B"/>
    <w:rsid w:val="001247E3"/>
    <w:rsid w:val="0012557D"/>
    <w:rsid w:val="00125E3D"/>
    <w:rsid w:val="00127341"/>
    <w:rsid w:val="001273B8"/>
    <w:rsid w:val="00127A94"/>
    <w:rsid w:val="001301A2"/>
    <w:rsid w:val="001306E5"/>
    <w:rsid w:val="00130CE1"/>
    <w:rsid w:val="00131EDF"/>
    <w:rsid w:val="00131FFD"/>
    <w:rsid w:val="0013279D"/>
    <w:rsid w:val="001338F3"/>
    <w:rsid w:val="00135B9B"/>
    <w:rsid w:val="0013604E"/>
    <w:rsid w:val="00136243"/>
    <w:rsid w:val="001362E7"/>
    <w:rsid w:val="00136343"/>
    <w:rsid w:val="001368DD"/>
    <w:rsid w:val="00140289"/>
    <w:rsid w:val="00141291"/>
    <w:rsid w:val="001413DE"/>
    <w:rsid w:val="00141531"/>
    <w:rsid w:val="001416FF"/>
    <w:rsid w:val="00142AF0"/>
    <w:rsid w:val="00143055"/>
    <w:rsid w:val="001444A1"/>
    <w:rsid w:val="00144A5B"/>
    <w:rsid w:val="00144BF3"/>
    <w:rsid w:val="00145B4E"/>
    <w:rsid w:val="001464EC"/>
    <w:rsid w:val="001465B2"/>
    <w:rsid w:val="00146643"/>
    <w:rsid w:val="00146B32"/>
    <w:rsid w:val="00146DC6"/>
    <w:rsid w:val="0014709B"/>
    <w:rsid w:val="001472F6"/>
    <w:rsid w:val="001476AF"/>
    <w:rsid w:val="00150ED4"/>
    <w:rsid w:val="001510B2"/>
    <w:rsid w:val="001512DB"/>
    <w:rsid w:val="001521DF"/>
    <w:rsid w:val="00154921"/>
    <w:rsid w:val="00154979"/>
    <w:rsid w:val="0015531A"/>
    <w:rsid w:val="001558A9"/>
    <w:rsid w:val="001558E8"/>
    <w:rsid w:val="001559BD"/>
    <w:rsid w:val="001559C5"/>
    <w:rsid w:val="00155C65"/>
    <w:rsid w:val="00156AD9"/>
    <w:rsid w:val="001571D8"/>
    <w:rsid w:val="0015730D"/>
    <w:rsid w:val="00157828"/>
    <w:rsid w:val="00157EB8"/>
    <w:rsid w:val="001613EE"/>
    <w:rsid w:val="0016265A"/>
    <w:rsid w:val="001628AD"/>
    <w:rsid w:val="001633A8"/>
    <w:rsid w:val="00164446"/>
    <w:rsid w:val="00164534"/>
    <w:rsid w:val="00166895"/>
    <w:rsid w:val="001706A1"/>
    <w:rsid w:val="001712B8"/>
    <w:rsid w:val="00171ADA"/>
    <w:rsid w:val="001727F1"/>
    <w:rsid w:val="00173C41"/>
    <w:rsid w:val="00173CE0"/>
    <w:rsid w:val="0017414C"/>
    <w:rsid w:val="00174F8F"/>
    <w:rsid w:val="00175F3A"/>
    <w:rsid w:val="00176386"/>
    <w:rsid w:val="001767C2"/>
    <w:rsid w:val="00176F45"/>
    <w:rsid w:val="0017725C"/>
    <w:rsid w:val="001772AB"/>
    <w:rsid w:val="001773F6"/>
    <w:rsid w:val="00177425"/>
    <w:rsid w:val="00177952"/>
    <w:rsid w:val="0018018F"/>
    <w:rsid w:val="0018033D"/>
    <w:rsid w:val="00180FCE"/>
    <w:rsid w:val="00182766"/>
    <w:rsid w:val="001830EA"/>
    <w:rsid w:val="00183404"/>
    <w:rsid w:val="00184025"/>
    <w:rsid w:val="0018418B"/>
    <w:rsid w:val="001845D4"/>
    <w:rsid w:val="001848F1"/>
    <w:rsid w:val="001849B2"/>
    <w:rsid w:val="00184F2C"/>
    <w:rsid w:val="001851E3"/>
    <w:rsid w:val="00185FBF"/>
    <w:rsid w:val="00186411"/>
    <w:rsid w:val="00186424"/>
    <w:rsid w:val="0018646D"/>
    <w:rsid w:val="00187061"/>
    <w:rsid w:val="0019100D"/>
    <w:rsid w:val="00193C2A"/>
    <w:rsid w:val="0019466C"/>
    <w:rsid w:val="00195240"/>
    <w:rsid w:val="001954F6"/>
    <w:rsid w:val="001962E0"/>
    <w:rsid w:val="00196397"/>
    <w:rsid w:val="00196BD8"/>
    <w:rsid w:val="0019784B"/>
    <w:rsid w:val="001A0D5B"/>
    <w:rsid w:val="001A11B3"/>
    <w:rsid w:val="001A1F79"/>
    <w:rsid w:val="001A334C"/>
    <w:rsid w:val="001A4052"/>
    <w:rsid w:val="001A4F10"/>
    <w:rsid w:val="001A5562"/>
    <w:rsid w:val="001A5D8C"/>
    <w:rsid w:val="001A7B9F"/>
    <w:rsid w:val="001A7C37"/>
    <w:rsid w:val="001B0424"/>
    <w:rsid w:val="001B099B"/>
    <w:rsid w:val="001B1477"/>
    <w:rsid w:val="001B185B"/>
    <w:rsid w:val="001B1E47"/>
    <w:rsid w:val="001B2099"/>
    <w:rsid w:val="001B20E7"/>
    <w:rsid w:val="001B224C"/>
    <w:rsid w:val="001B2883"/>
    <w:rsid w:val="001B2ED2"/>
    <w:rsid w:val="001B374E"/>
    <w:rsid w:val="001B3F0F"/>
    <w:rsid w:val="001B4F6A"/>
    <w:rsid w:val="001B5854"/>
    <w:rsid w:val="001B79BF"/>
    <w:rsid w:val="001B7FB2"/>
    <w:rsid w:val="001C0F63"/>
    <w:rsid w:val="001C162C"/>
    <w:rsid w:val="001C1E3D"/>
    <w:rsid w:val="001C2592"/>
    <w:rsid w:val="001C2649"/>
    <w:rsid w:val="001C2B03"/>
    <w:rsid w:val="001C3947"/>
    <w:rsid w:val="001C3F5C"/>
    <w:rsid w:val="001C4A6F"/>
    <w:rsid w:val="001C5464"/>
    <w:rsid w:val="001C5544"/>
    <w:rsid w:val="001C560E"/>
    <w:rsid w:val="001C59FC"/>
    <w:rsid w:val="001C5D49"/>
    <w:rsid w:val="001C64D9"/>
    <w:rsid w:val="001C68B6"/>
    <w:rsid w:val="001C698C"/>
    <w:rsid w:val="001C6F50"/>
    <w:rsid w:val="001C715D"/>
    <w:rsid w:val="001C788F"/>
    <w:rsid w:val="001C7E1C"/>
    <w:rsid w:val="001D01F6"/>
    <w:rsid w:val="001D067F"/>
    <w:rsid w:val="001D0DDC"/>
    <w:rsid w:val="001D1275"/>
    <w:rsid w:val="001D18BE"/>
    <w:rsid w:val="001D201F"/>
    <w:rsid w:val="001D28FE"/>
    <w:rsid w:val="001D3E3C"/>
    <w:rsid w:val="001D4313"/>
    <w:rsid w:val="001D433D"/>
    <w:rsid w:val="001D46C4"/>
    <w:rsid w:val="001D4DB5"/>
    <w:rsid w:val="001D618A"/>
    <w:rsid w:val="001D646B"/>
    <w:rsid w:val="001D670F"/>
    <w:rsid w:val="001D6D30"/>
    <w:rsid w:val="001D7109"/>
    <w:rsid w:val="001D7430"/>
    <w:rsid w:val="001D7CAA"/>
    <w:rsid w:val="001D7D09"/>
    <w:rsid w:val="001E0048"/>
    <w:rsid w:val="001E06A7"/>
    <w:rsid w:val="001E0825"/>
    <w:rsid w:val="001E0C3F"/>
    <w:rsid w:val="001E1542"/>
    <w:rsid w:val="001E15DC"/>
    <w:rsid w:val="001E15E4"/>
    <w:rsid w:val="001E2133"/>
    <w:rsid w:val="001E259D"/>
    <w:rsid w:val="001E2A0A"/>
    <w:rsid w:val="001E2A30"/>
    <w:rsid w:val="001E34B7"/>
    <w:rsid w:val="001E39E7"/>
    <w:rsid w:val="001E3C7E"/>
    <w:rsid w:val="001E43E3"/>
    <w:rsid w:val="001E446A"/>
    <w:rsid w:val="001E4FAD"/>
    <w:rsid w:val="001E553D"/>
    <w:rsid w:val="001E55ED"/>
    <w:rsid w:val="001E5BC0"/>
    <w:rsid w:val="001E7788"/>
    <w:rsid w:val="001E7D38"/>
    <w:rsid w:val="001F02D6"/>
    <w:rsid w:val="001F0E2E"/>
    <w:rsid w:val="001F288F"/>
    <w:rsid w:val="001F2F59"/>
    <w:rsid w:val="001F33A4"/>
    <w:rsid w:val="001F3A92"/>
    <w:rsid w:val="001F5418"/>
    <w:rsid w:val="001F674F"/>
    <w:rsid w:val="001F74E8"/>
    <w:rsid w:val="001F7A4C"/>
    <w:rsid w:val="00200CA4"/>
    <w:rsid w:val="002010F2"/>
    <w:rsid w:val="0020148A"/>
    <w:rsid w:val="002017B3"/>
    <w:rsid w:val="00201E00"/>
    <w:rsid w:val="0020216F"/>
    <w:rsid w:val="00202C22"/>
    <w:rsid w:val="00203497"/>
    <w:rsid w:val="00204676"/>
    <w:rsid w:val="00205154"/>
    <w:rsid w:val="0020580F"/>
    <w:rsid w:val="00205C2E"/>
    <w:rsid w:val="002061A4"/>
    <w:rsid w:val="00206B64"/>
    <w:rsid w:val="00206D93"/>
    <w:rsid w:val="0020712A"/>
    <w:rsid w:val="002072C8"/>
    <w:rsid w:val="00207B76"/>
    <w:rsid w:val="00210029"/>
    <w:rsid w:val="00210278"/>
    <w:rsid w:val="00210392"/>
    <w:rsid w:val="002109CC"/>
    <w:rsid w:val="00210D53"/>
    <w:rsid w:val="00211F7F"/>
    <w:rsid w:val="0021264B"/>
    <w:rsid w:val="00212DA5"/>
    <w:rsid w:val="00213454"/>
    <w:rsid w:val="00213FC0"/>
    <w:rsid w:val="002140A1"/>
    <w:rsid w:val="00214C42"/>
    <w:rsid w:val="002163EB"/>
    <w:rsid w:val="00217911"/>
    <w:rsid w:val="002207F3"/>
    <w:rsid w:val="002218F2"/>
    <w:rsid w:val="0022246C"/>
    <w:rsid w:val="002225C7"/>
    <w:rsid w:val="00222817"/>
    <w:rsid w:val="00222B22"/>
    <w:rsid w:val="00222F7E"/>
    <w:rsid w:val="00224355"/>
    <w:rsid w:val="00224672"/>
    <w:rsid w:val="002246F6"/>
    <w:rsid w:val="002255BE"/>
    <w:rsid w:val="002256E4"/>
    <w:rsid w:val="00225FF9"/>
    <w:rsid w:val="00226064"/>
    <w:rsid w:val="0022626D"/>
    <w:rsid w:val="00226332"/>
    <w:rsid w:val="00226D48"/>
    <w:rsid w:val="00227E73"/>
    <w:rsid w:val="00227F7C"/>
    <w:rsid w:val="002301AE"/>
    <w:rsid w:val="002306BC"/>
    <w:rsid w:val="00230ABC"/>
    <w:rsid w:val="002315C9"/>
    <w:rsid w:val="00231C3C"/>
    <w:rsid w:val="00232E61"/>
    <w:rsid w:val="0023327D"/>
    <w:rsid w:val="00233EF2"/>
    <w:rsid w:val="00234DE5"/>
    <w:rsid w:val="00234EA4"/>
    <w:rsid w:val="002357AF"/>
    <w:rsid w:val="0023604B"/>
    <w:rsid w:val="00236932"/>
    <w:rsid w:val="0023698B"/>
    <w:rsid w:val="00236D58"/>
    <w:rsid w:val="00236E69"/>
    <w:rsid w:val="002377D7"/>
    <w:rsid w:val="00237B11"/>
    <w:rsid w:val="00237CB0"/>
    <w:rsid w:val="00240EE2"/>
    <w:rsid w:val="0024259E"/>
    <w:rsid w:val="002428C1"/>
    <w:rsid w:val="002430DF"/>
    <w:rsid w:val="0024346F"/>
    <w:rsid w:val="002434D9"/>
    <w:rsid w:val="00243718"/>
    <w:rsid w:val="00245140"/>
    <w:rsid w:val="0024564B"/>
    <w:rsid w:val="002456D3"/>
    <w:rsid w:val="00245A39"/>
    <w:rsid w:val="00246597"/>
    <w:rsid w:val="00246AB4"/>
    <w:rsid w:val="002472DC"/>
    <w:rsid w:val="00247E81"/>
    <w:rsid w:val="00250163"/>
    <w:rsid w:val="00250816"/>
    <w:rsid w:val="00250A6F"/>
    <w:rsid w:val="00251DE0"/>
    <w:rsid w:val="00252CFF"/>
    <w:rsid w:val="00252FC3"/>
    <w:rsid w:val="002531BD"/>
    <w:rsid w:val="0025345F"/>
    <w:rsid w:val="00254A4E"/>
    <w:rsid w:val="00254C4F"/>
    <w:rsid w:val="00254DD5"/>
    <w:rsid w:val="00254FD7"/>
    <w:rsid w:val="00256008"/>
    <w:rsid w:val="0025629C"/>
    <w:rsid w:val="00257772"/>
    <w:rsid w:val="00257948"/>
    <w:rsid w:val="00257993"/>
    <w:rsid w:val="00257C02"/>
    <w:rsid w:val="00260409"/>
    <w:rsid w:val="00260CC4"/>
    <w:rsid w:val="00261D39"/>
    <w:rsid w:val="00263504"/>
    <w:rsid w:val="00263D8B"/>
    <w:rsid w:val="002640A6"/>
    <w:rsid w:val="00264B41"/>
    <w:rsid w:val="00264C82"/>
    <w:rsid w:val="00264F8F"/>
    <w:rsid w:val="00265614"/>
    <w:rsid w:val="0026596A"/>
    <w:rsid w:val="00265D3C"/>
    <w:rsid w:val="0026631A"/>
    <w:rsid w:val="00266376"/>
    <w:rsid w:val="0026656B"/>
    <w:rsid w:val="002666DF"/>
    <w:rsid w:val="00266F33"/>
    <w:rsid w:val="00267801"/>
    <w:rsid w:val="00270010"/>
    <w:rsid w:val="0027044A"/>
    <w:rsid w:val="002707A3"/>
    <w:rsid w:val="002715A2"/>
    <w:rsid w:val="002715FA"/>
    <w:rsid w:val="00271B44"/>
    <w:rsid w:val="00271CA8"/>
    <w:rsid w:val="00272C88"/>
    <w:rsid w:val="0027323C"/>
    <w:rsid w:val="00273DDE"/>
    <w:rsid w:val="00273E55"/>
    <w:rsid w:val="00274BE8"/>
    <w:rsid w:val="002753B9"/>
    <w:rsid w:val="00275F7B"/>
    <w:rsid w:val="0027645F"/>
    <w:rsid w:val="00276C1D"/>
    <w:rsid w:val="00277394"/>
    <w:rsid w:val="002773B1"/>
    <w:rsid w:val="00277C54"/>
    <w:rsid w:val="00280A92"/>
    <w:rsid w:val="00280E8F"/>
    <w:rsid w:val="00281520"/>
    <w:rsid w:val="00281A52"/>
    <w:rsid w:val="00281D74"/>
    <w:rsid w:val="00281ED6"/>
    <w:rsid w:val="0028282F"/>
    <w:rsid w:val="002830FA"/>
    <w:rsid w:val="002839B3"/>
    <w:rsid w:val="00285733"/>
    <w:rsid w:val="002864CD"/>
    <w:rsid w:val="002865BD"/>
    <w:rsid w:val="00286970"/>
    <w:rsid w:val="00287921"/>
    <w:rsid w:val="00287A8C"/>
    <w:rsid w:val="00287F40"/>
    <w:rsid w:val="00287F4D"/>
    <w:rsid w:val="00291EFA"/>
    <w:rsid w:val="00292ADC"/>
    <w:rsid w:val="002930BD"/>
    <w:rsid w:val="00293222"/>
    <w:rsid w:val="00294153"/>
    <w:rsid w:val="00294621"/>
    <w:rsid w:val="00294F89"/>
    <w:rsid w:val="00295CDC"/>
    <w:rsid w:val="00295D81"/>
    <w:rsid w:val="00296112"/>
    <w:rsid w:val="002976EB"/>
    <w:rsid w:val="00297D44"/>
    <w:rsid w:val="002A0289"/>
    <w:rsid w:val="002A102E"/>
    <w:rsid w:val="002A1953"/>
    <w:rsid w:val="002A26FA"/>
    <w:rsid w:val="002A310C"/>
    <w:rsid w:val="002A39FD"/>
    <w:rsid w:val="002A4086"/>
    <w:rsid w:val="002A411E"/>
    <w:rsid w:val="002A44A4"/>
    <w:rsid w:val="002A4BC5"/>
    <w:rsid w:val="002A4E5C"/>
    <w:rsid w:val="002A5F03"/>
    <w:rsid w:val="002A6E2F"/>
    <w:rsid w:val="002A750F"/>
    <w:rsid w:val="002B01E0"/>
    <w:rsid w:val="002B1178"/>
    <w:rsid w:val="002B1672"/>
    <w:rsid w:val="002B2E06"/>
    <w:rsid w:val="002B3064"/>
    <w:rsid w:val="002B4238"/>
    <w:rsid w:val="002B46A3"/>
    <w:rsid w:val="002B51B5"/>
    <w:rsid w:val="002B564B"/>
    <w:rsid w:val="002B594A"/>
    <w:rsid w:val="002B684B"/>
    <w:rsid w:val="002B77E5"/>
    <w:rsid w:val="002C01C6"/>
    <w:rsid w:val="002C08EA"/>
    <w:rsid w:val="002C10AB"/>
    <w:rsid w:val="002C14CA"/>
    <w:rsid w:val="002C17E2"/>
    <w:rsid w:val="002C2734"/>
    <w:rsid w:val="002C3215"/>
    <w:rsid w:val="002C364D"/>
    <w:rsid w:val="002C3771"/>
    <w:rsid w:val="002C5293"/>
    <w:rsid w:val="002C5C3E"/>
    <w:rsid w:val="002C5FB2"/>
    <w:rsid w:val="002C630F"/>
    <w:rsid w:val="002C69D1"/>
    <w:rsid w:val="002C6C4D"/>
    <w:rsid w:val="002C748B"/>
    <w:rsid w:val="002C7DBC"/>
    <w:rsid w:val="002D0642"/>
    <w:rsid w:val="002D0F3E"/>
    <w:rsid w:val="002D1B78"/>
    <w:rsid w:val="002D4163"/>
    <w:rsid w:val="002D557F"/>
    <w:rsid w:val="002D5862"/>
    <w:rsid w:val="002D5D13"/>
    <w:rsid w:val="002D6739"/>
    <w:rsid w:val="002D67DD"/>
    <w:rsid w:val="002D6931"/>
    <w:rsid w:val="002D6E9D"/>
    <w:rsid w:val="002D7082"/>
    <w:rsid w:val="002D73D6"/>
    <w:rsid w:val="002D74A6"/>
    <w:rsid w:val="002D7600"/>
    <w:rsid w:val="002D7890"/>
    <w:rsid w:val="002D794D"/>
    <w:rsid w:val="002D7E30"/>
    <w:rsid w:val="002E1B8D"/>
    <w:rsid w:val="002E1C3B"/>
    <w:rsid w:val="002E1E8A"/>
    <w:rsid w:val="002E2A86"/>
    <w:rsid w:val="002E31E7"/>
    <w:rsid w:val="002E32AA"/>
    <w:rsid w:val="002E36DE"/>
    <w:rsid w:val="002E3851"/>
    <w:rsid w:val="002E4D41"/>
    <w:rsid w:val="002E54E0"/>
    <w:rsid w:val="002E58DA"/>
    <w:rsid w:val="002E5EAC"/>
    <w:rsid w:val="002E62B5"/>
    <w:rsid w:val="002E636C"/>
    <w:rsid w:val="002E66A7"/>
    <w:rsid w:val="002E6A25"/>
    <w:rsid w:val="002E6B3F"/>
    <w:rsid w:val="002E71A2"/>
    <w:rsid w:val="002E7BCD"/>
    <w:rsid w:val="002F037F"/>
    <w:rsid w:val="002F0F26"/>
    <w:rsid w:val="002F2670"/>
    <w:rsid w:val="002F2ECC"/>
    <w:rsid w:val="002F329F"/>
    <w:rsid w:val="002F4305"/>
    <w:rsid w:val="002F67EF"/>
    <w:rsid w:val="002F6A2D"/>
    <w:rsid w:val="002F6CA8"/>
    <w:rsid w:val="00300CCB"/>
    <w:rsid w:val="00301566"/>
    <w:rsid w:val="00302D55"/>
    <w:rsid w:val="00303695"/>
    <w:rsid w:val="00303EAF"/>
    <w:rsid w:val="00304123"/>
    <w:rsid w:val="0030425F"/>
    <w:rsid w:val="003050FB"/>
    <w:rsid w:val="00306EB1"/>
    <w:rsid w:val="003108D8"/>
    <w:rsid w:val="00310C28"/>
    <w:rsid w:val="00310C54"/>
    <w:rsid w:val="003116CF"/>
    <w:rsid w:val="00312DE0"/>
    <w:rsid w:val="0031373F"/>
    <w:rsid w:val="00313C13"/>
    <w:rsid w:val="00314673"/>
    <w:rsid w:val="0031593F"/>
    <w:rsid w:val="00315CDA"/>
    <w:rsid w:val="00316621"/>
    <w:rsid w:val="00316F1E"/>
    <w:rsid w:val="0031734A"/>
    <w:rsid w:val="00317B40"/>
    <w:rsid w:val="00317B66"/>
    <w:rsid w:val="00320956"/>
    <w:rsid w:val="00322D96"/>
    <w:rsid w:val="0032334E"/>
    <w:rsid w:val="00323450"/>
    <w:rsid w:val="003240F3"/>
    <w:rsid w:val="00324A8F"/>
    <w:rsid w:val="00324FEF"/>
    <w:rsid w:val="00325834"/>
    <w:rsid w:val="00326447"/>
    <w:rsid w:val="003316A1"/>
    <w:rsid w:val="00331E14"/>
    <w:rsid w:val="00332235"/>
    <w:rsid w:val="00332EBF"/>
    <w:rsid w:val="00332FC1"/>
    <w:rsid w:val="003330C2"/>
    <w:rsid w:val="00334EA9"/>
    <w:rsid w:val="0033543C"/>
    <w:rsid w:val="003357EB"/>
    <w:rsid w:val="00336072"/>
    <w:rsid w:val="0033695F"/>
    <w:rsid w:val="00337135"/>
    <w:rsid w:val="00337549"/>
    <w:rsid w:val="00337693"/>
    <w:rsid w:val="00337884"/>
    <w:rsid w:val="0034016B"/>
    <w:rsid w:val="00340E0D"/>
    <w:rsid w:val="003413E3"/>
    <w:rsid w:val="00341BE4"/>
    <w:rsid w:val="003426B3"/>
    <w:rsid w:val="00342C93"/>
    <w:rsid w:val="003439F6"/>
    <w:rsid w:val="00344797"/>
    <w:rsid w:val="00344E0D"/>
    <w:rsid w:val="00345B34"/>
    <w:rsid w:val="00345FC8"/>
    <w:rsid w:val="0034633A"/>
    <w:rsid w:val="00346697"/>
    <w:rsid w:val="00347031"/>
    <w:rsid w:val="003472F0"/>
    <w:rsid w:val="0034749C"/>
    <w:rsid w:val="003478F3"/>
    <w:rsid w:val="0035058F"/>
    <w:rsid w:val="00350628"/>
    <w:rsid w:val="00353432"/>
    <w:rsid w:val="00354821"/>
    <w:rsid w:val="00355398"/>
    <w:rsid w:val="00355A01"/>
    <w:rsid w:val="00355F82"/>
    <w:rsid w:val="003565A9"/>
    <w:rsid w:val="00356B01"/>
    <w:rsid w:val="00356D7D"/>
    <w:rsid w:val="003575BD"/>
    <w:rsid w:val="00360DF6"/>
    <w:rsid w:val="003620DF"/>
    <w:rsid w:val="003626BD"/>
    <w:rsid w:val="00362F3F"/>
    <w:rsid w:val="00363034"/>
    <w:rsid w:val="003632BF"/>
    <w:rsid w:val="003635DA"/>
    <w:rsid w:val="0036458A"/>
    <w:rsid w:val="00365526"/>
    <w:rsid w:val="00365A7D"/>
    <w:rsid w:val="003661E2"/>
    <w:rsid w:val="00366308"/>
    <w:rsid w:val="00366365"/>
    <w:rsid w:val="00367944"/>
    <w:rsid w:val="00367BD4"/>
    <w:rsid w:val="00371143"/>
    <w:rsid w:val="00372139"/>
    <w:rsid w:val="00372D5B"/>
    <w:rsid w:val="00373F68"/>
    <w:rsid w:val="0037478D"/>
    <w:rsid w:val="00375A09"/>
    <w:rsid w:val="00376CFD"/>
    <w:rsid w:val="00380F85"/>
    <w:rsid w:val="00381A65"/>
    <w:rsid w:val="00381BC0"/>
    <w:rsid w:val="00381F10"/>
    <w:rsid w:val="00383549"/>
    <w:rsid w:val="0038399C"/>
    <w:rsid w:val="00384F97"/>
    <w:rsid w:val="00385140"/>
    <w:rsid w:val="00385693"/>
    <w:rsid w:val="00385AAC"/>
    <w:rsid w:val="00386842"/>
    <w:rsid w:val="003869B6"/>
    <w:rsid w:val="003875AC"/>
    <w:rsid w:val="0039040B"/>
    <w:rsid w:val="00391035"/>
    <w:rsid w:val="00391590"/>
    <w:rsid w:val="003923BA"/>
    <w:rsid w:val="00392E5F"/>
    <w:rsid w:val="003938FF"/>
    <w:rsid w:val="003939ED"/>
    <w:rsid w:val="00393C71"/>
    <w:rsid w:val="00394550"/>
    <w:rsid w:val="00394DFC"/>
    <w:rsid w:val="00395228"/>
    <w:rsid w:val="00395A4D"/>
    <w:rsid w:val="00395DBE"/>
    <w:rsid w:val="00395F47"/>
    <w:rsid w:val="0039650D"/>
    <w:rsid w:val="003978D4"/>
    <w:rsid w:val="00397BE2"/>
    <w:rsid w:val="003A0EDB"/>
    <w:rsid w:val="003A12E8"/>
    <w:rsid w:val="003A143C"/>
    <w:rsid w:val="003A2C0F"/>
    <w:rsid w:val="003A30EF"/>
    <w:rsid w:val="003A360E"/>
    <w:rsid w:val="003A500C"/>
    <w:rsid w:val="003A5599"/>
    <w:rsid w:val="003A56F0"/>
    <w:rsid w:val="003A61BE"/>
    <w:rsid w:val="003A6589"/>
    <w:rsid w:val="003A6D6C"/>
    <w:rsid w:val="003A6EC1"/>
    <w:rsid w:val="003B09CC"/>
    <w:rsid w:val="003B1BFF"/>
    <w:rsid w:val="003B25C0"/>
    <w:rsid w:val="003B34FF"/>
    <w:rsid w:val="003B3A5E"/>
    <w:rsid w:val="003B3C91"/>
    <w:rsid w:val="003B3CC3"/>
    <w:rsid w:val="003B3EA6"/>
    <w:rsid w:val="003B42F0"/>
    <w:rsid w:val="003B4816"/>
    <w:rsid w:val="003B48C1"/>
    <w:rsid w:val="003B4EF6"/>
    <w:rsid w:val="003B6288"/>
    <w:rsid w:val="003B654E"/>
    <w:rsid w:val="003B7641"/>
    <w:rsid w:val="003C0EF7"/>
    <w:rsid w:val="003C0F58"/>
    <w:rsid w:val="003C135D"/>
    <w:rsid w:val="003C18EB"/>
    <w:rsid w:val="003C23EC"/>
    <w:rsid w:val="003C25AF"/>
    <w:rsid w:val="003C2639"/>
    <w:rsid w:val="003C27F0"/>
    <w:rsid w:val="003C2C05"/>
    <w:rsid w:val="003C3305"/>
    <w:rsid w:val="003C3666"/>
    <w:rsid w:val="003C3983"/>
    <w:rsid w:val="003C57C5"/>
    <w:rsid w:val="003C5CA2"/>
    <w:rsid w:val="003C6B7D"/>
    <w:rsid w:val="003C7D4F"/>
    <w:rsid w:val="003C7EB6"/>
    <w:rsid w:val="003D0EB5"/>
    <w:rsid w:val="003D23A7"/>
    <w:rsid w:val="003D2B9D"/>
    <w:rsid w:val="003D2E55"/>
    <w:rsid w:val="003D2EE1"/>
    <w:rsid w:val="003D36D3"/>
    <w:rsid w:val="003D3E7D"/>
    <w:rsid w:val="003D44FD"/>
    <w:rsid w:val="003D45B1"/>
    <w:rsid w:val="003D47DC"/>
    <w:rsid w:val="003D497E"/>
    <w:rsid w:val="003D53BC"/>
    <w:rsid w:val="003D58E3"/>
    <w:rsid w:val="003D5A48"/>
    <w:rsid w:val="003D6AA0"/>
    <w:rsid w:val="003D6BE3"/>
    <w:rsid w:val="003D6D58"/>
    <w:rsid w:val="003D7312"/>
    <w:rsid w:val="003E0EF6"/>
    <w:rsid w:val="003E1C62"/>
    <w:rsid w:val="003E2B2C"/>
    <w:rsid w:val="003E40BC"/>
    <w:rsid w:val="003E4714"/>
    <w:rsid w:val="003E4B37"/>
    <w:rsid w:val="003E5076"/>
    <w:rsid w:val="003E511D"/>
    <w:rsid w:val="003E5604"/>
    <w:rsid w:val="003E5D69"/>
    <w:rsid w:val="003E6406"/>
    <w:rsid w:val="003E6616"/>
    <w:rsid w:val="003E717C"/>
    <w:rsid w:val="003F0AA3"/>
    <w:rsid w:val="003F0C44"/>
    <w:rsid w:val="003F16B7"/>
    <w:rsid w:val="003F2550"/>
    <w:rsid w:val="003F2DC3"/>
    <w:rsid w:val="003F3580"/>
    <w:rsid w:val="003F360D"/>
    <w:rsid w:val="003F4E10"/>
    <w:rsid w:val="003F5325"/>
    <w:rsid w:val="003F5459"/>
    <w:rsid w:val="003F6DE6"/>
    <w:rsid w:val="003F6F00"/>
    <w:rsid w:val="003F6F4B"/>
    <w:rsid w:val="003F774F"/>
    <w:rsid w:val="003F7856"/>
    <w:rsid w:val="00400B3E"/>
    <w:rsid w:val="0040109A"/>
    <w:rsid w:val="004011DC"/>
    <w:rsid w:val="004014FF"/>
    <w:rsid w:val="00401A3C"/>
    <w:rsid w:val="00401B16"/>
    <w:rsid w:val="00401B93"/>
    <w:rsid w:val="00402DDA"/>
    <w:rsid w:val="00403219"/>
    <w:rsid w:val="00403391"/>
    <w:rsid w:val="00403E53"/>
    <w:rsid w:val="004041A0"/>
    <w:rsid w:val="00404931"/>
    <w:rsid w:val="00405B08"/>
    <w:rsid w:val="0040625B"/>
    <w:rsid w:val="004062F8"/>
    <w:rsid w:val="00406DFB"/>
    <w:rsid w:val="00407A7E"/>
    <w:rsid w:val="00407C98"/>
    <w:rsid w:val="00407F26"/>
    <w:rsid w:val="004105D1"/>
    <w:rsid w:val="0041070A"/>
    <w:rsid w:val="00411D39"/>
    <w:rsid w:val="004120BD"/>
    <w:rsid w:val="00413B6F"/>
    <w:rsid w:val="00414C66"/>
    <w:rsid w:val="004159C7"/>
    <w:rsid w:val="004162DE"/>
    <w:rsid w:val="00416600"/>
    <w:rsid w:val="00416AF9"/>
    <w:rsid w:val="00417365"/>
    <w:rsid w:val="00417F47"/>
    <w:rsid w:val="00420E2A"/>
    <w:rsid w:val="0042111A"/>
    <w:rsid w:val="004214E4"/>
    <w:rsid w:val="00422D64"/>
    <w:rsid w:val="00423E2C"/>
    <w:rsid w:val="00425096"/>
    <w:rsid w:val="00425128"/>
    <w:rsid w:val="00425A05"/>
    <w:rsid w:val="00426094"/>
    <w:rsid w:val="00426269"/>
    <w:rsid w:val="00426B48"/>
    <w:rsid w:val="00430B92"/>
    <w:rsid w:val="00430BA0"/>
    <w:rsid w:val="00431504"/>
    <w:rsid w:val="00431916"/>
    <w:rsid w:val="00431EED"/>
    <w:rsid w:val="00432010"/>
    <w:rsid w:val="00432C05"/>
    <w:rsid w:val="00433E3A"/>
    <w:rsid w:val="00433E7D"/>
    <w:rsid w:val="0043456C"/>
    <w:rsid w:val="004345F3"/>
    <w:rsid w:val="00434795"/>
    <w:rsid w:val="00434966"/>
    <w:rsid w:val="00434F4D"/>
    <w:rsid w:val="00435ACD"/>
    <w:rsid w:val="00436072"/>
    <w:rsid w:val="0043609D"/>
    <w:rsid w:val="004362FE"/>
    <w:rsid w:val="004364AF"/>
    <w:rsid w:val="00436E4D"/>
    <w:rsid w:val="004411D1"/>
    <w:rsid w:val="00441B04"/>
    <w:rsid w:val="00441FA6"/>
    <w:rsid w:val="004424E0"/>
    <w:rsid w:val="004427A3"/>
    <w:rsid w:val="00442904"/>
    <w:rsid w:val="00443E95"/>
    <w:rsid w:val="004447C0"/>
    <w:rsid w:val="00444FF5"/>
    <w:rsid w:val="004466DF"/>
    <w:rsid w:val="00446DEB"/>
    <w:rsid w:val="00450223"/>
    <w:rsid w:val="004505C7"/>
    <w:rsid w:val="00450F58"/>
    <w:rsid w:val="00452B29"/>
    <w:rsid w:val="00453982"/>
    <w:rsid w:val="004541FF"/>
    <w:rsid w:val="00454D2C"/>
    <w:rsid w:val="0045530D"/>
    <w:rsid w:val="00456C5A"/>
    <w:rsid w:val="00456CE8"/>
    <w:rsid w:val="0045728D"/>
    <w:rsid w:val="00460147"/>
    <w:rsid w:val="004601F0"/>
    <w:rsid w:val="00461169"/>
    <w:rsid w:val="004613BF"/>
    <w:rsid w:val="00461517"/>
    <w:rsid w:val="00462BC0"/>
    <w:rsid w:val="00462C45"/>
    <w:rsid w:val="00462DFE"/>
    <w:rsid w:val="00462E6B"/>
    <w:rsid w:val="00463CF7"/>
    <w:rsid w:val="00464094"/>
    <w:rsid w:val="0046422B"/>
    <w:rsid w:val="004647D0"/>
    <w:rsid w:val="00464D88"/>
    <w:rsid w:val="0046568F"/>
    <w:rsid w:val="004663FD"/>
    <w:rsid w:val="004671F4"/>
    <w:rsid w:val="0046735C"/>
    <w:rsid w:val="00467594"/>
    <w:rsid w:val="0046785A"/>
    <w:rsid w:val="004706A5"/>
    <w:rsid w:val="00470BBF"/>
    <w:rsid w:val="004720E8"/>
    <w:rsid w:val="004726CE"/>
    <w:rsid w:val="00472774"/>
    <w:rsid w:val="00472CB7"/>
    <w:rsid w:val="00473C4D"/>
    <w:rsid w:val="00473D63"/>
    <w:rsid w:val="00473EBC"/>
    <w:rsid w:val="004742A0"/>
    <w:rsid w:val="004748B4"/>
    <w:rsid w:val="00474A74"/>
    <w:rsid w:val="00474D18"/>
    <w:rsid w:val="00474FFF"/>
    <w:rsid w:val="004754B1"/>
    <w:rsid w:val="004763CF"/>
    <w:rsid w:val="004773C9"/>
    <w:rsid w:val="004779FD"/>
    <w:rsid w:val="00477D11"/>
    <w:rsid w:val="004801E3"/>
    <w:rsid w:val="004813BE"/>
    <w:rsid w:val="004819F3"/>
    <w:rsid w:val="004823C4"/>
    <w:rsid w:val="00482864"/>
    <w:rsid w:val="00482FF2"/>
    <w:rsid w:val="00483139"/>
    <w:rsid w:val="004831F3"/>
    <w:rsid w:val="0048391F"/>
    <w:rsid w:val="00483C42"/>
    <w:rsid w:val="00483C81"/>
    <w:rsid w:val="00484028"/>
    <w:rsid w:val="00484534"/>
    <w:rsid w:val="00484D35"/>
    <w:rsid w:val="00484E04"/>
    <w:rsid w:val="00484E6D"/>
    <w:rsid w:val="00485FDC"/>
    <w:rsid w:val="00486237"/>
    <w:rsid w:val="004865E7"/>
    <w:rsid w:val="00486C53"/>
    <w:rsid w:val="00486E7F"/>
    <w:rsid w:val="0048715D"/>
    <w:rsid w:val="004876D5"/>
    <w:rsid w:val="0049059B"/>
    <w:rsid w:val="00490657"/>
    <w:rsid w:val="004908F9"/>
    <w:rsid w:val="00490D43"/>
    <w:rsid w:val="00491118"/>
    <w:rsid w:val="00491BA8"/>
    <w:rsid w:val="00491DC9"/>
    <w:rsid w:val="00492A9C"/>
    <w:rsid w:val="0049312D"/>
    <w:rsid w:val="00493539"/>
    <w:rsid w:val="004945E5"/>
    <w:rsid w:val="00494DEE"/>
    <w:rsid w:val="004951C8"/>
    <w:rsid w:val="004955E4"/>
    <w:rsid w:val="00495775"/>
    <w:rsid w:val="004969D6"/>
    <w:rsid w:val="00496A2A"/>
    <w:rsid w:val="004976FC"/>
    <w:rsid w:val="00497734"/>
    <w:rsid w:val="00497787"/>
    <w:rsid w:val="00497F93"/>
    <w:rsid w:val="004A0759"/>
    <w:rsid w:val="004A0811"/>
    <w:rsid w:val="004A09A6"/>
    <w:rsid w:val="004A194C"/>
    <w:rsid w:val="004A1DE2"/>
    <w:rsid w:val="004A23A1"/>
    <w:rsid w:val="004A3321"/>
    <w:rsid w:val="004A3CC0"/>
    <w:rsid w:val="004A4E8C"/>
    <w:rsid w:val="004A5604"/>
    <w:rsid w:val="004A596D"/>
    <w:rsid w:val="004A5A2F"/>
    <w:rsid w:val="004A5B52"/>
    <w:rsid w:val="004A732F"/>
    <w:rsid w:val="004A7AAC"/>
    <w:rsid w:val="004A7D86"/>
    <w:rsid w:val="004B0228"/>
    <w:rsid w:val="004B029C"/>
    <w:rsid w:val="004B0624"/>
    <w:rsid w:val="004B06C1"/>
    <w:rsid w:val="004B06F4"/>
    <w:rsid w:val="004B0A1C"/>
    <w:rsid w:val="004B0CAD"/>
    <w:rsid w:val="004B0E04"/>
    <w:rsid w:val="004B1B52"/>
    <w:rsid w:val="004B2D40"/>
    <w:rsid w:val="004B32EE"/>
    <w:rsid w:val="004B339E"/>
    <w:rsid w:val="004B3767"/>
    <w:rsid w:val="004B39D5"/>
    <w:rsid w:val="004B46BE"/>
    <w:rsid w:val="004B4A20"/>
    <w:rsid w:val="004B5064"/>
    <w:rsid w:val="004B6E05"/>
    <w:rsid w:val="004B7F81"/>
    <w:rsid w:val="004C0169"/>
    <w:rsid w:val="004C0425"/>
    <w:rsid w:val="004C0A7E"/>
    <w:rsid w:val="004C0D9F"/>
    <w:rsid w:val="004C1A32"/>
    <w:rsid w:val="004C1CF8"/>
    <w:rsid w:val="004C26D1"/>
    <w:rsid w:val="004C290D"/>
    <w:rsid w:val="004C3BF4"/>
    <w:rsid w:val="004C3F1C"/>
    <w:rsid w:val="004C454B"/>
    <w:rsid w:val="004C45BC"/>
    <w:rsid w:val="004C48E1"/>
    <w:rsid w:val="004C4FF1"/>
    <w:rsid w:val="004C5655"/>
    <w:rsid w:val="004C622E"/>
    <w:rsid w:val="004C7414"/>
    <w:rsid w:val="004D03F2"/>
    <w:rsid w:val="004D07CA"/>
    <w:rsid w:val="004D1731"/>
    <w:rsid w:val="004D22F4"/>
    <w:rsid w:val="004D27D7"/>
    <w:rsid w:val="004D3245"/>
    <w:rsid w:val="004D3EA4"/>
    <w:rsid w:val="004D47AD"/>
    <w:rsid w:val="004D4B22"/>
    <w:rsid w:val="004D5E5E"/>
    <w:rsid w:val="004D6744"/>
    <w:rsid w:val="004D6DD4"/>
    <w:rsid w:val="004D7C84"/>
    <w:rsid w:val="004D7F95"/>
    <w:rsid w:val="004E0925"/>
    <w:rsid w:val="004E15EF"/>
    <w:rsid w:val="004E16F1"/>
    <w:rsid w:val="004E1970"/>
    <w:rsid w:val="004E24FF"/>
    <w:rsid w:val="004E3223"/>
    <w:rsid w:val="004E49BC"/>
    <w:rsid w:val="004E4A12"/>
    <w:rsid w:val="004E4D08"/>
    <w:rsid w:val="004E505B"/>
    <w:rsid w:val="004E70C5"/>
    <w:rsid w:val="004E7D6B"/>
    <w:rsid w:val="004F0945"/>
    <w:rsid w:val="004F0A61"/>
    <w:rsid w:val="004F108B"/>
    <w:rsid w:val="004F12C6"/>
    <w:rsid w:val="004F2A71"/>
    <w:rsid w:val="004F2C7D"/>
    <w:rsid w:val="004F2FED"/>
    <w:rsid w:val="004F3008"/>
    <w:rsid w:val="004F5357"/>
    <w:rsid w:val="004F585F"/>
    <w:rsid w:val="004F59FE"/>
    <w:rsid w:val="004F60F6"/>
    <w:rsid w:val="004F6CD9"/>
    <w:rsid w:val="004F6D8B"/>
    <w:rsid w:val="004F7001"/>
    <w:rsid w:val="004F78E5"/>
    <w:rsid w:val="004F7A55"/>
    <w:rsid w:val="004F7BEF"/>
    <w:rsid w:val="00500702"/>
    <w:rsid w:val="00501461"/>
    <w:rsid w:val="005021F6"/>
    <w:rsid w:val="005031FB"/>
    <w:rsid w:val="00507854"/>
    <w:rsid w:val="005100AE"/>
    <w:rsid w:val="0051121D"/>
    <w:rsid w:val="0051260D"/>
    <w:rsid w:val="00512618"/>
    <w:rsid w:val="00512735"/>
    <w:rsid w:val="00512CD2"/>
    <w:rsid w:val="00512F04"/>
    <w:rsid w:val="00512FAE"/>
    <w:rsid w:val="00513D97"/>
    <w:rsid w:val="00514617"/>
    <w:rsid w:val="00514F80"/>
    <w:rsid w:val="00515902"/>
    <w:rsid w:val="00515EB1"/>
    <w:rsid w:val="005161EF"/>
    <w:rsid w:val="005163B5"/>
    <w:rsid w:val="0051687E"/>
    <w:rsid w:val="00516EDF"/>
    <w:rsid w:val="00517525"/>
    <w:rsid w:val="005200A4"/>
    <w:rsid w:val="00520559"/>
    <w:rsid w:val="00520659"/>
    <w:rsid w:val="00520D35"/>
    <w:rsid w:val="005217D9"/>
    <w:rsid w:val="00521DEE"/>
    <w:rsid w:val="00522246"/>
    <w:rsid w:val="005222E3"/>
    <w:rsid w:val="005227F2"/>
    <w:rsid w:val="00522ACF"/>
    <w:rsid w:val="00523FE6"/>
    <w:rsid w:val="005242CA"/>
    <w:rsid w:val="00524D97"/>
    <w:rsid w:val="00525636"/>
    <w:rsid w:val="00525654"/>
    <w:rsid w:val="00526F9C"/>
    <w:rsid w:val="005271F2"/>
    <w:rsid w:val="00527742"/>
    <w:rsid w:val="005307C8"/>
    <w:rsid w:val="00530B70"/>
    <w:rsid w:val="00530CB7"/>
    <w:rsid w:val="00531093"/>
    <w:rsid w:val="005316DA"/>
    <w:rsid w:val="00531BBB"/>
    <w:rsid w:val="0053274E"/>
    <w:rsid w:val="00533CA4"/>
    <w:rsid w:val="00533DBF"/>
    <w:rsid w:val="00534218"/>
    <w:rsid w:val="00534354"/>
    <w:rsid w:val="0053445B"/>
    <w:rsid w:val="0053478F"/>
    <w:rsid w:val="005348FF"/>
    <w:rsid w:val="00535D4C"/>
    <w:rsid w:val="00537CF0"/>
    <w:rsid w:val="00537FB8"/>
    <w:rsid w:val="00541926"/>
    <w:rsid w:val="00542212"/>
    <w:rsid w:val="00542516"/>
    <w:rsid w:val="005426BB"/>
    <w:rsid w:val="00542756"/>
    <w:rsid w:val="005429CC"/>
    <w:rsid w:val="00543011"/>
    <w:rsid w:val="0054328C"/>
    <w:rsid w:val="00543CA0"/>
    <w:rsid w:val="00543D15"/>
    <w:rsid w:val="00543E79"/>
    <w:rsid w:val="00544143"/>
    <w:rsid w:val="00544411"/>
    <w:rsid w:val="00544862"/>
    <w:rsid w:val="005449C2"/>
    <w:rsid w:val="00544D5D"/>
    <w:rsid w:val="00545A1D"/>
    <w:rsid w:val="00545E7C"/>
    <w:rsid w:val="00546146"/>
    <w:rsid w:val="00547384"/>
    <w:rsid w:val="005473AE"/>
    <w:rsid w:val="005514A7"/>
    <w:rsid w:val="00551AAF"/>
    <w:rsid w:val="00552D0E"/>
    <w:rsid w:val="00553505"/>
    <w:rsid w:val="00553FA5"/>
    <w:rsid w:val="005547C4"/>
    <w:rsid w:val="0055552B"/>
    <w:rsid w:val="00555975"/>
    <w:rsid w:val="005600F5"/>
    <w:rsid w:val="005605AE"/>
    <w:rsid w:val="00560A23"/>
    <w:rsid w:val="00560C59"/>
    <w:rsid w:val="00561109"/>
    <w:rsid w:val="005617AA"/>
    <w:rsid w:val="00561C9F"/>
    <w:rsid w:val="00561E23"/>
    <w:rsid w:val="005636B4"/>
    <w:rsid w:val="005638C6"/>
    <w:rsid w:val="005646F8"/>
    <w:rsid w:val="00564780"/>
    <w:rsid w:val="00564D16"/>
    <w:rsid w:val="00565324"/>
    <w:rsid w:val="00565380"/>
    <w:rsid w:val="00566BB7"/>
    <w:rsid w:val="0056789E"/>
    <w:rsid w:val="005709E1"/>
    <w:rsid w:val="005714C8"/>
    <w:rsid w:val="00573490"/>
    <w:rsid w:val="005737A0"/>
    <w:rsid w:val="005738E9"/>
    <w:rsid w:val="00573D53"/>
    <w:rsid w:val="00574894"/>
    <w:rsid w:val="00574B63"/>
    <w:rsid w:val="00575101"/>
    <w:rsid w:val="00575474"/>
    <w:rsid w:val="00575549"/>
    <w:rsid w:val="0057557E"/>
    <w:rsid w:val="00575AE1"/>
    <w:rsid w:val="00575DC4"/>
    <w:rsid w:val="005766B4"/>
    <w:rsid w:val="00577076"/>
    <w:rsid w:val="005770D1"/>
    <w:rsid w:val="00577247"/>
    <w:rsid w:val="0057736F"/>
    <w:rsid w:val="005774C5"/>
    <w:rsid w:val="005809A2"/>
    <w:rsid w:val="00580D19"/>
    <w:rsid w:val="0058173A"/>
    <w:rsid w:val="00581A41"/>
    <w:rsid w:val="00581FC9"/>
    <w:rsid w:val="0058259F"/>
    <w:rsid w:val="00582863"/>
    <w:rsid w:val="00583ADB"/>
    <w:rsid w:val="00583FB6"/>
    <w:rsid w:val="0058411A"/>
    <w:rsid w:val="00584496"/>
    <w:rsid w:val="0058480A"/>
    <w:rsid w:val="005849F1"/>
    <w:rsid w:val="00584F85"/>
    <w:rsid w:val="005854F9"/>
    <w:rsid w:val="0058638C"/>
    <w:rsid w:val="005867DA"/>
    <w:rsid w:val="00587806"/>
    <w:rsid w:val="00587F91"/>
    <w:rsid w:val="00590013"/>
    <w:rsid w:val="00590568"/>
    <w:rsid w:val="00590C46"/>
    <w:rsid w:val="005917C0"/>
    <w:rsid w:val="00591C96"/>
    <w:rsid w:val="005924D8"/>
    <w:rsid w:val="005943CD"/>
    <w:rsid w:val="00595112"/>
    <w:rsid w:val="005959F1"/>
    <w:rsid w:val="0059643A"/>
    <w:rsid w:val="00597803"/>
    <w:rsid w:val="00597CF8"/>
    <w:rsid w:val="00597D8C"/>
    <w:rsid w:val="005A0579"/>
    <w:rsid w:val="005A0F69"/>
    <w:rsid w:val="005A0FCB"/>
    <w:rsid w:val="005A10C9"/>
    <w:rsid w:val="005A1C47"/>
    <w:rsid w:val="005A2AAC"/>
    <w:rsid w:val="005A2D6C"/>
    <w:rsid w:val="005A2E61"/>
    <w:rsid w:val="005A3127"/>
    <w:rsid w:val="005A5D51"/>
    <w:rsid w:val="005A60D5"/>
    <w:rsid w:val="005A629E"/>
    <w:rsid w:val="005A6D51"/>
    <w:rsid w:val="005B0851"/>
    <w:rsid w:val="005B12B1"/>
    <w:rsid w:val="005B1334"/>
    <w:rsid w:val="005B157C"/>
    <w:rsid w:val="005B1BA8"/>
    <w:rsid w:val="005B1F45"/>
    <w:rsid w:val="005B1FDB"/>
    <w:rsid w:val="005B218C"/>
    <w:rsid w:val="005B25EB"/>
    <w:rsid w:val="005B2DFD"/>
    <w:rsid w:val="005B3665"/>
    <w:rsid w:val="005B3E8A"/>
    <w:rsid w:val="005B4402"/>
    <w:rsid w:val="005B45CF"/>
    <w:rsid w:val="005B4CF3"/>
    <w:rsid w:val="005B51B6"/>
    <w:rsid w:val="005B5BB5"/>
    <w:rsid w:val="005B6BB6"/>
    <w:rsid w:val="005B6C97"/>
    <w:rsid w:val="005B6CE9"/>
    <w:rsid w:val="005B70CA"/>
    <w:rsid w:val="005B76E1"/>
    <w:rsid w:val="005C0710"/>
    <w:rsid w:val="005C1FB9"/>
    <w:rsid w:val="005C282A"/>
    <w:rsid w:val="005C29F8"/>
    <w:rsid w:val="005C3EF0"/>
    <w:rsid w:val="005C4502"/>
    <w:rsid w:val="005C4E08"/>
    <w:rsid w:val="005C5B43"/>
    <w:rsid w:val="005C5C95"/>
    <w:rsid w:val="005C6146"/>
    <w:rsid w:val="005C634B"/>
    <w:rsid w:val="005C645C"/>
    <w:rsid w:val="005C666B"/>
    <w:rsid w:val="005C767D"/>
    <w:rsid w:val="005C7C64"/>
    <w:rsid w:val="005C7E4F"/>
    <w:rsid w:val="005D017D"/>
    <w:rsid w:val="005D0824"/>
    <w:rsid w:val="005D0AA1"/>
    <w:rsid w:val="005D1011"/>
    <w:rsid w:val="005D11DF"/>
    <w:rsid w:val="005D2654"/>
    <w:rsid w:val="005D26BE"/>
    <w:rsid w:val="005D4119"/>
    <w:rsid w:val="005D4C85"/>
    <w:rsid w:val="005D5241"/>
    <w:rsid w:val="005D5554"/>
    <w:rsid w:val="005D6025"/>
    <w:rsid w:val="005D6187"/>
    <w:rsid w:val="005D6BDC"/>
    <w:rsid w:val="005D6BE9"/>
    <w:rsid w:val="005D6EE0"/>
    <w:rsid w:val="005D6FA4"/>
    <w:rsid w:val="005E14E9"/>
    <w:rsid w:val="005E207E"/>
    <w:rsid w:val="005E2223"/>
    <w:rsid w:val="005E2244"/>
    <w:rsid w:val="005E24CF"/>
    <w:rsid w:val="005E2F6E"/>
    <w:rsid w:val="005E2FF9"/>
    <w:rsid w:val="005E60FB"/>
    <w:rsid w:val="005E62CC"/>
    <w:rsid w:val="005E682F"/>
    <w:rsid w:val="005E68C1"/>
    <w:rsid w:val="005E6B67"/>
    <w:rsid w:val="005E7C2F"/>
    <w:rsid w:val="005E7D6C"/>
    <w:rsid w:val="005E7F51"/>
    <w:rsid w:val="005F03FD"/>
    <w:rsid w:val="005F0A3B"/>
    <w:rsid w:val="005F1BA7"/>
    <w:rsid w:val="005F216C"/>
    <w:rsid w:val="005F23ED"/>
    <w:rsid w:val="005F2F82"/>
    <w:rsid w:val="005F3889"/>
    <w:rsid w:val="005F4540"/>
    <w:rsid w:val="005F4BAA"/>
    <w:rsid w:val="005F5F6E"/>
    <w:rsid w:val="005F6314"/>
    <w:rsid w:val="005F6AD3"/>
    <w:rsid w:val="005F7EA7"/>
    <w:rsid w:val="00600723"/>
    <w:rsid w:val="0060091F"/>
    <w:rsid w:val="00601097"/>
    <w:rsid w:val="006011B4"/>
    <w:rsid w:val="00601739"/>
    <w:rsid w:val="006018C3"/>
    <w:rsid w:val="006019BB"/>
    <w:rsid w:val="00601F30"/>
    <w:rsid w:val="0060259C"/>
    <w:rsid w:val="0060299F"/>
    <w:rsid w:val="00602A98"/>
    <w:rsid w:val="006041B3"/>
    <w:rsid w:val="00604321"/>
    <w:rsid w:val="0060472F"/>
    <w:rsid w:val="0060594D"/>
    <w:rsid w:val="00605E66"/>
    <w:rsid w:val="00606456"/>
    <w:rsid w:val="00606B8B"/>
    <w:rsid w:val="006071E9"/>
    <w:rsid w:val="00607783"/>
    <w:rsid w:val="00610E5B"/>
    <w:rsid w:val="00610F05"/>
    <w:rsid w:val="0061111B"/>
    <w:rsid w:val="00611430"/>
    <w:rsid w:val="006117FB"/>
    <w:rsid w:val="00611CC4"/>
    <w:rsid w:val="00612032"/>
    <w:rsid w:val="0061264A"/>
    <w:rsid w:val="00612733"/>
    <w:rsid w:val="00612B87"/>
    <w:rsid w:val="00612FEF"/>
    <w:rsid w:val="0061347B"/>
    <w:rsid w:val="00613F0A"/>
    <w:rsid w:val="00613F76"/>
    <w:rsid w:val="00614248"/>
    <w:rsid w:val="006146A5"/>
    <w:rsid w:val="006156E6"/>
    <w:rsid w:val="00615E3B"/>
    <w:rsid w:val="00616E1D"/>
    <w:rsid w:val="00616F5E"/>
    <w:rsid w:val="006174BE"/>
    <w:rsid w:val="006175AD"/>
    <w:rsid w:val="00617E07"/>
    <w:rsid w:val="00621649"/>
    <w:rsid w:val="0062215F"/>
    <w:rsid w:val="00622CCE"/>
    <w:rsid w:val="00623072"/>
    <w:rsid w:val="00624F69"/>
    <w:rsid w:val="00625586"/>
    <w:rsid w:val="006256CE"/>
    <w:rsid w:val="00625C11"/>
    <w:rsid w:val="00626545"/>
    <w:rsid w:val="00626A5B"/>
    <w:rsid w:val="006276E5"/>
    <w:rsid w:val="00627D4C"/>
    <w:rsid w:val="006300D3"/>
    <w:rsid w:val="00630B6C"/>
    <w:rsid w:val="0063149E"/>
    <w:rsid w:val="00631CAC"/>
    <w:rsid w:val="006325A5"/>
    <w:rsid w:val="006327E7"/>
    <w:rsid w:val="00632E17"/>
    <w:rsid w:val="006336B2"/>
    <w:rsid w:val="00633E3E"/>
    <w:rsid w:val="00634BF1"/>
    <w:rsid w:val="006350CD"/>
    <w:rsid w:val="00635155"/>
    <w:rsid w:val="00635F91"/>
    <w:rsid w:val="006364FC"/>
    <w:rsid w:val="00637451"/>
    <w:rsid w:val="00637FAB"/>
    <w:rsid w:val="0064030B"/>
    <w:rsid w:val="00640456"/>
    <w:rsid w:val="006414E6"/>
    <w:rsid w:val="0064181F"/>
    <w:rsid w:val="006418D1"/>
    <w:rsid w:val="0064223C"/>
    <w:rsid w:val="00642ADF"/>
    <w:rsid w:val="00643401"/>
    <w:rsid w:val="0064383C"/>
    <w:rsid w:val="0064685A"/>
    <w:rsid w:val="006475C7"/>
    <w:rsid w:val="006476A3"/>
    <w:rsid w:val="006479D9"/>
    <w:rsid w:val="00650336"/>
    <w:rsid w:val="006516EC"/>
    <w:rsid w:val="00651C88"/>
    <w:rsid w:val="0065300F"/>
    <w:rsid w:val="00654AD3"/>
    <w:rsid w:val="00655208"/>
    <w:rsid w:val="00655416"/>
    <w:rsid w:val="006558F9"/>
    <w:rsid w:val="00655EA2"/>
    <w:rsid w:val="00656F1A"/>
    <w:rsid w:val="00656FB2"/>
    <w:rsid w:val="006571B4"/>
    <w:rsid w:val="006621F7"/>
    <w:rsid w:val="00662CC7"/>
    <w:rsid w:val="00662EE5"/>
    <w:rsid w:val="00662F8A"/>
    <w:rsid w:val="0066322F"/>
    <w:rsid w:val="006634EC"/>
    <w:rsid w:val="00663E19"/>
    <w:rsid w:val="006643CF"/>
    <w:rsid w:val="00664632"/>
    <w:rsid w:val="006647B4"/>
    <w:rsid w:val="00665A68"/>
    <w:rsid w:val="006664D5"/>
    <w:rsid w:val="00667339"/>
    <w:rsid w:val="00667E25"/>
    <w:rsid w:val="00667F54"/>
    <w:rsid w:val="00670619"/>
    <w:rsid w:val="0067320F"/>
    <w:rsid w:val="0067574F"/>
    <w:rsid w:val="0067576B"/>
    <w:rsid w:val="006762FA"/>
    <w:rsid w:val="0067638A"/>
    <w:rsid w:val="0067684A"/>
    <w:rsid w:val="00676D0B"/>
    <w:rsid w:val="00677884"/>
    <w:rsid w:val="00677E41"/>
    <w:rsid w:val="00680D0B"/>
    <w:rsid w:val="00681A22"/>
    <w:rsid w:val="0068255C"/>
    <w:rsid w:val="0068278C"/>
    <w:rsid w:val="00683657"/>
    <w:rsid w:val="00683ED3"/>
    <w:rsid w:val="006840B1"/>
    <w:rsid w:val="00685698"/>
    <w:rsid w:val="00686607"/>
    <w:rsid w:val="006868C0"/>
    <w:rsid w:val="0069019F"/>
    <w:rsid w:val="006912DA"/>
    <w:rsid w:val="006913B1"/>
    <w:rsid w:val="006915EC"/>
    <w:rsid w:val="00692647"/>
    <w:rsid w:val="00692B1C"/>
    <w:rsid w:val="00692DA8"/>
    <w:rsid w:val="00693415"/>
    <w:rsid w:val="0069386C"/>
    <w:rsid w:val="00693C01"/>
    <w:rsid w:val="00694AAE"/>
    <w:rsid w:val="006953A2"/>
    <w:rsid w:val="00695BE5"/>
    <w:rsid w:val="0069643C"/>
    <w:rsid w:val="006965C1"/>
    <w:rsid w:val="00696B6C"/>
    <w:rsid w:val="00696D55"/>
    <w:rsid w:val="00697479"/>
    <w:rsid w:val="006979BF"/>
    <w:rsid w:val="00697E9A"/>
    <w:rsid w:val="006A00DF"/>
    <w:rsid w:val="006A071B"/>
    <w:rsid w:val="006A11CB"/>
    <w:rsid w:val="006A11F6"/>
    <w:rsid w:val="006A2015"/>
    <w:rsid w:val="006A281F"/>
    <w:rsid w:val="006A3281"/>
    <w:rsid w:val="006A35CD"/>
    <w:rsid w:val="006A4273"/>
    <w:rsid w:val="006A4583"/>
    <w:rsid w:val="006A4C61"/>
    <w:rsid w:val="006A58ED"/>
    <w:rsid w:val="006A6000"/>
    <w:rsid w:val="006A61E8"/>
    <w:rsid w:val="006A6F51"/>
    <w:rsid w:val="006A709D"/>
    <w:rsid w:val="006A7294"/>
    <w:rsid w:val="006A7863"/>
    <w:rsid w:val="006A7D6E"/>
    <w:rsid w:val="006B04B9"/>
    <w:rsid w:val="006B240D"/>
    <w:rsid w:val="006B33C7"/>
    <w:rsid w:val="006B3961"/>
    <w:rsid w:val="006B4EB3"/>
    <w:rsid w:val="006B5212"/>
    <w:rsid w:val="006B5E81"/>
    <w:rsid w:val="006B7EE6"/>
    <w:rsid w:val="006B7F6D"/>
    <w:rsid w:val="006C0765"/>
    <w:rsid w:val="006C0976"/>
    <w:rsid w:val="006C1C31"/>
    <w:rsid w:val="006C2B3A"/>
    <w:rsid w:val="006C327F"/>
    <w:rsid w:val="006C35DB"/>
    <w:rsid w:val="006C3739"/>
    <w:rsid w:val="006C3801"/>
    <w:rsid w:val="006C3DAC"/>
    <w:rsid w:val="006C4583"/>
    <w:rsid w:val="006C5528"/>
    <w:rsid w:val="006C5785"/>
    <w:rsid w:val="006C57D3"/>
    <w:rsid w:val="006C609A"/>
    <w:rsid w:val="006C645D"/>
    <w:rsid w:val="006C6F1E"/>
    <w:rsid w:val="006C7204"/>
    <w:rsid w:val="006C794A"/>
    <w:rsid w:val="006C7F73"/>
    <w:rsid w:val="006D00DB"/>
    <w:rsid w:val="006D1E24"/>
    <w:rsid w:val="006D3574"/>
    <w:rsid w:val="006D3969"/>
    <w:rsid w:val="006D3E23"/>
    <w:rsid w:val="006D4706"/>
    <w:rsid w:val="006D6A41"/>
    <w:rsid w:val="006D6E03"/>
    <w:rsid w:val="006D7150"/>
    <w:rsid w:val="006D73B0"/>
    <w:rsid w:val="006D7562"/>
    <w:rsid w:val="006D7C7C"/>
    <w:rsid w:val="006E0D2C"/>
    <w:rsid w:val="006E129E"/>
    <w:rsid w:val="006E1E19"/>
    <w:rsid w:val="006E2B53"/>
    <w:rsid w:val="006E2F76"/>
    <w:rsid w:val="006E2FB2"/>
    <w:rsid w:val="006E368B"/>
    <w:rsid w:val="006E468E"/>
    <w:rsid w:val="006E4787"/>
    <w:rsid w:val="006E4FF8"/>
    <w:rsid w:val="006E5734"/>
    <w:rsid w:val="006E5773"/>
    <w:rsid w:val="006E591E"/>
    <w:rsid w:val="006E59C6"/>
    <w:rsid w:val="006E5AD2"/>
    <w:rsid w:val="006E6F08"/>
    <w:rsid w:val="006E7223"/>
    <w:rsid w:val="006E76F5"/>
    <w:rsid w:val="006F18AF"/>
    <w:rsid w:val="006F2060"/>
    <w:rsid w:val="006F2E26"/>
    <w:rsid w:val="006F2FAB"/>
    <w:rsid w:val="006F510F"/>
    <w:rsid w:val="006F5361"/>
    <w:rsid w:val="006F543A"/>
    <w:rsid w:val="006F5E15"/>
    <w:rsid w:val="006F64A9"/>
    <w:rsid w:val="006F6E90"/>
    <w:rsid w:val="006F702F"/>
    <w:rsid w:val="006F79E9"/>
    <w:rsid w:val="006F7DF2"/>
    <w:rsid w:val="006F7E05"/>
    <w:rsid w:val="007005DE"/>
    <w:rsid w:val="00701A56"/>
    <w:rsid w:val="00701E8C"/>
    <w:rsid w:val="00702CD6"/>
    <w:rsid w:val="00702F2D"/>
    <w:rsid w:val="007031E6"/>
    <w:rsid w:val="00703C4F"/>
    <w:rsid w:val="00704F0D"/>
    <w:rsid w:val="00704F28"/>
    <w:rsid w:val="007051B7"/>
    <w:rsid w:val="00705455"/>
    <w:rsid w:val="0070651A"/>
    <w:rsid w:val="00707098"/>
    <w:rsid w:val="007076CD"/>
    <w:rsid w:val="00711072"/>
    <w:rsid w:val="007116E4"/>
    <w:rsid w:val="00711852"/>
    <w:rsid w:val="007119EA"/>
    <w:rsid w:val="00712ACA"/>
    <w:rsid w:val="00714CAB"/>
    <w:rsid w:val="00714DD9"/>
    <w:rsid w:val="00714F6F"/>
    <w:rsid w:val="00715847"/>
    <w:rsid w:val="00715A03"/>
    <w:rsid w:val="00715CB2"/>
    <w:rsid w:val="00716AAC"/>
    <w:rsid w:val="00716CF0"/>
    <w:rsid w:val="00716FFA"/>
    <w:rsid w:val="00717A7E"/>
    <w:rsid w:val="0072037D"/>
    <w:rsid w:val="007203D0"/>
    <w:rsid w:val="007207A0"/>
    <w:rsid w:val="007215E8"/>
    <w:rsid w:val="00721710"/>
    <w:rsid w:val="007218C3"/>
    <w:rsid w:val="00723667"/>
    <w:rsid w:val="007238B3"/>
    <w:rsid w:val="00723998"/>
    <w:rsid w:val="007243F8"/>
    <w:rsid w:val="00724C79"/>
    <w:rsid w:val="007261B4"/>
    <w:rsid w:val="0072648F"/>
    <w:rsid w:val="007265E8"/>
    <w:rsid w:val="0073015D"/>
    <w:rsid w:val="00731E5F"/>
    <w:rsid w:val="00732D8D"/>
    <w:rsid w:val="007332C5"/>
    <w:rsid w:val="007334E1"/>
    <w:rsid w:val="00733CB3"/>
    <w:rsid w:val="007341CF"/>
    <w:rsid w:val="007343C8"/>
    <w:rsid w:val="0073456F"/>
    <w:rsid w:val="007348E8"/>
    <w:rsid w:val="00736417"/>
    <w:rsid w:val="007374E0"/>
    <w:rsid w:val="00740FD5"/>
    <w:rsid w:val="0074195D"/>
    <w:rsid w:val="007419E0"/>
    <w:rsid w:val="00741E08"/>
    <w:rsid w:val="00743228"/>
    <w:rsid w:val="007437F0"/>
    <w:rsid w:val="00743A48"/>
    <w:rsid w:val="00743BDE"/>
    <w:rsid w:val="00743CFC"/>
    <w:rsid w:val="00743D0F"/>
    <w:rsid w:val="007443A9"/>
    <w:rsid w:val="00745F59"/>
    <w:rsid w:val="00746493"/>
    <w:rsid w:val="00746A84"/>
    <w:rsid w:val="00746BAE"/>
    <w:rsid w:val="00746EE9"/>
    <w:rsid w:val="00747650"/>
    <w:rsid w:val="007512CB"/>
    <w:rsid w:val="00751825"/>
    <w:rsid w:val="00751AE2"/>
    <w:rsid w:val="0075223E"/>
    <w:rsid w:val="007529BE"/>
    <w:rsid w:val="00752B1E"/>
    <w:rsid w:val="00752F54"/>
    <w:rsid w:val="00753151"/>
    <w:rsid w:val="00753505"/>
    <w:rsid w:val="0075594E"/>
    <w:rsid w:val="007573B9"/>
    <w:rsid w:val="00757467"/>
    <w:rsid w:val="007576E1"/>
    <w:rsid w:val="0076103F"/>
    <w:rsid w:val="0076134C"/>
    <w:rsid w:val="007615BF"/>
    <w:rsid w:val="0076273A"/>
    <w:rsid w:val="00762772"/>
    <w:rsid w:val="00763061"/>
    <w:rsid w:val="0076334F"/>
    <w:rsid w:val="007637E8"/>
    <w:rsid w:val="007639A3"/>
    <w:rsid w:val="007642DB"/>
    <w:rsid w:val="00765164"/>
    <w:rsid w:val="007659E4"/>
    <w:rsid w:val="00765D21"/>
    <w:rsid w:val="00766B60"/>
    <w:rsid w:val="00766E80"/>
    <w:rsid w:val="0076780C"/>
    <w:rsid w:val="00767A7C"/>
    <w:rsid w:val="00767B01"/>
    <w:rsid w:val="00767F0B"/>
    <w:rsid w:val="0077000E"/>
    <w:rsid w:val="0077122F"/>
    <w:rsid w:val="00771584"/>
    <w:rsid w:val="007716B6"/>
    <w:rsid w:val="00771974"/>
    <w:rsid w:val="00771F86"/>
    <w:rsid w:val="00772489"/>
    <w:rsid w:val="00772666"/>
    <w:rsid w:val="007728A2"/>
    <w:rsid w:val="00773C56"/>
    <w:rsid w:val="007744AD"/>
    <w:rsid w:val="00774BB1"/>
    <w:rsid w:val="00774C21"/>
    <w:rsid w:val="00775690"/>
    <w:rsid w:val="00775DF6"/>
    <w:rsid w:val="00777C3D"/>
    <w:rsid w:val="00781393"/>
    <w:rsid w:val="00781582"/>
    <w:rsid w:val="0078188A"/>
    <w:rsid w:val="00782669"/>
    <w:rsid w:val="00782FEE"/>
    <w:rsid w:val="007835DD"/>
    <w:rsid w:val="007838C3"/>
    <w:rsid w:val="00784296"/>
    <w:rsid w:val="00785061"/>
    <w:rsid w:val="00785AA0"/>
    <w:rsid w:val="007861C4"/>
    <w:rsid w:val="007867E6"/>
    <w:rsid w:val="007869CC"/>
    <w:rsid w:val="0078706D"/>
    <w:rsid w:val="0078714E"/>
    <w:rsid w:val="007874D6"/>
    <w:rsid w:val="007877D5"/>
    <w:rsid w:val="007908B0"/>
    <w:rsid w:val="0079121A"/>
    <w:rsid w:val="007915DB"/>
    <w:rsid w:val="00791A9C"/>
    <w:rsid w:val="00791CFD"/>
    <w:rsid w:val="00791EF6"/>
    <w:rsid w:val="007928AF"/>
    <w:rsid w:val="007929B4"/>
    <w:rsid w:val="007934CE"/>
    <w:rsid w:val="00793A79"/>
    <w:rsid w:val="00795F74"/>
    <w:rsid w:val="007962E1"/>
    <w:rsid w:val="00796752"/>
    <w:rsid w:val="00796CCB"/>
    <w:rsid w:val="007A0CDD"/>
    <w:rsid w:val="007A1A6B"/>
    <w:rsid w:val="007A1A9F"/>
    <w:rsid w:val="007A361F"/>
    <w:rsid w:val="007A3651"/>
    <w:rsid w:val="007A4271"/>
    <w:rsid w:val="007A4AA7"/>
    <w:rsid w:val="007A4B28"/>
    <w:rsid w:val="007A5619"/>
    <w:rsid w:val="007A5891"/>
    <w:rsid w:val="007A5F97"/>
    <w:rsid w:val="007A66C1"/>
    <w:rsid w:val="007A6AE8"/>
    <w:rsid w:val="007A6F2F"/>
    <w:rsid w:val="007A73BD"/>
    <w:rsid w:val="007A75FE"/>
    <w:rsid w:val="007A760D"/>
    <w:rsid w:val="007A7834"/>
    <w:rsid w:val="007A78A8"/>
    <w:rsid w:val="007A78ED"/>
    <w:rsid w:val="007A7E9C"/>
    <w:rsid w:val="007B0491"/>
    <w:rsid w:val="007B057B"/>
    <w:rsid w:val="007B0D09"/>
    <w:rsid w:val="007B0F85"/>
    <w:rsid w:val="007B13DE"/>
    <w:rsid w:val="007B17A5"/>
    <w:rsid w:val="007B1971"/>
    <w:rsid w:val="007B1B18"/>
    <w:rsid w:val="007B2CE9"/>
    <w:rsid w:val="007B2F8E"/>
    <w:rsid w:val="007B3149"/>
    <w:rsid w:val="007B3927"/>
    <w:rsid w:val="007B5036"/>
    <w:rsid w:val="007B5CC2"/>
    <w:rsid w:val="007B5DD4"/>
    <w:rsid w:val="007B6419"/>
    <w:rsid w:val="007B641E"/>
    <w:rsid w:val="007B67F3"/>
    <w:rsid w:val="007B703A"/>
    <w:rsid w:val="007B7131"/>
    <w:rsid w:val="007B7A08"/>
    <w:rsid w:val="007B7A47"/>
    <w:rsid w:val="007C01D4"/>
    <w:rsid w:val="007C07A8"/>
    <w:rsid w:val="007C0EB9"/>
    <w:rsid w:val="007C0FE8"/>
    <w:rsid w:val="007C1D76"/>
    <w:rsid w:val="007C1D7D"/>
    <w:rsid w:val="007C3369"/>
    <w:rsid w:val="007C34C6"/>
    <w:rsid w:val="007C4C1C"/>
    <w:rsid w:val="007C4E53"/>
    <w:rsid w:val="007C51E7"/>
    <w:rsid w:val="007C5675"/>
    <w:rsid w:val="007C62F1"/>
    <w:rsid w:val="007C7275"/>
    <w:rsid w:val="007C7334"/>
    <w:rsid w:val="007C747A"/>
    <w:rsid w:val="007C7480"/>
    <w:rsid w:val="007C771D"/>
    <w:rsid w:val="007D01F3"/>
    <w:rsid w:val="007D09D4"/>
    <w:rsid w:val="007D1543"/>
    <w:rsid w:val="007D1CF7"/>
    <w:rsid w:val="007D2782"/>
    <w:rsid w:val="007D3723"/>
    <w:rsid w:val="007D4699"/>
    <w:rsid w:val="007D5950"/>
    <w:rsid w:val="007D5994"/>
    <w:rsid w:val="007D6168"/>
    <w:rsid w:val="007D772E"/>
    <w:rsid w:val="007D7A6B"/>
    <w:rsid w:val="007D7F88"/>
    <w:rsid w:val="007E0769"/>
    <w:rsid w:val="007E1270"/>
    <w:rsid w:val="007E14DE"/>
    <w:rsid w:val="007E1F8C"/>
    <w:rsid w:val="007E1FCC"/>
    <w:rsid w:val="007E325C"/>
    <w:rsid w:val="007E3BBD"/>
    <w:rsid w:val="007E3FB4"/>
    <w:rsid w:val="007E427D"/>
    <w:rsid w:val="007E48F5"/>
    <w:rsid w:val="007E5030"/>
    <w:rsid w:val="007E59EE"/>
    <w:rsid w:val="007E5B78"/>
    <w:rsid w:val="007E5DA3"/>
    <w:rsid w:val="007E61E3"/>
    <w:rsid w:val="007E652B"/>
    <w:rsid w:val="007E65DC"/>
    <w:rsid w:val="007E7498"/>
    <w:rsid w:val="007E7E11"/>
    <w:rsid w:val="007F0CCF"/>
    <w:rsid w:val="007F103E"/>
    <w:rsid w:val="007F115D"/>
    <w:rsid w:val="007F1418"/>
    <w:rsid w:val="007F169F"/>
    <w:rsid w:val="007F19E1"/>
    <w:rsid w:val="007F1AD0"/>
    <w:rsid w:val="007F1C57"/>
    <w:rsid w:val="007F1C8E"/>
    <w:rsid w:val="007F1E32"/>
    <w:rsid w:val="007F2E49"/>
    <w:rsid w:val="007F306F"/>
    <w:rsid w:val="007F336C"/>
    <w:rsid w:val="007F66EF"/>
    <w:rsid w:val="007F6996"/>
    <w:rsid w:val="007F6B3B"/>
    <w:rsid w:val="007F7AF4"/>
    <w:rsid w:val="007F7C08"/>
    <w:rsid w:val="0080007B"/>
    <w:rsid w:val="00800569"/>
    <w:rsid w:val="00800580"/>
    <w:rsid w:val="008009FF"/>
    <w:rsid w:val="00800AB2"/>
    <w:rsid w:val="0080180B"/>
    <w:rsid w:val="0080185D"/>
    <w:rsid w:val="00802225"/>
    <w:rsid w:val="0080277F"/>
    <w:rsid w:val="00802C17"/>
    <w:rsid w:val="008055D1"/>
    <w:rsid w:val="0080596B"/>
    <w:rsid w:val="00805FBD"/>
    <w:rsid w:val="0080646B"/>
    <w:rsid w:val="008065B3"/>
    <w:rsid w:val="00807B90"/>
    <w:rsid w:val="00807CAD"/>
    <w:rsid w:val="0081057A"/>
    <w:rsid w:val="00810E84"/>
    <w:rsid w:val="008112BD"/>
    <w:rsid w:val="00811430"/>
    <w:rsid w:val="008114A7"/>
    <w:rsid w:val="00811679"/>
    <w:rsid w:val="00812504"/>
    <w:rsid w:val="00813EEC"/>
    <w:rsid w:val="0081465B"/>
    <w:rsid w:val="0081598D"/>
    <w:rsid w:val="00815F40"/>
    <w:rsid w:val="008163A1"/>
    <w:rsid w:val="00816614"/>
    <w:rsid w:val="00816620"/>
    <w:rsid w:val="00816A33"/>
    <w:rsid w:val="00816DE9"/>
    <w:rsid w:val="008210F1"/>
    <w:rsid w:val="0082162F"/>
    <w:rsid w:val="008222A0"/>
    <w:rsid w:val="00822871"/>
    <w:rsid w:val="00823225"/>
    <w:rsid w:val="00823FC6"/>
    <w:rsid w:val="00825A1D"/>
    <w:rsid w:val="008261C5"/>
    <w:rsid w:val="00826DB1"/>
    <w:rsid w:val="00826DC0"/>
    <w:rsid w:val="0082728A"/>
    <w:rsid w:val="008272D0"/>
    <w:rsid w:val="00827EDA"/>
    <w:rsid w:val="0083012E"/>
    <w:rsid w:val="00830214"/>
    <w:rsid w:val="00830730"/>
    <w:rsid w:val="00830B76"/>
    <w:rsid w:val="00830DF6"/>
    <w:rsid w:val="00831A3A"/>
    <w:rsid w:val="00831DF4"/>
    <w:rsid w:val="00832492"/>
    <w:rsid w:val="00832641"/>
    <w:rsid w:val="008327D1"/>
    <w:rsid w:val="00833525"/>
    <w:rsid w:val="00834563"/>
    <w:rsid w:val="0083474E"/>
    <w:rsid w:val="008354F9"/>
    <w:rsid w:val="00835B5C"/>
    <w:rsid w:val="00836144"/>
    <w:rsid w:val="00837CF3"/>
    <w:rsid w:val="00837ECC"/>
    <w:rsid w:val="00840934"/>
    <w:rsid w:val="00841726"/>
    <w:rsid w:val="0084207A"/>
    <w:rsid w:val="00842BE0"/>
    <w:rsid w:val="008438F8"/>
    <w:rsid w:val="00843D83"/>
    <w:rsid w:val="00845009"/>
    <w:rsid w:val="008450D4"/>
    <w:rsid w:val="00846062"/>
    <w:rsid w:val="0084705D"/>
    <w:rsid w:val="008479C0"/>
    <w:rsid w:val="008506A9"/>
    <w:rsid w:val="00850E78"/>
    <w:rsid w:val="00852484"/>
    <w:rsid w:val="008524B4"/>
    <w:rsid w:val="008529EA"/>
    <w:rsid w:val="00852D1A"/>
    <w:rsid w:val="00853423"/>
    <w:rsid w:val="008543A6"/>
    <w:rsid w:val="0085476E"/>
    <w:rsid w:val="00854912"/>
    <w:rsid w:val="0085533E"/>
    <w:rsid w:val="00855FA8"/>
    <w:rsid w:val="00856D9A"/>
    <w:rsid w:val="0085798A"/>
    <w:rsid w:val="008601A6"/>
    <w:rsid w:val="00860871"/>
    <w:rsid w:val="0086096A"/>
    <w:rsid w:val="00860C7B"/>
    <w:rsid w:val="00862951"/>
    <w:rsid w:val="00862AA8"/>
    <w:rsid w:val="00862F08"/>
    <w:rsid w:val="00863311"/>
    <w:rsid w:val="00863985"/>
    <w:rsid w:val="008642C2"/>
    <w:rsid w:val="00864B0D"/>
    <w:rsid w:val="008652E9"/>
    <w:rsid w:val="00865FC3"/>
    <w:rsid w:val="008669A2"/>
    <w:rsid w:val="00866FEA"/>
    <w:rsid w:val="00867225"/>
    <w:rsid w:val="008673AB"/>
    <w:rsid w:val="00867F34"/>
    <w:rsid w:val="00867FB0"/>
    <w:rsid w:val="0087130E"/>
    <w:rsid w:val="00871342"/>
    <w:rsid w:val="00871A06"/>
    <w:rsid w:val="00871E35"/>
    <w:rsid w:val="008722E5"/>
    <w:rsid w:val="00873A85"/>
    <w:rsid w:val="00873D90"/>
    <w:rsid w:val="00874036"/>
    <w:rsid w:val="008741E8"/>
    <w:rsid w:val="008755E4"/>
    <w:rsid w:val="00875D54"/>
    <w:rsid w:val="00875DD7"/>
    <w:rsid w:val="00876A54"/>
    <w:rsid w:val="008778A2"/>
    <w:rsid w:val="0088000D"/>
    <w:rsid w:val="0088063A"/>
    <w:rsid w:val="00880BE2"/>
    <w:rsid w:val="00880DBE"/>
    <w:rsid w:val="008837BA"/>
    <w:rsid w:val="008849BF"/>
    <w:rsid w:val="00884A2B"/>
    <w:rsid w:val="00884D46"/>
    <w:rsid w:val="00887069"/>
    <w:rsid w:val="00887F75"/>
    <w:rsid w:val="00890BCD"/>
    <w:rsid w:val="00890E4B"/>
    <w:rsid w:val="00890E82"/>
    <w:rsid w:val="008911AE"/>
    <w:rsid w:val="008917F0"/>
    <w:rsid w:val="008925CB"/>
    <w:rsid w:val="00892A9C"/>
    <w:rsid w:val="00893678"/>
    <w:rsid w:val="008945DD"/>
    <w:rsid w:val="00894FE2"/>
    <w:rsid w:val="00895B61"/>
    <w:rsid w:val="0089678B"/>
    <w:rsid w:val="00896CB6"/>
    <w:rsid w:val="00896DC0"/>
    <w:rsid w:val="00897D2C"/>
    <w:rsid w:val="008A04AB"/>
    <w:rsid w:val="008A1733"/>
    <w:rsid w:val="008A183E"/>
    <w:rsid w:val="008A1970"/>
    <w:rsid w:val="008A25E6"/>
    <w:rsid w:val="008A2DF4"/>
    <w:rsid w:val="008A3829"/>
    <w:rsid w:val="008A3925"/>
    <w:rsid w:val="008A3D3B"/>
    <w:rsid w:val="008A5B25"/>
    <w:rsid w:val="008A6199"/>
    <w:rsid w:val="008A70CF"/>
    <w:rsid w:val="008A7912"/>
    <w:rsid w:val="008A79C7"/>
    <w:rsid w:val="008A7A27"/>
    <w:rsid w:val="008B2B9D"/>
    <w:rsid w:val="008B2E12"/>
    <w:rsid w:val="008B32F3"/>
    <w:rsid w:val="008B3EC6"/>
    <w:rsid w:val="008B4309"/>
    <w:rsid w:val="008B4737"/>
    <w:rsid w:val="008B6145"/>
    <w:rsid w:val="008B63C2"/>
    <w:rsid w:val="008B6B03"/>
    <w:rsid w:val="008B6C81"/>
    <w:rsid w:val="008C11FC"/>
    <w:rsid w:val="008C178B"/>
    <w:rsid w:val="008C1BC7"/>
    <w:rsid w:val="008C25A5"/>
    <w:rsid w:val="008C2A22"/>
    <w:rsid w:val="008C2A4D"/>
    <w:rsid w:val="008C3840"/>
    <w:rsid w:val="008C3B99"/>
    <w:rsid w:val="008C5678"/>
    <w:rsid w:val="008D03D0"/>
    <w:rsid w:val="008D03E0"/>
    <w:rsid w:val="008D0E03"/>
    <w:rsid w:val="008D0E19"/>
    <w:rsid w:val="008D1946"/>
    <w:rsid w:val="008D242A"/>
    <w:rsid w:val="008D418A"/>
    <w:rsid w:val="008D531C"/>
    <w:rsid w:val="008D66EB"/>
    <w:rsid w:val="008D6A7B"/>
    <w:rsid w:val="008D6D53"/>
    <w:rsid w:val="008E1B27"/>
    <w:rsid w:val="008E1EC7"/>
    <w:rsid w:val="008E315A"/>
    <w:rsid w:val="008E32EA"/>
    <w:rsid w:val="008E395B"/>
    <w:rsid w:val="008E3BE6"/>
    <w:rsid w:val="008E3DCD"/>
    <w:rsid w:val="008E3F33"/>
    <w:rsid w:val="008E492B"/>
    <w:rsid w:val="008E5637"/>
    <w:rsid w:val="008E580B"/>
    <w:rsid w:val="008E58AD"/>
    <w:rsid w:val="008E5EF0"/>
    <w:rsid w:val="008E70A1"/>
    <w:rsid w:val="008E7715"/>
    <w:rsid w:val="008E786A"/>
    <w:rsid w:val="008F0722"/>
    <w:rsid w:val="008F3B28"/>
    <w:rsid w:val="008F3E58"/>
    <w:rsid w:val="008F4A37"/>
    <w:rsid w:val="008F4AF7"/>
    <w:rsid w:val="008F4E02"/>
    <w:rsid w:val="008F56EC"/>
    <w:rsid w:val="008F5B84"/>
    <w:rsid w:val="008F65A0"/>
    <w:rsid w:val="008F675F"/>
    <w:rsid w:val="008F75BC"/>
    <w:rsid w:val="008F798D"/>
    <w:rsid w:val="00900307"/>
    <w:rsid w:val="00900324"/>
    <w:rsid w:val="0090060E"/>
    <w:rsid w:val="009006EE"/>
    <w:rsid w:val="00902408"/>
    <w:rsid w:val="009024CE"/>
    <w:rsid w:val="0090287F"/>
    <w:rsid w:val="00902D0B"/>
    <w:rsid w:val="00904007"/>
    <w:rsid w:val="009045E4"/>
    <w:rsid w:val="00904642"/>
    <w:rsid w:val="00904B2B"/>
    <w:rsid w:val="009050A0"/>
    <w:rsid w:val="00905370"/>
    <w:rsid w:val="009054A1"/>
    <w:rsid w:val="009057D0"/>
    <w:rsid w:val="00906415"/>
    <w:rsid w:val="00907378"/>
    <w:rsid w:val="009077FF"/>
    <w:rsid w:val="009079DB"/>
    <w:rsid w:val="00911BA0"/>
    <w:rsid w:val="00911D21"/>
    <w:rsid w:val="0091226E"/>
    <w:rsid w:val="00912D66"/>
    <w:rsid w:val="009149BE"/>
    <w:rsid w:val="00915CE2"/>
    <w:rsid w:val="0091600E"/>
    <w:rsid w:val="00916445"/>
    <w:rsid w:val="00916E62"/>
    <w:rsid w:val="0091737B"/>
    <w:rsid w:val="00917A5E"/>
    <w:rsid w:val="0092084A"/>
    <w:rsid w:val="00921628"/>
    <w:rsid w:val="009234F4"/>
    <w:rsid w:val="00923A83"/>
    <w:rsid w:val="00923C96"/>
    <w:rsid w:val="0092586B"/>
    <w:rsid w:val="00925D71"/>
    <w:rsid w:val="0092791A"/>
    <w:rsid w:val="009304CD"/>
    <w:rsid w:val="00930677"/>
    <w:rsid w:val="00930683"/>
    <w:rsid w:val="0093071D"/>
    <w:rsid w:val="0093074E"/>
    <w:rsid w:val="0093084D"/>
    <w:rsid w:val="00930F32"/>
    <w:rsid w:val="00931585"/>
    <w:rsid w:val="00932FA6"/>
    <w:rsid w:val="00933322"/>
    <w:rsid w:val="00934A15"/>
    <w:rsid w:val="0093509B"/>
    <w:rsid w:val="00936C40"/>
    <w:rsid w:val="00937277"/>
    <w:rsid w:val="00937A0A"/>
    <w:rsid w:val="00937A57"/>
    <w:rsid w:val="00937B3F"/>
    <w:rsid w:val="0094044B"/>
    <w:rsid w:val="009406FA"/>
    <w:rsid w:val="0094088E"/>
    <w:rsid w:val="009411A2"/>
    <w:rsid w:val="00941EB1"/>
    <w:rsid w:val="009428F6"/>
    <w:rsid w:val="00942B23"/>
    <w:rsid w:val="00943363"/>
    <w:rsid w:val="0094373E"/>
    <w:rsid w:val="00944880"/>
    <w:rsid w:val="00944E46"/>
    <w:rsid w:val="00945F08"/>
    <w:rsid w:val="00947433"/>
    <w:rsid w:val="0094774A"/>
    <w:rsid w:val="00950AEF"/>
    <w:rsid w:val="009519E0"/>
    <w:rsid w:val="00952287"/>
    <w:rsid w:val="0095356C"/>
    <w:rsid w:val="009544F2"/>
    <w:rsid w:val="0095461C"/>
    <w:rsid w:val="009549F3"/>
    <w:rsid w:val="00955F7D"/>
    <w:rsid w:val="00957742"/>
    <w:rsid w:val="00957BD8"/>
    <w:rsid w:val="00961B54"/>
    <w:rsid w:val="009621E3"/>
    <w:rsid w:val="00963624"/>
    <w:rsid w:val="00963789"/>
    <w:rsid w:val="00963902"/>
    <w:rsid w:val="00963BCD"/>
    <w:rsid w:val="00963ED1"/>
    <w:rsid w:val="00964F9C"/>
    <w:rsid w:val="0096500E"/>
    <w:rsid w:val="00965DEC"/>
    <w:rsid w:val="00965F17"/>
    <w:rsid w:val="00966853"/>
    <w:rsid w:val="00966B34"/>
    <w:rsid w:val="0097062D"/>
    <w:rsid w:val="00972FE3"/>
    <w:rsid w:val="0097427D"/>
    <w:rsid w:val="00974FE6"/>
    <w:rsid w:val="00975398"/>
    <w:rsid w:val="00975938"/>
    <w:rsid w:val="0097605C"/>
    <w:rsid w:val="00976698"/>
    <w:rsid w:val="0097678B"/>
    <w:rsid w:val="00976D44"/>
    <w:rsid w:val="0097711D"/>
    <w:rsid w:val="009772C1"/>
    <w:rsid w:val="00977BF4"/>
    <w:rsid w:val="00980F02"/>
    <w:rsid w:val="0098118B"/>
    <w:rsid w:val="009811AE"/>
    <w:rsid w:val="00981626"/>
    <w:rsid w:val="00982187"/>
    <w:rsid w:val="009824DA"/>
    <w:rsid w:val="009827D2"/>
    <w:rsid w:val="00982EAC"/>
    <w:rsid w:val="00983604"/>
    <w:rsid w:val="00983A64"/>
    <w:rsid w:val="00983C57"/>
    <w:rsid w:val="00984F6F"/>
    <w:rsid w:val="0098530A"/>
    <w:rsid w:val="0098572E"/>
    <w:rsid w:val="0098633C"/>
    <w:rsid w:val="0098690A"/>
    <w:rsid w:val="00986B80"/>
    <w:rsid w:val="00987166"/>
    <w:rsid w:val="009876B2"/>
    <w:rsid w:val="00987A58"/>
    <w:rsid w:val="0099038C"/>
    <w:rsid w:val="00991447"/>
    <w:rsid w:val="00991AA5"/>
    <w:rsid w:val="00991CEC"/>
    <w:rsid w:val="00993252"/>
    <w:rsid w:val="00993680"/>
    <w:rsid w:val="00994596"/>
    <w:rsid w:val="0099461D"/>
    <w:rsid w:val="0099463C"/>
    <w:rsid w:val="00994D79"/>
    <w:rsid w:val="009967A9"/>
    <w:rsid w:val="0099717A"/>
    <w:rsid w:val="00997ABB"/>
    <w:rsid w:val="00997CDF"/>
    <w:rsid w:val="00997FB8"/>
    <w:rsid w:val="009A03B3"/>
    <w:rsid w:val="009A0B68"/>
    <w:rsid w:val="009A0DAC"/>
    <w:rsid w:val="009A184D"/>
    <w:rsid w:val="009A1D4E"/>
    <w:rsid w:val="009A228A"/>
    <w:rsid w:val="009A2887"/>
    <w:rsid w:val="009A2A92"/>
    <w:rsid w:val="009A2F08"/>
    <w:rsid w:val="009A4291"/>
    <w:rsid w:val="009A5DB0"/>
    <w:rsid w:val="009A6DEF"/>
    <w:rsid w:val="009A6DF3"/>
    <w:rsid w:val="009A7438"/>
    <w:rsid w:val="009B06FD"/>
    <w:rsid w:val="009B07ED"/>
    <w:rsid w:val="009B139B"/>
    <w:rsid w:val="009B1E34"/>
    <w:rsid w:val="009B33ED"/>
    <w:rsid w:val="009B3539"/>
    <w:rsid w:val="009B3B11"/>
    <w:rsid w:val="009B4847"/>
    <w:rsid w:val="009B492E"/>
    <w:rsid w:val="009B59C7"/>
    <w:rsid w:val="009B5E93"/>
    <w:rsid w:val="009B62E5"/>
    <w:rsid w:val="009B6617"/>
    <w:rsid w:val="009B6748"/>
    <w:rsid w:val="009B76BC"/>
    <w:rsid w:val="009B77C4"/>
    <w:rsid w:val="009C0737"/>
    <w:rsid w:val="009C0BC2"/>
    <w:rsid w:val="009C0D3C"/>
    <w:rsid w:val="009C1319"/>
    <w:rsid w:val="009C141E"/>
    <w:rsid w:val="009C1B3F"/>
    <w:rsid w:val="009C37E7"/>
    <w:rsid w:val="009C436E"/>
    <w:rsid w:val="009C441A"/>
    <w:rsid w:val="009C4485"/>
    <w:rsid w:val="009C491F"/>
    <w:rsid w:val="009C51B2"/>
    <w:rsid w:val="009C5951"/>
    <w:rsid w:val="009C5C94"/>
    <w:rsid w:val="009C5FCE"/>
    <w:rsid w:val="009C6B19"/>
    <w:rsid w:val="009C7D8D"/>
    <w:rsid w:val="009C7DFB"/>
    <w:rsid w:val="009D04C9"/>
    <w:rsid w:val="009D1CC4"/>
    <w:rsid w:val="009D212B"/>
    <w:rsid w:val="009D231E"/>
    <w:rsid w:val="009D289C"/>
    <w:rsid w:val="009D2B2D"/>
    <w:rsid w:val="009D31B2"/>
    <w:rsid w:val="009D3253"/>
    <w:rsid w:val="009D341A"/>
    <w:rsid w:val="009D44DB"/>
    <w:rsid w:val="009D4977"/>
    <w:rsid w:val="009D4A1E"/>
    <w:rsid w:val="009D4D93"/>
    <w:rsid w:val="009D5230"/>
    <w:rsid w:val="009D53B2"/>
    <w:rsid w:val="009D5961"/>
    <w:rsid w:val="009D5980"/>
    <w:rsid w:val="009D5FDA"/>
    <w:rsid w:val="009D64F1"/>
    <w:rsid w:val="009D6666"/>
    <w:rsid w:val="009D672C"/>
    <w:rsid w:val="009D6805"/>
    <w:rsid w:val="009D7270"/>
    <w:rsid w:val="009D735A"/>
    <w:rsid w:val="009D752C"/>
    <w:rsid w:val="009D7598"/>
    <w:rsid w:val="009E0382"/>
    <w:rsid w:val="009E0389"/>
    <w:rsid w:val="009E048D"/>
    <w:rsid w:val="009E274F"/>
    <w:rsid w:val="009E39F2"/>
    <w:rsid w:val="009E4449"/>
    <w:rsid w:val="009E4CC5"/>
    <w:rsid w:val="009E53F5"/>
    <w:rsid w:val="009E60BE"/>
    <w:rsid w:val="009E6B4E"/>
    <w:rsid w:val="009E6C59"/>
    <w:rsid w:val="009E719E"/>
    <w:rsid w:val="009E7330"/>
    <w:rsid w:val="009F071D"/>
    <w:rsid w:val="009F071E"/>
    <w:rsid w:val="009F0DDF"/>
    <w:rsid w:val="009F2135"/>
    <w:rsid w:val="009F2533"/>
    <w:rsid w:val="009F28B6"/>
    <w:rsid w:val="009F291B"/>
    <w:rsid w:val="009F2931"/>
    <w:rsid w:val="009F29C3"/>
    <w:rsid w:val="009F2D92"/>
    <w:rsid w:val="009F2DF8"/>
    <w:rsid w:val="009F34D1"/>
    <w:rsid w:val="009F3E47"/>
    <w:rsid w:val="009F4274"/>
    <w:rsid w:val="009F42C2"/>
    <w:rsid w:val="009F4422"/>
    <w:rsid w:val="009F45A6"/>
    <w:rsid w:val="009F49FA"/>
    <w:rsid w:val="009F4FC6"/>
    <w:rsid w:val="009F5544"/>
    <w:rsid w:val="009F60E9"/>
    <w:rsid w:val="009F6275"/>
    <w:rsid w:val="009F7F8B"/>
    <w:rsid w:val="00A00023"/>
    <w:rsid w:val="00A0097E"/>
    <w:rsid w:val="00A00FDB"/>
    <w:rsid w:val="00A0121B"/>
    <w:rsid w:val="00A01838"/>
    <w:rsid w:val="00A01B6A"/>
    <w:rsid w:val="00A02AFC"/>
    <w:rsid w:val="00A03419"/>
    <w:rsid w:val="00A03872"/>
    <w:rsid w:val="00A03EAC"/>
    <w:rsid w:val="00A04338"/>
    <w:rsid w:val="00A0443B"/>
    <w:rsid w:val="00A048EB"/>
    <w:rsid w:val="00A057A3"/>
    <w:rsid w:val="00A05C83"/>
    <w:rsid w:val="00A06708"/>
    <w:rsid w:val="00A06AE7"/>
    <w:rsid w:val="00A06D99"/>
    <w:rsid w:val="00A06FB0"/>
    <w:rsid w:val="00A070BE"/>
    <w:rsid w:val="00A072C6"/>
    <w:rsid w:val="00A0760D"/>
    <w:rsid w:val="00A07FB3"/>
    <w:rsid w:val="00A10E4A"/>
    <w:rsid w:val="00A10F5F"/>
    <w:rsid w:val="00A11AD0"/>
    <w:rsid w:val="00A13633"/>
    <w:rsid w:val="00A14013"/>
    <w:rsid w:val="00A146D0"/>
    <w:rsid w:val="00A14A3E"/>
    <w:rsid w:val="00A14D33"/>
    <w:rsid w:val="00A1501E"/>
    <w:rsid w:val="00A15649"/>
    <w:rsid w:val="00A16D77"/>
    <w:rsid w:val="00A17508"/>
    <w:rsid w:val="00A17851"/>
    <w:rsid w:val="00A17AB8"/>
    <w:rsid w:val="00A204B0"/>
    <w:rsid w:val="00A20B23"/>
    <w:rsid w:val="00A21041"/>
    <w:rsid w:val="00A2340F"/>
    <w:rsid w:val="00A238D7"/>
    <w:rsid w:val="00A23B20"/>
    <w:rsid w:val="00A240BB"/>
    <w:rsid w:val="00A24819"/>
    <w:rsid w:val="00A24B66"/>
    <w:rsid w:val="00A24C60"/>
    <w:rsid w:val="00A24F5D"/>
    <w:rsid w:val="00A254F5"/>
    <w:rsid w:val="00A25A4C"/>
    <w:rsid w:val="00A25E35"/>
    <w:rsid w:val="00A263BA"/>
    <w:rsid w:val="00A2705E"/>
    <w:rsid w:val="00A30FAC"/>
    <w:rsid w:val="00A316F0"/>
    <w:rsid w:val="00A3195D"/>
    <w:rsid w:val="00A319ED"/>
    <w:rsid w:val="00A31A42"/>
    <w:rsid w:val="00A321DA"/>
    <w:rsid w:val="00A323C8"/>
    <w:rsid w:val="00A32A71"/>
    <w:rsid w:val="00A3301A"/>
    <w:rsid w:val="00A33317"/>
    <w:rsid w:val="00A3347D"/>
    <w:rsid w:val="00A339BF"/>
    <w:rsid w:val="00A3414F"/>
    <w:rsid w:val="00A36D2E"/>
    <w:rsid w:val="00A3717D"/>
    <w:rsid w:val="00A37910"/>
    <w:rsid w:val="00A37C64"/>
    <w:rsid w:val="00A41BAA"/>
    <w:rsid w:val="00A4280E"/>
    <w:rsid w:val="00A42F5C"/>
    <w:rsid w:val="00A445FD"/>
    <w:rsid w:val="00A44933"/>
    <w:rsid w:val="00A44B2C"/>
    <w:rsid w:val="00A44B90"/>
    <w:rsid w:val="00A44BCB"/>
    <w:rsid w:val="00A45038"/>
    <w:rsid w:val="00A451D1"/>
    <w:rsid w:val="00A45888"/>
    <w:rsid w:val="00A475F6"/>
    <w:rsid w:val="00A50242"/>
    <w:rsid w:val="00A50343"/>
    <w:rsid w:val="00A5068F"/>
    <w:rsid w:val="00A50EB0"/>
    <w:rsid w:val="00A51C71"/>
    <w:rsid w:val="00A521E0"/>
    <w:rsid w:val="00A526BC"/>
    <w:rsid w:val="00A535D0"/>
    <w:rsid w:val="00A537AE"/>
    <w:rsid w:val="00A53880"/>
    <w:rsid w:val="00A53AA5"/>
    <w:rsid w:val="00A53AA9"/>
    <w:rsid w:val="00A54998"/>
    <w:rsid w:val="00A55676"/>
    <w:rsid w:val="00A56031"/>
    <w:rsid w:val="00A56AF6"/>
    <w:rsid w:val="00A573F8"/>
    <w:rsid w:val="00A575FE"/>
    <w:rsid w:val="00A578DC"/>
    <w:rsid w:val="00A5793A"/>
    <w:rsid w:val="00A57A18"/>
    <w:rsid w:val="00A60223"/>
    <w:rsid w:val="00A60565"/>
    <w:rsid w:val="00A61099"/>
    <w:rsid w:val="00A613AC"/>
    <w:rsid w:val="00A61D9D"/>
    <w:rsid w:val="00A631ED"/>
    <w:rsid w:val="00A6371D"/>
    <w:rsid w:val="00A63AFA"/>
    <w:rsid w:val="00A64524"/>
    <w:rsid w:val="00A65011"/>
    <w:rsid w:val="00A6565C"/>
    <w:rsid w:val="00A65C09"/>
    <w:rsid w:val="00A66250"/>
    <w:rsid w:val="00A66345"/>
    <w:rsid w:val="00A6684A"/>
    <w:rsid w:val="00A66FA9"/>
    <w:rsid w:val="00A676BD"/>
    <w:rsid w:val="00A70580"/>
    <w:rsid w:val="00A70DC6"/>
    <w:rsid w:val="00A70DC8"/>
    <w:rsid w:val="00A70DEF"/>
    <w:rsid w:val="00A72F00"/>
    <w:rsid w:val="00A73942"/>
    <w:rsid w:val="00A73B0D"/>
    <w:rsid w:val="00A73B72"/>
    <w:rsid w:val="00A73FA6"/>
    <w:rsid w:val="00A74387"/>
    <w:rsid w:val="00A748C4"/>
    <w:rsid w:val="00A74ADB"/>
    <w:rsid w:val="00A74E41"/>
    <w:rsid w:val="00A806DF"/>
    <w:rsid w:val="00A81304"/>
    <w:rsid w:val="00A819E7"/>
    <w:rsid w:val="00A81A7E"/>
    <w:rsid w:val="00A8332F"/>
    <w:rsid w:val="00A84359"/>
    <w:rsid w:val="00A84B9D"/>
    <w:rsid w:val="00A85EA3"/>
    <w:rsid w:val="00A8604B"/>
    <w:rsid w:val="00A86199"/>
    <w:rsid w:val="00A86B2C"/>
    <w:rsid w:val="00A86C1D"/>
    <w:rsid w:val="00A86FE0"/>
    <w:rsid w:val="00A9031F"/>
    <w:rsid w:val="00A917DF"/>
    <w:rsid w:val="00A91A59"/>
    <w:rsid w:val="00A91CFA"/>
    <w:rsid w:val="00A925C1"/>
    <w:rsid w:val="00A92B52"/>
    <w:rsid w:val="00A931DC"/>
    <w:rsid w:val="00A9446A"/>
    <w:rsid w:val="00A94A74"/>
    <w:rsid w:val="00A9525D"/>
    <w:rsid w:val="00A955E9"/>
    <w:rsid w:val="00A95F2D"/>
    <w:rsid w:val="00A960E3"/>
    <w:rsid w:val="00AA1554"/>
    <w:rsid w:val="00AA1F4D"/>
    <w:rsid w:val="00AA25C2"/>
    <w:rsid w:val="00AA32DF"/>
    <w:rsid w:val="00AA3C2D"/>
    <w:rsid w:val="00AA40AD"/>
    <w:rsid w:val="00AA4150"/>
    <w:rsid w:val="00AA458C"/>
    <w:rsid w:val="00AA4703"/>
    <w:rsid w:val="00AA4B3E"/>
    <w:rsid w:val="00AA5754"/>
    <w:rsid w:val="00AA587F"/>
    <w:rsid w:val="00AA5E31"/>
    <w:rsid w:val="00AA5E7A"/>
    <w:rsid w:val="00AA7105"/>
    <w:rsid w:val="00AA74A7"/>
    <w:rsid w:val="00AB289D"/>
    <w:rsid w:val="00AB2A27"/>
    <w:rsid w:val="00AB2D0E"/>
    <w:rsid w:val="00AB464E"/>
    <w:rsid w:val="00AB47A2"/>
    <w:rsid w:val="00AB6096"/>
    <w:rsid w:val="00AB63A6"/>
    <w:rsid w:val="00AB693A"/>
    <w:rsid w:val="00AB70AA"/>
    <w:rsid w:val="00AB720C"/>
    <w:rsid w:val="00AB7B5E"/>
    <w:rsid w:val="00AC0242"/>
    <w:rsid w:val="00AC0E86"/>
    <w:rsid w:val="00AC1AF7"/>
    <w:rsid w:val="00AC1C43"/>
    <w:rsid w:val="00AC1D3D"/>
    <w:rsid w:val="00AC2066"/>
    <w:rsid w:val="00AC3907"/>
    <w:rsid w:val="00AC4F2D"/>
    <w:rsid w:val="00AC50FF"/>
    <w:rsid w:val="00AC529B"/>
    <w:rsid w:val="00AC5DA3"/>
    <w:rsid w:val="00AC612C"/>
    <w:rsid w:val="00AC65C1"/>
    <w:rsid w:val="00AD16CB"/>
    <w:rsid w:val="00AD1D93"/>
    <w:rsid w:val="00AD2933"/>
    <w:rsid w:val="00AD2E8A"/>
    <w:rsid w:val="00AD3623"/>
    <w:rsid w:val="00AD392E"/>
    <w:rsid w:val="00AD43AA"/>
    <w:rsid w:val="00AD4488"/>
    <w:rsid w:val="00AD5A37"/>
    <w:rsid w:val="00AD67FC"/>
    <w:rsid w:val="00AD7071"/>
    <w:rsid w:val="00AD7CAE"/>
    <w:rsid w:val="00AD7D70"/>
    <w:rsid w:val="00AE0080"/>
    <w:rsid w:val="00AE07CC"/>
    <w:rsid w:val="00AE07F9"/>
    <w:rsid w:val="00AE3FFF"/>
    <w:rsid w:val="00AE4B08"/>
    <w:rsid w:val="00AE4D02"/>
    <w:rsid w:val="00AE4E5B"/>
    <w:rsid w:val="00AE4F39"/>
    <w:rsid w:val="00AE71D6"/>
    <w:rsid w:val="00AF0473"/>
    <w:rsid w:val="00AF0A73"/>
    <w:rsid w:val="00AF172F"/>
    <w:rsid w:val="00AF22AE"/>
    <w:rsid w:val="00AF2DD5"/>
    <w:rsid w:val="00AF3F35"/>
    <w:rsid w:val="00AF4F0B"/>
    <w:rsid w:val="00AF4F5D"/>
    <w:rsid w:val="00AF6113"/>
    <w:rsid w:val="00AF63F1"/>
    <w:rsid w:val="00AF6EE8"/>
    <w:rsid w:val="00AF7009"/>
    <w:rsid w:val="00AF70DC"/>
    <w:rsid w:val="00AF7609"/>
    <w:rsid w:val="00AF7FC2"/>
    <w:rsid w:val="00B00D84"/>
    <w:rsid w:val="00B01514"/>
    <w:rsid w:val="00B0219F"/>
    <w:rsid w:val="00B0290B"/>
    <w:rsid w:val="00B03241"/>
    <w:rsid w:val="00B032A1"/>
    <w:rsid w:val="00B0337B"/>
    <w:rsid w:val="00B03D3F"/>
    <w:rsid w:val="00B057E6"/>
    <w:rsid w:val="00B057F3"/>
    <w:rsid w:val="00B05A23"/>
    <w:rsid w:val="00B06A36"/>
    <w:rsid w:val="00B06B80"/>
    <w:rsid w:val="00B10A46"/>
    <w:rsid w:val="00B10CD0"/>
    <w:rsid w:val="00B113C4"/>
    <w:rsid w:val="00B11587"/>
    <w:rsid w:val="00B11C58"/>
    <w:rsid w:val="00B12309"/>
    <w:rsid w:val="00B127F2"/>
    <w:rsid w:val="00B131C5"/>
    <w:rsid w:val="00B13203"/>
    <w:rsid w:val="00B13816"/>
    <w:rsid w:val="00B13A9A"/>
    <w:rsid w:val="00B13CB7"/>
    <w:rsid w:val="00B14226"/>
    <w:rsid w:val="00B14520"/>
    <w:rsid w:val="00B14697"/>
    <w:rsid w:val="00B14A57"/>
    <w:rsid w:val="00B15ACE"/>
    <w:rsid w:val="00B15C21"/>
    <w:rsid w:val="00B17F2F"/>
    <w:rsid w:val="00B200C6"/>
    <w:rsid w:val="00B202E0"/>
    <w:rsid w:val="00B215C1"/>
    <w:rsid w:val="00B21C42"/>
    <w:rsid w:val="00B23364"/>
    <w:rsid w:val="00B234F6"/>
    <w:rsid w:val="00B2362D"/>
    <w:rsid w:val="00B23C3C"/>
    <w:rsid w:val="00B23CE7"/>
    <w:rsid w:val="00B23EA6"/>
    <w:rsid w:val="00B23F4D"/>
    <w:rsid w:val="00B24183"/>
    <w:rsid w:val="00B24382"/>
    <w:rsid w:val="00B2446B"/>
    <w:rsid w:val="00B24868"/>
    <w:rsid w:val="00B249FB"/>
    <w:rsid w:val="00B25124"/>
    <w:rsid w:val="00B257C9"/>
    <w:rsid w:val="00B25905"/>
    <w:rsid w:val="00B26730"/>
    <w:rsid w:val="00B26842"/>
    <w:rsid w:val="00B31715"/>
    <w:rsid w:val="00B31CA5"/>
    <w:rsid w:val="00B32BC1"/>
    <w:rsid w:val="00B33652"/>
    <w:rsid w:val="00B3411C"/>
    <w:rsid w:val="00B342EB"/>
    <w:rsid w:val="00B34390"/>
    <w:rsid w:val="00B3519B"/>
    <w:rsid w:val="00B3561D"/>
    <w:rsid w:val="00B358F8"/>
    <w:rsid w:val="00B3659D"/>
    <w:rsid w:val="00B3782A"/>
    <w:rsid w:val="00B37948"/>
    <w:rsid w:val="00B4032C"/>
    <w:rsid w:val="00B405CE"/>
    <w:rsid w:val="00B41802"/>
    <w:rsid w:val="00B41D3E"/>
    <w:rsid w:val="00B4286F"/>
    <w:rsid w:val="00B428B8"/>
    <w:rsid w:val="00B42CCF"/>
    <w:rsid w:val="00B445AB"/>
    <w:rsid w:val="00B44B5E"/>
    <w:rsid w:val="00B46915"/>
    <w:rsid w:val="00B47086"/>
    <w:rsid w:val="00B4723C"/>
    <w:rsid w:val="00B5032B"/>
    <w:rsid w:val="00B51012"/>
    <w:rsid w:val="00B512D3"/>
    <w:rsid w:val="00B5186D"/>
    <w:rsid w:val="00B51ABD"/>
    <w:rsid w:val="00B52239"/>
    <w:rsid w:val="00B527F9"/>
    <w:rsid w:val="00B53BF4"/>
    <w:rsid w:val="00B53EC2"/>
    <w:rsid w:val="00B53FB6"/>
    <w:rsid w:val="00B548B6"/>
    <w:rsid w:val="00B54BA5"/>
    <w:rsid w:val="00B55343"/>
    <w:rsid w:val="00B55FC1"/>
    <w:rsid w:val="00B57FC2"/>
    <w:rsid w:val="00B606C1"/>
    <w:rsid w:val="00B607F1"/>
    <w:rsid w:val="00B614B8"/>
    <w:rsid w:val="00B61BC4"/>
    <w:rsid w:val="00B621AC"/>
    <w:rsid w:val="00B63D95"/>
    <w:rsid w:val="00B63E63"/>
    <w:rsid w:val="00B64BC0"/>
    <w:rsid w:val="00B64D2B"/>
    <w:rsid w:val="00B651F2"/>
    <w:rsid w:val="00B659E5"/>
    <w:rsid w:val="00B65A77"/>
    <w:rsid w:val="00B65D23"/>
    <w:rsid w:val="00B66093"/>
    <w:rsid w:val="00B668A7"/>
    <w:rsid w:val="00B6703C"/>
    <w:rsid w:val="00B70F37"/>
    <w:rsid w:val="00B71898"/>
    <w:rsid w:val="00B71D6D"/>
    <w:rsid w:val="00B72787"/>
    <w:rsid w:val="00B72D72"/>
    <w:rsid w:val="00B73788"/>
    <w:rsid w:val="00B742DF"/>
    <w:rsid w:val="00B74869"/>
    <w:rsid w:val="00B74911"/>
    <w:rsid w:val="00B74FF0"/>
    <w:rsid w:val="00B7575E"/>
    <w:rsid w:val="00B763E0"/>
    <w:rsid w:val="00B77F15"/>
    <w:rsid w:val="00B816CD"/>
    <w:rsid w:val="00B82084"/>
    <w:rsid w:val="00B821E7"/>
    <w:rsid w:val="00B83356"/>
    <w:rsid w:val="00B83C6E"/>
    <w:rsid w:val="00B83EA0"/>
    <w:rsid w:val="00B84949"/>
    <w:rsid w:val="00B8560D"/>
    <w:rsid w:val="00B85A5C"/>
    <w:rsid w:val="00B86232"/>
    <w:rsid w:val="00B864EB"/>
    <w:rsid w:val="00B86CEB"/>
    <w:rsid w:val="00B86EA9"/>
    <w:rsid w:val="00B87110"/>
    <w:rsid w:val="00B87253"/>
    <w:rsid w:val="00B87B53"/>
    <w:rsid w:val="00B92BAF"/>
    <w:rsid w:val="00B930DA"/>
    <w:rsid w:val="00B93FC6"/>
    <w:rsid w:val="00B9402F"/>
    <w:rsid w:val="00B94246"/>
    <w:rsid w:val="00B9448A"/>
    <w:rsid w:val="00B946A8"/>
    <w:rsid w:val="00B9500C"/>
    <w:rsid w:val="00B953E9"/>
    <w:rsid w:val="00B959E5"/>
    <w:rsid w:val="00B95B09"/>
    <w:rsid w:val="00B95F54"/>
    <w:rsid w:val="00B9727B"/>
    <w:rsid w:val="00B97376"/>
    <w:rsid w:val="00BA0B0F"/>
    <w:rsid w:val="00BA1BBB"/>
    <w:rsid w:val="00BA2C08"/>
    <w:rsid w:val="00BA37AF"/>
    <w:rsid w:val="00BA397C"/>
    <w:rsid w:val="00BA42DA"/>
    <w:rsid w:val="00BA485D"/>
    <w:rsid w:val="00BA560E"/>
    <w:rsid w:val="00BA5662"/>
    <w:rsid w:val="00BA5874"/>
    <w:rsid w:val="00BA6128"/>
    <w:rsid w:val="00BA61A2"/>
    <w:rsid w:val="00BA650F"/>
    <w:rsid w:val="00BA6D3B"/>
    <w:rsid w:val="00BA7050"/>
    <w:rsid w:val="00BA7411"/>
    <w:rsid w:val="00BA7428"/>
    <w:rsid w:val="00BA761D"/>
    <w:rsid w:val="00BA7779"/>
    <w:rsid w:val="00BB036B"/>
    <w:rsid w:val="00BB041A"/>
    <w:rsid w:val="00BB0D26"/>
    <w:rsid w:val="00BB1691"/>
    <w:rsid w:val="00BB169B"/>
    <w:rsid w:val="00BB311C"/>
    <w:rsid w:val="00BB37C5"/>
    <w:rsid w:val="00BB3FAC"/>
    <w:rsid w:val="00BB4388"/>
    <w:rsid w:val="00BB55DB"/>
    <w:rsid w:val="00BB57E7"/>
    <w:rsid w:val="00BB6429"/>
    <w:rsid w:val="00BB6E46"/>
    <w:rsid w:val="00BB7CE5"/>
    <w:rsid w:val="00BC04EC"/>
    <w:rsid w:val="00BC0741"/>
    <w:rsid w:val="00BC2215"/>
    <w:rsid w:val="00BC2519"/>
    <w:rsid w:val="00BC2876"/>
    <w:rsid w:val="00BC3809"/>
    <w:rsid w:val="00BC51F4"/>
    <w:rsid w:val="00BC5344"/>
    <w:rsid w:val="00BC55B7"/>
    <w:rsid w:val="00BC64E4"/>
    <w:rsid w:val="00BC6805"/>
    <w:rsid w:val="00BC6F0C"/>
    <w:rsid w:val="00BC7E47"/>
    <w:rsid w:val="00BD08B9"/>
    <w:rsid w:val="00BD1797"/>
    <w:rsid w:val="00BD309B"/>
    <w:rsid w:val="00BD373C"/>
    <w:rsid w:val="00BD3984"/>
    <w:rsid w:val="00BD46D5"/>
    <w:rsid w:val="00BD4B2A"/>
    <w:rsid w:val="00BD4ED1"/>
    <w:rsid w:val="00BD5038"/>
    <w:rsid w:val="00BD5776"/>
    <w:rsid w:val="00BD5C50"/>
    <w:rsid w:val="00BD6BF2"/>
    <w:rsid w:val="00BE2866"/>
    <w:rsid w:val="00BE2884"/>
    <w:rsid w:val="00BE3CDC"/>
    <w:rsid w:val="00BE548B"/>
    <w:rsid w:val="00BE5740"/>
    <w:rsid w:val="00BE5B5A"/>
    <w:rsid w:val="00BE5C67"/>
    <w:rsid w:val="00BE63E9"/>
    <w:rsid w:val="00BE6936"/>
    <w:rsid w:val="00BE6F46"/>
    <w:rsid w:val="00BE75CE"/>
    <w:rsid w:val="00BE78B4"/>
    <w:rsid w:val="00BF0387"/>
    <w:rsid w:val="00BF1595"/>
    <w:rsid w:val="00BF213D"/>
    <w:rsid w:val="00BF2371"/>
    <w:rsid w:val="00BF301E"/>
    <w:rsid w:val="00BF3247"/>
    <w:rsid w:val="00BF3327"/>
    <w:rsid w:val="00BF3BA8"/>
    <w:rsid w:val="00BF3CE2"/>
    <w:rsid w:val="00BF4392"/>
    <w:rsid w:val="00BF45C9"/>
    <w:rsid w:val="00BF6444"/>
    <w:rsid w:val="00BF6455"/>
    <w:rsid w:val="00BF7876"/>
    <w:rsid w:val="00BF7A38"/>
    <w:rsid w:val="00C00EB6"/>
    <w:rsid w:val="00C0187E"/>
    <w:rsid w:val="00C02323"/>
    <w:rsid w:val="00C02CF6"/>
    <w:rsid w:val="00C03595"/>
    <w:rsid w:val="00C03758"/>
    <w:rsid w:val="00C04554"/>
    <w:rsid w:val="00C048AC"/>
    <w:rsid w:val="00C0538A"/>
    <w:rsid w:val="00C05ADD"/>
    <w:rsid w:val="00C05ED9"/>
    <w:rsid w:val="00C05EF0"/>
    <w:rsid w:val="00C06A19"/>
    <w:rsid w:val="00C06BCF"/>
    <w:rsid w:val="00C072F8"/>
    <w:rsid w:val="00C077B7"/>
    <w:rsid w:val="00C10007"/>
    <w:rsid w:val="00C100C6"/>
    <w:rsid w:val="00C103BB"/>
    <w:rsid w:val="00C10CBB"/>
    <w:rsid w:val="00C10D37"/>
    <w:rsid w:val="00C11EBD"/>
    <w:rsid w:val="00C12B8B"/>
    <w:rsid w:val="00C12D62"/>
    <w:rsid w:val="00C1382F"/>
    <w:rsid w:val="00C1455E"/>
    <w:rsid w:val="00C14BB1"/>
    <w:rsid w:val="00C15313"/>
    <w:rsid w:val="00C1576A"/>
    <w:rsid w:val="00C16139"/>
    <w:rsid w:val="00C1649F"/>
    <w:rsid w:val="00C16513"/>
    <w:rsid w:val="00C16B92"/>
    <w:rsid w:val="00C20EF9"/>
    <w:rsid w:val="00C21A4B"/>
    <w:rsid w:val="00C228D1"/>
    <w:rsid w:val="00C23012"/>
    <w:rsid w:val="00C233D5"/>
    <w:rsid w:val="00C23B89"/>
    <w:rsid w:val="00C249E9"/>
    <w:rsid w:val="00C24E26"/>
    <w:rsid w:val="00C25075"/>
    <w:rsid w:val="00C25287"/>
    <w:rsid w:val="00C26CB0"/>
    <w:rsid w:val="00C2708C"/>
    <w:rsid w:val="00C2738A"/>
    <w:rsid w:val="00C27798"/>
    <w:rsid w:val="00C27F23"/>
    <w:rsid w:val="00C307BE"/>
    <w:rsid w:val="00C309F8"/>
    <w:rsid w:val="00C30E8E"/>
    <w:rsid w:val="00C316BA"/>
    <w:rsid w:val="00C31B6E"/>
    <w:rsid w:val="00C31D33"/>
    <w:rsid w:val="00C31FE7"/>
    <w:rsid w:val="00C32667"/>
    <w:rsid w:val="00C340F7"/>
    <w:rsid w:val="00C344DA"/>
    <w:rsid w:val="00C346BB"/>
    <w:rsid w:val="00C348E0"/>
    <w:rsid w:val="00C34AE6"/>
    <w:rsid w:val="00C34DC0"/>
    <w:rsid w:val="00C35045"/>
    <w:rsid w:val="00C350EB"/>
    <w:rsid w:val="00C354BC"/>
    <w:rsid w:val="00C35742"/>
    <w:rsid w:val="00C35A2A"/>
    <w:rsid w:val="00C3602A"/>
    <w:rsid w:val="00C36FF0"/>
    <w:rsid w:val="00C40313"/>
    <w:rsid w:val="00C406AA"/>
    <w:rsid w:val="00C40C16"/>
    <w:rsid w:val="00C40F3D"/>
    <w:rsid w:val="00C40F7C"/>
    <w:rsid w:val="00C41DB3"/>
    <w:rsid w:val="00C42062"/>
    <w:rsid w:val="00C4433E"/>
    <w:rsid w:val="00C45156"/>
    <w:rsid w:val="00C45E58"/>
    <w:rsid w:val="00C46E3F"/>
    <w:rsid w:val="00C47153"/>
    <w:rsid w:val="00C4789D"/>
    <w:rsid w:val="00C47A25"/>
    <w:rsid w:val="00C47DBB"/>
    <w:rsid w:val="00C5152B"/>
    <w:rsid w:val="00C51D30"/>
    <w:rsid w:val="00C523C8"/>
    <w:rsid w:val="00C528B9"/>
    <w:rsid w:val="00C536C8"/>
    <w:rsid w:val="00C53E65"/>
    <w:rsid w:val="00C54312"/>
    <w:rsid w:val="00C54B12"/>
    <w:rsid w:val="00C54D04"/>
    <w:rsid w:val="00C54E5D"/>
    <w:rsid w:val="00C56B1F"/>
    <w:rsid w:val="00C57198"/>
    <w:rsid w:val="00C579CC"/>
    <w:rsid w:val="00C60FCC"/>
    <w:rsid w:val="00C6296D"/>
    <w:rsid w:val="00C62EAA"/>
    <w:rsid w:val="00C6360B"/>
    <w:rsid w:val="00C63A64"/>
    <w:rsid w:val="00C64048"/>
    <w:rsid w:val="00C642E2"/>
    <w:rsid w:val="00C6443A"/>
    <w:rsid w:val="00C65127"/>
    <w:rsid w:val="00C65260"/>
    <w:rsid w:val="00C6586D"/>
    <w:rsid w:val="00C670C3"/>
    <w:rsid w:val="00C6731E"/>
    <w:rsid w:val="00C7007A"/>
    <w:rsid w:val="00C70370"/>
    <w:rsid w:val="00C7050B"/>
    <w:rsid w:val="00C70909"/>
    <w:rsid w:val="00C709DD"/>
    <w:rsid w:val="00C71A39"/>
    <w:rsid w:val="00C71FB2"/>
    <w:rsid w:val="00C7256C"/>
    <w:rsid w:val="00C72E98"/>
    <w:rsid w:val="00C74289"/>
    <w:rsid w:val="00C74448"/>
    <w:rsid w:val="00C74ED2"/>
    <w:rsid w:val="00C75673"/>
    <w:rsid w:val="00C7576F"/>
    <w:rsid w:val="00C75C88"/>
    <w:rsid w:val="00C76998"/>
    <w:rsid w:val="00C76AAF"/>
    <w:rsid w:val="00C771D1"/>
    <w:rsid w:val="00C77740"/>
    <w:rsid w:val="00C8089B"/>
    <w:rsid w:val="00C80937"/>
    <w:rsid w:val="00C81212"/>
    <w:rsid w:val="00C814EC"/>
    <w:rsid w:val="00C81948"/>
    <w:rsid w:val="00C822AF"/>
    <w:rsid w:val="00C823BB"/>
    <w:rsid w:val="00C82881"/>
    <w:rsid w:val="00C82C67"/>
    <w:rsid w:val="00C8311A"/>
    <w:rsid w:val="00C8504B"/>
    <w:rsid w:val="00C85518"/>
    <w:rsid w:val="00C855D9"/>
    <w:rsid w:val="00C8699C"/>
    <w:rsid w:val="00C8779F"/>
    <w:rsid w:val="00C904D2"/>
    <w:rsid w:val="00C90571"/>
    <w:rsid w:val="00C91176"/>
    <w:rsid w:val="00C91390"/>
    <w:rsid w:val="00C9271F"/>
    <w:rsid w:val="00C92FA0"/>
    <w:rsid w:val="00C93595"/>
    <w:rsid w:val="00C9397E"/>
    <w:rsid w:val="00C941C5"/>
    <w:rsid w:val="00C94864"/>
    <w:rsid w:val="00C9506B"/>
    <w:rsid w:val="00C963A3"/>
    <w:rsid w:val="00C97309"/>
    <w:rsid w:val="00C97835"/>
    <w:rsid w:val="00C97925"/>
    <w:rsid w:val="00C97D6A"/>
    <w:rsid w:val="00CA09CB"/>
    <w:rsid w:val="00CA0C32"/>
    <w:rsid w:val="00CA17DD"/>
    <w:rsid w:val="00CA1DCE"/>
    <w:rsid w:val="00CA1F6F"/>
    <w:rsid w:val="00CA27D6"/>
    <w:rsid w:val="00CA2A72"/>
    <w:rsid w:val="00CA2E53"/>
    <w:rsid w:val="00CA337C"/>
    <w:rsid w:val="00CA41FF"/>
    <w:rsid w:val="00CA46C6"/>
    <w:rsid w:val="00CA539F"/>
    <w:rsid w:val="00CA5A1F"/>
    <w:rsid w:val="00CA5C62"/>
    <w:rsid w:val="00CA6352"/>
    <w:rsid w:val="00CA7D19"/>
    <w:rsid w:val="00CB109F"/>
    <w:rsid w:val="00CB1284"/>
    <w:rsid w:val="00CB2D32"/>
    <w:rsid w:val="00CB3C12"/>
    <w:rsid w:val="00CB42E8"/>
    <w:rsid w:val="00CB5C83"/>
    <w:rsid w:val="00CB611A"/>
    <w:rsid w:val="00CB6A62"/>
    <w:rsid w:val="00CB6B6E"/>
    <w:rsid w:val="00CB734B"/>
    <w:rsid w:val="00CC13F5"/>
    <w:rsid w:val="00CC25DE"/>
    <w:rsid w:val="00CC2798"/>
    <w:rsid w:val="00CC3A42"/>
    <w:rsid w:val="00CC4FBA"/>
    <w:rsid w:val="00CC5D4C"/>
    <w:rsid w:val="00CC5D54"/>
    <w:rsid w:val="00CC6075"/>
    <w:rsid w:val="00CC614B"/>
    <w:rsid w:val="00CC61D9"/>
    <w:rsid w:val="00CC69CA"/>
    <w:rsid w:val="00CC71AD"/>
    <w:rsid w:val="00CC7364"/>
    <w:rsid w:val="00CC7467"/>
    <w:rsid w:val="00CD0103"/>
    <w:rsid w:val="00CD0B51"/>
    <w:rsid w:val="00CD0E17"/>
    <w:rsid w:val="00CD31BA"/>
    <w:rsid w:val="00CD3BC0"/>
    <w:rsid w:val="00CD3D0E"/>
    <w:rsid w:val="00CD42E7"/>
    <w:rsid w:val="00CD521A"/>
    <w:rsid w:val="00CD6514"/>
    <w:rsid w:val="00CD665B"/>
    <w:rsid w:val="00CD76EF"/>
    <w:rsid w:val="00CD78B8"/>
    <w:rsid w:val="00CE1A1C"/>
    <w:rsid w:val="00CE2065"/>
    <w:rsid w:val="00CE25F0"/>
    <w:rsid w:val="00CE2B42"/>
    <w:rsid w:val="00CE2BC6"/>
    <w:rsid w:val="00CE32B9"/>
    <w:rsid w:val="00CE3E14"/>
    <w:rsid w:val="00CE4C10"/>
    <w:rsid w:val="00CE4D9B"/>
    <w:rsid w:val="00CE55D8"/>
    <w:rsid w:val="00CE5A88"/>
    <w:rsid w:val="00CE5A8C"/>
    <w:rsid w:val="00CE5ABD"/>
    <w:rsid w:val="00CE5C08"/>
    <w:rsid w:val="00CE6A3F"/>
    <w:rsid w:val="00CE781A"/>
    <w:rsid w:val="00CF08B5"/>
    <w:rsid w:val="00CF2A54"/>
    <w:rsid w:val="00CF36EF"/>
    <w:rsid w:val="00CF3761"/>
    <w:rsid w:val="00CF4970"/>
    <w:rsid w:val="00CF4F89"/>
    <w:rsid w:val="00CF55A0"/>
    <w:rsid w:val="00CF5620"/>
    <w:rsid w:val="00CF68E5"/>
    <w:rsid w:val="00CF6914"/>
    <w:rsid w:val="00CF6BB1"/>
    <w:rsid w:val="00D0021B"/>
    <w:rsid w:val="00D009A1"/>
    <w:rsid w:val="00D01BC1"/>
    <w:rsid w:val="00D02CC6"/>
    <w:rsid w:val="00D04311"/>
    <w:rsid w:val="00D04EAF"/>
    <w:rsid w:val="00D05260"/>
    <w:rsid w:val="00D06422"/>
    <w:rsid w:val="00D06B19"/>
    <w:rsid w:val="00D072D6"/>
    <w:rsid w:val="00D10A14"/>
    <w:rsid w:val="00D10BEB"/>
    <w:rsid w:val="00D11353"/>
    <w:rsid w:val="00D13C33"/>
    <w:rsid w:val="00D13E87"/>
    <w:rsid w:val="00D13EAB"/>
    <w:rsid w:val="00D14875"/>
    <w:rsid w:val="00D14D47"/>
    <w:rsid w:val="00D15480"/>
    <w:rsid w:val="00D1639E"/>
    <w:rsid w:val="00D167F0"/>
    <w:rsid w:val="00D16884"/>
    <w:rsid w:val="00D178E8"/>
    <w:rsid w:val="00D200E4"/>
    <w:rsid w:val="00D20779"/>
    <w:rsid w:val="00D2129C"/>
    <w:rsid w:val="00D235B2"/>
    <w:rsid w:val="00D23854"/>
    <w:rsid w:val="00D23D16"/>
    <w:rsid w:val="00D247C8"/>
    <w:rsid w:val="00D24BEC"/>
    <w:rsid w:val="00D24DEB"/>
    <w:rsid w:val="00D250AD"/>
    <w:rsid w:val="00D2589C"/>
    <w:rsid w:val="00D258BB"/>
    <w:rsid w:val="00D25C2F"/>
    <w:rsid w:val="00D25F76"/>
    <w:rsid w:val="00D27044"/>
    <w:rsid w:val="00D302E7"/>
    <w:rsid w:val="00D3075E"/>
    <w:rsid w:val="00D3083A"/>
    <w:rsid w:val="00D30A5B"/>
    <w:rsid w:val="00D30D5A"/>
    <w:rsid w:val="00D30DD3"/>
    <w:rsid w:val="00D31049"/>
    <w:rsid w:val="00D31416"/>
    <w:rsid w:val="00D31609"/>
    <w:rsid w:val="00D332D8"/>
    <w:rsid w:val="00D33C82"/>
    <w:rsid w:val="00D34544"/>
    <w:rsid w:val="00D346D4"/>
    <w:rsid w:val="00D34BA4"/>
    <w:rsid w:val="00D34E96"/>
    <w:rsid w:val="00D35140"/>
    <w:rsid w:val="00D35E3D"/>
    <w:rsid w:val="00D365BF"/>
    <w:rsid w:val="00D36FBF"/>
    <w:rsid w:val="00D37897"/>
    <w:rsid w:val="00D37FCB"/>
    <w:rsid w:val="00D4088D"/>
    <w:rsid w:val="00D4109B"/>
    <w:rsid w:val="00D411FE"/>
    <w:rsid w:val="00D414F1"/>
    <w:rsid w:val="00D4186F"/>
    <w:rsid w:val="00D41EE5"/>
    <w:rsid w:val="00D4224A"/>
    <w:rsid w:val="00D425D7"/>
    <w:rsid w:val="00D435A4"/>
    <w:rsid w:val="00D43824"/>
    <w:rsid w:val="00D43AD9"/>
    <w:rsid w:val="00D43B5B"/>
    <w:rsid w:val="00D44CBE"/>
    <w:rsid w:val="00D44F8B"/>
    <w:rsid w:val="00D45617"/>
    <w:rsid w:val="00D45797"/>
    <w:rsid w:val="00D45C17"/>
    <w:rsid w:val="00D45E0C"/>
    <w:rsid w:val="00D47AB5"/>
    <w:rsid w:val="00D47D9B"/>
    <w:rsid w:val="00D5014D"/>
    <w:rsid w:val="00D50287"/>
    <w:rsid w:val="00D50D9B"/>
    <w:rsid w:val="00D510DA"/>
    <w:rsid w:val="00D51282"/>
    <w:rsid w:val="00D51AE8"/>
    <w:rsid w:val="00D52036"/>
    <w:rsid w:val="00D5249C"/>
    <w:rsid w:val="00D52752"/>
    <w:rsid w:val="00D52774"/>
    <w:rsid w:val="00D528B6"/>
    <w:rsid w:val="00D52AF0"/>
    <w:rsid w:val="00D52E3B"/>
    <w:rsid w:val="00D53511"/>
    <w:rsid w:val="00D5369C"/>
    <w:rsid w:val="00D557DF"/>
    <w:rsid w:val="00D56BB1"/>
    <w:rsid w:val="00D603DA"/>
    <w:rsid w:val="00D6111F"/>
    <w:rsid w:val="00D62337"/>
    <w:rsid w:val="00D62597"/>
    <w:rsid w:val="00D62B98"/>
    <w:rsid w:val="00D62CEE"/>
    <w:rsid w:val="00D634DA"/>
    <w:rsid w:val="00D637BE"/>
    <w:rsid w:val="00D6546D"/>
    <w:rsid w:val="00D65D0D"/>
    <w:rsid w:val="00D66C55"/>
    <w:rsid w:val="00D67D20"/>
    <w:rsid w:val="00D7065B"/>
    <w:rsid w:val="00D70C31"/>
    <w:rsid w:val="00D71B05"/>
    <w:rsid w:val="00D7242A"/>
    <w:rsid w:val="00D727D8"/>
    <w:rsid w:val="00D72A4F"/>
    <w:rsid w:val="00D73B08"/>
    <w:rsid w:val="00D745D1"/>
    <w:rsid w:val="00D74CBB"/>
    <w:rsid w:val="00D7563F"/>
    <w:rsid w:val="00D75E7A"/>
    <w:rsid w:val="00D76073"/>
    <w:rsid w:val="00D76504"/>
    <w:rsid w:val="00D7667C"/>
    <w:rsid w:val="00D76DB6"/>
    <w:rsid w:val="00D773CC"/>
    <w:rsid w:val="00D7768C"/>
    <w:rsid w:val="00D77D9F"/>
    <w:rsid w:val="00D77DB9"/>
    <w:rsid w:val="00D80619"/>
    <w:rsid w:val="00D8104F"/>
    <w:rsid w:val="00D81EEC"/>
    <w:rsid w:val="00D829CE"/>
    <w:rsid w:val="00D834AD"/>
    <w:rsid w:val="00D83C04"/>
    <w:rsid w:val="00D8498D"/>
    <w:rsid w:val="00D86C47"/>
    <w:rsid w:val="00D870B0"/>
    <w:rsid w:val="00D87152"/>
    <w:rsid w:val="00D87797"/>
    <w:rsid w:val="00D87DB4"/>
    <w:rsid w:val="00D911E4"/>
    <w:rsid w:val="00D9288B"/>
    <w:rsid w:val="00D92E4A"/>
    <w:rsid w:val="00D939E5"/>
    <w:rsid w:val="00D942D3"/>
    <w:rsid w:val="00D95207"/>
    <w:rsid w:val="00D96A88"/>
    <w:rsid w:val="00D96C52"/>
    <w:rsid w:val="00D9719A"/>
    <w:rsid w:val="00D9750E"/>
    <w:rsid w:val="00D975A5"/>
    <w:rsid w:val="00DA0534"/>
    <w:rsid w:val="00DA0759"/>
    <w:rsid w:val="00DA14F0"/>
    <w:rsid w:val="00DA35C8"/>
    <w:rsid w:val="00DA41A5"/>
    <w:rsid w:val="00DA45E9"/>
    <w:rsid w:val="00DA5001"/>
    <w:rsid w:val="00DA560D"/>
    <w:rsid w:val="00DA5701"/>
    <w:rsid w:val="00DA5EB8"/>
    <w:rsid w:val="00DA6359"/>
    <w:rsid w:val="00DB2BC7"/>
    <w:rsid w:val="00DB312B"/>
    <w:rsid w:val="00DB337C"/>
    <w:rsid w:val="00DB3654"/>
    <w:rsid w:val="00DB40B3"/>
    <w:rsid w:val="00DB515E"/>
    <w:rsid w:val="00DB6102"/>
    <w:rsid w:val="00DB6378"/>
    <w:rsid w:val="00DB6D48"/>
    <w:rsid w:val="00DB7125"/>
    <w:rsid w:val="00DB79BF"/>
    <w:rsid w:val="00DB7D9F"/>
    <w:rsid w:val="00DB7F9D"/>
    <w:rsid w:val="00DC0394"/>
    <w:rsid w:val="00DC12A4"/>
    <w:rsid w:val="00DC2053"/>
    <w:rsid w:val="00DC29D3"/>
    <w:rsid w:val="00DC2E29"/>
    <w:rsid w:val="00DC3189"/>
    <w:rsid w:val="00DC7179"/>
    <w:rsid w:val="00DC7815"/>
    <w:rsid w:val="00DC7CF1"/>
    <w:rsid w:val="00DD0678"/>
    <w:rsid w:val="00DD16E5"/>
    <w:rsid w:val="00DD1717"/>
    <w:rsid w:val="00DD22FB"/>
    <w:rsid w:val="00DD23DD"/>
    <w:rsid w:val="00DD2975"/>
    <w:rsid w:val="00DD2A31"/>
    <w:rsid w:val="00DD2B1C"/>
    <w:rsid w:val="00DD3A98"/>
    <w:rsid w:val="00DD493C"/>
    <w:rsid w:val="00DD4B67"/>
    <w:rsid w:val="00DD648F"/>
    <w:rsid w:val="00DD669C"/>
    <w:rsid w:val="00DD72E5"/>
    <w:rsid w:val="00DD7C1C"/>
    <w:rsid w:val="00DE0174"/>
    <w:rsid w:val="00DE1488"/>
    <w:rsid w:val="00DE18A6"/>
    <w:rsid w:val="00DE283B"/>
    <w:rsid w:val="00DE2C99"/>
    <w:rsid w:val="00DE327D"/>
    <w:rsid w:val="00DE33B3"/>
    <w:rsid w:val="00DE3CDA"/>
    <w:rsid w:val="00DE4D7F"/>
    <w:rsid w:val="00DE504E"/>
    <w:rsid w:val="00DE5BA5"/>
    <w:rsid w:val="00DE5CF3"/>
    <w:rsid w:val="00DE6653"/>
    <w:rsid w:val="00DE6E4A"/>
    <w:rsid w:val="00DE763A"/>
    <w:rsid w:val="00DE7B53"/>
    <w:rsid w:val="00DF0BAF"/>
    <w:rsid w:val="00DF1B64"/>
    <w:rsid w:val="00DF2529"/>
    <w:rsid w:val="00DF2AE1"/>
    <w:rsid w:val="00DF2B48"/>
    <w:rsid w:val="00DF2C5A"/>
    <w:rsid w:val="00DF3652"/>
    <w:rsid w:val="00DF4333"/>
    <w:rsid w:val="00DF4E49"/>
    <w:rsid w:val="00DF503F"/>
    <w:rsid w:val="00DF535B"/>
    <w:rsid w:val="00DF6A02"/>
    <w:rsid w:val="00DF70A7"/>
    <w:rsid w:val="00DF710E"/>
    <w:rsid w:val="00DF7BB8"/>
    <w:rsid w:val="00E017C9"/>
    <w:rsid w:val="00E01EFE"/>
    <w:rsid w:val="00E01FBE"/>
    <w:rsid w:val="00E02884"/>
    <w:rsid w:val="00E048DA"/>
    <w:rsid w:val="00E05491"/>
    <w:rsid w:val="00E06598"/>
    <w:rsid w:val="00E067A6"/>
    <w:rsid w:val="00E06B1A"/>
    <w:rsid w:val="00E07491"/>
    <w:rsid w:val="00E075D6"/>
    <w:rsid w:val="00E076EF"/>
    <w:rsid w:val="00E07DB5"/>
    <w:rsid w:val="00E07F23"/>
    <w:rsid w:val="00E1015E"/>
    <w:rsid w:val="00E1073A"/>
    <w:rsid w:val="00E10EC4"/>
    <w:rsid w:val="00E11576"/>
    <w:rsid w:val="00E12451"/>
    <w:rsid w:val="00E128C3"/>
    <w:rsid w:val="00E135C0"/>
    <w:rsid w:val="00E13692"/>
    <w:rsid w:val="00E13B17"/>
    <w:rsid w:val="00E1429A"/>
    <w:rsid w:val="00E149D7"/>
    <w:rsid w:val="00E14EE7"/>
    <w:rsid w:val="00E15B0F"/>
    <w:rsid w:val="00E161D2"/>
    <w:rsid w:val="00E162A1"/>
    <w:rsid w:val="00E169F4"/>
    <w:rsid w:val="00E16F9E"/>
    <w:rsid w:val="00E173D3"/>
    <w:rsid w:val="00E17B11"/>
    <w:rsid w:val="00E20BC1"/>
    <w:rsid w:val="00E22234"/>
    <w:rsid w:val="00E228B8"/>
    <w:rsid w:val="00E22CC0"/>
    <w:rsid w:val="00E23E66"/>
    <w:rsid w:val="00E23ED9"/>
    <w:rsid w:val="00E276DE"/>
    <w:rsid w:val="00E301BD"/>
    <w:rsid w:val="00E30206"/>
    <w:rsid w:val="00E30389"/>
    <w:rsid w:val="00E32226"/>
    <w:rsid w:val="00E32320"/>
    <w:rsid w:val="00E33262"/>
    <w:rsid w:val="00E33452"/>
    <w:rsid w:val="00E3385D"/>
    <w:rsid w:val="00E33C1F"/>
    <w:rsid w:val="00E33EE3"/>
    <w:rsid w:val="00E34024"/>
    <w:rsid w:val="00E348C3"/>
    <w:rsid w:val="00E34BC0"/>
    <w:rsid w:val="00E357B3"/>
    <w:rsid w:val="00E36558"/>
    <w:rsid w:val="00E3714E"/>
    <w:rsid w:val="00E40C86"/>
    <w:rsid w:val="00E40D1E"/>
    <w:rsid w:val="00E43507"/>
    <w:rsid w:val="00E438B9"/>
    <w:rsid w:val="00E439B9"/>
    <w:rsid w:val="00E445E8"/>
    <w:rsid w:val="00E44C13"/>
    <w:rsid w:val="00E450E4"/>
    <w:rsid w:val="00E45B7B"/>
    <w:rsid w:val="00E46B2A"/>
    <w:rsid w:val="00E50291"/>
    <w:rsid w:val="00E506D8"/>
    <w:rsid w:val="00E50C51"/>
    <w:rsid w:val="00E50C94"/>
    <w:rsid w:val="00E511E7"/>
    <w:rsid w:val="00E520FD"/>
    <w:rsid w:val="00E526CC"/>
    <w:rsid w:val="00E52CE1"/>
    <w:rsid w:val="00E53CB7"/>
    <w:rsid w:val="00E53D7B"/>
    <w:rsid w:val="00E5421F"/>
    <w:rsid w:val="00E545E4"/>
    <w:rsid w:val="00E556F5"/>
    <w:rsid w:val="00E559AD"/>
    <w:rsid w:val="00E56002"/>
    <w:rsid w:val="00E5694C"/>
    <w:rsid w:val="00E56B70"/>
    <w:rsid w:val="00E60AA3"/>
    <w:rsid w:val="00E60B5B"/>
    <w:rsid w:val="00E61D18"/>
    <w:rsid w:val="00E61EC7"/>
    <w:rsid w:val="00E62A29"/>
    <w:rsid w:val="00E63CF3"/>
    <w:rsid w:val="00E64279"/>
    <w:rsid w:val="00E64A75"/>
    <w:rsid w:val="00E64AB9"/>
    <w:rsid w:val="00E64AD6"/>
    <w:rsid w:val="00E64FC4"/>
    <w:rsid w:val="00E6516A"/>
    <w:rsid w:val="00E66F72"/>
    <w:rsid w:val="00E66FB6"/>
    <w:rsid w:val="00E6757B"/>
    <w:rsid w:val="00E67E9F"/>
    <w:rsid w:val="00E67ED9"/>
    <w:rsid w:val="00E67FFB"/>
    <w:rsid w:val="00E7047D"/>
    <w:rsid w:val="00E7073A"/>
    <w:rsid w:val="00E70EA2"/>
    <w:rsid w:val="00E715FF"/>
    <w:rsid w:val="00E716BD"/>
    <w:rsid w:val="00E72217"/>
    <w:rsid w:val="00E7284A"/>
    <w:rsid w:val="00E72CEC"/>
    <w:rsid w:val="00E73E1E"/>
    <w:rsid w:val="00E7453A"/>
    <w:rsid w:val="00E748E8"/>
    <w:rsid w:val="00E7587E"/>
    <w:rsid w:val="00E75E4A"/>
    <w:rsid w:val="00E76ADB"/>
    <w:rsid w:val="00E76EC2"/>
    <w:rsid w:val="00E8015D"/>
    <w:rsid w:val="00E80221"/>
    <w:rsid w:val="00E80D03"/>
    <w:rsid w:val="00E82EAD"/>
    <w:rsid w:val="00E83653"/>
    <w:rsid w:val="00E83B32"/>
    <w:rsid w:val="00E84083"/>
    <w:rsid w:val="00E84110"/>
    <w:rsid w:val="00E84333"/>
    <w:rsid w:val="00E84418"/>
    <w:rsid w:val="00E845CE"/>
    <w:rsid w:val="00E84634"/>
    <w:rsid w:val="00E849FF"/>
    <w:rsid w:val="00E84BBE"/>
    <w:rsid w:val="00E84D55"/>
    <w:rsid w:val="00E84E17"/>
    <w:rsid w:val="00E85AE2"/>
    <w:rsid w:val="00E85BEA"/>
    <w:rsid w:val="00E86773"/>
    <w:rsid w:val="00E8697F"/>
    <w:rsid w:val="00E8702C"/>
    <w:rsid w:val="00E87B73"/>
    <w:rsid w:val="00E90D5D"/>
    <w:rsid w:val="00E91410"/>
    <w:rsid w:val="00E91928"/>
    <w:rsid w:val="00E91E2D"/>
    <w:rsid w:val="00E926A0"/>
    <w:rsid w:val="00E96696"/>
    <w:rsid w:val="00E96B04"/>
    <w:rsid w:val="00E97850"/>
    <w:rsid w:val="00EA02C0"/>
    <w:rsid w:val="00EA062F"/>
    <w:rsid w:val="00EA0B36"/>
    <w:rsid w:val="00EA1279"/>
    <w:rsid w:val="00EA137E"/>
    <w:rsid w:val="00EA1457"/>
    <w:rsid w:val="00EA1869"/>
    <w:rsid w:val="00EA279C"/>
    <w:rsid w:val="00EA30A6"/>
    <w:rsid w:val="00EA3B3A"/>
    <w:rsid w:val="00EA4C73"/>
    <w:rsid w:val="00EA4E24"/>
    <w:rsid w:val="00EA50EE"/>
    <w:rsid w:val="00EA572C"/>
    <w:rsid w:val="00EA619A"/>
    <w:rsid w:val="00EA69B6"/>
    <w:rsid w:val="00EA7806"/>
    <w:rsid w:val="00EB0152"/>
    <w:rsid w:val="00EB10C4"/>
    <w:rsid w:val="00EB176A"/>
    <w:rsid w:val="00EB271B"/>
    <w:rsid w:val="00EB2F19"/>
    <w:rsid w:val="00EB3724"/>
    <w:rsid w:val="00EB3C08"/>
    <w:rsid w:val="00EB3CA1"/>
    <w:rsid w:val="00EB3DB8"/>
    <w:rsid w:val="00EB48A8"/>
    <w:rsid w:val="00EB5D08"/>
    <w:rsid w:val="00EB5E79"/>
    <w:rsid w:val="00EB5F43"/>
    <w:rsid w:val="00EB7270"/>
    <w:rsid w:val="00EB7DC3"/>
    <w:rsid w:val="00EC01A9"/>
    <w:rsid w:val="00EC0CF3"/>
    <w:rsid w:val="00EC1A53"/>
    <w:rsid w:val="00EC30CC"/>
    <w:rsid w:val="00EC33B0"/>
    <w:rsid w:val="00EC3688"/>
    <w:rsid w:val="00EC435E"/>
    <w:rsid w:val="00EC4806"/>
    <w:rsid w:val="00EC4887"/>
    <w:rsid w:val="00EC5BD5"/>
    <w:rsid w:val="00EC604A"/>
    <w:rsid w:val="00EC6814"/>
    <w:rsid w:val="00EC7E71"/>
    <w:rsid w:val="00ED01F2"/>
    <w:rsid w:val="00ED03A9"/>
    <w:rsid w:val="00ED05E2"/>
    <w:rsid w:val="00ED08C1"/>
    <w:rsid w:val="00ED21E7"/>
    <w:rsid w:val="00ED2FD2"/>
    <w:rsid w:val="00ED3481"/>
    <w:rsid w:val="00ED356C"/>
    <w:rsid w:val="00ED3BFF"/>
    <w:rsid w:val="00ED4C93"/>
    <w:rsid w:val="00ED4FCF"/>
    <w:rsid w:val="00ED525C"/>
    <w:rsid w:val="00ED5962"/>
    <w:rsid w:val="00ED646E"/>
    <w:rsid w:val="00ED741E"/>
    <w:rsid w:val="00ED7F94"/>
    <w:rsid w:val="00EE0A88"/>
    <w:rsid w:val="00EE0AB3"/>
    <w:rsid w:val="00EE0BEE"/>
    <w:rsid w:val="00EE1739"/>
    <w:rsid w:val="00EE19EF"/>
    <w:rsid w:val="00EE1F62"/>
    <w:rsid w:val="00EE22CD"/>
    <w:rsid w:val="00EE2311"/>
    <w:rsid w:val="00EE239F"/>
    <w:rsid w:val="00EE27EF"/>
    <w:rsid w:val="00EE2859"/>
    <w:rsid w:val="00EE3061"/>
    <w:rsid w:val="00EE3157"/>
    <w:rsid w:val="00EE33D7"/>
    <w:rsid w:val="00EE4457"/>
    <w:rsid w:val="00EE50CF"/>
    <w:rsid w:val="00EE5A52"/>
    <w:rsid w:val="00EE5D88"/>
    <w:rsid w:val="00EE7689"/>
    <w:rsid w:val="00EE775F"/>
    <w:rsid w:val="00EE7C1B"/>
    <w:rsid w:val="00EE7F39"/>
    <w:rsid w:val="00EF0568"/>
    <w:rsid w:val="00EF0769"/>
    <w:rsid w:val="00EF082F"/>
    <w:rsid w:val="00EF0DA2"/>
    <w:rsid w:val="00EF0FFC"/>
    <w:rsid w:val="00EF1020"/>
    <w:rsid w:val="00EF1C6F"/>
    <w:rsid w:val="00EF2CEB"/>
    <w:rsid w:val="00EF33FA"/>
    <w:rsid w:val="00EF422C"/>
    <w:rsid w:val="00EF5469"/>
    <w:rsid w:val="00EF6038"/>
    <w:rsid w:val="00EF6716"/>
    <w:rsid w:val="00EF7B03"/>
    <w:rsid w:val="00F00AD3"/>
    <w:rsid w:val="00F00C2C"/>
    <w:rsid w:val="00F0261B"/>
    <w:rsid w:val="00F02E76"/>
    <w:rsid w:val="00F04E90"/>
    <w:rsid w:val="00F0652E"/>
    <w:rsid w:val="00F06EFA"/>
    <w:rsid w:val="00F07504"/>
    <w:rsid w:val="00F07567"/>
    <w:rsid w:val="00F076E0"/>
    <w:rsid w:val="00F07AE1"/>
    <w:rsid w:val="00F102B6"/>
    <w:rsid w:val="00F1031B"/>
    <w:rsid w:val="00F10354"/>
    <w:rsid w:val="00F1044B"/>
    <w:rsid w:val="00F1069F"/>
    <w:rsid w:val="00F1082D"/>
    <w:rsid w:val="00F11436"/>
    <w:rsid w:val="00F118AF"/>
    <w:rsid w:val="00F12DCA"/>
    <w:rsid w:val="00F12EBB"/>
    <w:rsid w:val="00F13272"/>
    <w:rsid w:val="00F13428"/>
    <w:rsid w:val="00F13C79"/>
    <w:rsid w:val="00F1443D"/>
    <w:rsid w:val="00F148D1"/>
    <w:rsid w:val="00F16137"/>
    <w:rsid w:val="00F16422"/>
    <w:rsid w:val="00F16D7B"/>
    <w:rsid w:val="00F175C4"/>
    <w:rsid w:val="00F20008"/>
    <w:rsid w:val="00F20676"/>
    <w:rsid w:val="00F215D2"/>
    <w:rsid w:val="00F215F7"/>
    <w:rsid w:val="00F21ABD"/>
    <w:rsid w:val="00F21B22"/>
    <w:rsid w:val="00F2262D"/>
    <w:rsid w:val="00F22B8C"/>
    <w:rsid w:val="00F2302C"/>
    <w:rsid w:val="00F23154"/>
    <w:rsid w:val="00F23AC7"/>
    <w:rsid w:val="00F24764"/>
    <w:rsid w:val="00F24B4B"/>
    <w:rsid w:val="00F261D8"/>
    <w:rsid w:val="00F27207"/>
    <w:rsid w:val="00F272B9"/>
    <w:rsid w:val="00F27555"/>
    <w:rsid w:val="00F27936"/>
    <w:rsid w:val="00F30531"/>
    <w:rsid w:val="00F3176D"/>
    <w:rsid w:val="00F3188B"/>
    <w:rsid w:val="00F32638"/>
    <w:rsid w:val="00F32B92"/>
    <w:rsid w:val="00F32D1C"/>
    <w:rsid w:val="00F33441"/>
    <w:rsid w:val="00F33938"/>
    <w:rsid w:val="00F346A3"/>
    <w:rsid w:val="00F34E5B"/>
    <w:rsid w:val="00F35890"/>
    <w:rsid w:val="00F35FA5"/>
    <w:rsid w:val="00F36A9A"/>
    <w:rsid w:val="00F3726C"/>
    <w:rsid w:val="00F37CAD"/>
    <w:rsid w:val="00F40B5B"/>
    <w:rsid w:val="00F4114B"/>
    <w:rsid w:val="00F417CB"/>
    <w:rsid w:val="00F4214D"/>
    <w:rsid w:val="00F42260"/>
    <w:rsid w:val="00F4228B"/>
    <w:rsid w:val="00F427FC"/>
    <w:rsid w:val="00F42B59"/>
    <w:rsid w:val="00F42D69"/>
    <w:rsid w:val="00F435D0"/>
    <w:rsid w:val="00F43A26"/>
    <w:rsid w:val="00F44244"/>
    <w:rsid w:val="00F449FC"/>
    <w:rsid w:val="00F44D3B"/>
    <w:rsid w:val="00F461EF"/>
    <w:rsid w:val="00F46365"/>
    <w:rsid w:val="00F463BE"/>
    <w:rsid w:val="00F46761"/>
    <w:rsid w:val="00F46A2F"/>
    <w:rsid w:val="00F47664"/>
    <w:rsid w:val="00F47944"/>
    <w:rsid w:val="00F50E5D"/>
    <w:rsid w:val="00F511FC"/>
    <w:rsid w:val="00F513DD"/>
    <w:rsid w:val="00F51A68"/>
    <w:rsid w:val="00F528A9"/>
    <w:rsid w:val="00F52921"/>
    <w:rsid w:val="00F52CD3"/>
    <w:rsid w:val="00F530F9"/>
    <w:rsid w:val="00F53566"/>
    <w:rsid w:val="00F5410E"/>
    <w:rsid w:val="00F541D6"/>
    <w:rsid w:val="00F54532"/>
    <w:rsid w:val="00F5458A"/>
    <w:rsid w:val="00F54B0F"/>
    <w:rsid w:val="00F54CE3"/>
    <w:rsid w:val="00F55C99"/>
    <w:rsid w:val="00F56042"/>
    <w:rsid w:val="00F56FA9"/>
    <w:rsid w:val="00F56FD7"/>
    <w:rsid w:val="00F57712"/>
    <w:rsid w:val="00F57D07"/>
    <w:rsid w:val="00F615B5"/>
    <w:rsid w:val="00F6189B"/>
    <w:rsid w:val="00F61E6A"/>
    <w:rsid w:val="00F62F93"/>
    <w:rsid w:val="00F63726"/>
    <w:rsid w:val="00F63C70"/>
    <w:rsid w:val="00F649C6"/>
    <w:rsid w:val="00F66120"/>
    <w:rsid w:val="00F666BD"/>
    <w:rsid w:val="00F66976"/>
    <w:rsid w:val="00F66DFC"/>
    <w:rsid w:val="00F702DD"/>
    <w:rsid w:val="00F707D4"/>
    <w:rsid w:val="00F708F8"/>
    <w:rsid w:val="00F716F0"/>
    <w:rsid w:val="00F71AE5"/>
    <w:rsid w:val="00F724BD"/>
    <w:rsid w:val="00F744EF"/>
    <w:rsid w:val="00F74CA2"/>
    <w:rsid w:val="00F75401"/>
    <w:rsid w:val="00F766B1"/>
    <w:rsid w:val="00F767DF"/>
    <w:rsid w:val="00F76C94"/>
    <w:rsid w:val="00F77078"/>
    <w:rsid w:val="00F77A96"/>
    <w:rsid w:val="00F80C0A"/>
    <w:rsid w:val="00F81165"/>
    <w:rsid w:val="00F81316"/>
    <w:rsid w:val="00F816B3"/>
    <w:rsid w:val="00F8229A"/>
    <w:rsid w:val="00F82DF3"/>
    <w:rsid w:val="00F83081"/>
    <w:rsid w:val="00F84219"/>
    <w:rsid w:val="00F8491F"/>
    <w:rsid w:val="00F8506F"/>
    <w:rsid w:val="00F864AC"/>
    <w:rsid w:val="00F866A8"/>
    <w:rsid w:val="00F86926"/>
    <w:rsid w:val="00F86D9D"/>
    <w:rsid w:val="00F87816"/>
    <w:rsid w:val="00F87B83"/>
    <w:rsid w:val="00F90365"/>
    <w:rsid w:val="00F90BEC"/>
    <w:rsid w:val="00F91B13"/>
    <w:rsid w:val="00F91C4F"/>
    <w:rsid w:val="00F92BBA"/>
    <w:rsid w:val="00F92F68"/>
    <w:rsid w:val="00F938B4"/>
    <w:rsid w:val="00F93E56"/>
    <w:rsid w:val="00F94329"/>
    <w:rsid w:val="00F94973"/>
    <w:rsid w:val="00F94B55"/>
    <w:rsid w:val="00F94C14"/>
    <w:rsid w:val="00F94E6C"/>
    <w:rsid w:val="00F964E0"/>
    <w:rsid w:val="00F96CD3"/>
    <w:rsid w:val="00F978F2"/>
    <w:rsid w:val="00FA0183"/>
    <w:rsid w:val="00FA0C9F"/>
    <w:rsid w:val="00FA0EB1"/>
    <w:rsid w:val="00FA14C0"/>
    <w:rsid w:val="00FA1D06"/>
    <w:rsid w:val="00FA3307"/>
    <w:rsid w:val="00FA33F6"/>
    <w:rsid w:val="00FA4BA0"/>
    <w:rsid w:val="00FA4E62"/>
    <w:rsid w:val="00FA5E71"/>
    <w:rsid w:val="00FA5F16"/>
    <w:rsid w:val="00FA698F"/>
    <w:rsid w:val="00FA7414"/>
    <w:rsid w:val="00FB09F4"/>
    <w:rsid w:val="00FB111E"/>
    <w:rsid w:val="00FB1AFE"/>
    <w:rsid w:val="00FB20AE"/>
    <w:rsid w:val="00FB258F"/>
    <w:rsid w:val="00FB31BD"/>
    <w:rsid w:val="00FB32C2"/>
    <w:rsid w:val="00FB46B5"/>
    <w:rsid w:val="00FB4DA3"/>
    <w:rsid w:val="00FB5B3F"/>
    <w:rsid w:val="00FB64E5"/>
    <w:rsid w:val="00FB65A0"/>
    <w:rsid w:val="00FB65BD"/>
    <w:rsid w:val="00FB6620"/>
    <w:rsid w:val="00FB69E1"/>
    <w:rsid w:val="00FB7358"/>
    <w:rsid w:val="00FC033E"/>
    <w:rsid w:val="00FC0838"/>
    <w:rsid w:val="00FC22A6"/>
    <w:rsid w:val="00FC37A0"/>
    <w:rsid w:val="00FC38B8"/>
    <w:rsid w:val="00FC3C97"/>
    <w:rsid w:val="00FC3DED"/>
    <w:rsid w:val="00FC4444"/>
    <w:rsid w:val="00FC478B"/>
    <w:rsid w:val="00FC4D8F"/>
    <w:rsid w:val="00FC5BB2"/>
    <w:rsid w:val="00FC5C76"/>
    <w:rsid w:val="00FC5CD1"/>
    <w:rsid w:val="00FC5F9C"/>
    <w:rsid w:val="00FC68D1"/>
    <w:rsid w:val="00FC70BE"/>
    <w:rsid w:val="00FC7955"/>
    <w:rsid w:val="00FC7FAB"/>
    <w:rsid w:val="00FD09CF"/>
    <w:rsid w:val="00FD0F62"/>
    <w:rsid w:val="00FD16D8"/>
    <w:rsid w:val="00FD196D"/>
    <w:rsid w:val="00FD1D94"/>
    <w:rsid w:val="00FD2631"/>
    <w:rsid w:val="00FD44D6"/>
    <w:rsid w:val="00FD46BE"/>
    <w:rsid w:val="00FD50CA"/>
    <w:rsid w:val="00FD5ABC"/>
    <w:rsid w:val="00FD636A"/>
    <w:rsid w:val="00FD6A18"/>
    <w:rsid w:val="00FD6A74"/>
    <w:rsid w:val="00FE005E"/>
    <w:rsid w:val="00FE04AA"/>
    <w:rsid w:val="00FE07A4"/>
    <w:rsid w:val="00FE0AB4"/>
    <w:rsid w:val="00FE0E3B"/>
    <w:rsid w:val="00FE0E85"/>
    <w:rsid w:val="00FE1755"/>
    <w:rsid w:val="00FE1B91"/>
    <w:rsid w:val="00FE2B7D"/>
    <w:rsid w:val="00FE3590"/>
    <w:rsid w:val="00FE42F5"/>
    <w:rsid w:val="00FE4AAE"/>
    <w:rsid w:val="00FE4DE2"/>
    <w:rsid w:val="00FE50B1"/>
    <w:rsid w:val="00FE600F"/>
    <w:rsid w:val="00FE6908"/>
    <w:rsid w:val="00FE6B12"/>
    <w:rsid w:val="00FE6C12"/>
    <w:rsid w:val="00FE77C5"/>
    <w:rsid w:val="00FE780D"/>
    <w:rsid w:val="00FE7D06"/>
    <w:rsid w:val="00FE7D09"/>
    <w:rsid w:val="00FE7DE6"/>
    <w:rsid w:val="00FF00EA"/>
    <w:rsid w:val="00FF13E7"/>
    <w:rsid w:val="00FF2DBD"/>
    <w:rsid w:val="00FF32E4"/>
    <w:rsid w:val="00FF3D72"/>
    <w:rsid w:val="00FF424C"/>
    <w:rsid w:val="00FF44A8"/>
    <w:rsid w:val="00FF4DE0"/>
    <w:rsid w:val="00FF55E5"/>
    <w:rsid w:val="00FF5798"/>
    <w:rsid w:val="00FF5F9B"/>
    <w:rsid w:val="00FF64F2"/>
    <w:rsid w:val="00FF7367"/>
    <w:rsid w:val="00FF748B"/>
    <w:rsid w:val="016E6E22"/>
    <w:rsid w:val="09F77876"/>
    <w:rsid w:val="0A3D172D"/>
    <w:rsid w:val="0BB50EC3"/>
    <w:rsid w:val="0CA45C0B"/>
    <w:rsid w:val="0E925DBF"/>
    <w:rsid w:val="1568787A"/>
    <w:rsid w:val="162F5098"/>
    <w:rsid w:val="167A0A2D"/>
    <w:rsid w:val="1DDF1258"/>
    <w:rsid w:val="212D77D3"/>
    <w:rsid w:val="27A026A1"/>
    <w:rsid w:val="2A094D30"/>
    <w:rsid w:val="311F22C5"/>
    <w:rsid w:val="31545763"/>
    <w:rsid w:val="31612376"/>
    <w:rsid w:val="342B039B"/>
    <w:rsid w:val="35A153F5"/>
    <w:rsid w:val="35B2271F"/>
    <w:rsid w:val="37EE3BD1"/>
    <w:rsid w:val="38494A52"/>
    <w:rsid w:val="3CDE75D3"/>
    <w:rsid w:val="3F2D1069"/>
    <w:rsid w:val="438A2629"/>
    <w:rsid w:val="45901D66"/>
    <w:rsid w:val="48195D51"/>
    <w:rsid w:val="4F1839AD"/>
    <w:rsid w:val="4FBF2E80"/>
    <w:rsid w:val="509B052E"/>
    <w:rsid w:val="524401CB"/>
    <w:rsid w:val="5507328A"/>
    <w:rsid w:val="55AB4356"/>
    <w:rsid w:val="55E262B1"/>
    <w:rsid w:val="59417793"/>
    <w:rsid w:val="5A41575B"/>
    <w:rsid w:val="5D8A7094"/>
    <w:rsid w:val="5E501594"/>
    <w:rsid w:val="60A6042E"/>
    <w:rsid w:val="6166711C"/>
    <w:rsid w:val="64A05CB5"/>
    <w:rsid w:val="67E1027C"/>
    <w:rsid w:val="6B0D2B4F"/>
    <w:rsid w:val="6ECD58F9"/>
    <w:rsid w:val="729A66C4"/>
    <w:rsid w:val="73043258"/>
    <w:rsid w:val="7D6FE71E"/>
    <w:rsid w:val="C7F3D725"/>
    <w:rsid w:val="CFF32231"/>
    <w:rsid w:val="EE53F6CA"/>
    <w:rsid w:val="FE977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60"/>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61"/>
    <w:qFormat/>
    <w:uiPriority w:val="0"/>
    <w:pPr>
      <w:keepNext/>
      <w:outlineLvl w:val="3"/>
    </w:pPr>
    <w:rPr>
      <w:sz w:val="28"/>
      <w:szCs w:val="20"/>
    </w:rPr>
  </w:style>
  <w:style w:type="paragraph" w:styleId="7">
    <w:name w:val="heading 5"/>
    <w:basedOn w:val="1"/>
    <w:next w:val="1"/>
    <w:link w:val="62"/>
    <w:qFormat/>
    <w:uiPriority w:val="0"/>
    <w:pPr>
      <w:keepNext/>
      <w:keepLines/>
      <w:spacing w:before="280" w:after="290" w:line="376" w:lineRule="auto"/>
      <w:outlineLvl w:val="4"/>
    </w:pPr>
    <w:rPr>
      <w:b/>
      <w:bCs/>
      <w:sz w:val="28"/>
      <w:szCs w:val="28"/>
    </w:rPr>
  </w:style>
  <w:style w:type="paragraph" w:styleId="8">
    <w:name w:val="heading 6"/>
    <w:basedOn w:val="1"/>
    <w:next w:val="1"/>
    <w:link w:val="6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4"/>
    <w:qFormat/>
    <w:uiPriority w:val="0"/>
    <w:pPr>
      <w:keepNext/>
      <w:keepLines/>
      <w:spacing w:before="240" w:after="64" w:line="320" w:lineRule="auto"/>
      <w:outlineLvl w:val="6"/>
    </w:pPr>
    <w:rPr>
      <w:b/>
      <w:bCs/>
      <w:sz w:val="24"/>
    </w:rPr>
  </w:style>
  <w:style w:type="paragraph" w:styleId="10">
    <w:name w:val="heading 8"/>
    <w:basedOn w:val="1"/>
    <w:next w:val="1"/>
    <w:link w:val="6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6"/>
    <w:qFormat/>
    <w:uiPriority w:val="0"/>
    <w:pPr>
      <w:keepNext/>
      <w:keepLines/>
      <w:spacing w:before="240" w:after="64" w:line="320" w:lineRule="auto"/>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48"/>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caption"/>
    <w:basedOn w:val="1"/>
    <w:next w:val="1"/>
    <w:qFormat/>
    <w:uiPriority w:val="0"/>
    <w:pPr>
      <w:ind w:firstLine="480"/>
      <w:jc w:val="right"/>
    </w:pPr>
    <w:rPr>
      <w:rFonts w:eastAsia="黑体"/>
    </w:rPr>
  </w:style>
  <w:style w:type="paragraph" w:styleId="14">
    <w:name w:val="List Bullet"/>
    <w:basedOn w:val="1"/>
    <w:qFormat/>
    <w:uiPriority w:val="99"/>
    <w:pPr>
      <w:numPr>
        <w:ilvl w:val="0"/>
        <w:numId w:val="1"/>
      </w:numPr>
      <w:tabs>
        <w:tab w:val="left" w:pos="360"/>
        <w:tab w:val="left" w:pos="846"/>
      </w:tabs>
      <w:ind w:left="846"/>
    </w:pPr>
    <w:rPr>
      <w:szCs w:val="22"/>
    </w:rPr>
  </w:style>
  <w:style w:type="paragraph" w:styleId="15">
    <w:name w:val="Document Map"/>
    <w:basedOn w:val="1"/>
    <w:link w:val="71"/>
    <w:qFormat/>
    <w:uiPriority w:val="99"/>
    <w:rPr>
      <w:rFonts w:ascii="宋体"/>
      <w:sz w:val="18"/>
      <w:szCs w:val="18"/>
    </w:rPr>
  </w:style>
  <w:style w:type="paragraph" w:styleId="16">
    <w:name w:val="annotation text"/>
    <w:basedOn w:val="1"/>
    <w:link w:val="69"/>
    <w:unhideWhenUsed/>
    <w:qFormat/>
    <w:uiPriority w:val="99"/>
    <w:pPr>
      <w:jc w:val="left"/>
    </w:pPr>
  </w:style>
  <w:style w:type="paragraph" w:styleId="17">
    <w:name w:val="Body Text 3"/>
    <w:basedOn w:val="1"/>
    <w:link w:val="95"/>
    <w:unhideWhenUsed/>
    <w:qFormat/>
    <w:uiPriority w:val="99"/>
    <w:pPr>
      <w:spacing w:after="120"/>
    </w:pPr>
    <w:rPr>
      <w:sz w:val="16"/>
      <w:szCs w:val="16"/>
    </w:rPr>
  </w:style>
  <w:style w:type="paragraph" w:styleId="18">
    <w:name w:val="Body Text"/>
    <w:basedOn w:val="1"/>
    <w:link w:val="72"/>
    <w:qFormat/>
    <w:uiPriority w:val="0"/>
    <w:rPr>
      <w:sz w:val="28"/>
      <w:szCs w:val="20"/>
    </w:rPr>
  </w:style>
  <w:style w:type="paragraph" w:styleId="19">
    <w:name w:val="Body Text Indent"/>
    <w:basedOn w:val="1"/>
    <w:link w:val="73"/>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spacing w:after="120"/>
      <w:ind w:left="1440" w:leftChars="700" w:right="1440" w:rightChars="700"/>
    </w:p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4">
    <w:name w:val="Plain Text"/>
    <w:basedOn w:val="1"/>
    <w:link w:val="74"/>
    <w:qFormat/>
    <w:uiPriority w:val="0"/>
    <w:rPr>
      <w:rFonts w:ascii="宋体" w:hAnsi="Courier New"/>
      <w:szCs w:val="20"/>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75"/>
    <w:qFormat/>
    <w:uiPriority w:val="0"/>
    <w:pPr>
      <w:ind w:left="100" w:leftChars="2500"/>
    </w:pPr>
    <w:rPr>
      <w:szCs w:val="20"/>
    </w:rPr>
  </w:style>
  <w:style w:type="paragraph" w:styleId="27">
    <w:name w:val="Body Text Indent 2"/>
    <w:basedOn w:val="1"/>
    <w:link w:val="76"/>
    <w:qFormat/>
    <w:uiPriority w:val="0"/>
    <w:pPr>
      <w:spacing w:line="480" w:lineRule="auto"/>
      <w:ind w:firstLine="480" w:firstLineChars="200"/>
    </w:pPr>
    <w:rPr>
      <w:rFonts w:ascii="仿宋_GB2312" w:hAnsi="宋体" w:eastAsia="仿宋_GB2312"/>
      <w:sz w:val="24"/>
    </w:rPr>
  </w:style>
  <w:style w:type="paragraph" w:styleId="28">
    <w:name w:val="Balloon Text"/>
    <w:basedOn w:val="1"/>
    <w:link w:val="57"/>
    <w:unhideWhenUsed/>
    <w:qFormat/>
    <w:uiPriority w:val="0"/>
    <w:rPr>
      <w:sz w:val="18"/>
      <w:szCs w:val="18"/>
    </w:rPr>
  </w:style>
  <w:style w:type="paragraph" w:styleId="29">
    <w:name w:val="footer"/>
    <w:basedOn w:val="1"/>
    <w:link w:val="68"/>
    <w:unhideWhenUsed/>
    <w:qFormat/>
    <w:uiPriority w:val="99"/>
    <w:pPr>
      <w:tabs>
        <w:tab w:val="center" w:pos="4153"/>
        <w:tab w:val="right" w:pos="8306"/>
      </w:tabs>
      <w:snapToGrid w:val="0"/>
      <w:jc w:val="left"/>
    </w:pPr>
    <w:rPr>
      <w:sz w:val="18"/>
      <w:szCs w:val="18"/>
    </w:rPr>
  </w:style>
  <w:style w:type="paragraph" w:styleId="30">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34">
    <w:name w:val="toc 6"/>
    <w:basedOn w:val="1"/>
    <w:next w:val="1"/>
    <w:unhideWhenUsed/>
    <w:qFormat/>
    <w:uiPriority w:val="39"/>
    <w:pPr>
      <w:ind w:left="2100" w:leftChars="1000"/>
    </w:pPr>
    <w:rPr>
      <w:rFonts w:ascii="Calibri" w:hAnsi="Calibri"/>
      <w:szCs w:val="22"/>
    </w:rPr>
  </w:style>
  <w:style w:type="paragraph" w:styleId="35">
    <w:name w:val="Body Text Indent 3"/>
    <w:basedOn w:val="1"/>
    <w:link w:val="78"/>
    <w:qFormat/>
    <w:uiPriority w:val="0"/>
    <w:pPr>
      <w:spacing w:after="120" w:line="360" w:lineRule="atLeast"/>
      <w:ind w:firstLine="720" w:firstLineChars="300"/>
    </w:pPr>
    <w:rPr>
      <w:sz w:val="24"/>
      <w:szCs w:val="20"/>
    </w:rPr>
  </w:style>
  <w:style w:type="paragraph" w:styleId="36">
    <w:name w:val="toc 2"/>
    <w:basedOn w:val="1"/>
    <w:next w:val="1"/>
    <w:qFormat/>
    <w:uiPriority w:val="39"/>
    <w:pPr>
      <w:tabs>
        <w:tab w:val="left" w:pos="567"/>
        <w:tab w:val="right" w:leader="dot" w:pos="8505"/>
        <w:tab w:val="right" w:leader="dot" w:pos="9628"/>
      </w:tabs>
      <w:spacing w:line="440" w:lineRule="exact"/>
    </w:pPr>
  </w:style>
  <w:style w:type="paragraph" w:styleId="37">
    <w:name w:val="toc 9"/>
    <w:basedOn w:val="1"/>
    <w:next w:val="1"/>
    <w:unhideWhenUsed/>
    <w:qFormat/>
    <w:uiPriority w:val="39"/>
    <w:pPr>
      <w:ind w:left="3360" w:leftChars="1600"/>
    </w:pPr>
    <w:rPr>
      <w:rFonts w:ascii="Calibri" w:hAnsi="Calibri"/>
      <w:szCs w:val="22"/>
    </w:rPr>
  </w:style>
  <w:style w:type="paragraph" w:styleId="38">
    <w:name w:val="Normal (Web)"/>
    <w:basedOn w:val="1"/>
    <w:qFormat/>
    <w:uiPriority w:val="99"/>
    <w:pPr>
      <w:widowControl/>
      <w:suppressAutoHyphens/>
      <w:spacing w:before="100" w:after="100"/>
      <w:jc w:val="left"/>
    </w:pPr>
    <w:rPr>
      <w:rFonts w:ascii="宋体" w:hAnsi="宋体"/>
      <w:kern w:val="1"/>
      <w:sz w:val="24"/>
      <w:lang w:eastAsia="ar-SA"/>
    </w:rPr>
  </w:style>
  <w:style w:type="paragraph" w:styleId="39">
    <w:name w:val="index 1"/>
    <w:basedOn w:val="1"/>
    <w:next w:val="1"/>
    <w:semiHidden/>
    <w:qFormat/>
    <w:uiPriority w:val="0"/>
    <w:pPr>
      <w:spacing w:line="220" w:lineRule="exact"/>
      <w:jc w:val="center"/>
    </w:pPr>
    <w:rPr>
      <w:rFonts w:ascii="仿宋_GB2312" w:eastAsia="仿宋_GB2312"/>
      <w:szCs w:val="21"/>
    </w:rPr>
  </w:style>
  <w:style w:type="paragraph" w:styleId="40">
    <w:name w:val="Title"/>
    <w:basedOn w:val="1"/>
    <w:next w:val="1"/>
    <w:link w:val="79"/>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70"/>
    <w:semiHidden/>
    <w:qFormat/>
    <w:uiPriority w:val="99"/>
    <w:rPr>
      <w:b/>
      <w:bCs/>
      <w:szCs w:val="20"/>
    </w:rPr>
  </w:style>
  <w:style w:type="paragraph" w:styleId="42">
    <w:name w:val="Body Text First Indent 2"/>
    <w:basedOn w:val="19"/>
    <w:link w:val="168"/>
    <w:unhideWhenUsed/>
    <w:qFormat/>
    <w:uiPriority w:val="99"/>
    <w:pPr>
      <w:autoSpaceDE/>
      <w:autoSpaceDN/>
      <w:adjustRightInd/>
      <w:spacing w:line="240" w:lineRule="auto"/>
      <w:ind w:left="420" w:leftChars="200" w:firstLine="420" w:firstLineChars="200"/>
    </w:pPr>
    <w:rPr>
      <w:rFonts w:ascii="Calibri" w:hAnsi="Calibri" w:eastAsia="宋体"/>
      <w:kern w:val="2"/>
      <w:sz w:val="21"/>
      <w:szCs w:val="22"/>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paragraph" w:customStyle="1" w:styleId="52">
    <w:name w:val="样式1"/>
    <w:basedOn w:val="2"/>
    <w:next w:val="1"/>
    <w:qFormat/>
    <w:uiPriority w:val="0"/>
    <w:pPr>
      <w:spacing w:before="280" w:after="280" w:line="240" w:lineRule="exact"/>
      <w:jc w:val="left"/>
    </w:pPr>
    <w:rPr>
      <w:rFonts w:ascii="Calibri" w:hAnsi="Calibri" w:eastAsia="黑体"/>
      <w:sz w:val="36"/>
    </w:rPr>
  </w:style>
  <w:style w:type="paragraph" w:customStyle="1" w:styleId="53">
    <w:name w:val="样式 正文缩进正文（首行缩进两字）首行缩进两字 + 首行缩进:  2 字符1"/>
    <w:basedOn w:val="5"/>
    <w:qFormat/>
    <w:uiPriority w:val="0"/>
    <w:pPr>
      <w:widowControl/>
      <w:spacing w:before="156" w:beforeLines="50" w:after="156" w:afterLines="50" w:line="500" w:lineRule="exact"/>
      <w:ind w:firstLine="200"/>
      <w:jc w:val="left"/>
    </w:pPr>
    <w:rPr>
      <w:rFonts w:ascii="Times New Roman" w:hAnsi="Times New Roman" w:eastAsia="宋体" w:cs="Times New Roman"/>
      <w:color w:val="000000"/>
      <w:kern w:val="2"/>
      <w:sz w:val="28"/>
      <w:szCs w:val="24"/>
      <w:lang w:val="en-US" w:eastAsia="zh-CN" w:bidi="ar-SA"/>
    </w:rPr>
  </w:style>
  <w:style w:type="paragraph" w:customStyle="1" w:styleId="54">
    <w:name w:val="bt1bt1"/>
    <w:basedOn w:val="2"/>
    <w:qFormat/>
    <w:uiPriority w:val="0"/>
    <w:pPr>
      <w:spacing w:line="240" w:lineRule="auto"/>
      <w:jc w:val="center"/>
    </w:pPr>
    <w:rPr>
      <w:rFonts w:ascii="黑体" w:eastAsia="黑体"/>
      <w:b w:val="0"/>
      <w:sz w:val="36"/>
      <w:szCs w:val="36"/>
    </w:rPr>
  </w:style>
  <w:style w:type="paragraph" w:customStyle="1" w:styleId="55">
    <w:name w:val="列出段落1"/>
    <w:basedOn w:val="1"/>
    <w:unhideWhenUsed/>
    <w:qFormat/>
    <w:uiPriority w:val="34"/>
    <w:pPr>
      <w:ind w:firstLine="420" w:firstLineChars="200"/>
    </w:pPr>
  </w:style>
  <w:style w:type="character" w:customStyle="1" w:styleId="56">
    <w:name w:val="标题 1 字符"/>
    <w:basedOn w:val="45"/>
    <w:link w:val="2"/>
    <w:qFormat/>
    <w:uiPriority w:val="0"/>
    <w:rPr>
      <w:rFonts w:ascii="Times New Roman" w:hAnsi="Times New Roman" w:eastAsia="宋体" w:cs="Times New Roman"/>
      <w:b/>
      <w:bCs/>
      <w:kern w:val="44"/>
      <w:sz w:val="44"/>
      <w:szCs w:val="44"/>
    </w:rPr>
  </w:style>
  <w:style w:type="character" w:customStyle="1" w:styleId="57">
    <w:name w:val="批注框文本 字符"/>
    <w:basedOn w:val="45"/>
    <w:link w:val="28"/>
    <w:qFormat/>
    <w:uiPriority w:val="0"/>
    <w:rPr>
      <w:rFonts w:ascii="Times New Roman" w:hAnsi="Times New Roman" w:eastAsia="宋体" w:cs="Times New Roman"/>
      <w:sz w:val="18"/>
      <w:szCs w:val="18"/>
    </w:rPr>
  </w:style>
  <w:style w:type="paragraph" w:customStyle="1" w:styleId="5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9">
    <w:name w:val="标题 2 字符"/>
    <w:basedOn w:val="45"/>
    <w:link w:val="3"/>
    <w:qFormat/>
    <w:uiPriority w:val="0"/>
    <w:rPr>
      <w:rFonts w:ascii="Arial" w:hAnsi="Arial" w:eastAsia="黑体" w:cs="Times New Roman"/>
      <w:b/>
      <w:bCs/>
      <w:sz w:val="32"/>
      <w:szCs w:val="32"/>
    </w:rPr>
  </w:style>
  <w:style w:type="character" w:customStyle="1" w:styleId="60">
    <w:name w:val="标题 3 字符"/>
    <w:basedOn w:val="45"/>
    <w:link w:val="4"/>
    <w:qFormat/>
    <w:uiPriority w:val="0"/>
    <w:rPr>
      <w:rFonts w:ascii="黑体" w:hAnsi="Times New Roman" w:eastAsia="黑体" w:cs="Times New Roman"/>
      <w:kern w:val="0"/>
      <w:sz w:val="28"/>
      <w:szCs w:val="20"/>
    </w:rPr>
  </w:style>
  <w:style w:type="character" w:customStyle="1" w:styleId="61">
    <w:name w:val="标题 4 字符"/>
    <w:basedOn w:val="45"/>
    <w:link w:val="6"/>
    <w:qFormat/>
    <w:uiPriority w:val="0"/>
    <w:rPr>
      <w:rFonts w:ascii="Times New Roman" w:hAnsi="Times New Roman" w:eastAsia="宋体" w:cs="Times New Roman"/>
      <w:sz w:val="28"/>
      <w:szCs w:val="20"/>
    </w:rPr>
  </w:style>
  <w:style w:type="character" w:customStyle="1" w:styleId="62">
    <w:name w:val="标题 5 字符"/>
    <w:basedOn w:val="45"/>
    <w:link w:val="7"/>
    <w:qFormat/>
    <w:uiPriority w:val="0"/>
    <w:rPr>
      <w:rFonts w:ascii="Times New Roman" w:hAnsi="Times New Roman" w:eastAsia="宋体" w:cs="Times New Roman"/>
      <w:b/>
      <w:bCs/>
      <w:sz w:val="28"/>
      <w:szCs w:val="28"/>
    </w:rPr>
  </w:style>
  <w:style w:type="character" w:customStyle="1" w:styleId="63">
    <w:name w:val="标题 6 字符"/>
    <w:basedOn w:val="45"/>
    <w:link w:val="8"/>
    <w:qFormat/>
    <w:uiPriority w:val="0"/>
    <w:rPr>
      <w:rFonts w:ascii="Arial" w:hAnsi="Arial" w:eastAsia="黑体" w:cs="Times New Roman"/>
      <w:b/>
      <w:bCs/>
      <w:sz w:val="24"/>
      <w:szCs w:val="24"/>
    </w:rPr>
  </w:style>
  <w:style w:type="character" w:customStyle="1" w:styleId="64">
    <w:name w:val="标题 7 字符"/>
    <w:basedOn w:val="45"/>
    <w:link w:val="9"/>
    <w:qFormat/>
    <w:uiPriority w:val="0"/>
    <w:rPr>
      <w:rFonts w:ascii="Times New Roman" w:hAnsi="Times New Roman" w:eastAsia="宋体" w:cs="Times New Roman"/>
      <w:b/>
      <w:bCs/>
      <w:sz w:val="24"/>
      <w:szCs w:val="24"/>
    </w:rPr>
  </w:style>
  <w:style w:type="character" w:customStyle="1" w:styleId="65">
    <w:name w:val="标题 8 字符"/>
    <w:basedOn w:val="45"/>
    <w:link w:val="10"/>
    <w:qFormat/>
    <w:uiPriority w:val="0"/>
    <w:rPr>
      <w:rFonts w:ascii="Arial" w:hAnsi="Arial" w:eastAsia="黑体" w:cs="Times New Roman"/>
      <w:sz w:val="24"/>
      <w:szCs w:val="24"/>
    </w:rPr>
  </w:style>
  <w:style w:type="character" w:customStyle="1" w:styleId="66">
    <w:name w:val="标题 9 字符"/>
    <w:basedOn w:val="45"/>
    <w:link w:val="11"/>
    <w:qFormat/>
    <w:uiPriority w:val="0"/>
    <w:rPr>
      <w:rFonts w:ascii="Arial" w:hAnsi="Arial" w:eastAsia="黑体" w:cs="Times New Roman"/>
      <w:szCs w:val="21"/>
    </w:rPr>
  </w:style>
  <w:style w:type="character" w:customStyle="1" w:styleId="67">
    <w:name w:val="页眉 字符"/>
    <w:basedOn w:val="45"/>
    <w:link w:val="30"/>
    <w:qFormat/>
    <w:uiPriority w:val="99"/>
    <w:rPr>
      <w:rFonts w:ascii="Times New Roman" w:hAnsi="Times New Roman" w:eastAsia="宋体" w:cs="Times New Roman"/>
      <w:sz w:val="18"/>
      <w:szCs w:val="18"/>
    </w:rPr>
  </w:style>
  <w:style w:type="character" w:customStyle="1" w:styleId="68">
    <w:name w:val="页脚 字符1"/>
    <w:basedOn w:val="45"/>
    <w:link w:val="29"/>
    <w:qFormat/>
    <w:uiPriority w:val="99"/>
    <w:rPr>
      <w:rFonts w:ascii="Times New Roman" w:hAnsi="Times New Roman" w:eastAsia="宋体" w:cs="Times New Roman"/>
      <w:sz w:val="18"/>
      <w:szCs w:val="18"/>
    </w:rPr>
  </w:style>
  <w:style w:type="character" w:customStyle="1" w:styleId="69">
    <w:name w:val="批注文字 字符1"/>
    <w:basedOn w:val="45"/>
    <w:link w:val="16"/>
    <w:qFormat/>
    <w:uiPriority w:val="99"/>
    <w:rPr>
      <w:rFonts w:ascii="Times New Roman" w:hAnsi="Times New Roman" w:eastAsia="宋体" w:cs="Times New Roman"/>
      <w:szCs w:val="24"/>
    </w:rPr>
  </w:style>
  <w:style w:type="character" w:customStyle="1" w:styleId="70">
    <w:name w:val="批注主题 字符"/>
    <w:basedOn w:val="69"/>
    <w:link w:val="41"/>
    <w:semiHidden/>
    <w:qFormat/>
    <w:uiPriority w:val="99"/>
    <w:rPr>
      <w:rFonts w:ascii="Times New Roman" w:hAnsi="Times New Roman" w:eastAsia="宋体" w:cs="Times New Roman"/>
      <w:b/>
      <w:bCs/>
      <w:szCs w:val="20"/>
    </w:rPr>
  </w:style>
  <w:style w:type="character" w:customStyle="1" w:styleId="71">
    <w:name w:val="文档结构图 字符"/>
    <w:basedOn w:val="45"/>
    <w:link w:val="15"/>
    <w:qFormat/>
    <w:uiPriority w:val="99"/>
    <w:rPr>
      <w:rFonts w:ascii="宋体" w:hAnsi="Times New Roman" w:eastAsia="宋体" w:cs="Times New Roman"/>
      <w:sz w:val="18"/>
      <w:szCs w:val="18"/>
    </w:rPr>
  </w:style>
  <w:style w:type="character" w:customStyle="1" w:styleId="72">
    <w:name w:val="正文文本 字符"/>
    <w:basedOn w:val="45"/>
    <w:link w:val="18"/>
    <w:qFormat/>
    <w:uiPriority w:val="0"/>
    <w:rPr>
      <w:rFonts w:ascii="Times New Roman" w:hAnsi="Times New Roman" w:eastAsia="宋体" w:cs="Times New Roman"/>
      <w:sz w:val="28"/>
      <w:szCs w:val="20"/>
    </w:rPr>
  </w:style>
  <w:style w:type="character" w:customStyle="1" w:styleId="73">
    <w:name w:val="正文文本缩进 字符"/>
    <w:basedOn w:val="45"/>
    <w:link w:val="19"/>
    <w:qFormat/>
    <w:uiPriority w:val="0"/>
    <w:rPr>
      <w:rFonts w:ascii="楷体_GB2312" w:hAnsi="Times New Roman" w:eastAsia="楷体_GB2312" w:cs="Times New Roman"/>
      <w:kern w:val="0"/>
      <w:sz w:val="28"/>
      <w:szCs w:val="20"/>
    </w:rPr>
  </w:style>
  <w:style w:type="character" w:customStyle="1" w:styleId="74">
    <w:name w:val="纯文本 字符"/>
    <w:basedOn w:val="45"/>
    <w:link w:val="24"/>
    <w:qFormat/>
    <w:uiPriority w:val="0"/>
    <w:rPr>
      <w:rFonts w:ascii="宋体" w:hAnsi="Courier New" w:eastAsia="宋体" w:cs="Times New Roman"/>
      <w:szCs w:val="20"/>
    </w:rPr>
  </w:style>
  <w:style w:type="character" w:customStyle="1" w:styleId="75">
    <w:name w:val="日期 字符"/>
    <w:basedOn w:val="45"/>
    <w:link w:val="26"/>
    <w:qFormat/>
    <w:uiPriority w:val="0"/>
    <w:rPr>
      <w:rFonts w:ascii="Times New Roman" w:hAnsi="Times New Roman" w:eastAsia="宋体" w:cs="Times New Roman"/>
      <w:szCs w:val="20"/>
    </w:rPr>
  </w:style>
  <w:style w:type="character" w:customStyle="1" w:styleId="76">
    <w:name w:val="正文文本缩进 2 字符"/>
    <w:basedOn w:val="45"/>
    <w:link w:val="27"/>
    <w:qFormat/>
    <w:uiPriority w:val="0"/>
    <w:rPr>
      <w:rFonts w:ascii="仿宋_GB2312" w:hAnsi="宋体" w:eastAsia="仿宋_GB2312" w:cs="Times New Roman"/>
      <w:sz w:val="24"/>
      <w:szCs w:val="24"/>
    </w:rPr>
  </w:style>
  <w:style w:type="character" w:customStyle="1" w:styleId="77">
    <w:name w:val="副标题 字符"/>
    <w:basedOn w:val="45"/>
    <w:link w:val="33"/>
    <w:qFormat/>
    <w:uiPriority w:val="0"/>
    <w:rPr>
      <w:rFonts w:ascii="Cambria" w:hAnsi="Cambria" w:eastAsia="宋体" w:cs="黑体"/>
      <w:b/>
      <w:bCs/>
      <w:kern w:val="28"/>
      <w:sz w:val="32"/>
      <w:szCs w:val="32"/>
    </w:rPr>
  </w:style>
  <w:style w:type="character" w:customStyle="1" w:styleId="78">
    <w:name w:val="正文文本缩进 3 字符"/>
    <w:basedOn w:val="45"/>
    <w:link w:val="35"/>
    <w:qFormat/>
    <w:uiPriority w:val="0"/>
    <w:rPr>
      <w:rFonts w:ascii="Times New Roman" w:hAnsi="Times New Roman" w:eastAsia="宋体" w:cs="Times New Roman"/>
      <w:sz w:val="24"/>
      <w:szCs w:val="20"/>
    </w:rPr>
  </w:style>
  <w:style w:type="character" w:customStyle="1" w:styleId="79">
    <w:name w:val="标题 字符"/>
    <w:basedOn w:val="45"/>
    <w:link w:val="40"/>
    <w:qFormat/>
    <w:uiPriority w:val="0"/>
    <w:rPr>
      <w:rFonts w:ascii="Cambria" w:hAnsi="Cambria" w:eastAsia="宋体" w:cs="Times New Roman"/>
      <w:b/>
      <w:bCs/>
      <w:sz w:val="32"/>
      <w:szCs w:val="32"/>
    </w:rPr>
  </w:style>
  <w:style w:type="paragraph" w:customStyle="1" w:styleId="80">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1">
    <w:name w:val="_Style 36"/>
    <w:basedOn w:val="1"/>
    <w:qFormat/>
    <w:uiPriority w:val="0"/>
    <w:pPr>
      <w:ind w:firstLine="420" w:firstLineChars="200"/>
    </w:pPr>
    <w:rPr>
      <w:szCs w:val="20"/>
    </w:rPr>
  </w:style>
  <w:style w:type="paragraph" w:customStyle="1" w:styleId="82">
    <w:name w:val="Char Char Char Char Char Char Char Char Char Char Char Char Char"/>
    <w:basedOn w:val="15"/>
    <w:qFormat/>
    <w:uiPriority w:val="0"/>
    <w:pPr>
      <w:shd w:val="clear" w:color="auto" w:fill="000080"/>
    </w:pPr>
    <w:rPr>
      <w:rFonts w:ascii="Tahoma" w:hAnsi="Tahoma"/>
      <w:sz w:val="24"/>
      <w:szCs w:val="24"/>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5">
    <w:name w:val="新定义正文"/>
    <w:basedOn w:val="1"/>
    <w:qFormat/>
    <w:uiPriority w:val="0"/>
    <w:pPr>
      <w:widowControl/>
    </w:pPr>
    <w:rPr>
      <w:color w:val="000000"/>
      <w:szCs w:val="21"/>
    </w:rPr>
  </w:style>
  <w:style w:type="paragraph" w:customStyle="1" w:styleId="86">
    <w:name w:val="节"/>
    <w:basedOn w:val="3"/>
    <w:link w:val="152"/>
    <w:qFormat/>
    <w:uiPriority w:val="0"/>
    <w:pPr>
      <w:numPr>
        <w:ilvl w:val="1"/>
        <w:numId w:val="2"/>
      </w:numPr>
      <w:tabs>
        <w:tab w:val="left" w:pos="432"/>
      </w:tabs>
      <w:spacing w:line="240" w:lineRule="auto"/>
    </w:pPr>
    <w:rPr>
      <w:rFonts w:ascii="黑体"/>
      <w:b w:val="0"/>
      <w:sz w:val="28"/>
      <w:szCs w:val="28"/>
    </w:rPr>
  </w:style>
  <w:style w:type="paragraph" w:customStyle="1" w:styleId="87">
    <w:name w:val="TOC 标题2"/>
    <w:basedOn w:val="2"/>
    <w:next w:val="1"/>
    <w:unhideWhenUsed/>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88">
    <w:name w:val="列出段落11"/>
    <w:basedOn w:val="1"/>
    <w:link w:val="151"/>
    <w:qFormat/>
    <w:uiPriority w:val="0"/>
    <w:pPr>
      <w:ind w:firstLine="420" w:firstLineChars="200"/>
    </w:pPr>
    <w:rPr>
      <w:szCs w:val="20"/>
    </w:rPr>
  </w:style>
  <w:style w:type="paragraph" w:customStyle="1" w:styleId="89">
    <w:name w:val="修订1"/>
    <w:hidden/>
    <w:unhideWhenUsed/>
    <w:qFormat/>
    <w:uiPriority w:val="0"/>
    <w:rPr>
      <w:rFonts w:ascii="Times New Roman" w:hAnsi="Times New Roman" w:eastAsia="宋体" w:cs="Times New Roman"/>
      <w:kern w:val="2"/>
      <w:sz w:val="21"/>
      <w:szCs w:val="24"/>
      <w:lang w:val="en-US" w:eastAsia="zh-CN" w:bidi="ar-SA"/>
    </w:rPr>
  </w:style>
  <w:style w:type="character" w:customStyle="1" w:styleId="90">
    <w:name w:val="Char Char1"/>
    <w:qFormat/>
    <w:uiPriority w:val="0"/>
    <w:rPr>
      <w:rFonts w:ascii="楷体_GB2312" w:eastAsia="楷体_GB2312"/>
      <w:sz w:val="28"/>
    </w:rPr>
  </w:style>
  <w:style w:type="character" w:customStyle="1" w:styleId="91">
    <w:name w:val="Char Char"/>
    <w:qFormat/>
    <w:uiPriority w:val="0"/>
    <w:rPr>
      <w:rFonts w:ascii="宋体"/>
      <w:kern w:val="2"/>
      <w:sz w:val="18"/>
      <w:szCs w:val="18"/>
    </w:rPr>
  </w:style>
  <w:style w:type="paragraph" w:customStyle="1" w:styleId="92">
    <w:name w:val="修订2"/>
    <w:hidden/>
    <w:unhideWhenUsed/>
    <w:qFormat/>
    <w:uiPriority w:val="0"/>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4"/>
    <w:qFormat/>
    <w:uiPriority w:val="0"/>
    <w:pPr>
      <w:autoSpaceDE/>
      <w:autoSpaceDN/>
      <w:adjustRightInd/>
      <w:spacing w:before="0" w:after="0" w:line="400" w:lineRule="exact"/>
    </w:pPr>
    <w:rPr>
      <w:rFonts w:ascii="Times New Roman" w:cs="宋体"/>
      <w:kern w:val="2"/>
      <w:sz w:val="24"/>
    </w:rPr>
  </w:style>
  <w:style w:type="character" w:customStyle="1" w:styleId="94">
    <w:name w:val="批注文字 Char1"/>
    <w:qFormat/>
    <w:uiPriority w:val="0"/>
    <w:rPr>
      <w:kern w:val="2"/>
      <w:sz w:val="21"/>
    </w:rPr>
  </w:style>
  <w:style w:type="character" w:customStyle="1" w:styleId="95">
    <w:name w:val="正文文本 3 字符"/>
    <w:basedOn w:val="45"/>
    <w:link w:val="17"/>
    <w:semiHidden/>
    <w:qFormat/>
    <w:uiPriority w:val="99"/>
    <w:rPr>
      <w:rFonts w:ascii="Times New Roman" w:hAnsi="Times New Roman" w:eastAsia="宋体" w:cs="Times New Roman"/>
      <w:sz w:val="16"/>
      <w:szCs w:val="16"/>
    </w:rPr>
  </w:style>
  <w:style w:type="paragraph" w:customStyle="1" w:styleId="9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97">
    <w:name w:val="批注文字 字符"/>
    <w:basedOn w:val="45"/>
    <w:qFormat/>
    <w:uiPriority w:val="99"/>
    <w:rPr>
      <w:rFonts w:ascii="Times New Roman" w:hAnsi="Times New Roman" w:eastAsia="宋体" w:cs="Times New Roman"/>
      <w:szCs w:val="24"/>
    </w:rPr>
  </w:style>
  <w:style w:type="table" w:customStyle="1" w:styleId="98">
    <w:name w:val="网格型1"/>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
    <w:name w:val="样式3"/>
    <w:basedOn w:val="1"/>
    <w:qFormat/>
    <w:uiPriority w:val="0"/>
    <w:pPr>
      <w:spacing w:afterLines="100" w:line="360" w:lineRule="auto"/>
      <w:ind w:firstLine="480" w:firstLineChars="200"/>
    </w:pPr>
    <w:rPr>
      <w:rFonts w:ascii="微软雅黑" w:hAnsi="微软雅黑" w:eastAsia="微软雅黑"/>
      <w:sz w:val="24"/>
    </w:rPr>
  </w:style>
  <w:style w:type="paragraph" w:customStyle="1" w:styleId="100">
    <w:name w:val="正文00"/>
    <w:basedOn w:val="1"/>
    <w:qFormat/>
    <w:uiPriority w:val="99"/>
    <w:pPr>
      <w:topLinePunct/>
      <w:spacing w:line="360" w:lineRule="auto"/>
      <w:ind w:firstLine="200" w:firstLineChars="200"/>
    </w:pPr>
    <w:rPr>
      <w:sz w:val="24"/>
      <w:szCs w:val="21"/>
    </w:rPr>
  </w:style>
  <w:style w:type="paragraph" w:customStyle="1" w:styleId="101">
    <w:name w:val="标题 10"/>
    <w:basedOn w:val="3"/>
    <w:qFormat/>
    <w:uiPriority w:val="0"/>
    <w:pPr>
      <w:spacing w:before="280" w:after="290" w:line="377" w:lineRule="auto"/>
      <w:jc w:val="center"/>
    </w:pPr>
    <w:rPr>
      <w:rFonts w:ascii="方正黑体简体" w:hAnsi="Times New Roman" w:eastAsia="方正黑体简体"/>
      <w:bCs w:val="0"/>
      <w:kern w:val="0"/>
      <w:sz w:val="28"/>
      <w:szCs w:val="28"/>
    </w:rPr>
  </w:style>
  <w:style w:type="paragraph" w:customStyle="1" w:styleId="102">
    <w:name w:val="标题 55"/>
    <w:basedOn w:val="7"/>
    <w:qFormat/>
    <w:uiPriority w:val="0"/>
    <w:rPr>
      <w:rFonts w:ascii="方正黑体简体" w:eastAsia="方正黑体简体"/>
      <w:b w:val="0"/>
      <w:bCs w:val="0"/>
    </w:rPr>
  </w:style>
  <w:style w:type="paragraph" w:customStyle="1" w:styleId="103">
    <w:name w:val="标题 60"/>
    <w:basedOn w:val="8"/>
    <w:qFormat/>
    <w:uiPriority w:val="0"/>
    <w:pPr>
      <w:spacing w:line="319" w:lineRule="auto"/>
      <w:ind w:firstLine="200" w:firstLineChars="200"/>
    </w:pPr>
    <w:rPr>
      <w:b w:val="0"/>
      <w:bCs w:val="0"/>
    </w:rPr>
  </w:style>
  <w:style w:type="paragraph" w:customStyle="1" w:styleId="104">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05">
    <w:name w:val="ml2"/>
    <w:basedOn w:val="31"/>
    <w:qFormat/>
    <w:uiPriority w:val="0"/>
    <w:pPr>
      <w:tabs>
        <w:tab w:val="clear" w:pos="567"/>
        <w:tab w:val="clear" w:pos="709"/>
        <w:tab w:val="clear" w:pos="8505"/>
      </w:tabs>
      <w:snapToGrid/>
      <w:spacing w:before="120" w:after="120" w:line="240" w:lineRule="auto"/>
      <w:ind w:left="420" w:leftChars="200"/>
    </w:pPr>
    <w:rPr>
      <w:rFonts w:ascii="Calibri" w:hAnsi="Calibri" w:cs="Calibri"/>
      <w:b/>
      <w:bCs/>
      <w:caps/>
      <w:sz w:val="24"/>
      <w:szCs w:val="20"/>
    </w:rPr>
  </w:style>
  <w:style w:type="paragraph" w:customStyle="1" w:styleId="106">
    <w:name w:val="ml3"/>
    <w:basedOn w:val="31"/>
    <w:qFormat/>
    <w:uiPriority w:val="0"/>
    <w:pPr>
      <w:tabs>
        <w:tab w:val="clear" w:pos="567"/>
        <w:tab w:val="clear" w:pos="709"/>
        <w:tab w:val="clear" w:pos="8505"/>
      </w:tabs>
      <w:snapToGrid/>
      <w:spacing w:before="120" w:after="120" w:line="240" w:lineRule="auto"/>
      <w:ind w:left="840" w:leftChars="400"/>
    </w:pPr>
    <w:rPr>
      <w:rFonts w:ascii="Calibri" w:hAnsi="Calibri" w:cs="Calibri"/>
      <w:b/>
      <w:bCs/>
      <w:caps/>
      <w:sz w:val="24"/>
      <w:szCs w:val="20"/>
    </w:rPr>
  </w:style>
  <w:style w:type="paragraph" w:customStyle="1" w:styleId="107">
    <w:name w:val="ml"/>
    <w:basedOn w:val="31"/>
    <w:qFormat/>
    <w:uiPriority w:val="0"/>
    <w:pPr>
      <w:tabs>
        <w:tab w:val="clear" w:pos="567"/>
        <w:tab w:val="clear" w:pos="709"/>
        <w:tab w:val="clear" w:pos="8505"/>
      </w:tabs>
      <w:snapToGrid/>
      <w:spacing w:before="120" w:after="120" w:line="240" w:lineRule="auto"/>
    </w:pPr>
    <w:rPr>
      <w:rFonts w:ascii="Calibri" w:hAnsi="Calibri" w:cs="Calibri"/>
      <w:b/>
      <w:caps/>
      <w:kern w:val="0"/>
      <w:sz w:val="24"/>
      <w:szCs w:val="20"/>
    </w:rPr>
  </w:style>
  <w:style w:type="character" w:customStyle="1" w:styleId="108">
    <w:name w:val="标题 3 Char1"/>
    <w:qFormat/>
    <w:uiPriority w:val="9"/>
    <w:rPr>
      <w:rFonts w:ascii="Arial" w:hAnsi="Arial" w:eastAsia="黑体"/>
      <w:kern w:val="2"/>
      <w:sz w:val="24"/>
      <w:szCs w:val="24"/>
    </w:rPr>
  </w:style>
  <w:style w:type="paragraph" w:customStyle="1" w:styleId="1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0">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1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1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5">
    <w:name w:val="xl6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116">
    <w:name w:val="xl6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17">
    <w:name w:val="xl70"/>
    <w:basedOn w:val="1"/>
    <w:qFormat/>
    <w:uiPriority w:val="0"/>
    <w:pPr>
      <w:widowControl/>
      <w:spacing w:before="100" w:beforeAutospacing="1" w:after="100" w:afterAutospacing="1"/>
      <w:jc w:val="right"/>
    </w:pPr>
    <w:rPr>
      <w:rFonts w:ascii="宋体" w:hAnsi="宋体" w:cs="宋体"/>
      <w:b/>
      <w:bCs/>
      <w:kern w:val="0"/>
      <w:sz w:val="24"/>
    </w:rPr>
  </w:style>
  <w:style w:type="paragraph" w:customStyle="1" w:styleId="118">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9">
    <w:name w:val="xl7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1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75"/>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4"/>
    </w:rPr>
  </w:style>
  <w:style w:type="paragraph" w:customStyle="1" w:styleId="1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6">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27">
    <w:name w:val="xl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8">
    <w:name w:val="xl8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
    <w:name w:val="xl82"/>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130">
    <w:name w:val="xl83"/>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13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2">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3">
    <w:name w:val="xl86"/>
    <w:basedOn w:val="1"/>
    <w:qFormat/>
    <w:uiPriority w:val="0"/>
    <w:pPr>
      <w:widowControl/>
      <w:pBdr>
        <w:top w:val="single" w:color="auto" w:sz="4" w:space="0"/>
        <w:lef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134">
    <w:name w:val="xl87"/>
    <w:basedOn w:val="1"/>
    <w:qFormat/>
    <w:uiPriority w:val="0"/>
    <w:pPr>
      <w:widowControl/>
      <w:pBdr>
        <w:top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135">
    <w:name w:val="xl88"/>
    <w:basedOn w:val="1"/>
    <w:qFormat/>
    <w:uiPriority w:val="0"/>
    <w:pPr>
      <w:widowControl/>
      <w:pBdr>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136">
    <w:name w:val="xl89"/>
    <w:basedOn w:val="1"/>
    <w:qFormat/>
    <w:uiPriority w:val="0"/>
    <w:pPr>
      <w:widowControl/>
      <w:pBdr>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137">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38">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0">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2">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3">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144">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45">
    <w:name w:val="目录0"/>
    <w:basedOn w:val="31"/>
    <w:qFormat/>
    <w:uiPriority w:val="0"/>
    <w:pPr>
      <w:widowControl/>
      <w:tabs>
        <w:tab w:val="right" w:leader="middleDot" w:pos="8931"/>
        <w:tab w:val="clear" w:pos="567"/>
        <w:tab w:val="clear" w:pos="709"/>
        <w:tab w:val="clear" w:pos="8505"/>
      </w:tabs>
      <w:snapToGrid/>
      <w:spacing w:before="120" w:line="300" w:lineRule="auto"/>
      <w:jc w:val="center"/>
    </w:pPr>
    <w:rPr>
      <w:rFonts w:ascii="Times New Roman" w:hAnsi="Times New Roman" w:eastAsia="黑体"/>
      <w:caps/>
      <w:color w:val="000000"/>
      <w:kern w:val="0"/>
      <w:sz w:val="32"/>
      <w:szCs w:val="28"/>
    </w:rPr>
  </w:style>
  <w:style w:type="paragraph" w:customStyle="1" w:styleId="146">
    <w:name w:val="项目符号项1"/>
    <w:basedOn w:val="1"/>
    <w:qFormat/>
    <w:uiPriority w:val="0"/>
    <w:pPr>
      <w:tabs>
        <w:tab w:val="left" w:pos="425"/>
      </w:tabs>
      <w:spacing w:line="360" w:lineRule="auto"/>
      <w:ind w:left="850" w:hanging="340"/>
    </w:pPr>
    <w:rPr>
      <w:sz w:val="24"/>
      <w:szCs w:val="20"/>
    </w:rPr>
  </w:style>
  <w:style w:type="paragraph" w:customStyle="1" w:styleId="147">
    <w:name w:val="文档正文"/>
    <w:basedOn w:val="1"/>
    <w:qFormat/>
    <w:uiPriority w:val="0"/>
    <w:pPr>
      <w:adjustRightInd w:val="0"/>
      <w:spacing w:line="312" w:lineRule="atLeast"/>
      <w:ind w:firstLine="567"/>
      <w:textAlignment w:val="baseline"/>
    </w:pPr>
    <w:rPr>
      <w:rFonts w:ascii="Arial"/>
      <w:kern w:val="0"/>
      <w:sz w:val="28"/>
      <w:szCs w:val="20"/>
    </w:rPr>
  </w:style>
  <w:style w:type="paragraph" w:customStyle="1" w:styleId="148">
    <w:name w:val="注"/>
    <w:basedOn w:val="100"/>
    <w:qFormat/>
    <w:uiPriority w:val="0"/>
    <w:pPr>
      <w:spacing w:line="288" w:lineRule="auto"/>
      <w:ind w:firstLine="0" w:firstLineChars="0"/>
    </w:pPr>
    <w:rPr>
      <w:sz w:val="20"/>
    </w:rPr>
  </w:style>
  <w:style w:type="paragraph" w:customStyle="1" w:styleId="149">
    <w:name w:val="列出段落2"/>
    <w:basedOn w:val="1"/>
    <w:qFormat/>
    <w:uiPriority w:val="99"/>
    <w:pPr>
      <w:ind w:firstLine="420" w:firstLineChars="200"/>
    </w:pPr>
  </w:style>
  <w:style w:type="paragraph" w:customStyle="1" w:styleId="150">
    <w:name w:val="样式 小四 首行缩进:  2 字符"/>
    <w:basedOn w:val="1"/>
    <w:qFormat/>
    <w:uiPriority w:val="0"/>
    <w:pPr>
      <w:widowControl/>
      <w:spacing w:line="300" w:lineRule="auto"/>
      <w:ind w:firstLine="480" w:firstLineChars="200"/>
      <w:jc w:val="left"/>
    </w:pPr>
    <w:rPr>
      <w:sz w:val="24"/>
      <w:szCs w:val="20"/>
    </w:rPr>
  </w:style>
  <w:style w:type="character" w:customStyle="1" w:styleId="151">
    <w:name w:val="列出段落 字符"/>
    <w:link w:val="88"/>
    <w:qFormat/>
    <w:uiPriority w:val="0"/>
    <w:rPr>
      <w:rFonts w:ascii="Times New Roman" w:hAnsi="Times New Roman" w:eastAsia="宋体" w:cs="Times New Roman"/>
      <w:szCs w:val="20"/>
    </w:rPr>
  </w:style>
  <w:style w:type="character" w:customStyle="1" w:styleId="152">
    <w:name w:val="节 Char"/>
    <w:link w:val="86"/>
    <w:qFormat/>
    <w:uiPriority w:val="0"/>
    <w:rPr>
      <w:rFonts w:ascii="黑体" w:hAnsi="Arial" w:eastAsia="黑体" w:cs="Times New Roman"/>
      <w:bCs/>
      <w:sz w:val="28"/>
      <w:szCs w:val="28"/>
    </w:rPr>
  </w:style>
  <w:style w:type="paragraph" w:customStyle="1" w:styleId="153">
    <w:name w:val="￥正文"/>
    <w:basedOn w:val="1"/>
    <w:qFormat/>
    <w:uiPriority w:val="0"/>
    <w:pPr>
      <w:spacing w:line="360" w:lineRule="auto"/>
      <w:ind w:firstLine="200" w:firstLineChars="200"/>
    </w:pPr>
    <w:rPr>
      <w:rFonts w:ascii="Calibri" w:hAnsi="Calibri"/>
      <w:lang w:eastAsia="en-US"/>
    </w:rPr>
  </w:style>
  <w:style w:type="paragraph" w:customStyle="1" w:styleId="154">
    <w:name w:val="样式2"/>
    <w:basedOn w:val="3"/>
    <w:next w:val="1"/>
    <w:qFormat/>
    <w:uiPriority w:val="0"/>
    <w:pPr>
      <w:spacing w:before="80" w:after="80" w:line="240" w:lineRule="auto"/>
      <w:jc w:val="left"/>
    </w:pPr>
    <w:rPr>
      <w:rFonts w:ascii="Cambria" w:hAnsi="Cambria"/>
      <w:kern w:val="0"/>
    </w:rPr>
  </w:style>
  <w:style w:type="paragraph" w:customStyle="1" w:styleId="155">
    <w:name w:val="样式4"/>
    <w:basedOn w:val="6"/>
    <w:next w:val="1"/>
    <w:qFormat/>
    <w:uiPriority w:val="0"/>
    <w:pPr>
      <w:keepLines/>
      <w:spacing w:before="160" w:after="170"/>
      <w:jc w:val="left"/>
    </w:pPr>
    <w:rPr>
      <w:rFonts w:ascii="黑体" w:hAnsi="黑体" w:eastAsia="黑体"/>
      <w:b/>
      <w:bCs/>
      <w:kern w:val="0"/>
      <w:szCs w:val="24"/>
    </w:rPr>
  </w:style>
  <w:style w:type="paragraph" w:customStyle="1" w:styleId="156">
    <w:name w:val="样式5"/>
    <w:basedOn w:val="7"/>
    <w:next w:val="1"/>
    <w:qFormat/>
    <w:uiPriority w:val="0"/>
    <w:pPr>
      <w:spacing w:before="40" w:after="50" w:line="240" w:lineRule="auto"/>
      <w:jc w:val="left"/>
    </w:pPr>
    <w:rPr>
      <w:rFonts w:ascii="黑体" w:hAnsi="黑体" w:eastAsia="黑体"/>
      <w:kern w:val="0"/>
      <w:sz w:val="24"/>
      <w:szCs w:val="24"/>
    </w:rPr>
  </w:style>
  <w:style w:type="paragraph" w:customStyle="1" w:styleId="15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无间隔1"/>
    <w:link w:val="159"/>
    <w:qFormat/>
    <w:uiPriority w:val="99"/>
    <w:pPr>
      <w:widowControl w:val="0"/>
      <w:jc w:val="both"/>
    </w:pPr>
    <w:rPr>
      <w:rFonts w:ascii="Times New Roman" w:hAnsi="Times New Roman" w:eastAsia="宋体" w:cs="Times New Roman"/>
      <w:szCs w:val="24"/>
      <w:lang w:val="en-US" w:eastAsia="zh-CN" w:bidi="ar-SA"/>
    </w:rPr>
  </w:style>
  <w:style w:type="character" w:customStyle="1" w:styleId="159">
    <w:name w:val="无间隔 Char"/>
    <w:link w:val="158"/>
    <w:qFormat/>
    <w:locked/>
    <w:uiPriority w:val="99"/>
    <w:rPr>
      <w:rFonts w:ascii="Times New Roman" w:hAnsi="Times New Roman" w:eastAsia="宋体" w:cs="Times New Roman"/>
      <w:kern w:val="0"/>
      <w:sz w:val="20"/>
      <w:szCs w:val="24"/>
    </w:rPr>
  </w:style>
  <w:style w:type="paragraph" w:customStyle="1" w:styleId="160">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161">
    <w:name w:val="&amp;2 列项#2 数字编号（二级）"/>
    <w:qFormat/>
    <w:uiPriority w:val="0"/>
    <w:pPr>
      <w:numPr>
        <w:ilvl w:val="1"/>
        <w:numId w:val="3"/>
      </w:numPr>
      <w:spacing w:line="360" w:lineRule="auto"/>
      <w:jc w:val="both"/>
    </w:pPr>
    <w:rPr>
      <w:rFonts w:ascii="Times New Roman" w:hAnsi="Times New Roman" w:eastAsia="宋体" w:cs="Times New Roman"/>
      <w:sz w:val="24"/>
      <w:lang w:val="en-US" w:eastAsia="zh-CN" w:bidi="ar-SA"/>
    </w:rPr>
  </w:style>
  <w:style w:type="paragraph" w:customStyle="1" w:styleId="162">
    <w:name w:val="&amp;2 列项#1 字母编号（一级）"/>
    <w:qFormat/>
    <w:uiPriority w:val="0"/>
    <w:pPr>
      <w:numPr>
        <w:ilvl w:val="0"/>
        <w:numId w:val="3"/>
      </w:numPr>
      <w:spacing w:line="360" w:lineRule="auto"/>
      <w:jc w:val="both"/>
    </w:pPr>
    <w:rPr>
      <w:rFonts w:ascii="宋体" w:hAnsi="Times New Roman" w:eastAsia="宋体" w:cs="Times New Roman"/>
      <w:sz w:val="24"/>
      <w:lang w:val="en-US" w:eastAsia="zh-CN" w:bidi="ar-SA"/>
    </w:rPr>
  </w:style>
  <w:style w:type="paragraph" w:customStyle="1" w:styleId="163">
    <w:name w:val="&amp;2 列项#3 数字编号（三级）"/>
    <w:qFormat/>
    <w:uiPriority w:val="0"/>
    <w:pPr>
      <w:numPr>
        <w:ilvl w:val="2"/>
        <w:numId w:val="3"/>
      </w:numPr>
      <w:spacing w:line="360" w:lineRule="auto"/>
      <w:jc w:val="both"/>
    </w:pPr>
    <w:rPr>
      <w:rFonts w:ascii="Times New Roman" w:hAnsi="Times New Roman" w:eastAsia="宋体" w:cs="Times New Roman"/>
      <w:sz w:val="24"/>
      <w:lang w:val="en-US" w:eastAsia="zh-CN" w:bidi="ar-SA"/>
    </w:rPr>
  </w:style>
  <w:style w:type="character" w:customStyle="1" w:styleId="164">
    <w:name w:val="apple-converted-space"/>
    <w:basedOn w:val="45"/>
    <w:qFormat/>
    <w:uiPriority w:val="0"/>
  </w:style>
  <w:style w:type="table" w:customStyle="1" w:styleId="165">
    <w:name w:val="网格型2"/>
    <w:basedOn w:val="4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p0"/>
    <w:qFormat/>
    <w:uiPriority w:val="0"/>
    <w:rPr>
      <w:rFonts w:ascii="Times New Roman" w:hAnsi="Times New Roman" w:eastAsia="宋体" w:cs="Times New Roman"/>
      <w:sz w:val="21"/>
      <w:szCs w:val="21"/>
      <w:lang w:val="en-US" w:eastAsia="zh-CN" w:bidi="ar-SA"/>
    </w:rPr>
  </w:style>
  <w:style w:type="paragraph" w:customStyle="1" w:styleId="167">
    <w:name w:val="无间隔11"/>
    <w:basedOn w:val="1"/>
    <w:qFormat/>
    <w:uiPriority w:val="1"/>
    <w:pPr>
      <w:widowControl/>
      <w:jc w:val="left"/>
    </w:pPr>
    <w:rPr>
      <w:rFonts w:ascii="Calibri" w:hAnsi="Calibri"/>
      <w:kern w:val="0"/>
      <w:sz w:val="24"/>
      <w:szCs w:val="32"/>
    </w:rPr>
  </w:style>
  <w:style w:type="character" w:customStyle="1" w:styleId="168">
    <w:name w:val="正文文本首行缩进 2 字符"/>
    <w:basedOn w:val="73"/>
    <w:link w:val="42"/>
    <w:qFormat/>
    <w:uiPriority w:val="99"/>
    <w:rPr>
      <w:rFonts w:ascii="Calibri" w:hAnsi="Calibri" w:eastAsia="宋体" w:cs="Times New Roman"/>
      <w:kern w:val="0"/>
      <w:sz w:val="28"/>
      <w:szCs w:val="20"/>
    </w:rPr>
  </w:style>
  <w:style w:type="character" w:customStyle="1" w:styleId="169">
    <w:name w:val="正文文本缩进 Char1"/>
    <w:semiHidden/>
    <w:qFormat/>
    <w:uiPriority w:val="0"/>
    <w:rPr>
      <w:rFonts w:ascii="楷体_GB2312" w:hAnsi="Times New Roman" w:eastAsia="楷体_GB2312"/>
      <w:sz w:val="28"/>
    </w:rPr>
  </w:style>
  <w:style w:type="paragraph" w:customStyle="1" w:styleId="170">
    <w:name w:val="正文(首行缩进）"/>
    <w:basedOn w:val="1"/>
    <w:qFormat/>
    <w:uiPriority w:val="0"/>
    <w:pPr>
      <w:snapToGrid w:val="0"/>
      <w:spacing w:line="288" w:lineRule="auto"/>
    </w:pPr>
    <w:rPr>
      <w:rFonts w:ascii="宋体" w:hAnsi="宋体"/>
    </w:rPr>
  </w:style>
  <w:style w:type="character" w:customStyle="1" w:styleId="171">
    <w:name w:val="s7"/>
    <w:basedOn w:val="45"/>
    <w:qFormat/>
    <w:uiPriority w:val="0"/>
    <w:rPr>
      <w:rFonts w:ascii="Helvetica" w:hAnsi="Helvetica" w:eastAsia="Helvetica" w:cs="Helvetica"/>
      <w:sz w:val="21"/>
      <w:szCs w:val="21"/>
    </w:rPr>
  </w:style>
  <w:style w:type="paragraph" w:customStyle="1" w:styleId="172">
    <w:name w:val="p54"/>
    <w:basedOn w:val="1"/>
    <w:qFormat/>
    <w:uiPriority w:val="0"/>
    <w:rPr>
      <w:rFonts w:ascii="Helvetica" w:hAnsi="Helvetica" w:eastAsia="Helvetica"/>
      <w:kern w:val="0"/>
      <w:sz w:val="18"/>
      <w:szCs w:val="18"/>
    </w:rPr>
  </w:style>
  <w:style w:type="character" w:customStyle="1" w:styleId="173">
    <w:name w:val="s9"/>
    <w:basedOn w:val="45"/>
    <w:qFormat/>
    <w:uiPriority w:val="0"/>
    <w:rPr>
      <w:u w:val="single"/>
    </w:rPr>
  </w:style>
  <w:style w:type="paragraph" w:customStyle="1" w:styleId="174">
    <w:name w:val="p64"/>
    <w:basedOn w:val="1"/>
    <w:qFormat/>
    <w:uiPriority w:val="0"/>
    <w:pPr>
      <w:ind w:firstLine="1120"/>
      <w:jc w:val="left"/>
    </w:pPr>
    <w:rPr>
      <w:rFonts w:ascii="儷宋 Pro" w:hAnsi="儷宋 Pro"/>
      <w:kern w:val="0"/>
      <w:sz w:val="28"/>
      <w:szCs w:val="28"/>
    </w:rPr>
  </w:style>
  <w:style w:type="paragraph" w:customStyle="1" w:styleId="175">
    <w:name w:val="p63"/>
    <w:basedOn w:val="1"/>
    <w:qFormat/>
    <w:uiPriority w:val="0"/>
    <w:pPr>
      <w:ind w:firstLine="560"/>
      <w:jc w:val="left"/>
    </w:pPr>
    <w:rPr>
      <w:rFonts w:ascii="儷宋 Pro" w:hAnsi="儷宋 Pro"/>
      <w:kern w:val="0"/>
      <w:sz w:val="28"/>
      <w:szCs w:val="28"/>
    </w:rPr>
  </w:style>
  <w:style w:type="paragraph" w:customStyle="1" w:styleId="176">
    <w:name w:val="p23"/>
    <w:basedOn w:val="1"/>
    <w:qFormat/>
    <w:uiPriority w:val="0"/>
    <w:pPr>
      <w:jc w:val="left"/>
    </w:pPr>
    <w:rPr>
      <w:rFonts w:ascii="Helvetica" w:hAnsi="Helvetica" w:eastAsia="Helvetica"/>
      <w:kern w:val="0"/>
      <w:sz w:val="24"/>
    </w:rPr>
  </w:style>
  <w:style w:type="character" w:customStyle="1" w:styleId="177">
    <w:name w:val="s4"/>
    <w:basedOn w:val="45"/>
    <w:qFormat/>
    <w:uiPriority w:val="0"/>
    <w:rPr>
      <w:rFonts w:hint="default" w:ascii="Helvetica" w:hAnsi="Helvetica" w:eastAsia="Helvetica" w:cs="Helvetica"/>
      <w:sz w:val="28"/>
      <w:szCs w:val="28"/>
    </w:rPr>
  </w:style>
  <w:style w:type="paragraph" w:customStyle="1" w:styleId="178">
    <w:name w:val="p62"/>
    <w:basedOn w:val="1"/>
    <w:qFormat/>
    <w:uiPriority w:val="0"/>
    <w:pPr>
      <w:ind w:firstLine="560"/>
      <w:jc w:val="left"/>
    </w:pPr>
    <w:rPr>
      <w:rFonts w:ascii="儷宋 Pro" w:hAnsi="儷宋 Pro"/>
      <w:kern w:val="0"/>
      <w:sz w:val="28"/>
      <w:szCs w:val="28"/>
    </w:rPr>
  </w:style>
  <w:style w:type="paragraph" w:customStyle="1" w:styleId="179">
    <w:name w:val="p57"/>
    <w:basedOn w:val="1"/>
    <w:qFormat/>
    <w:uiPriority w:val="0"/>
    <w:pPr>
      <w:ind w:firstLine="440"/>
      <w:jc w:val="left"/>
    </w:pPr>
    <w:rPr>
      <w:rFonts w:ascii="Helvetica" w:hAnsi="Helvetica" w:eastAsia="Helvetica"/>
      <w:kern w:val="0"/>
      <w:sz w:val="22"/>
      <w:szCs w:val="22"/>
    </w:rPr>
  </w:style>
  <w:style w:type="paragraph" w:customStyle="1" w:styleId="180">
    <w:name w:val="p56"/>
    <w:basedOn w:val="1"/>
    <w:qFormat/>
    <w:uiPriority w:val="0"/>
    <w:pPr>
      <w:ind w:firstLine="644"/>
      <w:jc w:val="left"/>
    </w:pPr>
    <w:rPr>
      <w:rFonts w:ascii="Helvetica" w:hAnsi="Helvetica" w:eastAsia="Helvetica"/>
      <w:kern w:val="0"/>
      <w:sz w:val="22"/>
      <w:szCs w:val="22"/>
    </w:rPr>
  </w:style>
  <w:style w:type="character" w:customStyle="1" w:styleId="181">
    <w:name w:val="apple-tab-span"/>
    <w:basedOn w:val="45"/>
    <w:qFormat/>
    <w:uiPriority w:val="0"/>
  </w:style>
  <w:style w:type="paragraph" w:customStyle="1" w:styleId="182">
    <w:name w:val="p53"/>
    <w:basedOn w:val="1"/>
    <w:qFormat/>
    <w:uiPriority w:val="0"/>
    <w:pPr>
      <w:jc w:val="center"/>
    </w:pPr>
    <w:rPr>
      <w:rFonts w:ascii="Helvetica" w:hAnsi="Helvetica" w:eastAsia="Helvetica"/>
      <w:kern w:val="0"/>
      <w:sz w:val="18"/>
      <w:szCs w:val="18"/>
    </w:rPr>
  </w:style>
  <w:style w:type="paragraph" w:customStyle="1" w:styleId="183">
    <w:name w:val="p49"/>
    <w:basedOn w:val="1"/>
    <w:qFormat/>
    <w:uiPriority w:val="0"/>
    <w:pPr>
      <w:jc w:val="center"/>
    </w:pPr>
    <w:rPr>
      <w:rFonts w:ascii="Helvetica" w:hAnsi="Helvetica" w:eastAsia="Helvetica"/>
      <w:kern w:val="0"/>
      <w:sz w:val="16"/>
      <w:szCs w:val="16"/>
    </w:rPr>
  </w:style>
  <w:style w:type="paragraph" w:customStyle="1" w:styleId="184">
    <w:name w:val="p47"/>
    <w:basedOn w:val="1"/>
    <w:qFormat/>
    <w:uiPriority w:val="0"/>
    <w:pPr>
      <w:jc w:val="center"/>
    </w:pPr>
    <w:rPr>
      <w:rFonts w:ascii="Helvetica" w:hAnsi="Helvetica" w:eastAsia="Helvetica"/>
      <w:kern w:val="0"/>
      <w:sz w:val="20"/>
      <w:szCs w:val="20"/>
    </w:rPr>
  </w:style>
  <w:style w:type="character" w:customStyle="1" w:styleId="185">
    <w:name w:val="s1"/>
    <w:basedOn w:val="45"/>
    <w:qFormat/>
    <w:uiPriority w:val="0"/>
  </w:style>
  <w:style w:type="paragraph" w:customStyle="1" w:styleId="186">
    <w:name w:val="p13"/>
    <w:basedOn w:val="1"/>
    <w:qFormat/>
    <w:uiPriority w:val="0"/>
    <w:pPr>
      <w:jc w:val="left"/>
    </w:pPr>
    <w:rPr>
      <w:rFonts w:ascii="Helvetica" w:hAnsi="Helvetica" w:eastAsia="Helvetica"/>
      <w:kern w:val="0"/>
      <w:szCs w:val="21"/>
    </w:rPr>
  </w:style>
  <w:style w:type="paragraph" w:customStyle="1" w:styleId="187">
    <w:name w:val="p39"/>
    <w:basedOn w:val="1"/>
    <w:qFormat/>
    <w:uiPriority w:val="0"/>
    <w:pPr>
      <w:spacing w:line="480" w:lineRule="atLeast"/>
      <w:ind w:firstLine="440"/>
      <w:jc w:val="left"/>
    </w:pPr>
    <w:rPr>
      <w:rFonts w:ascii="Helvetica" w:hAnsi="Helvetica" w:eastAsia="Helvetica"/>
      <w:kern w:val="0"/>
      <w:sz w:val="22"/>
      <w:szCs w:val="22"/>
    </w:rPr>
  </w:style>
  <w:style w:type="paragraph" w:customStyle="1" w:styleId="188">
    <w:name w:val="p19"/>
    <w:basedOn w:val="1"/>
    <w:qFormat/>
    <w:uiPriority w:val="0"/>
    <w:pPr>
      <w:jc w:val="left"/>
    </w:pPr>
    <w:rPr>
      <w:rFonts w:ascii="Helvetica" w:hAnsi="Helvetica" w:eastAsia="Helvetica"/>
      <w:kern w:val="0"/>
      <w:sz w:val="24"/>
    </w:rPr>
  </w:style>
  <w:style w:type="paragraph" w:customStyle="1" w:styleId="189">
    <w:name w:val="p42"/>
    <w:basedOn w:val="1"/>
    <w:qFormat/>
    <w:uiPriority w:val="0"/>
    <w:rPr>
      <w:rFonts w:ascii="Helvetica" w:hAnsi="Helvetica" w:eastAsia="Helvetica"/>
      <w:kern w:val="0"/>
      <w:sz w:val="22"/>
      <w:szCs w:val="22"/>
    </w:rPr>
  </w:style>
  <w:style w:type="paragraph" w:customStyle="1" w:styleId="190">
    <w:name w:val="p38"/>
    <w:basedOn w:val="1"/>
    <w:qFormat/>
    <w:uiPriority w:val="0"/>
    <w:pPr>
      <w:spacing w:line="420" w:lineRule="atLeast"/>
      <w:jc w:val="center"/>
    </w:pPr>
    <w:rPr>
      <w:rFonts w:ascii="Helvetica" w:hAnsi="Helvetica" w:eastAsia="Helvetica"/>
      <w:kern w:val="0"/>
      <w:sz w:val="22"/>
      <w:szCs w:val="22"/>
    </w:rPr>
  </w:style>
  <w:style w:type="paragraph" w:customStyle="1" w:styleId="191">
    <w:name w:val="p50"/>
    <w:basedOn w:val="1"/>
    <w:qFormat/>
    <w:uiPriority w:val="0"/>
    <w:pPr>
      <w:jc w:val="left"/>
    </w:pPr>
    <w:rPr>
      <w:rFonts w:ascii="Helvetica" w:hAnsi="Helvetica" w:eastAsia="Helvetica"/>
      <w:kern w:val="0"/>
      <w:sz w:val="20"/>
      <w:szCs w:val="20"/>
    </w:rPr>
  </w:style>
  <w:style w:type="paragraph" w:customStyle="1" w:styleId="192">
    <w:name w:val="p3"/>
    <w:basedOn w:val="1"/>
    <w:qFormat/>
    <w:uiPriority w:val="0"/>
    <w:rPr>
      <w:rFonts w:ascii="Helvetica" w:hAnsi="Helvetica" w:eastAsia="Helvetica"/>
      <w:kern w:val="0"/>
      <w:sz w:val="24"/>
    </w:rPr>
  </w:style>
  <w:style w:type="paragraph" w:customStyle="1" w:styleId="193">
    <w:name w:val="p61"/>
    <w:basedOn w:val="1"/>
    <w:qFormat/>
    <w:uiPriority w:val="0"/>
    <w:pPr>
      <w:ind w:firstLine="640"/>
      <w:jc w:val="left"/>
    </w:pPr>
    <w:rPr>
      <w:rFonts w:ascii="儷宋 Pro" w:hAnsi="儷宋 Pro"/>
      <w:kern w:val="0"/>
      <w:sz w:val="28"/>
      <w:szCs w:val="28"/>
    </w:rPr>
  </w:style>
  <w:style w:type="paragraph" w:customStyle="1" w:styleId="194">
    <w:name w:val="p37"/>
    <w:basedOn w:val="1"/>
    <w:qFormat/>
    <w:uiPriority w:val="0"/>
    <w:pPr>
      <w:spacing w:line="420" w:lineRule="atLeast"/>
      <w:jc w:val="left"/>
    </w:pPr>
    <w:rPr>
      <w:rFonts w:ascii="Helvetica" w:hAnsi="Helvetica" w:eastAsia="Helvetica"/>
      <w:kern w:val="0"/>
      <w:sz w:val="22"/>
      <w:szCs w:val="22"/>
    </w:rPr>
  </w:style>
  <w:style w:type="paragraph" w:customStyle="1" w:styleId="195">
    <w:name w:val="p43"/>
    <w:basedOn w:val="1"/>
    <w:qFormat/>
    <w:uiPriority w:val="0"/>
    <w:pPr>
      <w:jc w:val="left"/>
    </w:pPr>
    <w:rPr>
      <w:rFonts w:ascii="Helvetica" w:hAnsi="Helvetica" w:eastAsia="Helvetica"/>
      <w:kern w:val="0"/>
      <w:szCs w:val="21"/>
    </w:rPr>
  </w:style>
  <w:style w:type="character" w:customStyle="1" w:styleId="196">
    <w:name w:val="s3"/>
    <w:basedOn w:val="45"/>
    <w:qFormat/>
    <w:uiPriority w:val="0"/>
    <w:rPr>
      <w:rFonts w:hint="default" w:ascii="Helvetica" w:hAnsi="Helvetica" w:eastAsia="Helvetica" w:cs="Helvetica"/>
      <w:sz w:val="24"/>
      <w:szCs w:val="24"/>
    </w:rPr>
  </w:style>
  <w:style w:type="paragraph" w:customStyle="1" w:styleId="197">
    <w:name w:val="p28"/>
    <w:basedOn w:val="1"/>
    <w:qFormat/>
    <w:uiPriority w:val="0"/>
    <w:pPr>
      <w:spacing w:line="420" w:lineRule="atLeast"/>
      <w:ind w:firstLine="552"/>
    </w:pPr>
    <w:rPr>
      <w:rFonts w:ascii="Helvetica" w:hAnsi="Helvetica" w:eastAsia="Helvetica"/>
      <w:kern w:val="0"/>
      <w:sz w:val="28"/>
      <w:szCs w:val="28"/>
    </w:rPr>
  </w:style>
  <w:style w:type="paragraph" w:customStyle="1" w:styleId="198">
    <w:name w:val="p33"/>
    <w:basedOn w:val="1"/>
    <w:qFormat/>
    <w:uiPriority w:val="0"/>
    <w:pPr>
      <w:jc w:val="right"/>
    </w:pPr>
    <w:rPr>
      <w:rFonts w:ascii="Helvetica" w:hAnsi="Helvetica" w:eastAsia="Helvetica"/>
      <w:kern w:val="0"/>
      <w:sz w:val="24"/>
    </w:rPr>
  </w:style>
  <w:style w:type="paragraph" w:customStyle="1" w:styleId="199">
    <w:name w:val="p48"/>
    <w:basedOn w:val="1"/>
    <w:qFormat/>
    <w:uiPriority w:val="0"/>
    <w:pPr>
      <w:jc w:val="left"/>
    </w:pPr>
    <w:rPr>
      <w:rFonts w:ascii="Helvetica" w:hAnsi="Helvetica" w:eastAsia="Helvetica"/>
      <w:kern w:val="0"/>
      <w:sz w:val="18"/>
      <w:szCs w:val="18"/>
    </w:rPr>
  </w:style>
  <w:style w:type="character" w:customStyle="1" w:styleId="200">
    <w:name w:val="s8"/>
    <w:basedOn w:val="45"/>
    <w:qFormat/>
    <w:uiPriority w:val="0"/>
    <w:rPr>
      <w:color w:val="FF0000"/>
    </w:rPr>
  </w:style>
  <w:style w:type="paragraph" w:customStyle="1" w:styleId="201">
    <w:name w:val="p27"/>
    <w:basedOn w:val="1"/>
    <w:qFormat/>
    <w:uiPriority w:val="0"/>
    <w:pPr>
      <w:spacing w:line="420" w:lineRule="atLeast"/>
    </w:pPr>
    <w:rPr>
      <w:rFonts w:ascii="Helvetica" w:hAnsi="Helvetica" w:eastAsia="Helvetica"/>
      <w:kern w:val="0"/>
      <w:sz w:val="24"/>
    </w:rPr>
  </w:style>
  <w:style w:type="character" w:customStyle="1" w:styleId="202">
    <w:name w:val="s10"/>
    <w:basedOn w:val="45"/>
    <w:qFormat/>
    <w:uiPriority w:val="0"/>
    <w:rPr>
      <w:rFonts w:hint="default" w:ascii="Helvetica" w:hAnsi="Helvetica" w:eastAsia="Helvetica" w:cs="Helvetica"/>
      <w:sz w:val="22"/>
      <w:szCs w:val="22"/>
    </w:rPr>
  </w:style>
  <w:style w:type="paragraph" w:customStyle="1" w:styleId="203">
    <w:name w:val="p32"/>
    <w:basedOn w:val="1"/>
    <w:qFormat/>
    <w:uiPriority w:val="0"/>
    <w:pPr>
      <w:ind w:left="2730" w:firstLine="1244"/>
    </w:pPr>
    <w:rPr>
      <w:rFonts w:ascii="Helvetica" w:hAnsi="Helvetica" w:eastAsia="Helvetica"/>
      <w:kern w:val="0"/>
      <w:sz w:val="24"/>
    </w:rPr>
  </w:style>
  <w:style w:type="paragraph" w:customStyle="1" w:styleId="204">
    <w:name w:val="p51"/>
    <w:basedOn w:val="1"/>
    <w:qFormat/>
    <w:uiPriority w:val="0"/>
    <w:rPr>
      <w:rFonts w:ascii="Helvetica" w:hAnsi="Helvetica" w:eastAsia="Helvetica"/>
      <w:kern w:val="0"/>
      <w:sz w:val="20"/>
      <w:szCs w:val="20"/>
    </w:rPr>
  </w:style>
  <w:style w:type="paragraph" w:customStyle="1" w:styleId="205">
    <w:name w:val="p44"/>
    <w:basedOn w:val="1"/>
    <w:qFormat/>
    <w:uiPriority w:val="0"/>
    <w:pPr>
      <w:ind w:firstLine="420"/>
      <w:jc w:val="left"/>
    </w:pPr>
    <w:rPr>
      <w:rFonts w:ascii="Helvetica" w:hAnsi="Helvetica" w:eastAsia="Helvetica"/>
      <w:kern w:val="0"/>
      <w:szCs w:val="21"/>
    </w:rPr>
  </w:style>
  <w:style w:type="paragraph" w:customStyle="1" w:styleId="206">
    <w:name w:val="p26"/>
    <w:basedOn w:val="1"/>
    <w:qFormat/>
    <w:uiPriority w:val="0"/>
    <w:pPr>
      <w:spacing w:line="420" w:lineRule="atLeast"/>
    </w:pPr>
    <w:rPr>
      <w:rFonts w:ascii="Helvetica" w:hAnsi="Helvetica" w:eastAsia="Helvetica"/>
      <w:kern w:val="0"/>
      <w:sz w:val="28"/>
      <w:szCs w:val="28"/>
    </w:rPr>
  </w:style>
  <w:style w:type="paragraph" w:customStyle="1" w:styleId="207">
    <w:name w:val="p36"/>
    <w:basedOn w:val="1"/>
    <w:qFormat/>
    <w:uiPriority w:val="0"/>
    <w:pPr>
      <w:spacing w:line="420" w:lineRule="atLeast"/>
      <w:jc w:val="left"/>
    </w:pPr>
    <w:rPr>
      <w:rFonts w:ascii="Helvetica" w:hAnsi="Helvetica" w:eastAsia="Helvetica"/>
      <w:kern w:val="0"/>
      <w:sz w:val="24"/>
    </w:rPr>
  </w:style>
  <w:style w:type="character" w:customStyle="1" w:styleId="208">
    <w:name w:val="s5"/>
    <w:basedOn w:val="45"/>
    <w:qFormat/>
    <w:uiPriority w:val="0"/>
    <w:rPr>
      <w:rFonts w:hint="default" w:ascii="Helvetica" w:hAnsi="Helvetica" w:eastAsia="Helvetica" w:cs="Helvetica"/>
      <w:sz w:val="24"/>
      <w:szCs w:val="24"/>
    </w:rPr>
  </w:style>
  <w:style w:type="paragraph" w:customStyle="1" w:styleId="209">
    <w:name w:val="p12"/>
    <w:basedOn w:val="1"/>
    <w:qFormat/>
    <w:uiPriority w:val="0"/>
    <w:pPr>
      <w:jc w:val="center"/>
    </w:pPr>
    <w:rPr>
      <w:rFonts w:ascii="Helvetica" w:hAnsi="Helvetica" w:eastAsia="Helvetica"/>
      <w:kern w:val="0"/>
      <w:szCs w:val="21"/>
    </w:rPr>
  </w:style>
  <w:style w:type="paragraph" w:customStyle="1" w:styleId="210">
    <w:name w:val="p2"/>
    <w:basedOn w:val="1"/>
    <w:qFormat/>
    <w:uiPriority w:val="0"/>
    <w:pPr>
      <w:jc w:val="center"/>
    </w:pPr>
    <w:rPr>
      <w:rFonts w:ascii="Helvetica" w:hAnsi="Helvetica" w:eastAsia="Helvetica"/>
      <w:kern w:val="0"/>
      <w:sz w:val="44"/>
      <w:szCs w:val="44"/>
    </w:rPr>
  </w:style>
  <w:style w:type="paragraph" w:customStyle="1" w:styleId="211">
    <w:name w:val="p45"/>
    <w:basedOn w:val="1"/>
    <w:qFormat/>
    <w:uiPriority w:val="0"/>
    <w:pPr>
      <w:jc w:val="center"/>
    </w:pPr>
    <w:rPr>
      <w:rFonts w:ascii="Helvetica" w:hAnsi="Helvetica" w:eastAsia="Helvetica"/>
      <w:kern w:val="0"/>
      <w:sz w:val="20"/>
      <w:szCs w:val="20"/>
    </w:rPr>
  </w:style>
  <w:style w:type="paragraph" w:customStyle="1" w:styleId="212">
    <w:name w:val="p10"/>
    <w:basedOn w:val="1"/>
    <w:qFormat/>
    <w:uiPriority w:val="0"/>
    <w:pPr>
      <w:jc w:val="center"/>
    </w:pPr>
    <w:rPr>
      <w:rFonts w:ascii="Helvetica" w:hAnsi="Helvetica" w:eastAsia="Helvetica"/>
      <w:kern w:val="0"/>
      <w:sz w:val="22"/>
      <w:szCs w:val="22"/>
    </w:rPr>
  </w:style>
  <w:style w:type="character" w:customStyle="1" w:styleId="213">
    <w:name w:val="s11"/>
    <w:basedOn w:val="45"/>
    <w:qFormat/>
    <w:uiPriority w:val="0"/>
    <w:rPr>
      <w:rFonts w:hint="default" w:ascii="Helvetica" w:hAnsi="Helvetica" w:eastAsia="Helvetica" w:cs="Helvetica"/>
      <w:sz w:val="32"/>
      <w:szCs w:val="32"/>
    </w:rPr>
  </w:style>
  <w:style w:type="paragraph" w:customStyle="1" w:styleId="214">
    <w:name w:val="p30"/>
    <w:basedOn w:val="1"/>
    <w:qFormat/>
    <w:uiPriority w:val="0"/>
    <w:pPr>
      <w:ind w:firstLine="538"/>
    </w:pPr>
    <w:rPr>
      <w:rFonts w:ascii="Helvetica" w:hAnsi="Helvetica" w:eastAsia="Helvetica"/>
      <w:kern w:val="0"/>
      <w:sz w:val="28"/>
      <w:szCs w:val="28"/>
    </w:rPr>
  </w:style>
  <w:style w:type="paragraph" w:customStyle="1" w:styleId="215">
    <w:name w:val="p40"/>
    <w:basedOn w:val="1"/>
    <w:qFormat/>
    <w:uiPriority w:val="0"/>
    <w:pPr>
      <w:spacing w:line="420" w:lineRule="atLeast"/>
      <w:jc w:val="right"/>
    </w:pPr>
    <w:rPr>
      <w:rFonts w:ascii="Helvetica" w:hAnsi="Helvetica" w:eastAsia="Helvetica"/>
      <w:kern w:val="0"/>
      <w:szCs w:val="21"/>
    </w:rPr>
  </w:style>
  <w:style w:type="paragraph" w:customStyle="1" w:styleId="216">
    <w:name w:val="p9"/>
    <w:basedOn w:val="1"/>
    <w:qFormat/>
    <w:uiPriority w:val="0"/>
    <w:pPr>
      <w:jc w:val="left"/>
    </w:pPr>
    <w:rPr>
      <w:kern w:val="0"/>
      <w:sz w:val="18"/>
      <w:szCs w:val="18"/>
    </w:rPr>
  </w:style>
  <w:style w:type="character" w:customStyle="1" w:styleId="217">
    <w:name w:val="s6"/>
    <w:basedOn w:val="45"/>
    <w:qFormat/>
    <w:uiPriority w:val="0"/>
    <w:rPr>
      <w:rFonts w:hint="default" w:ascii="Times New Roman" w:hAnsi="Times New Roman" w:cs="Times New Roman"/>
      <w:sz w:val="21"/>
      <w:szCs w:val="21"/>
    </w:rPr>
  </w:style>
  <w:style w:type="paragraph" w:customStyle="1" w:styleId="218">
    <w:name w:val="p6"/>
    <w:basedOn w:val="1"/>
    <w:qFormat/>
    <w:uiPriority w:val="0"/>
    <w:pPr>
      <w:ind w:firstLine="480"/>
    </w:pPr>
    <w:rPr>
      <w:rFonts w:ascii="Helvetica" w:hAnsi="Helvetica" w:eastAsia="Helvetica"/>
      <w:kern w:val="0"/>
      <w:sz w:val="24"/>
    </w:rPr>
  </w:style>
  <w:style w:type="character" w:customStyle="1" w:styleId="219">
    <w:name w:val="s2"/>
    <w:basedOn w:val="45"/>
    <w:qFormat/>
    <w:uiPriority w:val="0"/>
    <w:rPr>
      <w:rFonts w:hint="default" w:ascii="Helvetica" w:hAnsi="Helvetica" w:eastAsia="Helvetica" w:cs="Helvetica"/>
      <w:sz w:val="21"/>
      <w:szCs w:val="21"/>
    </w:rPr>
  </w:style>
  <w:style w:type="paragraph" w:customStyle="1" w:styleId="220">
    <w:name w:val="p59"/>
    <w:basedOn w:val="1"/>
    <w:qFormat/>
    <w:uiPriority w:val="0"/>
    <w:pPr>
      <w:jc w:val="center"/>
    </w:pPr>
    <w:rPr>
      <w:rFonts w:ascii="Helvetica" w:hAnsi="Helvetica" w:eastAsia="Helvetica"/>
      <w:kern w:val="0"/>
      <w:sz w:val="32"/>
      <w:szCs w:val="32"/>
    </w:rPr>
  </w:style>
  <w:style w:type="paragraph" w:customStyle="1" w:styleId="221">
    <w:name w:val="p65"/>
    <w:basedOn w:val="1"/>
    <w:qFormat/>
    <w:uiPriority w:val="0"/>
    <w:pPr>
      <w:ind w:firstLine="1120"/>
      <w:jc w:val="left"/>
    </w:pPr>
    <w:rPr>
      <w:rFonts w:ascii="儷宋 Pro" w:hAnsi="儷宋 Pro"/>
      <w:kern w:val="0"/>
      <w:sz w:val="28"/>
      <w:szCs w:val="28"/>
    </w:rPr>
  </w:style>
  <w:style w:type="paragraph" w:customStyle="1" w:styleId="222">
    <w:name w:val="p8"/>
    <w:basedOn w:val="1"/>
    <w:qFormat/>
    <w:uiPriority w:val="0"/>
    <w:pPr>
      <w:ind w:firstLine="600"/>
    </w:pPr>
    <w:rPr>
      <w:rFonts w:ascii="Helvetica" w:hAnsi="Helvetica" w:eastAsia="Helvetica"/>
      <w:kern w:val="0"/>
      <w:sz w:val="24"/>
    </w:rPr>
  </w:style>
  <w:style w:type="paragraph" w:customStyle="1" w:styleId="223">
    <w:name w:val="p5"/>
    <w:basedOn w:val="1"/>
    <w:qFormat/>
    <w:uiPriority w:val="0"/>
    <w:pPr>
      <w:ind w:firstLine="480"/>
    </w:pPr>
    <w:rPr>
      <w:rFonts w:ascii="Helvetica" w:hAnsi="Helvetica" w:eastAsia="Helvetica"/>
      <w:kern w:val="0"/>
      <w:sz w:val="24"/>
    </w:rPr>
  </w:style>
  <w:style w:type="paragraph" w:customStyle="1" w:styleId="224">
    <w:name w:val="p58"/>
    <w:basedOn w:val="1"/>
    <w:qFormat/>
    <w:uiPriority w:val="0"/>
    <w:pPr>
      <w:jc w:val="left"/>
    </w:pPr>
    <w:rPr>
      <w:rFonts w:ascii="Helvetica" w:hAnsi="Helvetica" w:eastAsia="Helvetica"/>
      <w:kern w:val="0"/>
      <w:sz w:val="22"/>
      <w:szCs w:val="22"/>
    </w:rPr>
  </w:style>
  <w:style w:type="paragraph" w:customStyle="1" w:styleId="225">
    <w:name w:val="p7"/>
    <w:basedOn w:val="1"/>
    <w:qFormat/>
    <w:uiPriority w:val="0"/>
    <w:pPr>
      <w:ind w:firstLine="482"/>
    </w:pPr>
    <w:rPr>
      <w:rFonts w:ascii="Helvetica" w:hAnsi="Helvetica" w:eastAsia="Helvetica"/>
      <w:kern w:val="0"/>
      <w:sz w:val="24"/>
    </w:rPr>
  </w:style>
  <w:style w:type="paragraph" w:customStyle="1" w:styleId="226">
    <w:name w:val="p52"/>
    <w:basedOn w:val="1"/>
    <w:qFormat/>
    <w:uiPriority w:val="0"/>
    <w:pPr>
      <w:jc w:val="left"/>
    </w:pPr>
    <w:rPr>
      <w:rFonts w:ascii="Helvetica" w:hAnsi="Helvetica" w:eastAsia="Helvetica"/>
      <w:kern w:val="0"/>
      <w:sz w:val="18"/>
      <w:szCs w:val="18"/>
    </w:rPr>
  </w:style>
  <w:style w:type="paragraph" w:customStyle="1" w:styleId="227">
    <w:name w:val="p60"/>
    <w:basedOn w:val="1"/>
    <w:qFormat/>
    <w:uiPriority w:val="0"/>
    <w:pPr>
      <w:jc w:val="center"/>
    </w:pPr>
    <w:rPr>
      <w:rFonts w:ascii="Helvetica" w:hAnsi="Helvetica" w:eastAsia="Helvetica"/>
      <w:kern w:val="0"/>
      <w:sz w:val="32"/>
      <w:szCs w:val="32"/>
    </w:rPr>
  </w:style>
  <w:style w:type="paragraph" w:customStyle="1" w:styleId="228">
    <w:name w:val="p1"/>
    <w:basedOn w:val="1"/>
    <w:qFormat/>
    <w:uiPriority w:val="0"/>
    <w:pPr>
      <w:jc w:val="center"/>
    </w:pPr>
    <w:rPr>
      <w:rFonts w:ascii="Helvetica" w:hAnsi="Helvetica" w:eastAsia="Helvetica"/>
      <w:kern w:val="0"/>
      <w:sz w:val="44"/>
      <w:szCs w:val="44"/>
    </w:rPr>
  </w:style>
  <w:style w:type="paragraph" w:customStyle="1" w:styleId="229">
    <w:name w:val="p11"/>
    <w:basedOn w:val="1"/>
    <w:qFormat/>
    <w:uiPriority w:val="0"/>
    <w:pPr>
      <w:jc w:val="center"/>
    </w:pPr>
    <w:rPr>
      <w:rFonts w:ascii="Helvetica" w:hAnsi="Helvetica" w:eastAsia="Helvetica"/>
      <w:kern w:val="0"/>
      <w:szCs w:val="21"/>
    </w:rPr>
  </w:style>
  <w:style w:type="paragraph" w:customStyle="1" w:styleId="230">
    <w:name w:val="p4"/>
    <w:basedOn w:val="1"/>
    <w:qFormat/>
    <w:uiPriority w:val="0"/>
    <w:rPr>
      <w:rFonts w:ascii="Helvetica" w:hAnsi="Helvetica" w:eastAsia="Helvetica"/>
      <w:kern w:val="0"/>
      <w:sz w:val="24"/>
    </w:rPr>
  </w:style>
  <w:style w:type="paragraph" w:customStyle="1" w:styleId="231">
    <w:name w:val="p46"/>
    <w:basedOn w:val="1"/>
    <w:qFormat/>
    <w:uiPriority w:val="0"/>
    <w:pPr>
      <w:jc w:val="center"/>
    </w:pPr>
    <w:rPr>
      <w:rFonts w:ascii="Helvetica" w:hAnsi="Helvetica" w:eastAsia="Helvetica"/>
      <w:kern w:val="0"/>
      <w:sz w:val="18"/>
      <w:szCs w:val="18"/>
    </w:rPr>
  </w:style>
  <w:style w:type="paragraph" w:customStyle="1" w:styleId="232">
    <w:name w:val="p35"/>
    <w:basedOn w:val="1"/>
    <w:qFormat/>
    <w:uiPriority w:val="0"/>
    <w:rPr>
      <w:rFonts w:ascii="Helvetica" w:hAnsi="Helvetica" w:eastAsia="Helvetica"/>
      <w:kern w:val="0"/>
      <w:szCs w:val="21"/>
    </w:rPr>
  </w:style>
  <w:style w:type="paragraph" w:customStyle="1" w:styleId="233">
    <w:name w:val="p16"/>
    <w:basedOn w:val="1"/>
    <w:qFormat/>
    <w:uiPriority w:val="0"/>
    <w:pPr>
      <w:ind w:firstLine="960"/>
    </w:pPr>
    <w:rPr>
      <w:rFonts w:ascii="Helvetica" w:hAnsi="Helvetica" w:eastAsia="Helvetica"/>
      <w:kern w:val="0"/>
      <w:sz w:val="24"/>
    </w:rPr>
  </w:style>
  <w:style w:type="paragraph" w:customStyle="1" w:styleId="234">
    <w:name w:val="p55"/>
    <w:basedOn w:val="1"/>
    <w:qFormat/>
    <w:uiPriority w:val="0"/>
    <w:pPr>
      <w:jc w:val="left"/>
    </w:pPr>
    <w:rPr>
      <w:rFonts w:ascii="Helvetica" w:hAnsi="Helvetica" w:eastAsia="Helvetica"/>
      <w:kern w:val="0"/>
      <w:sz w:val="22"/>
      <w:szCs w:val="22"/>
    </w:rPr>
  </w:style>
  <w:style w:type="paragraph" w:customStyle="1" w:styleId="235">
    <w:name w:val="p22"/>
    <w:basedOn w:val="1"/>
    <w:qFormat/>
    <w:uiPriority w:val="0"/>
    <w:pPr>
      <w:ind w:firstLine="360"/>
    </w:pPr>
    <w:rPr>
      <w:rFonts w:ascii="Helvetica" w:hAnsi="Helvetica" w:eastAsia="Helvetica"/>
      <w:kern w:val="0"/>
      <w:sz w:val="24"/>
    </w:rPr>
  </w:style>
  <w:style w:type="paragraph" w:customStyle="1" w:styleId="236">
    <w:name w:val="p31"/>
    <w:basedOn w:val="1"/>
    <w:qFormat/>
    <w:uiPriority w:val="0"/>
    <w:rPr>
      <w:rFonts w:ascii="Helvetica" w:hAnsi="Helvetica" w:eastAsia="Helvetica"/>
      <w:kern w:val="0"/>
      <w:sz w:val="28"/>
      <w:szCs w:val="28"/>
    </w:rPr>
  </w:style>
  <w:style w:type="paragraph" w:customStyle="1" w:styleId="237">
    <w:name w:val="p18"/>
    <w:basedOn w:val="1"/>
    <w:qFormat/>
    <w:uiPriority w:val="0"/>
    <w:pPr>
      <w:ind w:left="202" w:firstLine="360"/>
    </w:pPr>
    <w:rPr>
      <w:rFonts w:ascii="Helvetica" w:hAnsi="Helvetica" w:eastAsia="Helvetica"/>
      <w:kern w:val="0"/>
      <w:sz w:val="24"/>
    </w:rPr>
  </w:style>
  <w:style w:type="paragraph" w:customStyle="1" w:styleId="238">
    <w:name w:val="p24"/>
    <w:basedOn w:val="1"/>
    <w:qFormat/>
    <w:uiPriority w:val="0"/>
    <w:pPr>
      <w:ind w:firstLine="480"/>
      <w:jc w:val="right"/>
    </w:pPr>
    <w:rPr>
      <w:rFonts w:ascii="Helvetica" w:hAnsi="Helvetica" w:eastAsia="Helvetica"/>
      <w:kern w:val="0"/>
      <w:sz w:val="24"/>
    </w:rPr>
  </w:style>
  <w:style w:type="paragraph" w:customStyle="1" w:styleId="239">
    <w:name w:val="p41"/>
    <w:basedOn w:val="1"/>
    <w:qFormat/>
    <w:uiPriority w:val="0"/>
    <w:pPr>
      <w:spacing w:line="420" w:lineRule="atLeast"/>
      <w:jc w:val="right"/>
    </w:pPr>
    <w:rPr>
      <w:rFonts w:ascii="Helvetica" w:hAnsi="Helvetica" w:eastAsia="Helvetica"/>
      <w:kern w:val="0"/>
      <w:szCs w:val="21"/>
    </w:rPr>
  </w:style>
  <w:style w:type="paragraph" w:customStyle="1" w:styleId="240">
    <w:name w:val="p21"/>
    <w:basedOn w:val="1"/>
    <w:qFormat/>
    <w:uiPriority w:val="0"/>
    <w:pPr>
      <w:jc w:val="center"/>
    </w:pPr>
    <w:rPr>
      <w:rFonts w:ascii="Helvetica" w:hAnsi="Helvetica" w:eastAsia="Helvetica"/>
      <w:kern w:val="0"/>
      <w:sz w:val="24"/>
    </w:rPr>
  </w:style>
  <w:style w:type="paragraph" w:customStyle="1" w:styleId="241">
    <w:name w:val="p25"/>
    <w:basedOn w:val="1"/>
    <w:qFormat/>
    <w:uiPriority w:val="0"/>
    <w:pPr>
      <w:spacing w:line="420" w:lineRule="atLeast"/>
      <w:jc w:val="left"/>
    </w:pPr>
    <w:rPr>
      <w:rFonts w:ascii="Helvetica" w:hAnsi="Helvetica" w:eastAsia="Helvetica"/>
      <w:kern w:val="0"/>
      <w:sz w:val="28"/>
      <w:szCs w:val="28"/>
    </w:rPr>
  </w:style>
  <w:style w:type="paragraph" w:customStyle="1" w:styleId="242">
    <w:name w:val="p14"/>
    <w:basedOn w:val="1"/>
    <w:qFormat/>
    <w:uiPriority w:val="0"/>
    <w:pPr>
      <w:ind w:firstLine="482"/>
    </w:pPr>
    <w:rPr>
      <w:rFonts w:ascii="Helvetica" w:hAnsi="Helvetica" w:eastAsia="Helvetica"/>
      <w:kern w:val="0"/>
      <w:sz w:val="24"/>
    </w:rPr>
  </w:style>
  <w:style w:type="paragraph" w:customStyle="1" w:styleId="243">
    <w:name w:val="p17"/>
    <w:basedOn w:val="1"/>
    <w:qFormat/>
    <w:uiPriority w:val="0"/>
    <w:pPr>
      <w:ind w:left="202" w:firstLine="240"/>
    </w:pPr>
    <w:rPr>
      <w:rFonts w:ascii="Helvetica" w:hAnsi="Helvetica" w:eastAsia="Helvetica"/>
      <w:kern w:val="0"/>
      <w:sz w:val="24"/>
    </w:rPr>
  </w:style>
  <w:style w:type="paragraph" w:customStyle="1" w:styleId="244">
    <w:name w:val="p29"/>
    <w:basedOn w:val="1"/>
    <w:qFormat/>
    <w:uiPriority w:val="0"/>
    <w:pPr>
      <w:ind w:firstLine="560"/>
    </w:pPr>
    <w:rPr>
      <w:rFonts w:ascii="Helvetica" w:hAnsi="Helvetica" w:eastAsia="Helvetica"/>
      <w:kern w:val="0"/>
      <w:sz w:val="28"/>
      <w:szCs w:val="28"/>
    </w:rPr>
  </w:style>
  <w:style w:type="paragraph" w:customStyle="1" w:styleId="245">
    <w:name w:val="p34"/>
    <w:basedOn w:val="1"/>
    <w:qFormat/>
    <w:uiPriority w:val="0"/>
    <w:rPr>
      <w:rFonts w:ascii="Helvetica" w:hAnsi="Helvetica" w:eastAsia="Helvetica"/>
      <w:kern w:val="0"/>
      <w:szCs w:val="21"/>
    </w:rPr>
  </w:style>
  <w:style w:type="paragraph" w:customStyle="1" w:styleId="246">
    <w:name w:val="p15"/>
    <w:basedOn w:val="1"/>
    <w:qFormat/>
    <w:uiPriority w:val="0"/>
    <w:pPr>
      <w:ind w:firstLine="480"/>
      <w:jc w:val="left"/>
    </w:pPr>
    <w:rPr>
      <w:rFonts w:ascii="Helvetica" w:hAnsi="Helvetica" w:eastAsia="Helvetica"/>
      <w:kern w:val="0"/>
      <w:sz w:val="24"/>
    </w:rPr>
  </w:style>
  <w:style w:type="paragraph" w:customStyle="1" w:styleId="247">
    <w:name w:val="p20"/>
    <w:basedOn w:val="1"/>
    <w:qFormat/>
    <w:uiPriority w:val="0"/>
    <w:pPr>
      <w:jc w:val="center"/>
    </w:pPr>
    <w:rPr>
      <w:rFonts w:ascii="Helvetica" w:hAnsi="Helvetica" w:eastAsia="Helvetica"/>
      <w:kern w:val="0"/>
      <w:sz w:val="24"/>
    </w:rPr>
  </w:style>
  <w:style w:type="character" w:customStyle="1" w:styleId="248">
    <w:name w:val="正文缩进 字符"/>
    <w:link w:val="5"/>
    <w:qFormat/>
    <w:uiPriority w:val="0"/>
    <w:rPr>
      <w:rFonts w:ascii="楷体_GB2312" w:eastAsia="楷体_GB2312"/>
      <w:sz w:val="28"/>
    </w:rPr>
  </w:style>
  <w:style w:type="paragraph" w:styleId="249">
    <w:name w:val="List Paragraph"/>
    <w:basedOn w:val="1"/>
    <w:link w:val="250"/>
    <w:qFormat/>
    <w:uiPriority w:val="34"/>
    <w:pPr>
      <w:topLinePunct/>
      <w:ind w:firstLine="420" w:firstLineChars="200"/>
    </w:pPr>
    <w:rPr>
      <w:sz w:val="24"/>
    </w:rPr>
  </w:style>
  <w:style w:type="character" w:customStyle="1" w:styleId="250">
    <w:name w:val="列表段落 字符1"/>
    <w:link w:val="249"/>
    <w:qFormat/>
    <w:uiPriority w:val="99"/>
    <w:rPr>
      <w:kern w:val="2"/>
      <w:sz w:val="24"/>
      <w:szCs w:val="24"/>
    </w:rPr>
  </w:style>
  <w:style w:type="paragraph" w:customStyle="1" w:styleId="251">
    <w:name w:val="TOC 标题3"/>
    <w:basedOn w:val="2"/>
    <w:next w:val="1"/>
    <w:qFormat/>
    <w:uiPriority w:val="0"/>
    <w:pPr>
      <w:widowControl/>
      <w:topLinePunct/>
      <w:spacing w:before="480" w:after="0" w:line="276" w:lineRule="auto"/>
      <w:jc w:val="left"/>
      <w:outlineLvl w:val="9"/>
    </w:pPr>
    <w:rPr>
      <w:rFonts w:ascii="Cambria" w:hAnsi="Cambria"/>
      <w:bCs w:val="0"/>
      <w:color w:val="365F91"/>
      <w:kern w:val="0"/>
      <w:sz w:val="28"/>
      <w:szCs w:val="28"/>
    </w:rPr>
  </w:style>
  <w:style w:type="paragraph" w:customStyle="1" w:styleId="252">
    <w:name w:val="普通 (Web)"/>
    <w:basedOn w:val="1"/>
    <w:qFormat/>
    <w:uiPriority w:val="0"/>
    <w:pPr>
      <w:widowControl/>
      <w:suppressAutoHyphens/>
      <w:spacing w:before="280" w:after="280"/>
      <w:jc w:val="left"/>
    </w:pPr>
    <w:rPr>
      <w:rFonts w:ascii="宋体" w:hAnsi="宋体"/>
      <w:kern w:val="1"/>
      <w:sz w:val="24"/>
      <w:lang w:eastAsia="ar-SA"/>
    </w:rPr>
  </w:style>
  <w:style w:type="character" w:customStyle="1" w:styleId="253">
    <w:name w:val="页脚 字符"/>
    <w:semiHidden/>
    <w:qFormat/>
    <w:uiPriority w:val="99"/>
    <w:rPr>
      <w:kern w:val="2"/>
      <w:sz w:val="18"/>
      <w:szCs w:val="18"/>
    </w:rPr>
  </w:style>
  <w:style w:type="character" w:customStyle="1" w:styleId="254">
    <w:name w:val="列表段落 字符"/>
    <w:link w:val="255"/>
    <w:qFormat/>
    <w:uiPriority w:val="99"/>
    <w:rPr>
      <w:rFonts w:ascii="Times New Roman" w:hAnsi="Times New Roman"/>
      <w:kern w:val="2"/>
      <w:sz w:val="24"/>
      <w:szCs w:val="24"/>
    </w:rPr>
  </w:style>
  <w:style w:type="paragraph" w:customStyle="1" w:styleId="255">
    <w:name w:val="_Style 253"/>
    <w:basedOn w:val="1"/>
    <w:next w:val="249"/>
    <w:link w:val="254"/>
    <w:qFormat/>
    <w:uiPriority w:val="99"/>
    <w:pPr>
      <w:topLinePunct/>
      <w:ind w:firstLine="420" w:firstLineChars="200"/>
    </w:pPr>
    <w:rPr>
      <w:sz w:val="24"/>
    </w:rPr>
  </w:style>
  <w:style w:type="paragraph" w:customStyle="1" w:styleId="256">
    <w:name w:val="Table Paragraph"/>
    <w:basedOn w:val="1"/>
    <w:qFormat/>
    <w:uiPriority w:val="1"/>
    <w:pPr>
      <w:jc w:val="left"/>
    </w:pPr>
    <w:rPr>
      <w:rFonts w:ascii="Arial Narrow" w:hAnsi="Arial Narrow" w:eastAsia="Calibri Light" w:cs="Tahoma"/>
      <w:kern w:val="0"/>
      <w:sz w:val="22"/>
      <w:szCs w:val="22"/>
      <w:lang w:eastAsia="en-US"/>
    </w:rPr>
  </w:style>
  <w:style w:type="character" w:customStyle="1" w:styleId="257">
    <w:name w:val="Unresolved Mention"/>
    <w:basedOn w:val="45"/>
    <w:semiHidden/>
    <w:unhideWhenUsed/>
    <w:qFormat/>
    <w:uiPriority w:val="99"/>
    <w:rPr>
      <w:color w:val="605E5C"/>
      <w:shd w:val="clear" w:color="auto" w:fill="E1DFDD"/>
    </w:rPr>
  </w:style>
  <w:style w:type="paragraph" w:customStyle="1" w:styleId="258">
    <w:name w:val="列出段落"/>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8770</Words>
  <Characters>9354</Characters>
  <Lines>177</Lines>
  <Paragraphs>49</Paragraphs>
  <TotalTime>0</TotalTime>
  <ScaleCrop>false</ScaleCrop>
  <LinksUpToDate>false</LinksUpToDate>
  <CharactersWithSpaces>9413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2022-01-09T17:59:00Z</dcterms:created>
  <dc:creator>MIIT</dc:creator>
  <cp:lastModifiedBy>综合部</cp:lastModifiedBy>
  <cp:lastPrinted>2019-04-10T17:35:00Z</cp:lastPrinted>
  <dcterms:modified xsi:type="dcterms:W3CDTF">2024-12-09T02:20:34Z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7921E57AD9F34C319CD2A964D0A18898_13</vt:lpwstr>
  </property>
</Properties>
</file>