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238FC">
      <w:pPr>
        <w:jc w:val="center"/>
        <w:rPr>
          <w:rFonts w:ascii="方正小标宋简体" w:hAnsi="方正小标宋简体" w:eastAsia="方正小标宋简体" w:cs="方正小标宋简体"/>
          <w:sz w:val="44"/>
          <w:szCs w:val="44"/>
        </w:rPr>
      </w:pPr>
      <w:r>
        <w:rPr>
          <w:rFonts w:hint="eastAsia" w:ascii="Times New Roman" w:hAnsi="Times New Roman" w:eastAsia="方正小标宋简体" w:cs="Times New Roman"/>
          <w:color w:val="333333"/>
          <w:sz w:val="44"/>
          <w:szCs w:val="44"/>
          <w:shd w:val="clear" w:color="auto" w:fill="FFFFFF"/>
        </w:rPr>
        <w:t>南宁</w:t>
      </w:r>
      <w:r>
        <w:rPr>
          <w:rFonts w:hint="eastAsia" w:ascii="Times New Roman" w:hAnsi="Times New Roman" w:eastAsia="方正小标宋简体" w:cs="Times New Roman"/>
          <w:color w:val="333333"/>
          <w:sz w:val="44"/>
          <w:szCs w:val="44"/>
          <w:shd w:val="clear" w:color="auto" w:fill="FFFFFF"/>
          <w:lang w:eastAsia="zh-CN"/>
        </w:rPr>
        <w:t>轨道数智科技</w:t>
      </w:r>
      <w:r>
        <w:rPr>
          <w:rFonts w:hint="eastAsia" w:ascii="Times New Roman" w:hAnsi="Times New Roman" w:eastAsia="方正小标宋简体" w:cs="Times New Roman"/>
          <w:color w:val="333333"/>
          <w:sz w:val="44"/>
          <w:szCs w:val="44"/>
          <w:shd w:val="clear" w:color="auto" w:fill="FFFFFF"/>
        </w:rPr>
        <w:t>有限公司</w:t>
      </w:r>
    </w:p>
    <w:p w14:paraId="27FB9DA3">
      <w:pPr>
        <w:jc w:val="center"/>
        <w:outlineLvl w:val="0"/>
        <w:rPr>
          <w:rFonts w:hint="eastAsia" w:ascii="方正小标宋简体" w:hAnsi="方正小标宋简体" w:eastAsia="方正小标宋简体" w:cs="方正小标宋简体"/>
          <w:b w:val="0"/>
          <w:bCs/>
          <w:sz w:val="44"/>
          <w:szCs w:val="44"/>
          <w:lang w:val="en-US" w:eastAsia="zh-CN"/>
        </w:rPr>
      </w:pPr>
      <w:bookmarkStart w:id="0" w:name="_Toc1420"/>
      <w:r>
        <w:rPr>
          <w:rFonts w:hint="eastAsia" w:ascii="方正小标宋简体" w:hAnsi="方正小标宋简体" w:eastAsia="方正小标宋简体" w:cs="方正小标宋简体"/>
          <w:b w:val="0"/>
          <w:bCs/>
          <w:color w:val="auto"/>
          <w:sz w:val="44"/>
          <w:szCs w:val="44"/>
          <w:lang w:eastAsia="zh-CN"/>
        </w:rPr>
        <w:t>智慧管控配置管理程序开发服务</w:t>
      </w:r>
      <w:r>
        <w:rPr>
          <w:rFonts w:hint="eastAsia" w:ascii="方正小标宋简体" w:hAnsi="方正小标宋简体" w:eastAsia="方正小标宋简体" w:cs="方正小标宋简体"/>
          <w:b w:val="0"/>
          <w:bCs/>
          <w:sz w:val="44"/>
          <w:szCs w:val="44"/>
          <w:lang w:val="en-US" w:eastAsia="zh-CN"/>
        </w:rPr>
        <w:t>采购</w:t>
      </w:r>
      <w:bookmarkEnd w:id="0"/>
      <w:r>
        <w:rPr>
          <w:rFonts w:hint="eastAsia" w:ascii="方正小标宋简体" w:hAnsi="方正小标宋简体" w:eastAsia="方正小标宋简体" w:cs="方正小标宋简体"/>
          <w:b w:val="0"/>
          <w:bCs/>
          <w:sz w:val="44"/>
          <w:szCs w:val="44"/>
          <w:lang w:val="en-US" w:eastAsia="zh-CN"/>
        </w:rPr>
        <w:t>项目</w:t>
      </w:r>
    </w:p>
    <w:p w14:paraId="4B8EBF6C">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比选文件</w:t>
      </w:r>
    </w:p>
    <w:p w14:paraId="5ACF8C38">
      <w:pPr>
        <w:rPr>
          <w:rFonts w:ascii="方正小标宋简体" w:hAnsi="方正小标宋简体" w:eastAsia="方正小标宋简体" w:cs="方正小标宋简体"/>
          <w:sz w:val="44"/>
          <w:szCs w:val="44"/>
        </w:rPr>
      </w:pPr>
    </w:p>
    <w:p w14:paraId="388A9D60">
      <w:pPr>
        <w:rPr>
          <w:rFonts w:ascii="方正小标宋简体" w:hAnsi="方正小标宋简体" w:eastAsia="方正小标宋简体" w:cs="方正小标宋简体"/>
          <w:sz w:val="44"/>
          <w:szCs w:val="44"/>
        </w:rPr>
      </w:pPr>
    </w:p>
    <w:p w14:paraId="64A7F79D">
      <w:pPr>
        <w:rPr>
          <w:rFonts w:ascii="方正小标宋简体" w:hAnsi="方正小标宋简体" w:eastAsia="方正小标宋简体" w:cs="方正小标宋简体"/>
          <w:sz w:val="44"/>
          <w:szCs w:val="44"/>
        </w:rPr>
      </w:pPr>
    </w:p>
    <w:p w14:paraId="09EC2B64">
      <w:pPr>
        <w:rPr>
          <w:rFonts w:ascii="方正小标宋简体" w:hAnsi="方正小标宋简体" w:eastAsia="方正小标宋简体" w:cs="方正小标宋简体"/>
          <w:sz w:val="44"/>
          <w:szCs w:val="44"/>
        </w:rPr>
      </w:pPr>
    </w:p>
    <w:p w14:paraId="7A5669A4">
      <w:pPr>
        <w:rPr>
          <w:rFonts w:ascii="方正小标宋简体" w:hAnsi="方正小标宋简体" w:eastAsia="方正小标宋简体" w:cs="方正小标宋简体"/>
          <w:sz w:val="44"/>
          <w:szCs w:val="44"/>
        </w:rPr>
      </w:pPr>
    </w:p>
    <w:p w14:paraId="500B716D">
      <w:pPr>
        <w:rPr>
          <w:rFonts w:ascii="方正小标宋简体" w:hAnsi="方正小标宋简体" w:eastAsia="方正小标宋简体" w:cs="方正小标宋简体"/>
          <w:sz w:val="44"/>
          <w:szCs w:val="44"/>
        </w:rPr>
      </w:pPr>
    </w:p>
    <w:p w14:paraId="75680D49">
      <w:pPr>
        <w:jc w:val="center"/>
        <w:outlineLvl w:val="0"/>
        <w:rPr>
          <w:rFonts w:ascii="仿宋_GB2312" w:hAnsi="仿宋_GB2312" w:eastAsia="仿宋_GB2312" w:cs="仿宋_GB2312"/>
          <w:b/>
          <w:bCs/>
          <w:sz w:val="32"/>
          <w:szCs w:val="32"/>
        </w:rPr>
      </w:pPr>
      <w:bookmarkStart w:id="1" w:name="_Toc234"/>
      <w:r>
        <w:rPr>
          <w:rFonts w:hint="eastAsia" w:ascii="仿宋_GB2312" w:hAnsi="仿宋_GB2312" w:eastAsia="仿宋_GB2312" w:cs="仿宋_GB2312"/>
          <w:b/>
          <w:bCs/>
          <w:sz w:val="32"/>
          <w:szCs w:val="32"/>
        </w:rPr>
        <w:t>比选发起人：南宁轨道数智科技有限公司</w:t>
      </w:r>
      <w:bookmarkEnd w:id="1"/>
    </w:p>
    <w:p w14:paraId="02CDA37C">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二〇二四年</w:t>
      </w:r>
      <w:r>
        <w:rPr>
          <w:rFonts w:hint="eastAsia" w:ascii="仿宋_GB2312" w:hAnsi="仿宋_GB2312" w:eastAsia="仿宋_GB2312" w:cs="仿宋_GB2312"/>
          <w:b/>
          <w:bCs/>
          <w:sz w:val="32"/>
          <w:szCs w:val="32"/>
          <w:lang w:eastAsia="zh-CN"/>
        </w:rPr>
        <w:t>十一</w:t>
      </w:r>
      <w:r>
        <w:rPr>
          <w:rFonts w:hint="eastAsia" w:ascii="仿宋_GB2312" w:hAnsi="仿宋_GB2312" w:eastAsia="仿宋_GB2312" w:cs="仿宋_GB2312"/>
          <w:b/>
          <w:bCs/>
          <w:sz w:val="32"/>
          <w:szCs w:val="32"/>
        </w:rPr>
        <w:t>月</w:t>
      </w:r>
    </w:p>
    <w:p w14:paraId="65936140">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sdt>
      <w:sdtPr>
        <w:rPr>
          <w:rFonts w:ascii="宋体" w:hAnsi="宋体" w:eastAsia="宋体" w:cs="Times New Roman"/>
          <w:kern w:val="2"/>
          <w:sz w:val="21"/>
          <w:szCs w:val="24"/>
          <w:lang w:val="en-US" w:eastAsia="zh-CN" w:bidi="ar-SA"/>
        </w:rPr>
        <w:id w:val="147474192"/>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65E3124B">
          <w:pPr>
            <w:spacing w:before="0" w:beforeLines="0" w:after="0" w:afterLines="0" w:line="240" w:lineRule="auto"/>
            <w:ind w:left="0" w:leftChars="0" w:right="0" w:rightChars="0" w:firstLine="0" w:firstLineChars="0"/>
            <w:jc w:val="center"/>
          </w:pPr>
          <w:r>
            <w:rPr>
              <w:rFonts w:hint="eastAsia" w:ascii="黑体" w:hAnsi="黑体" w:eastAsia="黑体" w:cs="黑体"/>
              <w:b w:val="0"/>
              <w:bCs w:val="0"/>
              <w:sz w:val="32"/>
              <w:szCs w:val="32"/>
            </w:rPr>
            <w:t>目录</w:t>
          </w:r>
        </w:p>
        <w:p w14:paraId="6FA24FEA">
          <w:pPr>
            <w:pStyle w:val="11"/>
            <w:tabs>
              <w:tab w:val="right" w:leader="dot" w:pos="8845"/>
            </w:tabs>
          </w:pPr>
          <w:r>
            <w:fldChar w:fldCharType="begin"/>
          </w:r>
          <w:r>
            <w:instrText xml:space="preserve">TOC \o "1-3" \h \u </w:instrText>
          </w:r>
          <w:r>
            <w:fldChar w:fldCharType="separate"/>
          </w:r>
          <w:r>
            <w:fldChar w:fldCharType="begin"/>
          </w:r>
          <w:r>
            <w:instrText xml:space="preserve"> HYPERLINK \l _Toc1420 </w:instrText>
          </w:r>
          <w:r>
            <w:fldChar w:fldCharType="separate"/>
          </w:r>
          <w:r>
            <w:rPr>
              <w:rFonts w:hint="eastAsia" w:ascii="方正小标宋简体" w:hAnsi="方正小标宋简体" w:eastAsia="方正小标宋简体" w:cs="方正小标宋简体"/>
              <w:bCs/>
              <w:szCs w:val="44"/>
              <w:lang w:eastAsia="zh-CN"/>
            </w:rPr>
            <w:t>智慧管控配置管理程序开发服务</w:t>
          </w:r>
          <w:r>
            <w:rPr>
              <w:rFonts w:hint="eastAsia" w:ascii="方正小标宋简体" w:hAnsi="方正小标宋简体" w:eastAsia="方正小标宋简体" w:cs="方正小标宋简体"/>
              <w:bCs/>
              <w:szCs w:val="44"/>
              <w:lang w:val="en-US" w:eastAsia="zh-CN"/>
            </w:rPr>
            <w:t>采购项目</w:t>
          </w:r>
          <w:r>
            <w:tab/>
          </w:r>
          <w:r>
            <w:fldChar w:fldCharType="begin"/>
          </w:r>
          <w:r>
            <w:instrText xml:space="preserve"> PAGEREF _Toc1420 \h </w:instrText>
          </w:r>
          <w:r>
            <w:fldChar w:fldCharType="separate"/>
          </w:r>
          <w:r>
            <w:t>- 1 -</w:t>
          </w:r>
          <w:r>
            <w:fldChar w:fldCharType="end"/>
          </w:r>
          <w:r>
            <w:fldChar w:fldCharType="end"/>
          </w:r>
        </w:p>
        <w:p w14:paraId="072253D9">
          <w:pPr>
            <w:pStyle w:val="11"/>
            <w:tabs>
              <w:tab w:val="right" w:leader="dot" w:pos="8845"/>
            </w:tabs>
          </w:pPr>
          <w:r>
            <w:fldChar w:fldCharType="begin"/>
          </w:r>
          <w:r>
            <w:instrText xml:space="preserve"> HYPERLINK \l _Toc234 </w:instrText>
          </w:r>
          <w:r>
            <w:fldChar w:fldCharType="separate"/>
          </w:r>
          <w:r>
            <w:rPr>
              <w:rFonts w:hint="eastAsia" w:ascii="仿宋_GB2312" w:hAnsi="仿宋_GB2312" w:eastAsia="仿宋_GB2312" w:cs="仿宋_GB2312"/>
              <w:bCs/>
              <w:szCs w:val="32"/>
            </w:rPr>
            <w:t>比选发起人：南宁轨道数智科技有限公司</w:t>
          </w:r>
          <w:r>
            <w:tab/>
          </w:r>
          <w:r>
            <w:fldChar w:fldCharType="begin"/>
          </w:r>
          <w:r>
            <w:instrText xml:space="preserve"> PAGEREF _Toc234 \h </w:instrText>
          </w:r>
          <w:r>
            <w:fldChar w:fldCharType="separate"/>
          </w:r>
          <w:r>
            <w:t>- 1 -</w:t>
          </w:r>
          <w:r>
            <w:fldChar w:fldCharType="end"/>
          </w:r>
          <w:r>
            <w:fldChar w:fldCharType="end"/>
          </w:r>
        </w:p>
        <w:p w14:paraId="49A6A844">
          <w:pPr>
            <w:pStyle w:val="11"/>
            <w:tabs>
              <w:tab w:val="right" w:leader="dot" w:pos="8845"/>
            </w:tabs>
          </w:pPr>
          <w:r>
            <w:fldChar w:fldCharType="begin"/>
          </w:r>
          <w:r>
            <w:instrText xml:space="preserve"> HYPERLINK \l _Toc28582 </w:instrText>
          </w:r>
          <w:r>
            <w:fldChar w:fldCharType="separate"/>
          </w:r>
          <w:r>
            <w:rPr>
              <w:rFonts w:hint="eastAsia" w:ascii="黑体" w:hAnsi="黑体" w:eastAsia="黑体" w:cs="黑体"/>
              <w:bCs/>
              <w:szCs w:val="32"/>
            </w:rPr>
            <w:t>第一章 比选须知</w:t>
          </w:r>
          <w:r>
            <w:tab/>
          </w:r>
          <w:r>
            <w:fldChar w:fldCharType="begin"/>
          </w:r>
          <w:r>
            <w:instrText xml:space="preserve"> PAGEREF _Toc28582 \h </w:instrText>
          </w:r>
          <w:r>
            <w:fldChar w:fldCharType="separate"/>
          </w:r>
          <w:r>
            <w:t>- 4 -</w:t>
          </w:r>
          <w:r>
            <w:fldChar w:fldCharType="end"/>
          </w:r>
          <w:r>
            <w:fldChar w:fldCharType="end"/>
          </w:r>
        </w:p>
        <w:p w14:paraId="0354EDDB">
          <w:pPr>
            <w:pStyle w:val="12"/>
            <w:tabs>
              <w:tab w:val="right" w:leader="dot" w:pos="8845"/>
            </w:tabs>
          </w:pPr>
          <w:r>
            <w:fldChar w:fldCharType="begin"/>
          </w:r>
          <w:r>
            <w:instrText xml:space="preserve"> HYPERLINK \l _Toc30799 </w:instrText>
          </w:r>
          <w:r>
            <w:fldChar w:fldCharType="separate"/>
          </w:r>
          <w:r>
            <w:rPr>
              <w:rFonts w:hint="eastAsia" w:ascii="楷体" w:hAnsi="楷体" w:eastAsia="楷体" w:cs="楷体"/>
              <w:bCs/>
              <w:szCs w:val="32"/>
            </w:rPr>
            <w:t>一、总则</w:t>
          </w:r>
          <w:r>
            <w:tab/>
          </w:r>
          <w:r>
            <w:fldChar w:fldCharType="begin"/>
          </w:r>
          <w:r>
            <w:instrText xml:space="preserve"> PAGEREF _Toc30799 \h </w:instrText>
          </w:r>
          <w:r>
            <w:fldChar w:fldCharType="separate"/>
          </w:r>
          <w:r>
            <w:t>- 6 -</w:t>
          </w:r>
          <w:r>
            <w:fldChar w:fldCharType="end"/>
          </w:r>
          <w:r>
            <w:fldChar w:fldCharType="end"/>
          </w:r>
        </w:p>
        <w:p w14:paraId="47AAE2DF">
          <w:pPr>
            <w:pStyle w:val="7"/>
            <w:tabs>
              <w:tab w:val="right" w:leader="dot" w:pos="8845"/>
            </w:tabs>
          </w:pPr>
          <w:r>
            <w:fldChar w:fldCharType="begin"/>
          </w:r>
          <w:r>
            <w:instrText xml:space="preserve"> HYPERLINK \l _Toc20556 </w:instrText>
          </w:r>
          <w:r>
            <w:fldChar w:fldCharType="separate"/>
          </w:r>
          <w:r>
            <w:rPr>
              <w:rFonts w:hint="eastAsia" w:ascii="仿宋_GB2312" w:hAnsi="仿宋_GB2312" w:eastAsia="仿宋_GB2312" w:cs="仿宋_GB2312"/>
              <w:szCs w:val="28"/>
            </w:rPr>
            <w:t>1.项目比选说明</w:t>
          </w:r>
          <w:r>
            <w:tab/>
          </w:r>
          <w:r>
            <w:fldChar w:fldCharType="begin"/>
          </w:r>
          <w:r>
            <w:instrText xml:space="preserve"> PAGEREF _Toc20556 \h </w:instrText>
          </w:r>
          <w:r>
            <w:fldChar w:fldCharType="separate"/>
          </w:r>
          <w:r>
            <w:t>- 6 -</w:t>
          </w:r>
          <w:r>
            <w:fldChar w:fldCharType="end"/>
          </w:r>
          <w:r>
            <w:fldChar w:fldCharType="end"/>
          </w:r>
        </w:p>
        <w:p w14:paraId="00EF778D">
          <w:pPr>
            <w:pStyle w:val="7"/>
            <w:tabs>
              <w:tab w:val="right" w:leader="dot" w:pos="8845"/>
            </w:tabs>
          </w:pPr>
          <w:r>
            <w:fldChar w:fldCharType="begin"/>
          </w:r>
          <w:r>
            <w:instrText xml:space="preserve"> HYPERLINK \l _Toc23774 </w:instrText>
          </w:r>
          <w:r>
            <w:fldChar w:fldCharType="separate"/>
          </w:r>
          <w:r>
            <w:rPr>
              <w:rFonts w:hint="eastAsia" w:ascii="仿宋_GB2312" w:hAnsi="仿宋_GB2312" w:eastAsia="仿宋_GB2312" w:cs="仿宋_GB2312"/>
              <w:szCs w:val="28"/>
            </w:rPr>
            <w:t>2.工作内容</w:t>
          </w:r>
          <w:r>
            <w:tab/>
          </w:r>
          <w:r>
            <w:fldChar w:fldCharType="begin"/>
          </w:r>
          <w:r>
            <w:instrText xml:space="preserve"> PAGEREF _Toc23774 \h </w:instrText>
          </w:r>
          <w:r>
            <w:fldChar w:fldCharType="separate"/>
          </w:r>
          <w:r>
            <w:t>- 6 -</w:t>
          </w:r>
          <w:r>
            <w:fldChar w:fldCharType="end"/>
          </w:r>
          <w:r>
            <w:fldChar w:fldCharType="end"/>
          </w:r>
        </w:p>
        <w:p w14:paraId="58B0A554">
          <w:pPr>
            <w:pStyle w:val="7"/>
            <w:tabs>
              <w:tab w:val="right" w:leader="dot" w:pos="8845"/>
            </w:tabs>
          </w:pPr>
          <w:r>
            <w:fldChar w:fldCharType="begin"/>
          </w:r>
          <w:r>
            <w:instrText xml:space="preserve"> HYPERLINK \l _Toc31294 </w:instrText>
          </w:r>
          <w:r>
            <w:fldChar w:fldCharType="separate"/>
          </w:r>
          <w:r>
            <w:rPr>
              <w:rFonts w:hint="eastAsia" w:ascii="仿宋_GB2312" w:hAnsi="仿宋_GB2312" w:eastAsia="仿宋_GB2312" w:cs="仿宋_GB2312"/>
              <w:szCs w:val="28"/>
            </w:rPr>
            <w:t>3.资金来源</w:t>
          </w:r>
          <w:r>
            <w:tab/>
          </w:r>
          <w:r>
            <w:fldChar w:fldCharType="begin"/>
          </w:r>
          <w:r>
            <w:instrText xml:space="preserve"> PAGEREF _Toc31294 \h </w:instrText>
          </w:r>
          <w:r>
            <w:fldChar w:fldCharType="separate"/>
          </w:r>
          <w:r>
            <w:t>- 6 -</w:t>
          </w:r>
          <w:r>
            <w:fldChar w:fldCharType="end"/>
          </w:r>
          <w:r>
            <w:fldChar w:fldCharType="end"/>
          </w:r>
        </w:p>
        <w:p w14:paraId="1262F5EB">
          <w:pPr>
            <w:pStyle w:val="7"/>
            <w:tabs>
              <w:tab w:val="right" w:leader="dot" w:pos="8845"/>
            </w:tabs>
          </w:pPr>
          <w:r>
            <w:fldChar w:fldCharType="begin"/>
          </w:r>
          <w:r>
            <w:instrText xml:space="preserve"> HYPERLINK \l _Toc5832 </w:instrText>
          </w:r>
          <w:r>
            <w:fldChar w:fldCharType="separate"/>
          </w:r>
          <w:r>
            <w:rPr>
              <w:rFonts w:hint="eastAsia" w:ascii="仿宋_GB2312" w:hAnsi="仿宋_GB2312" w:eastAsia="仿宋_GB2312" w:cs="仿宋_GB2312"/>
              <w:szCs w:val="28"/>
            </w:rPr>
            <w:t>4.比选申请人资格要求</w:t>
          </w:r>
          <w:r>
            <w:tab/>
          </w:r>
          <w:r>
            <w:fldChar w:fldCharType="begin"/>
          </w:r>
          <w:r>
            <w:instrText xml:space="preserve"> PAGEREF _Toc5832 \h </w:instrText>
          </w:r>
          <w:r>
            <w:fldChar w:fldCharType="separate"/>
          </w:r>
          <w:r>
            <w:t>- 6 -</w:t>
          </w:r>
          <w:r>
            <w:fldChar w:fldCharType="end"/>
          </w:r>
          <w:r>
            <w:fldChar w:fldCharType="end"/>
          </w:r>
        </w:p>
        <w:p w14:paraId="767F1F00">
          <w:pPr>
            <w:pStyle w:val="7"/>
            <w:tabs>
              <w:tab w:val="right" w:leader="dot" w:pos="8845"/>
            </w:tabs>
          </w:pPr>
          <w:r>
            <w:fldChar w:fldCharType="begin"/>
          </w:r>
          <w:r>
            <w:instrText xml:space="preserve"> HYPERLINK \l _Toc26968 </w:instrText>
          </w:r>
          <w:r>
            <w:fldChar w:fldCharType="separate"/>
          </w:r>
          <w:r>
            <w:rPr>
              <w:rFonts w:hint="eastAsia" w:ascii="仿宋_GB2312" w:hAnsi="仿宋_GB2312" w:eastAsia="仿宋_GB2312" w:cs="仿宋_GB2312"/>
              <w:szCs w:val="28"/>
            </w:rPr>
            <w:t>5.申请比选费用</w:t>
          </w:r>
          <w:r>
            <w:tab/>
          </w:r>
          <w:r>
            <w:fldChar w:fldCharType="begin"/>
          </w:r>
          <w:r>
            <w:instrText xml:space="preserve"> PAGEREF _Toc26968 \h </w:instrText>
          </w:r>
          <w:r>
            <w:fldChar w:fldCharType="separate"/>
          </w:r>
          <w:r>
            <w:t>- 6 -</w:t>
          </w:r>
          <w:r>
            <w:fldChar w:fldCharType="end"/>
          </w:r>
          <w:r>
            <w:fldChar w:fldCharType="end"/>
          </w:r>
        </w:p>
        <w:p w14:paraId="31008070">
          <w:pPr>
            <w:pStyle w:val="12"/>
            <w:tabs>
              <w:tab w:val="right" w:leader="dot" w:pos="8845"/>
            </w:tabs>
          </w:pPr>
          <w:r>
            <w:fldChar w:fldCharType="begin"/>
          </w:r>
          <w:r>
            <w:instrText xml:space="preserve"> HYPERLINK \l _Toc9874 </w:instrText>
          </w:r>
          <w:r>
            <w:fldChar w:fldCharType="separate"/>
          </w:r>
          <w:r>
            <w:rPr>
              <w:rFonts w:hint="eastAsia" w:ascii="楷体" w:hAnsi="楷体" w:eastAsia="楷体" w:cs="楷体"/>
              <w:bCs/>
              <w:szCs w:val="32"/>
            </w:rPr>
            <w:t>二、比选文件</w:t>
          </w:r>
          <w:r>
            <w:tab/>
          </w:r>
          <w:r>
            <w:fldChar w:fldCharType="begin"/>
          </w:r>
          <w:r>
            <w:instrText xml:space="preserve"> PAGEREF _Toc9874 \h </w:instrText>
          </w:r>
          <w:r>
            <w:fldChar w:fldCharType="separate"/>
          </w:r>
          <w:r>
            <w:t>- 6 -</w:t>
          </w:r>
          <w:r>
            <w:fldChar w:fldCharType="end"/>
          </w:r>
          <w:r>
            <w:fldChar w:fldCharType="end"/>
          </w:r>
        </w:p>
        <w:p w14:paraId="6A3FCB8F">
          <w:pPr>
            <w:pStyle w:val="7"/>
            <w:tabs>
              <w:tab w:val="right" w:leader="dot" w:pos="8845"/>
            </w:tabs>
          </w:pPr>
          <w:r>
            <w:fldChar w:fldCharType="begin"/>
          </w:r>
          <w:r>
            <w:instrText xml:space="preserve"> HYPERLINK \l _Toc2005 </w:instrText>
          </w:r>
          <w:r>
            <w:fldChar w:fldCharType="separate"/>
          </w:r>
          <w:r>
            <w:rPr>
              <w:rFonts w:hint="eastAsia" w:ascii="仿宋_GB2312" w:hAnsi="仿宋_GB2312" w:eastAsia="仿宋_GB2312" w:cs="仿宋_GB2312"/>
              <w:szCs w:val="28"/>
            </w:rPr>
            <w:t>6.比选文件的组成</w:t>
          </w:r>
          <w:r>
            <w:tab/>
          </w:r>
          <w:r>
            <w:fldChar w:fldCharType="begin"/>
          </w:r>
          <w:r>
            <w:instrText xml:space="preserve"> PAGEREF _Toc2005 \h </w:instrText>
          </w:r>
          <w:r>
            <w:fldChar w:fldCharType="separate"/>
          </w:r>
          <w:r>
            <w:t>- 6 -</w:t>
          </w:r>
          <w:r>
            <w:fldChar w:fldCharType="end"/>
          </w:r>
          <w:r>
            <w:fldChar w:fldCharType="end"/>
          </w:r>
        </w:p>
        <w:p w14:paraId="459DF61E">
          <w:pPr>
            <w:pStyle w:val="7"/>
            <w:tabs>
              <w:tab w:val="right" w:leader="dot" w:pos="8845"/>
            </w:tabs>
          </w:pPr>
          <w:r>
            <w:fldChar w:fldCharType="begin"/>
          </w:r>
          <w:r>
            <w:instrText xml:space="preserve"> HYPERLINK \l _Toc12840 </w:instrText>
          </w:r>
          <w:r>
            <w:fldChar w:fldCharType="separate"/>
          </w:r>
          <w:r>
            <w:rPr>
              <w:rFonts w:hint="eastAsia" w:ascii="仿宋_GB2312" w:hAnsi="仿宋_GB2312" w:eastAsia="仿宋_GB2312" w:cs="仿宋_GB2312"/>
              <w:szCs w:val="28"/>
            </w:rPr>
            <w:t>7.比选文件的解释</w:t>
          </w:r>
          <w:r>
            <w:tab/>
          </w:r>
          <w:r>
            <w:fldChar w:fldCharType="begin"/>
          </w:r>
          <w:r>
            <w:instrText xml:space="preserve"> PAGEREF _Toc12840 \h </w:instrText>
          </w:r>
          <w:r>
            <w:fldChar w:fldCharType="separate"/>
          </w:r>
          <w:r>
            <w:t>- 7 -</w:t>
          </w:r>
          <w:r>
            <w:fldChar w:fldCharType="end"/>
          </w:r>
          <w:r>
            <w:fldChar w:fldCharType="end"/>
          </w:r>
        </w:p>
        <w:p w14:paraId="0C2B6696">
          <w:pPr>
            <w:pStyle w:val="7"/>
            <w:tabs>
              <w:tab w:val="right" w:leader="dot" w:pos="8845"/>
            </w:tabs>
          </w:pPr>
          <w:r>
            <w:fldChar w:fldCharType="begin"/>
          </w:r>
          <w:r>
            <w:instrText xml:space="preserve"> HYPERLINK \l _Toc15884 </w:instrText>
          </w:r>
          <w:r>
            <w:fldChar w:fldCharType="separate"/>
          </w:r>
          <w:r>
            <w:rPr>
              <w:rFonts w:hint="eastAsia" w:ascii="仿宋_GB2312" w:hAnsi="仿宋_GB2312" w:eastAsia="仿宋_GB2312" w:cs="仿宋_GB2312"/>
              <w:szCs w:val="28"/>
            </w:rPr>
            <w:t>8.比选文件的修改</w:t>
          </w:r>
          <w:r>
            <w:tab/>
          </w:r>
          <w:r>
            <w:fldChar w:fldCharType="begin"/>
          </w:r>
          <w:r>
            <w:instrText xml:space="preserve"> PAGEREF _Toc15884 \h </w:instrText>
          </w:r>
          <w:r>
            <w:fldChar w:fldCharType="separate"/>
          </w:r>
          <w:r>
            <w:t>- 7 -</w:t>
          </w:r>
          <w:r>
            <w:fldChar w:fldCharType="end"/>
          </w:r>
          <w:r>
            <w:fldChar w:fldCharType="end"/>
          </w:r>
        </w:p>
        <w:p w14:paraId="1161A3E0">
          <w:pPr>
            <w:pStyle w:val="12"/>
            <w:tabs>
              <w:tab w:val="right" w:leader="dot" w:pos="8845"/>
            </w:tabs>
          </w:pPr>
          <w:r>
            <w:fldChar w:fldCharType="begin"/>
          </w:r>
          <w:r>
            <w:instrText xml:space="preserve"> HYPERLINK \l _Toc23095 </w:instrText>
          </w:r>
          <w:r>
            <w:fldChar w:fldCharType="separate"/>
          </w:r>
          <w:r>
            <w:rPr>
              <w:rFonts w:hint="eastAsia" w:ascii="楷体" w:hAnsi="楷体" w:eastAsia="楷体" w:cs="楷体"/>
              <w:bCs/>
              <w:szCs w:val="32"/>
            </w:rPr>
            <w:t>三、申请比选报价说明</w:t>
          </w:r>
          <w:r>
            <w:tab/>
          </w:r>
          <w:r>
            <w:fldChar w:fldCharType="begin"/>
          </w:r>
          <w:r>
            <w:instrText xml:space="preserve"> PAGEREF _Toc23095 \h </w:instrText>
          </w:r>
          <w:r>
            <w:fldChar w:fldCharType="separate"/>
          </w:r>
          <w:r>
            <w:t>- 7 -</w:t>
          </w:r>
          <w:r>
            <w:fldChar w:fldCharType="end"/>
          </w:r>
          <w:r>
            <w:fldChar w:fldCharType="end"/>
          </w:r>
        </w:p>
        <w:p w14:paraId="7AE5EC4F">
          <w:pPr>
            <w:pStyle w:val="7"/>
            <w:tabs>
              <w:tab w:val="right" w:leader="dot" w:pos="8845"/>
            </w:tabs>
          </w:pPr>
          <w:r>
            <w:fldChar w:fldCharType="begin"/>
          </w:r>
          <w:r>
            <w:instrText xml:space="preserve"> HYPERLINK \l _Toc25823 </w:instrText>
          </w:r>
          <w:r>
            <w:fldChar w:fldCharType="separate"/>
          </w:r>
          <w:r>
            <w:rPr>
              <w:rFonts w:hint="eastAsia" w:ascii="仿宋_GB2312" w:hAnsi="仿宋_GB2312" w:eastAsia="仿宋_GB2312" w:cs="仿宋_GB2312"/>
              <w:szCs w:val="28"/>
            </w:rPr>
            <w:t>9.申请比选报价</w:t>
          </w:r>
          <w:r>
            <w:tab/>
          </w:r>
          <w:r>
            <w:fldChar w:fldCharType="begin"/>
          </w:r>
          <w:r>
            <w:instrText xml:space="preserve"> PAGEREF _Toc25823 \h </w:instrText>
          </w:r>
          <w:r>
            <w:fldChar w:fldCharType="separate"/>
          </w:r>
          <w:r>
            <w:t>- 7 -</w:t>
          </w:r>
          <w:r>
            <w:fldChar w:fldCharType="end"/>
          </w:r>
          <w:r>
            <w:fldChar w:fldCharType="end"/>
          </w:r>
        </w:p>
        <w:p w14:paraId="43495B46">
          <w:pPr>
            <w:pStyle w:val="12"/>
            <w:tabs>
              <w:tab w:val="right" w:leader="dot" w:pos="8845"/>
            </w:tabs>
          </w:pPr>
          <w:r>
            <w:fldChar w:fldCharType="begin"/>
          </w:r>
          <w:r>
            <w:instrText xml:space="preserve"> HYPERLINK \l _Toc2911 </w:instrText>
          </w:r>
          <w:r>
            <w:fldChar w:fldCharType="separate"/>
          </w:r>
          <w:r>
            <w:rPr>
              <w:rFonts w:hint="eastAsia" w:ascii="楷体" w:hAnsi="楷体" w:eastAsia="楷体" w:cs="楷体"/>
              <w:bCs/>
              <w:szCs w:val="32"/>
            </w:rPr>
            <w:t>四、比选申请文件的编制</w:t>
          </w:r>
          <w:r>
            <w:tab/>
          </w:r>
          <w:r>
            <w:fldChar w:fldCharType="begin"/>
          </w:r>
          <w:r>
            <w:instrText xml:space="preserve"> PAGEREF _Toc2911 \h </w:instrText>
          </w:r>
          <w:r>
            <w:fldChar w:fldCharType="separate"/>
          </w:r>
          <w:r>
            <w:t>- 7 -</w:t>
          </w:r>
          <w:r>
            <w:fldChar w:fldCharType="end"/>
          </w:r>
          <w:r>
            <w:fldChar w:fldCharType="end"/>
          </w:r>
        </w:p>
        <w:p w14:paraId="59F890D2">
          <w:pPr>
            <w:pStyle w:val="7"/>
            <w:tabs>
              <w:tab w:val="right" w:leader="dot" w:pos="8845"/>
            </w:tabs>
          </w:pPr>
          <w:r>
            <w:fldChar w:fldCharType="begin"/>
          </w:r>
          <w:r>
            <w:instrText xml:space="preserve"> HYPERLINK \l _Toc22697 </w:instrText>
          </w:r>
          <w:r>
            <w:fldChar w:fldCharType="separate"/>
          </w:r>
          <w:r>
            <w:rPr>
              <w:rFonts w:hint="eastAsia" w:ascii="仿宋_GB2312" w:hAnsi="仿宋_GB2312" w:eastAsia="仿宋_GB2312" w:cs="仿宋_GB2312"/>
              <w:szCs w:val="28"/>
            </w:rPr>
            <w:t>10.比选申请文件编写注意事项</w:t>
          </w:r>
          <w:r>
            <w:tab/>
          </w:r>
          <w:r>
            <w:fldChar w:fldCharType="begin"/>
          </w:r>
          <w:r>
            <w:instrText xml:space="preserve"> PAGEREF _Toc22697 \h </w:instrText>
          </w:r>
          <w:r>
            <w:fldChar w:fldCharType="separate"/>
          </w:r>
          <w:r>
            <w:t>- 7 -</w:t>
          </w:r>
          <w:r>
            <w:fldChar w:fldCharType="end"/>
          </w:r>
          <w:r>
            <w:fldChar w:fldCharType="end"/>
          </w:r>
        </w:p>
        <w:p w14:paraId="49991833">
          <w:pPr>
            <w:pStyle w:val="7"/>
            <w:tabs>
              <w:tab w:val="right" w:leader="dot" w:pos="8845"/>
            </w:tabs>
          </w:pPr>
          <w:r>
            <w:fldChar w:fldCharType="begin"/>
          </w:r>
          <w:r>
            <w:instrText xml:space="preserve"> HYPERLINK \l _Toc12765 </w:instrText>
          </w:r>
          <w:r>
            <w:fldChar w:fldCharType="separate"/>
          </w:r>
          <w:r>
            <w:rPr>
              <w:rFonts w:hint="eastAsia" w:ascii="仿宋_GB2312" w:hAnsi="仿宋_GB2312" w:eastAsia="仿宋_GB2312" w:cs="仿宋_GB2312"/>
              <w:szCs w:val="28"/>
            </w:rPr>
            <w:t>11.比选申请文件的组成</w:t>
          </w:r>
          <w:r>
            <w:tab/>
          </w:r>
          <w:r>
            <w:fldChar w:fldCharType="begin"/>
          </w:r>
          <w:r>
            <w:instrText xml:space="preserve"> PAGEREF _Toc12765 \h </w:instrText>
          </w:r>
          <w:r>
            <w:fldChar w:fldCharType="separate"/>
          </w:r>
          <w:r>
            <w:t>- 8 -</w:t>
          </w:r>
          <w:r>
            <w:fldChar w:fldCharType="end"/>
          </w:r>
          <w:r>
            <w:fldChar w:fldCharType="end"/>
          </w:r>
        </w:p>
        <w:p w14:paraId="0C9492E3">
          <w:pPr>
            <w:pStyle w:val="7"/>
            <w:tabs>
              <w:tab w:val="right" w:leader="dot" w:pos="8845"/>
            </w:tabs>
          </w:pPr>
          <w:r>
            <w:fldChar w:fldCharType="begin"/>
          </w:r>
          <w:r>
            <w:instrText xml:space="preserve"> HYPERLINK \l _Toc6332 </w:instrText>
          </w:r>
          <w:r>
            <w:fldChar w:fldCharType="separate"/>
          </w:r>
          <w:r>
            <w:rPr>
              <w:rFonts w:hint="eastAsia" w:ascii="仿宋_GB2312" w:hAnsi="仿宋_GB2312" w:eastAsia="仿宋_GB2312" w:cs="仿宋_GB2312"/>
              <w:szCs w:val="28"/>
            </w:rPr>
            <w:t>12.比选有效期</w:t>
          </w:r>
          <w:r>
            <w:tab/>
          </w:r>
          <w:r>
            <w:fldChar w:fldCharType="begin"/>
          </w:r>
          <w:r>
            <w:instrText xml:space="preserve"> PAGEREF _Toc6332 \h </w:instrText>
          </w:r>
          <w:r>
            <w:fldChar w:fldCharType="separate"/>
          </w:r>
          <w:r>
            <w:t>- 8 -</w:t>
          </w:r>
          <w:r>
            <w:fldChar w:fldCharType="end"/>
          </w:r>
          <w:r>
            <w:fldChar w:fldCharType="end"/>
          </w:r>
        </w:p>
        <w:p w14:paraId="59AA53F4">
          <w:pPr>
            <w:pStyle w:val="7"/>
            <w:tabs>
              <w:tab w:val="right" w:leader="dot" w:pos="8845"/>
            </w:tabs>
          </w:pPr>
          <w:r>
            <w:fldChar w:fldCharType="begin"/>
          </w:r>
          <w:r>
            <w:instrText xml:space="preserve"> HYPERLINK \l _Toc11166 </w:instrText>
          </w:r>
          <w:r>
            <w:fldChar w:fldCharType="separate"/>
          </w:r>
          <w:r>
            <w:rPr>
              <w:rFonts w:hint="eastAsia" w:ascii="仿宋_GB2312" w:hAnsi="仿宋_GB2312" w:eastAsia="仿宋_GB2312" w:cs="仿宋_GB2312"/>
              <w:szCs w:val="28"/>
            </w:rPr>
            <w:t>13.比选保证金</w:t>
          </w:r>
          <w:r>
            <w:tab/>
          </w:r>
          <w:r>
            <w:fldChar w:fldCharType="begin"/>
          </w:r>
          <w:r>
            <w:instrText xml:space="preserve"> PAGEREF _Toc11166 \h </w:instrText>
          </w:r>
          <w:r>
            <w:fldChar w:fldCharType="separate"/>
          </w:r>
          <w:r>
            <w:t>- 8 -</w:t>
          </w:r>
          <w:r>
            <w:fldChar w:fldCharType="end"/>
          </w:r>
          <w:r>
            <w:fldChar w:fldCharType="end"/>
          </w:r>
        </w:p>
        <w:p w14:paraId="6A1D5FD5">
          <w:pPr>
            <w:pStyle w:val="7"/>
            <w:tabs>
              <w:tab w:val="right" w:leader="dot" w:pos="8845"/>
            </w:tabs>
          </w:pPr>
          <w:r>
            <w:fldChar w:fldCharType="begin"/>
          </w:r>
          <w:r>
            <w:instrText xml:space="preserve"> HYPERLINK \l _Toc32682 </w:instrText>
          </w:r>
          <w:r>
            <w:fldChar w:fldCharType="separate"/>
          </w:r>
          <w:r>
            <w:rPr>
              <w:rFonts w:hint="eastAsia" w:ascii="仿宋_GB2312" w:hAnsi="仿宋_GB2312" w:eastAsia="仿宋_GB2312" w:cs="仿宋_GB2312"/>
              <w:szCs w:val="28"/>
            </w:rPr>
            <w:t>14.比选答疑</w:t>
          </w:r>
          <w:r>
            <w:tab/>
          </w:r>
          <w:r>
            <w:fldChar w:fldCharType="begin"/>
          </w:r>
          <w:r>
            <w:instrText xml:space="preserve"> PAGEREF _Toc32682 \h </w:instrText>
          </w:r>
          <w:r>
            <w:fldChar w:fldCharType="separate"/>
          </w:r>
          <w:r>
            <w:t>- 8 -</w:t>
          </w:r>
          <w:r>
            <w:fldChar w:fldCharType="end"/>
          </w:r>
          <w:r>
            <w:fldChar w:fldCharType="end"/>
          </w:r>
        </w:p>
        <w:p w14:paraId="191EC14E">
          <w:pPr>
            <w:pStyle w:val="7"/>
            <w:tabs>
              <w:tab w:val="right" w:leader="dot" w:pos="8845"/>
            </w:tabs>
          </w:pPr>
          <w:r>
            <w:fldChar w:fldCharType="begin"/>
          </w:r>
          <w:r>
            <w:instrText xml:space="preserve"> HYPERLINK \l _Toc29663 </w:instrText>
          </w:r>
          <w:r>
            <w:fldChar w:fldCharType="separate"/>
          </w:r>
          <w:r>
            <w:rPr>
              <w:rFonts w:hint="eastAsia" w:ascii="仿宋_GB2312" w:hAnsi="仿宋_GB2312" w:eastAsia="仿宋_GB2312" w:cs="仿宋_GB2312"/>
              <w:szCs w:val="28"/>
            </w:rPr>
            <w:t>15.比选申请文件的份数和签署</w:t>
          </w:r>
          <w:r>
            <w:tab/>
          </w:r>
          <w:r>
            <w:fldChar w:fldCharType="begin"/>
          </w:r>
          <w:r>
            <w:instrText xml:space="preserve"> PAGEREF _Toc29663 \h </w:instrText>
          </w:r>
          <w:r>
            <w:fldChar w:fldCharType="separate"/>
          </w:r>
          <w:r>
            <w:t>- 9 -</w:t>
          </w:r>
          <w:r>
            <w:fldChar w:fldCharType="end"/>
          </w:r>
          <w:r>
            <w:fldChar w:fldCharType="end"/>
          </w:r>
        </w:p>
        <w:p w14:paraId="105614E0">
          <w:pPr>
            <w:pStyle w:val="12"/>
            <w:tabs>
              <w:tab w:val="right" w:leader="dot" w:pos="8845"/>
            </w:tabs>
          </w:pPr>
          <w:r>
            <w:fldChar w:fldCharType="begin"/>
          </w:r>
          <w:r>
            <w:instrText xml:space="preserve"> HYPERLINK \l _Toc17129 </w:instrText>
          </w:r>
          <w:r>
            <w:fldChar w:fldCharType="separate"/>
          </w:r>
          <w:r>
            <w:rPr>
              <w:rFonts w:hint="eastAsia" w:ascii="楷体" w:hAnsi="楷体" w:eastAsia="楷体" w:cs="楷体"/>
              <w:bCs/>
              <w:szCs w:val="32"/>
            </w:rPr>
            <w:t>五、比选申请文件的递交</w:t>
          </w:r>
          <w:r>
            <w:tab/>
          </w:r>
          <w:r>
            <w:fldChar w:fldCharType="begin"/>
          </w:r>
          <w:r>
            <w:instrText xml:space="preserve"> PAGEREF _Toc17129 \h </w:instrText>
          </w:r>
          <w:r>
            <w:fldChar w:fldCharType="separate"/>
          </w:r>
          <w:r>
            <w:t>- 9 -</w:t>
          </w:r>
          <w:r>
            <w:fldChar w:fldCharType="end"/>
          </w:r>
          <w:r>
            <w:fldChar w:fldCharType="end"/>
          </w:r>
        </w:p>
        <w:p w14:paraId="258CBFC4">
          <w:pPr>
            <w:pStyle w:val="7"/>
            <w:tabs>
              <w:tab w:val="right" w:leader="dot" w:pos="8845"/>
            </w:tabs>
          </w:pPr>
          <w:r>
            <w:fldChar w:fldCharType="begin"/>
          </w:r>
          <w:r>
            <w:instrText xml:space="preserve"> HYPERLINK \l _Toc7356 </w:instrText>
          </w:r>
          <w:r>
            <w:fldChar w:fldCharType="separate"/>
          </w:r>
          <w:r>
            <w:rPr>
              <w:rFonts w:hint="eastAsia" w:ascii="仿宋_GB2312" w:hAnsi="仿宋_GB2312" w:eastAsia="仿宋_GB2312" w:cs="仿宋_GB2312"/>
              <w:szCs w:val="28"/>
            </w:rPr>
            <w:t>16.比选申请文件的密封与标志</w:t>
          </w:r>
          <w:r>
            <w:tab/>
          </w:r>
          <w:r>
            <w:fldChar w:fldCharType="begin"/>
          </w:r>
          <w:r>
            <w:instrText xml:space="preserve"> PAGEREF _Toc7356 \h </w:instrText>
          </w:r>
          <w:r>
            <w:fldChar w:fldCharType="separate"/>
          </w:r>
          <w:r>
            <w:t>- 9 -</w:t>
          </w:r>
          <w:r>
            <w:fldChar w:fldCharType="end"/>
          </w:r>
          <w:r>
            <w:fldChar w:fldCharType="end"/>
          </w:r>
        </w:p>
        <w:p w14:paraId="4DF31EA1">
          <w:pPr>
            <w:pStyle w:val="7"/>
            <w:tabs>
              <w:tab w:val="right" w:leader="dot" w:pos="8845"/>
            </w:tabs>
          </w:pPr>
          <w:r>
            <w:fldChar w:fldCharType="begin"/>
          </w:r>
          <w:r>
            <w:instrText xml:space="preserve"> HYPERLINK \l _Toc7323 </w:instrText>
          </w:r>
          <w:r>
            <w:fldChar w:fldCharType="separate"/>
          </w:r>
          <w:r>
            <w:rPr>
              <w:rFonts w:hint="eastAsia" w:ascii="仿宋_GB2312" w:hAnsi="仿宋_GB2312" w:eastAsia="仿宋_GB2312" w:cs="仿宋_GB2312"/>
              <w:szCs w:val="28"/>
            </w:rPr>
            <w:t>17.递交比选文件截止期</w:t>
          </w:r>
          <w:r>
            <w:tab/>
          </w:r>
          <w:r>
            <w:fldChar w:fldCharType="begin"/>
          </w:r>
          <w:r>
            <w:instrText xml:space="preserve"> PAGEREF _Toc7323 \h </w:instrText>
          </w:r>
          <w:r>
            <w:fldChar w:fldCharType="separate"/>
          </w:r>
          <w:r>
            <w:t>- 9 -</w:t>
          </w:r>
          <w:r>
            <w:fldChar w:fldCharType="end"/>
          </w:r>
          <w:r>
            <w:fldChar w:fldCharType="end"/>
          </w:r>
        </w:p>
        <w:p w14:paraId="15031B32">
          <w:pPr>
            <w:pStyle w:val="12"/>
            <w:tabs>
              <w:tab w:val="right" w:leader="dot" w:pos="8845"/>
            </w:tabs>
          </w:pPr>
          <w:r>
            <w:fldChar w:fldCharType="begin"/>
          </w:r>
          <w:r>
            <w:instrText xml:space="preserve"> HYPERLINK \l _Toc3687 </w:instrText>
          </w:r>
          <w:r>
            <w:fldChar w:fldCharType="separate"/>
          </w:r>
          <w:r>
            <w:rPr>
              <w:rFonts w:hint="eastAsia" w:ascii="楷体" w:hAnsi="楷体" w:eastAsia="楷体" w:cs="楷体"/>
              <w:bCs/>
              <w:szCs w:val="32"/>
            </w:rPr>
            <w:t>六、评比</w:t>
          </w:r>
          <w:r>
            <w:tab/>
          </w:r>
          <w:r>
            <w:fldChar w:fldCharType="begin"/>
          </w:r>
          <w:r>
            <w:instrText xml:space="preserve"> PAGEREF _Toc3687 \h </w:instrText>
          </w:r>
          <w:r>
            <w:fldChar w:fldCharType="separate"/>
          </w:r>
          <w:r>
            <w:t>- 10 -</w:t>
          </w:r>
          <w:r>
            <w:fldChar w:fldCharType="end"/>
          </w:r>
          <w:r>
            <w:fldChar w:fldCharType="end"/>
          </w:r>
        </w:p>
        <w:p w14:paraId="52E9662D">
          <w:pPr>
            <w:pStyle w:val="7"/>
            <w:tabs>
              <w:tab w:val="right" w:leader="dot" w:pos="8845"/>
            </w:tabs>
          </w:pPr>
          <w:r>
            <w:fldChar w:fldCharType="begin"/>
          </w:r>
          <w:r>
            <w:instrText xml:space="preserve"> HYPERLINK \l _Toc22648 </w:instrText>
          </w:r>
          <w:r>
            <w:fldChar w:fldCharType="separate"/>
          </w:r>
          <w:r>
            <w:rPr>
              <w:rFonts w:hint="eastAsia" w:ascii="仿宋_GB2312" w:hAnsi="仿宋_GB2312" w:eastAsia="仿宋_GB2312" w:cs="仿宋_GB2312"/>
              <w:szCs w:val="28"/>
            </w:rPr>
            <w:t>18.评比委员会</w:t>
          </w:r>
          <w:r>
            <w:tab/>
          </w:r>
          <w:r>
            <w:fldChar w:fldCharType="begin"/>
          </w:r>
          <w:r>
            <w:instrText xml:space="preserve"> PAGEREF _Toc22648 \h </w:instrText>
          </w:r>
          <w:r>
            <w:fldChar w:fldCharType="separate"/>
          </w:r>
          <w:r>
            <w:t>- 10 -</w:t>
          </w:r>
          <w:r>
            <w:fldChar w:fldCharType="end"/>
          </w:r>
          <w:r>
            <w:fldChar w:fldCharType="end"/>
          </w:r>
        </w:p>
        <w:p w14:paraId="40440AE6">
          <w:pPr>
            <w:pStyle w:val="7"/>
            <w:tabs>
              <w:tab w:val="right" w:leader="dot" w:pos="8845"/>
            </w:tabs>
          </w:pPr>
          <w:r>
            <w:fldChar w:fldCharType="begin"/>
          </w:r>
          <w:r>
            <w:instrText xml:space="preserve"> HYPERLINK \l _Toc217 </w:instrText>
          </w:r>
          <w:r>
            <w:fldChar w:fldCharType="separate"/>
          </w:r>
          <w:r>
            <w:rPr>
              <w:rFonts w:hint="eastAsia" w:ascii="仿宋_GB2312" w:hAnsi="仿宋_GB2312" w:eastAsia="仿宋_GB2312" w:cs="仿宋_GB2312"/>
              <w:szCs w:val="28"/>
            </w:rPr>
            <w:t>19.评比</w:t>
          </w:r>
          <w:r>
            <w:tab/>
          </w:r>
          <w:r>
            <w:fldChar w:fldCharType="begin"/>
          </w:r>
          <w:r>
            <w:instrText xml:space="preserve"> PAGEREF _Toc217 \h </w:instrText>
          </w:r>
          <w:r>
            <w:fldChar w:fldCharType="separate"/>
          </w:r>
          <w:r>
            <w:t>- 10 -</w:t>
          </w:r>
          <w:r>
            <w:fldChar w:fldCharType="end"/>
          </w:r>
          <w:r>
            <w:fldChar w:fldCharType="end"/>
          </w:r>
        </w:p>
        <w:p w14:paraId="1FE6DEC5">
          <w:pPr>
            <w:pStyle w:val="7"/>
            <w:tabs>
              <w:tab w:val="right" w:leader="dot" w:pos="8845"/>
            </w:tabs>
          </w:pPr>
          <w:r>
            <w:fldChar w:fldCharType="begin"/>
          </w:r>
          <w:r>
            <w:instrText xml:space="preserve"> HYPERLINK \l _Toc1326 </w:instrText>
          </w:r>
          <w:r>
            <w:fldChar w:fldCharType="separate"/>
          </w:r>
          <w:r>
            <w:rPr>
              <w:rFonts w:hint="eastAsia" w:ascii="仿宋_GB2312" w:hAnsi="仿宋_GB2312" w:eastAsia="仿宋_GB2312" w:cs="仿宋_GB2312"/>
              <w:szCs w:val="28"/>
            </w:rPr>
            <w:t>20.评比工作相关要求</w:t>
          </w:r>
          <w:r>
            <w:tab/>
          </w:r>
          <w:r>
            <w:fldChar w:fldCharType="begin"/>
          </w:r>
          <w:r>
            <w:instrText xml:space="preserve"> PAGEREF _Toc1326 \h </w:instrText>
          </w:r>
          <w:r>
            <w:fldChar w:fldCharType="separate"/>
          </w:r>
          <w:r>
            <w:t>- 11 -</w:t>
          </w:r>
          <w:r>
            <w:fldChar w:fldCharType="end"/>
          </w:r>
          <w:r>
            <w:fldChar w:fldCharType="end"/>
          </w:r>
        </w:p>
        <w:p w14:paraId="18EB64C3">
          <w:pPr>
            <w:pStyle w:val="7"/>
            <w:tabs>
              <w:tab w:val="right" w:leader="dot" w:pos="8845"/>
            </w:tabs>
          </w:pPr>
          <w:r>
            <w:fldChar w:fldCharType="begin"/>
          </w:r>
          <w:r>
            <w:instrText xml:space="preserve"> HYPERLINK \l _Toc3124 </w:instrText>
          </w:r>
          <w:r>
            <w:fldChar w:fldCharType="separate"/>
          </w:r>
          <w:r>
            <w:rPr>
              <w:rFonts w:hint="eastAsia" w:ascii="仿宋_GB2312" w:hAnsi="仿宋_GB2312" w:eastAsia="仿宋_GB2312" w:cs="仿宋_GB2312"/>
              <w:szCs w:val="28"/>
            </w:rPr>
            <w:t>21.比选申请文件评比相关要求</w:t>
          </w:r>
          <w:r>
            <w:tab/>
          </w:r>
          <w:r>
            <w:fldChar w:fldCharType="begin"/>
          </w:r>
          <w:r>
            <w:instrText xml:space="preserve"> PAGEREF _Toc3124 \h </w:instrText>
          </w:r>
          <w:r>
            <w:fldChar w:fldCharType="separate"/>
          </w:r>
          <w:r>
            <w:t>- 12 -</w:t>
          </w:r>
          <w:r>
            <w:fldChar w:fldCharType="end"/>
          </w:r>
          <w:r>
            <w:fldChar w:fldCharType="end"/>
          </w:r>
        </w:p>
        <w:p w14:paraId="2A69D6AC">
          <w:pPr>
            <w:pStyle w:val="7"/>
            <w:tabs>
              <w:tab w:val="right" w:leader="dot" w:pos="8845"/>
            </w:tabs>
          </w:pPr>
          <w:r>
            <w:fldChar w:fldCharType="begin"/>
          </w:r>
          <w:r>
            <w:instrText xml:space="preserve"> HYPERLINK \l _Toc21949 </w:instrText>
          </w:r>
          <w:r>
            <w:fldChar w:fldCharType="separate"/>
          </w:r>
          <w:r>
            <w:rPr>
              <w:rFonts w:hint="eastAsia" w:ascii="仿宋_GB2312" w:hAnsi="仿宋_GB2312" w:eastAsia="仿宋_GB2312" w:cs="仿宋_GB2312"/>
              <w:szCs w:val="28"/>
            </w:rPr>
            <w:t>22.评比结果公示</w:t>
          </w:r>
          <w:r>
            <w:tab/>
          </w:r>
          <w:r>
            <w:fldChar w:fldCharType="begin"/>
          </w:r>
          <w:r>
            <w:instrText xml:space="preserve"> PAGEREF _Toc21949 \h </w:instrText>
          </w:r>
          <w:r>
            <w:fldChar w:fldCharType="separate"/>
          </w:r>
          <w:r>
            <w:t>- 13 -</w:t>
          </w:r>
          <w:r>
            <w:fldChar w:fldCharType="end"/>
          </w:r>
          <w:r>
            <w:fldChar w:fldCharType="end"/>
          </w:r>
        </w:p>
        <w:p w14:paraId="13C3CB78">
          <w:pPr>
            <w:pStyle w:val="12"/>
            <w:tabs>
              <w:tab w:val="right" w:leader="dot" w:pos="8845"/>
            </w:tabs>
          </w:pPr>
          <w:r>
            <w:fldChar w:fldCharType="begin"/>
          </w:r>
          <w:r>
            <w:instrText xml:space="preserve"> HYPERLINK \l _Toc19777 </w:instrText>
          </w:r>
          <w:r>
            <w:fldChar w:fldCharType="separate"/>
          </w:r>
          <w:r>
            <w:rPr>
              <w:rFonts w:hint="eastAsia" w:ascii="楷体" w:hAnsi="楷体" w:eastAsia="楷体" w:cs="楷体"/>
              <w:bCs/>
              <w:szCs w:val="32"/>
            </w:rPr>
            <w:t>七、授予合同</w:t>
          </w:r>
          <w:r>
            <w:tab/>
          </w:r>
          <w:r>
            <w:fldChar w:fldCharType="begin"/>
          </w:r>
          <w:r>
            <w:instrText xml:space="preserve"> PAGEREF _Toc19777 \h </w:instrText>
          </w:r>
          <w:r>
            <w:fldChar w:fldCharType="separate"/>
          </w:r>
          <w:r>
            <w:t>- 13 -</w:t>
          </w:r>
          <w:r>
            <w:fldChar w:fldCharType="end"/>
          </w:r>
          <w:r>
            <w:fldChar w:fldCharType="end"/>
          </w:r>
        </w:p>
        <w:p w14:paraId="0A9AB057">
          <w:pPr>
            <w:pStyle w:val="7"/>
            <w:tabs>
              <w:tab w:val="right" w:leader="dot" w:pos="8845"/>
            </w:tabs>
          </w:pPr>
          <w:r>
            <w:fldChar w:fldCharType="begin"/>
          </w:r>
          <w:r>
            <w:instrText xml:space="preserve"> HYPERLINK \l _Toc23180 </w:instrText>
          </w:r>
          <w:r>
            <w:fldChar w:fldCharType="separate"/>
          </w:r>
          <w:r>
            <w:rPr>
              <w:rFonts w:hint="eastAsia" w:ascii="仿宋_GB2312" w:hAnsi="仿宋_GB2312" w:eastAsia="仿宋_GB2312" w:cs="仿宋_GB2312"/>
              <w:szCs w:val="28"/>
            </w:rPr>
            <w:t>23.中选通知书</w:t>
          </w:r>
          <w:r>
            <w:tab/>
          </w:r>
          <w:r>
            <w:fldChar w:fldCharType="begin"/>
          </w:r>
          <w:r>
            <w:instrText xml:space="preserve"> PAGEREF _Toc23180 \h </w:instrText>
          </w:r>
          <w:r>
            <w:fldChar w:fldCharType="separate"/>
          </w:r>
          <w:r>
            <w:t>- 13 -</w:t>
          </w:r>
          <w:r>
            <w:fldChar w:fldCharType="end"/>
          </w:r>
          <w:r>
            <w:fldChar w:fldCharType="end"/>
          </w:r>
        </w:p>
        <w:p w14:paraId="423213FD">
          <w:pPr>
            <w:pStyle w:val="7"/>
            <w:tabs>
              <w:tab w:val="right" w:leader="dot" w:pos="8845"/>
            </w:tabs>
          </w:pPr>
          <w:r>
            <w:fldChar w:fldCharType="begin"/>
          </w:r>
          <w:r>
            <w:instrText xml:space="preserve"> HYPERLINK \l _Toc18075 </w:instrText>
          </w:r>
          <w:r>
            <w:fldChar w:fldCharType="separate"/>
          </w:r>
          <w:r>
            <w:rPr>
              <w:rFonts w:hint="eastAsia" w:ascii="仿宋_GB2312" w:hAnsi="仿宋_GB2312" w:eastAsia="仿宋_GB2312" w:cs="仿宋_GB2312"/>
              <w:szCs w:val="28"/>
            </w:rPr>
            <w:t>24.合同的签署</w:t>
          </w:r>
          <w:r>
            <w:tab/>
          </w:r>
          <w:r>
            <w:fldChar w:fldCharType="begin"/>
          </w:r>
          <w:r>
            <w:instrText xml:space="preserve"> PAGEREF _Toc18075 \h </w:instrText>
          </w:r>
          <w:r>
            <w:fldChar w:fldCharType="separate"/>
          </w:r>
          <w:r>
            <w:t>- 13 -</w:t>
          </w:r>
          <w:r>
            <w:fldChar w:fldCharType="end"/>
          </w:r>
          <w:r>
            <w:fldChar w:fldCharType="end"/>
          </w:r>
        </w:p>
        <w:p w14:paraId="643BA5C4">
          <w:pPr>
            <w:pStyle w:val="11"/>
            <w:tabs>
              <w:tab w:val="right" w:leader="dot" w:pos="8845"/>
            </w:tabs>
          </w:pPr>
          <w:r>
            <w:fldChar w:fldCharType="begin"/>
          </w:r>
          <w:r>
            <w:instrText xml:space="preserve"> HYPERLINK \l _Toc14411 </w:instrText>
          </w:r>
          <w:r>
            <w:fldChar w:fldCharType="separate"/>
          </w:r>
          <w:r>
            <w:rPr>
              <w:rFonts w:hint="eastAsia" w:ascii="黑体" w:hAnsi="黑体" w:eastAsia="黑体" w:cs="黑体"/>
              <w:bCs/>
              <w:szCs w:val="32"/>
            </w:rPr>
            <w:t>第二章 合同条款</w:t>
          </w:r>
          <w:r>
            <w:tab/>
          </w:r>
          <w:r>
            <w:fldChar w:fldCharType="begin"/>
          </w:r>
          <w:r>
            <w:instrText xml:space="preserve"> PAGEREF _Toc14411 \h </w:instrText>
          </w:r>
          <w:r>
            <w:fldChar w:fldCharType="separate"/>
          </w:r>
          <w:r>
            <w:t>- 14 -</w:t>
          </w:r>
          <w:r>
            <w:fldChar w:fldCharType="end"/>
          </w:r>
          <w:r>
            <w:fldChar w:fldCharType="end"/>
          </w:r>
        </w:p>
        <w:p w14:paraId="3938564A">
          <w:pPr>
            <w:pStyle w:val="7"/>
            <w:tabs>
              <w:tab w:val="right" w:leader="dot" w:pos="8845"/>
            </w:tabs>
          </w:pPr>
          <w:r>
            <w:fldChar w:fldCharType="begin"/>
          </w:r>
          <w:r>
            <w:instrText xml:space="preserve"> HYPERLINK \l _Toc11410 </w:instrText>
          </w:r>
          <w:r>
            <w:fldChar w:fldCharType="separate"/>
          </w:r>
          <w:r>
            <w:rPr>
              <w:rFonts w:hint="eastAsia" w:ascii="仿宋" w:hAnsi="仿宋" w:eastAsia="仿宋"/>
              <w:szCs w:val="28"/>
            </w:rPr>
            <w:t>一、定义</w:t>
          </w:r>
          <w:r>
            <w:tab/>
          </w:r>
          <w:r>
            <w:fldChar w:fldCharType="begin"/>
          </w:r>
          <w:r>
            <w:instrText xml:space="preserve"> PAGEREF _Toc11410 \h </w:instrText>
          </w:r>
          <w:r>
            <w:fldChar w:fldCharType="separate"/>
          </w:r>
          <w:r>
            <w:t>- 15 -</w:t>
          </w:r>
          <w:r>
            <w:fldChar w:fldCharType="end"/>
          </w:r>
          <w:r>
            <w:fldChar w:fldCharType="end"/>
          </w:r>
        </w:p>
        <w:p w14:paraId="003D5F0C">
          <w:pPr>
            <w:pStyle w:val="7"/>
            <w:tabs>
              <w:tab w:val="right" w:leader="dot" w:pos="8845"/>
            </w:tabs>
          </w:pPr>
          <w:r>
            <w:fldChar w:fldCharType="begin"/>
          </w:r>
          <w:r>
            <w:instrText xml:space="preserve"> HYPERLINK \l _Toc29417 </w:instrText>
          </w:r>
          <w:r>
            <w:fldChar w:fldCharType="separate"/>
          </w:r>
          <w:r>
            <w:rPr>
              <w:rFonts w:hint="eastAsia" w:ascii="仿宋" w:hAnsi="仿宋" w:eastAsia="仿宋"/>
              <w:szCs w:val="28"/>
            </w:rPr>
            <w:t>二</w:t>
          </w:r>
          <w:r>
            <w:rPr>
              <w:rFonts w:ascii="仿宋" w:hAnsi="仿宋" w:eastAsia="仿宋"/>
              <w:szCs w:val="28"/>
            </w:rPr>
            <w:t>、</w:t>
          </w:r>
          <w:r>
            <w:rPr>
              <w:rFonts w:hint="eastAsia" w:ascii="仿宋" w:hAnsi="仿宋" w:eastAsia="仿宋"/>
              <w:szCs w:val="28"/>
            </w:rPr>
            <w:t>标的技术的</w:t>
          </w:r>
          <w:r>
            <w:rPr>
              <w:rFonts w:ascii="仿宋" w:hAnsi="仿宋" w:eastAsia="仿宋"/>
              <w:szCs w:val="28"/>
            </w:rPr>
            <w:t>内容、</w:t>
          </w:r>
          <w:r>
            <w:rPr>
              <w:rFonts w:hint="eastAsia" w:ascii="仿宋" w:hAnsi="仿宋" w:eastAsia="仿宋"/>
              <w:szCs w:val="28"/>
            </w:rPr>
            <w:t>形式</w:t>
          </w:r>
          <w:r>
            <w:rPr>
              <w:rFonts w:ascii="仿宋" w:hAnsi="仿宋" w:eastAsia="仿宋"/>
              <w:szCs w:val="28"/>
            </w:rPr>
            <w:t>和要求</w:t>
          </w:r>
          <w:r>
            <w:tab/>
          </w:r>
          <w:r>
            <w:fldChar w:fldCharType="begin"/>
          </w:r>
          <w:r>
            <w:instrText xml:space="preserve"> PAGEREF _Toc29417 \h </w:instrText>
          </w:r>
          <w:r>
            <w:fldChar w:fldCharType="separate"/>
          </w:r>
          <w:r>
            <w:t>- 15 -</w:t>
          </w:r>
          <w:r>
            <w:fldChar w:fldCharType="end"/>
          </w:r>
          <w:r>
            <w:fldChar w:fldCharType="end"/>
          </w:r>
        </w:p>
        <w:p w14:paraId="352239E3">
          <w:pPr>
            <w:pStyle w:val="7"/>
            <w:tabs>
              <w:tab w:val="right" w:leader="dot" w:pos="8845"/>
            </w:tabs>
          </w:pPr>
          <w:r>
            <w:fldChar w:fldCharType="begin"/>
          </w:r>
          <w:r>
            <w:instrText xml:space="preserve"> HYPERLINK \l _Toc30924 </w:instrText>
          </w:r>
          <w:r>
            <w:fldChar w:fldCharType="separate"/>
          </w:r>
          <w:r>
            <w:rPr>
              <w:rFonts w:hint="eastAsia" w:ascii="仿宋" w:hAnsi="仿宋" w:eastAsia="仿宋"/>
              <w:szCs w:val="28"/>
            </w:rPr>
            <w:t>三</w:t>
          </w:r>
          <w:r>
            <w:rPr>
              <w:rFonts w:ascii="仿宋" w:hAnsi="仿宋" w:eastAsia="仿宋"/>
              <w:szCs w:val="28"/>
            </w:rPr>
            <w:t>、履行期限</w:t>
          </w:r>
          <w:r>
            <w:rPr>
              <w:rFonts w:hint="eastAsia" w:ascii="仿宋" w:hAnsi="仿宋" w:eastAsia="仿宋"/>
              <w:szCs w:val="28"/>
            </w:rPr>
            <w:t>和</w:t>
          </w:r>
          <w:r>
            <w:rPr>
              <w:rFonts w:ascii="仿宋" w:hAnsi="仿宋" w:eastAsia="仿宋"/>
              <w:szCs w:val="28"/>
            </w:rPr>
            <w:t>地点</w:t>
          </w:r>
          <w:r>
            <w:tab/>
          </w:r>
          <w:r>
            <w:fldChar w:fldCharType="begin"/>
          </w:r>
          <w:r>
            <w:instrText xml:space="preserve"> PAGEREF _Toc30924 \h </w:instrText>
          </w:r>
          <w:r>
            <w:fldChar w:fldCharType="separate"/>
          </w:r>
          <w:r>
            <w:t>- 15 -</w:t>
          </w:r>
          <w:r>
            <w:fldChar w:fldCharType="end"/>
          </w:r>
          <w:r>
            <w:fldChar w:fldCharType="end"/>
          </w:r>
        </w:p>
        <w:p w14:paraId="7DE3C7F3">
          <w:pPr>
            <w:pStyle w:val="7"/>
            <w:tabs>
              <w:tab w:val="right" w:leader="dot" w:pos="8845"/>
            </w:tabs>
          </w:pPr>
          <w:r>
            <w:fldChar w:fldCharType="begin"/>
          </w:r>
          <w:r>
            <w:instrText xml:space="preserve"> HYPERLINK \l _Toc21791 </w:instrText>
          </w:r>
          <w:r>
            <w:fldChar w:fldCharType="separate"/>
          </w:r>
          <w:r>
            <w:rPr>
              <w:rFonts w:hint="eastAsia" w:ascii="仿宋" w:hAnsi="仿宋" w:eastAsia="仿宋"/>
              <w:szCs w:val="28"/>
            </w:rPr>
            <w:t>四</w:t>
          </w:r>
          <w:r>
            <w:rPr>
              <w:rFonts w:ascii="仿宋" w:hAnsi="仿宋" w:eastAsia="仿宋"/>
              <w:szCs w:val="28"/>
            </w:rPr>
            <w:t>、报酬及其支付方式</w:t>
          </w:r>
          <w:r>
            <w:tab/>
          </w:r>
          <w:r>
            <w:fldChar w:fldCharType="begin"/>
          </w:r>
          <w:r>
            <w:instrText xml:space="preserve"> PAGEREF _Toc21791 \h </w:instrText>
          </w:r>
          <w:r>
            <w:fldChar w:fldCharType="separate"/>
          </w:r>
          <w:r>
            <w:t>- 16 -</w:t>
          </w:r>
          <w:r>
            <w:fldChar w:fldCharType="end"/>
          </w:r>
          <w:r>
            <w:fldChar w:fldCharType="end"/>
          </w:r>
        </w:p>
        <w:p w14:paraId="760B0315">
          <w:pPr>
            <w:pStyle w:val="7"/>
            <w:tabs>
              <w:tab w:val="right" w:leader="dot" w:pos="8845"/>
            </w:tabs>
          </w:pPr>
          <w:r>
            <w:fldChar w:fldCharType="begin"/>
          </w:r>
          <w:r>
            <w:instrText xml:space="preserve"> HYPERLINK \l _Toc19490 </w:instrText>
          </w:r>
          <w:r>
            <w:fldChar w:fldCharType="separate"/>
          </w:r>
          <w:r>
            <w:rPr>
              <w:rFonts w:hint="eastAsia" w:ascii="仿宋" w:hAnsi="仿宋" w:eastAsia="仿宋"/>
              <w:szCs w:val="28"/>
            </w:rPr>
            <w:t>五</w:t>
          </w:r>
          <w:r>
            <w:rPr>
              <w:rFonts w:ascii="仿宋" w:hAnsi="仿宋" w:eastAsia="仿宋"/>
              <w:szCs w:val="28"/>
            </w:rPr>
            <w:t>、</w:t>
          </w:r>
          <w:r>
            <w:rPr>
              <w:rFonts w:hint="eastAsia" w:ascii="仿宋" w:hAnsi="仿宋" w:eastAsia="仿宋"/>
              <w:szCs w:val="28"/>
            </w:rPr>
            <w:t>双方职责</w:t>
          </w:r>
          <w:r>
            <w:tab/>
          </w:r>
          <w:r>
            <w:fldChar w:fldCharType="begin"/>
          </w:r>
          <w:r>
            <w:instrText xml:space="preserve"> PAGEREF _Toc19490 \h </w:instrText>
          </w:r>
          <w:r>
            <w:fldChar w:fldCharType="separate"/>
          </w:r>
          <w:r>
            <w:t>- 17 -</w:t>
          </w:r>
          <w:r>
            <w:fldChar w:fldCharType="end"/>
          </w:r>
          <w:r>
            <w:fldChar w:fldCharType="end"/>
          </w:r>
        </w:p>
        <w:p w14:paraId="5C8CF399">
          <w:pPr>
            <w:pStyle w:val="7"/>
            <w:tabs>
              <w:tab w:val="right" w:leader="dot" w:pos="8845"/>
            </w:tabs>
          </w:pPr>
          <w:r>
            <w:fldChar w:fldCharType="begin"/>
          </w:r>
          <w:r>
            <w:instrText xml:space="preserve"> HYPERLINK \l _Toc347 </w:instrText>
          </w:r>
          <w:r>
            <w:fldChar w:fldCharType="separate"/>
          </w:r>
          <w:r>
            <w:rPr>
              <w:rFonts w:hint="eastAsia" w:ascii="仿宋" w:hAnsi="仿宋" w:eastAsia="仿宋"/>
              <w:szCs w:val="28"/>
            </w:rPr>
            <w:t>六、项目的实施及</w:t>
          </w:r>
          <w:r>
            <w:rPr>
              <w:rFonts w:ascii="仿宋" w:hAnsi="仿宋" w:eastAsia="仿宋"/>
              <w:szCs w:val="28"/>
            </w:rPr>
            <w:t>验收</w:t>
          </w:r>
          <w:r>
            <w:tab/>
          </w:r>
          <w:r>
            <w:fldChar w:fldCharType="begin"/>
          </w:r>
          <w:r>
            <w:instrText xml:space="preserve"> PAGEREF _Toc347 \h </w:instrText>
          </w:r>
          <w:r>
            <w:fldChar w:fldCharType="separate"/>
          </w:r>
          <w:r>
            <w:t>- 18 -</w:t>
          </w:r>
          <w:r>
            <w:fldChar w:fldCharType="end"/>
          </w:r>
          <w:r>
            <w:fldChar w:fldCharType="end"/>
          </w:r>
        </w:p>
        <w:p w14:paraId="400D455F">
          <w:pPr>
            <w:pStyle w:val="7"/>
            <w:tabs>
              <w:tab w:val="right" w:leader="dot" w:pos="8845"/>
            </w:tabs>
          </w:pPr>
          <w:r>
            <w:fldChar w:fldCharType="begin"/>
          </w:r>
          <w:r>
            <w:instrText xml:space="preserve"> HYPERLINK \l _Toc6231 </w:instrText>
          </w:r>
          <w:r>
            <w:fldChar w:fldCharType="separate"/>
          </w:r>
          <w:r>
            <w:rPr>
              <w:rFonts w:hint="eastAsia" w:ascii="仿宋" w:hAnsi="仿宋" w:eastAsia="仿宋"/>
              <w:szCs w:val="28"/>
            </w:rPr>
            <w:t>七、技术培训</w:t>
          </w:r>
          <w:r>
            <w:tab/>
          </w:r>
          <w:r>
            <w:fldChar w:fldCharType="begin"/>
          </w:r>
          <w:r>
            <w:instrText xml:space="preserve"> PAGEREF _Toc6231 \h </w:instrText>
          </w:r>
          <w:r>
            <w:fldChar w:fldCharType="separate"/>
          </w:r>
          <w:r>
            <w:t>- 19 -</w:t>
          </w:r>
          <w:r>
            <w:fldChar w:fldCharType="end"/>
          </w:r>
          <w:r>
            <w:fldChar w:fldCharType="end"/>
          </w:r>
        </w:p>
        <w:p w14:paraId="5030DE4C">
          <w:pPr>
            <w:pStyle w:val="7"/>
            <w:tabs>
              <w:tab w:val="right" w:leader="dot" w:pos="8845"/>
            </w:tabs>
          </w:pPr>
          <w:r>
            <w:fldChar w:fldCharType="begin"/>
          </w:r>
          <w:r>
            <w:instrText xml:space="preserve"> HYPERLINK \l _Toc24346 </w:instrText>
          </w:r>
          <w:r>
            <w:fldChar w:fldCharType="separate"/>
          </w:r>
          <w:r>
            <w:rPr>
              <w:rFonts w:hint="eastAsia" w:ascii="仿宋" w:hAnsi="仿宋" w:eastAsia="仿宋"/>
              <w:szCs w:val="28"/>
            </w:rPr>
            <w:t>八、售后服务</w:t>
          </w:r>
          <w:r>
            <w:tab/>
          </w:r>
          <w:r>
            <w:fldChar w:fldCharType="begin"/>
          </w:r>
          <w:r>
            <w:instrText xml:space="preserve"> PAGEREF _Toc24346 \h </w:instrText>
          </w:r>
          <w:r>
            <w:fldChar w:fldCharType="separate"/>
          </w:r>
          <w:r>
            <w:t>- 19 -</w:t>
          </w:r>
          <w:r>
            <w:fldChar w:fldCharType="end"/>
          </w:r>
          <w:r>
            <w:fldChar w:fldCharType="end"/>
          </w:r>
        </w:p>
        <w:p w14:paraId="69F083CB">
          <w:pPr>
            <w:pStyle w:val="7"/>
            <w:tabs>
              <w:tab w:val="right" w:leader="dot" w:pos="8845"/>
            </w:tabs>
          </w:pPr>
          <w:r>
            <w:fldChar w:fldCharType="begin"/>
          </w:r>
          <w:r>
            <w:instrText xml:space="preserve"> HYPERLINK \l _Toc6299 </w:instrText>
          </w:r>
          <w:r>
            <w:fldChar w:fldCharType="separate"/>
          </w:r>
          <w:r>
            <w:rPr>
              <w:rFonts w:hint="eastAsia" w:ascii="仿宋" w:hAnsi="仿宋" w:eastAsia="仿宋"/>
              <w:szCs w:val="28"/>
            </w:rPr>
            <w:t>九、技术情报和资料的保密</w:t>
          </w:r>
          <w:r>
            <w:tab/>
          </w:r>
          <w:r>
            <w:fldChar w:fldCharType="begin"/>
          </w:r>
          <w:r>
            <w:instrText xml:space="preserve"> PAGEREF _Toc6299 \h </w:instrText>
          </w:r>
          <w:r>
            <w:fldChar w:fldCharType="separate"/>
          </w:r>
          <w:r>
            <w:t>- 20 -</w:t>
          </w:r>
          <w:r>
            <w:fldChar w:fldCharType="end"/>
          </w:r>
          <w:r>
            <w:fldChar w:fldCharType="end"/>
          </w:r>
        </w:p>
        <w:p w14:paraId="4302F214">
          <w:pPr>
            <w:pStyle w:val="7"/>
            <w:tabs>
              <w:tab w:val="right" w:leader="dot" w:pos="8845"/>
            </w:tabs>
          </w:pPr>
          <w:r>
            <w:fldChar w:fldCharType="begin"/>
          </w:r>
          <w:r>
            <w:instrText xml:space="preserve"> HYPERLINK \l _Toc5871 </w:instrText>
          </w:r>
          <w:r>
            <w:fldChar w:fldCharType="separate"/>
          </w:r>
          <w:r>
            <w:rPr>
              <w:rFonts w:hint="eastAsia" w:ascii="仿宋" w:hAnsi="仿宋" w:eastAsia="仿宋"/>
              <w:szCs w:val="28"/>
            </w:rPr>
            <w:t>十、 知识产权</w:t>
          </w:r>
          <w:r>
            <w:tab/>
          </w:r>
          <w:r>
            <w:fldChar w:fldCharType="begin"/>
          </w:r>
          <w:r>
            <w:instrText xml:space="preserve"> PAGEREF _Toc5871 \h </w:instrText>
          </w:r>
          <w:r>
            <w:fldChar w:fldCharType="separate"/>
          </w:r>
          <w:r>
            <w:t>- 20 -</w:t>
          </w:r>
          <w:r>
            <w:fldChar w:fldCharType="end"/>
          </w:r>
          <w:r>
            <w:fldChar w:fldCharType="end"/>
          </w:r>
        </w:p>
        <w:p w14:paraId="556239AB">
          <w:pPr>
            <w:pStyle w:val="7"/>
            <w:tabs>
              <w:tab w:val="right" w:leader="dot" w:pos="8845"/>
            </w:tabs>
          </w:pPr>
          <w:r>
            <w:fldChar w:fldCharType="begin"/>
          </w:r>
          <w:r>
            <w:instrText xml:space="preserve"> HYPERLINK \l _Toc12725 </w:instrText>
          </w:r>
          <w:r>
            <w:fldChar w:fldCharType="separate"/>
          </w:r>
          <w:r>
            <w:rPr>
              <w:rFonts w:hint="eastAsia" w:ascii="仿宋" w:hAnsi="仿宋" w:eastAsia="仿宋"/>
              <w:szCs w:val="28"/>
            </w:rPr>
            <w:t>十一</w:t>
          </w:r>
          <w:r>
            <w:rPr>
              <w:rFonts w:ascii="仿宋" w:hAnsi="仿宋" w:eastAsia="仿宋"/>
              <w:szCs w:val="28"/>
            </w:rPr>
            <w:t>、违约金或者损失赔偿额的计算方法</w:t>
          </w:r>
          <w:r>
            <w:tab/>
          </w:r>
          <w:r>
            <w:fldChar w:fldCharType="begin"/>
          </w:r>
          <w:r>
            <w:instrText xml:space="preserve"> PAGEREF _Toc12725 \h </w:instrText>
          </w:r>
          <w:r>
            <w:fldChar w:fldCharType="separate"/>
          </w:r>
          <w:r>
            <w:t>- 20 -</w:t>
          </w:r>
          <w:r>
            <w:fldChar w:fldCharType="end"/>
          </w:r>
          <w:r>
            <w:fldChar w:fldCharType="end"/>
          </w:r>
        </w:p>
        <w:p w14:paraId="26066A4D">
          <w:pPr>
            <w:pStyle w:val="7"/>
            <w:tabs>
              <w:tab w:val="right" w:leader="dot" w:pos="8845"/>
            </w:tabs>
          </w:pPr>
          <w:r>
            <w:fldChar w:fldCharType="begin"/>
          </w:r>
          <w:r>
            <w:instrText xml:space="preserve"> HYPERLINK \l _Toc11752 </w:instrText>
          </w:r>
          <w:r>
            <w:fldChar w:fldCharType="separate"/>
          </w:r>
          <w:r>
            <w:rPr>
              <w:rFonts w:hint="eastAsia" w:ascii="仿宋" w:hAnsi="仿宋" w:eastAsia="仿宋"/>
              <w:szCs w:val="28"/>
            </w:rPr>
            <w:t>十二</w:t>
          </w:r>
          <w:r>
            <w:rPr>
              <w:rFonts w:ascii="仿宋" w:hAnsi="仿宋" w:eastAsia="仿宋"/>
              <w:szCs w:val="28"/>
            </w:rPr>
            <w:t>、</w:t>
          </w:r>
          <w:r>
            <w:rPr>
              <w:rFonts w:hint="eastAsia" w:ascii="仿宋" w:hAnsi="仿宋" w:eastAsia="仿宋"/>
              <w:szCs w:val="28"/>
            </w:rPr>
            <w:t>不可抗力</w:t>
          </w:r>
          <w:r>
            <w:tab/>
          </w:r>
          <w:r>
            <w:fldChar w:fldCharType="begin"/>
          </w:r>
          <w:r>
            <w:instrText xml:space="preserve"> PAGEREF _Toc11752 \h </w:instrText>
          </w:r>
          <w:r>
            <w:fldChar w:fldCharType="separate"/>
          </w:r>
          <w:r>
            <w:t>- 21 -</w:t>
          </w:r>
          <w:r>
            <w:fldChar w:fldCharType="end"/>
          </w:r>
          <w:r>
            <w:fldChar w:fldCharType="end"/>
          </w:r>
        </w:p>
        <w:p w14:paraId="046334F2">
          <w:pPr>
            <w:pStyle w:val="7"/>
            <w:tabs>
              <w:tab w:val="right" w:leader="dot" w:pos="8845"/>
            </w:tabs>
          </w:pPr>
          <w:r>
            <w:fldChar w:fldCharType="begin"/>
          </w:r>
          <w:r>
            <w:instrText xml:space="preserve"> HYPERLINK \l _Toc8174 </w:instrText>
          </w:r>
          <w:r>
            <w:fldChar w:fldCharType="separate"/>
          </w:r>
          <w:r>
            <w:rPr>
              <w:rFonts w:hint="eastAsia" w:ascii="仿宋" w:hAnsi="仿宋" w:eastAsia="仿宋"/>
              <w:szCs w:val="28"/>
            </w:rPr>
            <w:t>十三、</w:t>
          </w:r>
          <w:r>
            <w:rPr>
              <w:rFonts w:ascii="仿宋" w:hAnsi="仿宋" w:eastAsia="仿宋"/>
              <w:szCs w:val="28"/>
            </w:rPr>
            <w:t>争议的解决</w:t>
          </w:r>
          <w:r>
            <w:tab/>
          </w:r>
          <w:r>
            <w:fldChar w:fldCharType="begin"/>
          </w:r>
          <w:r>
            <w:instrText xml:space="preserve"> PAGEREF _Toc8174 \h </w:instrText>
          </w:r>
          <w:r>
            <w:fldChar w:fldCharType="separate"/>
          </w:r>
          <w:r>
            <w:t>- 22 -</w:t>
          </w:r>
          <w:r>
            <w:fldChar w:fldCharType="end"/>
          </w:r>
          <w:r>
            <w:fldChar w:fldCharType="end"/>
          </w:r>
        </w:p>
        <w:p w14:paraId="2C25FD86">
          <w:pPr>
            <w:pStyle w:val="7"/>
            <w:tabs>
              <w:tab w:val="right" w:leader="dot" w:pos="8845"/>
            </w:tabs>
          </w:pPr>
          <w:r>
            <w:fldChar w:fldCharType="begin"/>
          </w:r>
          <w:r>
            <w:instrText xml:space="preserve"> HYPERLINK \l _Toc29037 </w:instrText>
          </w:r>
          <w:r>
            <w:fldChar w:fldCharType="separate"/>
          </w:r>
          <w:r>
            <w:rPr>
              <w:rFonts w:hint="eastAsia" w:ascii="仿宋" w:hAnsi="仿宋" w:eastAsia="仿宋"/>
              <w:szCs w:val="28"/>
            </w:rPr>
            <w:t>十四</w:t>
          </w:r>
          <w:r>
            <w:rPr>
              <w:rFonts w:ascii="仿宋" w:hAnsi="仿宋" w:eastAsia="仿宋"/>
              <w:szCs w:val="28"/>
            </w:rPr>
            <w:t>、其他</w:t>
          </w:r>
          <w:r>
            <w:tab/>
          </w:r>
          <w:r>
            <w:fldChar w:fldCharType="begin"/>
          </w:r>
          <w:r>
            <w:instrText xml:space="preserve"> PAGEREF _Toc29037 \h </w:instrText>
          </w:r>
          <w:r>
            <w:fldChar w:fldCharType="separate"/>
          </w:r>
          <w:r>
            <w:t>- 22 -</w:t>
          </w:r>
          <w:r>
            <w:fldChar w:fldCharType="end"/>
          </w:r>
          <w:r>
            <w:fldChar w:fldCharType="end"/>
          </w:r>
        </w:p>
        <w:p w14:paraId="25F907DD">
          <w:pPr>
            <w:pStyle w:val="11"/>
            <w:tabs>
              <w:tab w:val="right" w:leader="dot" w:pos="8845"/>
            </w:tabs>
          </w:pPr>
          <w:r>
            <w:fldChar w:fldCharType="begin"/>
          </w:r>
          <w:r>
            <w:instrText xml:space="preserve"> HYPERLINK \l _Toc13296 </w:instrText>
          </w:r>
          <w:r>
            <w:fldChar w:fldCharType="separate"/>
          </w:r>
          <w:r>
            <w:rPr>
              <w:rFonts w:hint="eastAsia" w:ascii="黑体" w:hAnsi="黑体" w:eastAsia="黑体" w:cs="黑体"/>
              <w:bCs/>
              <w:szCs w:val="32"/>
            </w:rPr>
            <w:t>第三章 项目需求</w:t>
          </w:r>
          <w:r>
            <w:tab/>
          </w:r>
          <w:r>
            <w:fldChar w:fldCharType="begin"/>
          </w:r>
          <w:r>
            <w:instrText xml:space="preserve"> PAGEREF _Toc13296 \h </w:instrText>
          </w:r>
          <w:r>
            <w:fldChar w:fldCharType="separate"/>
          </w:r>
          <w:r>
            <w:t>- 24 -</w:t>
          </w:r>
          <w:r>
            <w:fldChar w:fldCharType="end"/>
          </w:r>
          <w:r>
            <w:fldChar w:fldCharType="end"/>
          </w:r>
        </w:p>
        <w:p w14:paraId="72F74E9A">
          <w:pPr>
            <w:pStyle w:val="12"/>
            <w:tabs>
              <w:tab w:val="right" w:leader="dot" w:pos="8845"/>
            </w:tabs>
          </w:pPr>
          <w:r>
            <w:fldChar w:fldCharType="begin"/>
          </w:r>
          <w:r>
            <w:instrText xml:space="preserve"> HYPERLINK \l _Toc32341 </w:instrText>
          </w:r>
          <w:r>
            <w:fldChar w:fldCharType="separate"/>
          </w:r>
          <w:r>
            <w:rPr>
              <w:rFonts w:hint="eastAsia"/>
              <w:bCs/>
              <w:szCs w:val="32"/>
              <w:lang w:eastAsia="zh-CN"/>
            </w:rPr>
            <w:t>技术需求</w:t>
          </w:r>
          <w:r>
            <w:tab/>
          </w:r>
          <w:r>
            <w:fldChar w:fldCharType="begin"/>
          </w:r>
          <w:r>
            <w:instrText xml:space="preserve"> PAGEREF _Toc32341 \h </w:instrText>
          </w:r>
          <w:r>
            <w:fldChar w:fldCharType="separate"/>
          </w:r>
          <w:r>
            <w:t>- 24 -</w:t>
          </w:r>
          <w:r>
            <w:fldChar w:fldCharType="end"/>
          </w:r>
          <w:r>
            <w:fldChar w:fldCharType="end"/>
          </w:r>
        </w:p>
        <w:p w14:paraId="12276D23">
          <w:pPr>
            <w:pStyle w:val="12"/>
            <w:tabs>
              <w:tab w:val="right" w:leader="dot" w:pos="8845"/>
            </w:tabs>
          </w:pPr>
          <w:r>
            <w:fldChar w:fldCharType="begin"/>
          </w:r>
          <w:r>
            <w:instrText xml:space="preserve"> HYPERLINK \l _Toc1166 </w:instrText>
          </w:r>
          <w:r>
            <w:fldChar w:fldCharType="separate"/>
          </w:r>
          <w:r>
            <w:rPr>
              <w:rFonts w:hint="default" w:ascii="宋体" w:hAnsi="宋体" w:eastAsia="宋体" w:cs="Times New Roman"/>
              <w:bCs/>
              <w:kern w:val="44"/>
              <w:szCs w:val="28"/>
              <w:lang w:val="en-US" w:eastAsia="zh-CN" w:bidi="ar-SA"/>
            </w:rPr>
            <w:t xml:space="preserve">1. </w:t>
          </w:r>
          <w:r>
            <w:rPr>
              <w:rFonts w:hint="eastAsia" w:ascii="宋体" w:hAnsi="宋体" w:eastAsia="宋体" w:cs="Times New Roman"/>
              <w:bCs/>
              <w:kern w:val="44"/>
              <w:szCs w:val="28"/>
              <w:lang w:val="en-US" w:eastAsia="zh-CN" w:bidi="ar-SA"/>
            </w:rPr>
            <w:t>编写目的</w:t>
          </w:r>
          <w:r>
            <w:tab/>
          </w:r>
          <w:r>
            <w:fldChar w:fldCharType="begin"/>
          </w:r>
          <w:r>
            <w:instrText xml:space="preserve"> PAGEREF _Toc1166 \h </w:instrText>
          </w:r>
          <w:r>
            <w:fldChar w:fldCharType="separate"/>
          </w:r>
          <w:r>
            <w:t>- 24 -</w:t>
          </w:r>
          <w:r>
            <w:fldChar w:fldCharType="end"/>
          </w:r>
          <w:r>
            <w:fldChar w:fldCharType="end"/>
          </w:r>
        </w:p>
        <w:p w14:paraId="5A74149F">
          <w:pPr>
            <w:pStyle w:val="12"/>
            <w:tabs>
              <w:tab w:val="right" w:leader="dot" w:pos="8845"/>
            </w:tabs>
          </w:pPr>
          <w:r>
            <w:fldChar w:fldCharType="begin"/>
          </w:r>
          <w:r>
            <w:instrText xml:space="preserve"> HYPERLINK \l _Toc12312 </w:instrText>
          </w:r>
          <w:r>
            <w:fldChar w:fldCharType="separate"/>
          </w:r>
          <w:r>
            <w:rPr>
              <w:rFonts w:hint="default" w:ascii="宋体" w:hAnsi="宋体" w:eastAsia="宋体" w:cs="Times New Roman"/>
              <w:bCs/>
              <w:kern w:val="44"/>
              <w:szCs w:val="28"/>
              <w:lang w:val="en-US" w:eastAsia="zh-CN" w:bidi="ar-SA"/>
            </w:rPr>
            <w:t xml:space="preserve">2. </w:t>
          </w:r>
          <w:r>
            <w:rPr>
              <w:rFonts w:hint="eastAsia" w:ascii="宋体" w:hAnsi="宋体" w:eastAsia="宋体" w:cs="Times New Roman"/>
              <w:bCs/>
              <w:kern w:val="44"/>
              <w:szCs w:val="28"/>
              <w:lang w:val="en-US" w:eastAsia="zh-CN" w:bidi="ar-SA"/>
            </w:rPr>
            <w:t>概述</w:t>
          </w:r>
          <w:r>
            <w:tab/>
          </w:r>
          <w:r>
            <w:fldChar w:fldCharType="begin"/>
          </w:r>
          <w:r>
            <w:instrText xml:space="preserve"> PAGEREF _Toc12312 \h </w:instrText>
          </w:r>
          <w:r>
            <w:fldChar w:fldCharType="separate"/>
          </w:r>
          <w:r>
            <w:t>- 24 -</w:t>
          </w:r>
          <w:r>
            <w:fldChar w:fldCharType="end"/>
          </w:r>
          <w:r>
            <w:fldChar w:fldCharType="end"/>
          </w:r>
        </w:p>
        <w:p w14:paraId="6F37BE36">
          <w:pPr>
            <w:pStyle w:val="12"/>
            <w:tabs>
              <w:tab w:val="right" w:leader="dot" w:pos="8845"/>
            </w:tabs>
          </w:pPr>
          <w:r>
            <w:fldChar w:fldCharType="begin"/>
          </w:r>
          <w:r>
            <w:instrText xml:space="preserve"> HYPERLINK \l _Toc26507 </w:instrText>
          </w:r>
          <w:r>
            <w:fldChar w:fldCharType="separate"/>
          </w:r>
          <w:r>
            <w:rPr>
              <w:rFonts w:hint="default" w:ascii="宋体" w:hAnsi="宋体" w:eastAsia="宋体" w:cs="Times New Roman"/>
              <w:bCs/>
              <w:kern w:val="44"/>
              <w:szCs w:val="28"/>
              <w:lang w:val="en-US" w:eastAsia="zh-CN" w:bidi="ar-SA"/>
            </w:rPr>
            <w:t xml:space="preserve">3. </w:t>
          </w:r>
          <w:r>
            <w:rPr>
              <w:rFonts w:hint="eastAsia" w:ascii="宋体" w:hAnsi="宋体" w:eastAsia="宋体" w:cs="Times New Roman"/>
              <w:bCs/>
              <w:kern w:val="44"/>
              <w:szCs w:val="28"/>
              <w:lang w:val="en-US" w:eastAsia="zh-CN" w:bidi="ar-SA"/>
            </w:rPr>
            <w:t>总体设计方案</w:t>
          </w:r>
          <w:r>
            <w:tab/>
          </w:r>
          <w:r>
            <w:fldChar w:fldCharType="begin"/>
          </w:r>
          <w:r>
            <w:instrText xml:space="preserve"> PAGEREF _Toc26507 \h </w:instrText>
          </w:r>
          <w:r>
            <w:fldChar w:fldCharType="separate"/>
          </w:r>
          <w:r>
            <w:t>- 25 -</w:t>
          </w:r>
          <w:r>
            <w:fldChar w:fldCharType="end"/>
          </w:r>
          <w:r>
            <w:fldChar w:fldCharType="end"/>
          </w:r>
        </w:p>
        <w:p w14:paraId="2E4087C6">
          <w:pPr>
            <w:pStyle w:val="12"/>
            <w:tabs>
              <w:tab w:val="right" w:leader="dot" w:pos="8845"/>
            </w:tabs>
          </w:pPr>
          <w:r>
            <w:fldChar w:fldCharType="begin"/>
          </w:r>
          <w:r>
            <w:instrText xml:space="preserve"> HYPERLINK \l _Toc29937 </w:instrText>
          </w:r>
          <w:r>
            <w:fldChar w:fldCharType="separate"/>
          </w:r>
          <w:r>
            <w:rPr>
              <w:rFonts w:hint="default" w:ascii="宋体" w:hAnsi="宋体" w:eastAsia="宋体" w:cs="Times New Roman"/>
              <w:bCs/>
              <w:kern w:val="44"/>
              <w:szCs w:val="28"/>
              <w:lang w:val="en-US" w:eastAsia="zh-CN" w:bidi="ar-SA"/>
            </w:rPr>
            <w:t xml:space="preserve">4. </w:t>
          </w:r>
          <w:r>
            <w:rPr>
              <w:rFonts w:hint="eastAsia" w:ascii="宋体" w:hAnsi="宋体" w:eastAsia="宋体" w:cs="Times New Roman"/>
              <w:bCs/>
              <w:kern w:val="44"/>
              <w:szCs w:val="28"/>
              <w:lang w:val="en-US" w:eastAsia="zh-CN" w:bidi="ar-SA"/>
            </w:rPr>
            <w:t>关键技术实现及验证</w:t>
          </w:r>
          <w:r>
            <w:tab/>
          </w:r>
          <w:r>
            <w:fldChar w:fldCharType="begin"/>
          </w:r>
          <w:r>
            <w:instrText xml:space="preserve"> PAGEREF _Toc29937 \h </w:instrText>
          </w:r>
          <w:r>
            <w:fldChar w:fldCharType="separate"/>
          </w:r>
          <w:r>
            <w:t>- 48 -</w:t>
          </w:r>
          <w:r>
            <w:fldChar w:fldCharType="end"/>
          </w:r>
          <w:r>
            <w:fldChar w:fldCharType="end"/>
          </w:r>
        </w:p>
        <w:p w14:paraId="1C835050">
          <w:pPr>
            <w:pStyle w:val="12"/>
            <w:tabs>
              <w:tab w:val="right" w:leader="dot" w:pos="8845"/>
            </w:tabs>
          </w:pPr>
          <w:r>
            <w:fldChar w:fldCharType="begin"/>
          </w:r>
          <w:r>
            <w:instrText xml:space="preserve"> HYPERLINK \l _Toc19372 </w:instrText>
          </w:r>
          <w:r>
            <w:fldChar w:fldCharType="separate"/>
          </w:r>
          <w:r>
            <w:rPr>
              <w:rFonts w:hint="default" w:ascii="宋体" w:hAnsi="宋体" w:eastAsia="宋体" w:cs="Times New Roman"/>
              <w:bCs/>
              <w:kern w:val="44"/>
              <w:szCs w:val="28"/>
              <w:lang w:val="en-US" w:eastAsia="zh-CN" w:bidi="ar-SA"/>
            </w:rPr>
            <w:t xml:space="preserve">5. </w:t>
          </w:r>
          <w:r>
            <w:rPr>
              <w:rFonts w:hint="eastAsia" w:ascii="宋体" w:hAnsi="宋体" w:eastAsia="宋体" w:cs="Times New Roman"/>
              <w:bCs/>
              <w:kern w:val="44"/>
              <w:szCs w:val="28"/>
              <w:lang w:val="en-US" w:eastAsia="zh-CN" w:bidi="ar-SA"/>
            </w:rPr>
            <w:t>公共模块设计</w:t>
          </w:r>
          <w:r>
            <w:tab/>
          </w:r>
          <w:r>
            <w:fldChar w:fldCharType="begin"/>
          </w:r>
          <w:r>
            <w:instrText xml:space="preserve"> PAGEREF _Toc19372 \h </w:instrText>
          </w:r>
          <w:r>
            <w:fldChar w:fldCharType="separate"/>
          </w:r>
          <w:r>
            <w:t>- 49 -</w:t>
          </w:r>
          <w:r>
            <w:fldChar w:fldCharType="end"/>
          </w:r>
          <w:r>
            <w:fldChar w:fldCharType="end"/>
          </w:r>
        </w:p>
        <w:p w14:paraId="3BF3AD92">
          <w:pPr>
            <w:pStyle w:val="11"/>
            <w:tabs>
              <w:tab w:val="right" w:leader="dot" w:pos="8845"/>
            </w:tabs>
          </w:pPr>
          <w:r>
            <w:fldChar w:fldCharType="begin"/>
          </w:r>
          <w:r>
            <w:instrText xml:space="preserve"> HYPERLINK \l _Toc15395 </w:instrText>
          </w:r>
          <w:r>
            <w:fldChar w:fldCharType="separate"/>
          </w:r>
          <w:r>
            <w:rPr>
              <w:rFonts w:hint="eastAsia" w:ascii="黑体" w:hAnsi="黑体" w:eastAsia="黑体" w:cs="黑体"/>
              <w:bCs/>
              <w:szCs w:val="32"/>
            </w:rPr>
            <w:t>第四章 比选申请文件（格式）</w:t>
          </w:r>
          <w:r>
            <w:tab/>
          </w:r>
          <w:r>
            <w:fldChar w:fldCharType="begin"/>
          </w:r>
          <w:r>
            <w:instrText xml:space="preserve"> PAGEREF _Toc15395 \h </w:instrText>
          </w:r>
          <w:r>
            <w:fldChar w:fldCharType="separate"/>
          </w:r>
          <w:r>
            <w:t>- 50 -</w:t>
          </w:r>
          <w:r>
            <w:fldChar w:fldCharType="end"/>
          </w:r>
          <w:r>
            <w:fldChar w:fldCharType="end"/>
          </w:r>
        </w:p>
        <w:p w14:paraId="35B581A9">
          <w:pPr>
            <w:pStyle w:val="12"/>
            <w:tabs>
              <w:tab w:val="right" w:leader="dot" w:pos="8845"/>
            </w:tabs>
          </w:pPr>
          <w:r>
            <w:fldChar w:fldCharType="begin"/>
          </w:r>
          <w:r>
            <w:instrText xml:space="preserve"> HYPERLINK \l _Toc30841 </w:instrText>
          </w:r>
          <w:r>
            <w:fldChar w:fldCharType="separate"/>
          </w:r>
          <w:r>
            <w:rPr>
              <w:rFonts w:hint="eastAsia" w:ascii="方正小标宋简体" w:hAnsi="方正小标宋简体" w:eastAsia="方正小标宋简体" w:cs="方正小标宋简体"/>
              <w:szCs w:val="44"/>
            </w:rPr>
            <w:t>项目比选申请文件资格审查部分</w:t>
          </w:r>
          <w:r>
            <w:tab/>
          </w:r>
          <w:r>
            <w:fldChar w:fldCharType="begin"/>
          </w:r>
          <w:r>
            <w:instrText xml:space="preserve"> PAGEREF _Toc30841 \h </w:instrText>
          </w:r>
          <w:r>
            <w:fldChar w:fldCharType="separate"/>
          </w:r>
          <w:r>
            <w:t>- 50 -</w:t>
          </w:r>
          <w:r>
            <w:fldChar w:fldCharType="end"/>
          </w:r>
          <w:r>
            <w:fldChar w:fldCharType="end"/>
          </w:r>
        </w:p>
        <w:p w14:paraId="65DABFFE">
          <w:pPr>
            <w:pStyle w:val="12"/>
            <w:tabs>
              <w:tab w:val="right" w:leader="dot" w:pos="8845"/>
            </w:tabs>
          </w:pPr>
          <w:r>
            <w:fldChar w:fldCharType="begin"/>
          </w:r>
          <w:r>
            <w:instrText xml:space="preserve"> HYPERLINK \l _Toc5943 </w:instrText>
          </w:r>
          <w:r>
            <w:fldChar w:fldCharType="separate"/>
          </w:r>
          <w:r>
            <w:rPr>
              <w:rFonts w:hint="eastAsia" w:ascii="仿宋_GB2312" w:hAnsi="仿宋_GB2312" w:eastAsia="仿宋_GB2312" w:cs="仿宋_GB2312"/>
              <w:bCs/>
              <w:szCs w:val="32"/>
            </w:rPr>
            <w:t>一、资格审查章节目录</w:t>
          </w:r>
          <w:r>
            <w:tab/>
          </w:r>
          <w:r>
            <w:fldChar w:fldCharType="begin"/>
          </w:r>
          <w:r>
            <w:instrText xml:space="preserve"> PAGEREF _Toc5943 \h </w:instrText>
          </w:r>
          <w:r>
            <w:fldChar w:fldCharType="separate"/>
          </w:r>
          <w:r>
            <w:t>- 51 -</w:t>
          </w:r>
          <w:r>
            <w:fldChar w:fldCharType="end"/>
          </w:r>
          <w:r>
            <w:fldChar w:fldCharType="end"/>
          </w:r>
        </w:p>
        <w:p w14:paraId="53E1D03D">
          <w:pPr>
            <w:pStyle w:val="7"/>
            <w:tabs>
              <w:tab w:val="right" w:leader="dot" w:pos="8845"/>
            </w:tabs>
          </w:pPr>
          <w:r>
            <w:fldChar w:fldCharType="begin"/>
          </w:r>
          <w:r>
            <w:instrText xml:space="preserve"> HYPERLINK \l _Toc2282 </w:instrText>
          </w:r>
          <w:r>
            <w:fldChar w:fldCharType="separate"/>
          </w:r>
          <w:r>
            <w:rPr>
              <w:rFonts w:hint="eastAsia" w:ascii="仿宋_GB2312" w:hAnsi="仿宋_GB2312" w:eastAsia="仿宋_GB2312" w:cs="仿宋_GB2312"/>
              <w:bCs/>
              <w:szCs w:val="32"/>
            </w:rPr>
            <w:t>1.诚信声明</w:t>
          </w:r>
          <w:r>
            <w:tab/>
          </w:r>
          <w:r>
            <w:fldChar w:fldCharType="begin"/>
          </w:r>
          <w:r>
            <w:instrText xml:space="preserve"> PAGEREF _Toc2282 \h </w:instrText>
          </w:r>
          <w:r>
            <w:fldChar w:fldCharType="separate"/>
          </w:r>
          <w:r>
            <w:t>- 52 -</w:t>
          </w:r>
          <w:r>
            <w:fldChar w:fldCharType="end"/>
          </w:r>
          <w:r>
            <w:fldChar w:fldCharType="end"/>
          </w:r>
        </w:p>
        <w:p w14:paraId="6639DF3F">
          <w:pPr>
            <w:pStyle w:val="7"/>
            <w:tabs>
              <w:tab w:val="right" w:leader="dot" w:pos="8845"/>
            </w:tabs>
          </w:pPr>
          <w:r>
            <w:fldChar w:fldCharType="begin"/>
          </w:r>
          <w:r>
            <w:instrText xml:space="preserve"> HYPERLINK \l _Toc11895 </w:instrText>
          </w:r>
          <w:r>
            <w:fldChar w:fldCharType="separate"/>
          </w:r>
          <w:r>
            <w:rPr>
              <w:rFonts w:hint="eastAsia" w:ascii="仿宋_GB2312" w:hAnsi="仿宋_GB2312" w:eastAsia="仿宋_GB2312" w:cs="仿宋_GB2312"/>
              <w:bCs/>
              <w:szCs w:val="32"/>
            </w:rPr>
            <w:t>2.比选函（格式）</w:t>
          </w:r>
          <w:r>
            <w:tab/>
          </w:r>
          <w:r>
            <w:fldChar w:fldCharType="begin"/>
          </w:r>
          <w:r>
            <w:instrText xml:space="preserve"> PAGEREF _Toc11895 \h </w:instrText>
          </w:r>
          <w:r>
            <w:fldChar w:fldCharType="separate"/>
          </w:r>
          <w:r>
            <w:t>- 53 -</w:t>
          </w:r>
          <w:r>
            <w:fldChar w:fldCharType="end"/>
          </w:r>
          <w:r>
            <w:fldChar w:fldCharType="end"/>
          </w:r>
        </w:p>
        <w:p w14:paraId="2A1B7CB7">
          <w:pPr>
            <w:pStyle w:val="7"/>
            <w:tabs>
              <w:tab w:val="right" w:leader="dot" w:pos="8845"/>
            </w:tabs>
          </w:pPr>
          <w:r>
            <w:fldChar w:fldCharType="begin"/>
          </w:r>
          <w:r>
            <w:instrText xml:space="preserve"> HYPERLINK \l _Toc24722 </w:instrText>
          </w:r>
          <w:r>
            <w:fldChar w:fldCharType="separate"/>
          </w:r>
          <w:r>
            <w:rPr>
              <w:rFonts w:hint="eastAsia" w:ascii="仿宋" w:hAnsi="仿宋" w:eastAsia="仿宋" w:cs="仿宋"/>
              <w:bCs/>
              <w:szCs w:val="32"/>
            </w:rPr>
            <w:t>3.公司营业执照（复印件加盖公章）</w:t>
          </w:r>
          <w:r>
            <w:tab/>
          </w:r>
          <w:r>
            <w:fldChar w:fldCharType="begin"/>
          </w:r>
          <w:r>
            <w:instrText xml:space="preserve"> PAGEREF _Toc24722 \h </w:instrText>
          </w:r>
          <w:r>
            <w:fldChar w:fldCharType="separate"/>
          </w:r>
          <w:r>
            <w:t>- 55 -</w:t>
          </w:r>
          <w:r>
            <w:fldChar w:fldCharType="end"/>
          </w:r>
          <w:r>
            <w:fldChar w:fldCharType="end"/>
          </w:r>
        </w:p>
        <w:p w14:paraId="52EF88DA">
          <w:pPr>
            <w:pStyle w:val="7"/>
            <w:tabs>
              <w:tab w:val="right" w:leader="dot" w:pos="8845"/>
            </w:tabs>
          </w:pPr>
          <w:r>
            <w:fldChar w:fldCharType="begin"/>
          </w:r>
          <w:r>
            <w:instrText xml:space="preserve"> HYPERLINK \l _Toc27118 </w:instrText>
          </w:r>
          <w:r>
            <w:fldChar w:fldCharType="separate"/>
          </w:r>
          <w:r>
            <w:rPr>
              <w:rFonts w:hint="eastAsia" w:ascii="仿宋" w:hAnsi="仿宋" w:eastAsia="仿宋" w:cs="仿宋"/>
              <w:bCs/>
              <w:szCs w:val="32"/>
            </w:rPr>
            <w:t>4.公司法人身份证明（复印件加盖公章）</w:t>
          </w:r>
          <w:r>
            <w:tab/>
          </w:r>
          <w:r>
            <w:fldChar w:fldCharType="begin"/>
          </w:r>
          <w:r>
            <w:instrText xml:space="preserve"> PAGEREF _Toc27118 \h </w:instrText>
          </w:r>
          <w:r>
            <w:fldChar w:fldCharType="separate"/>
          </w:r>
          <w:r>
            <w:t>- 56 -</w:t>
          </w:r>
          <w:r>
            <w:fldChar w:fldCharType="end"/>
          </w:r>
          <w:r>
            <w:fldChar w:fldCharType="end"/>
          </w:r>
        </w:p>
        <w:p w14:paraId="7B2A57A8">
          <w:pPr>
            <w:pStyle w:val="7"/>
            <w:tabs>
              <w:tab w:val="right" w:leader="dot" w:pos="8845"/>
            </w:tabs>
          </w:pPr>
          <w:r>
            <w:fldChar w:fldCharType="begin"/>
          </w:r>
          <w:r>
            <w:instrText xml:space="preserve"> HYPERLINK \l _Toc5891 </w:instrText>
          </w:r>
          <w:r>
            <w:fldChar w:fldCharType="separate"/>
          </w:r>
          <w:r>
            <w:rPr>
              <w:rFonts w:hint="eastAsia" w:ascii="仿宋" w:hAnsi="仿宋" w:eastAsia="仿宋" w:cs="仿宋"/>
              <w:bCs/>
              <w:szCs w:val="32"/>
            </w:rPr>
            <w:t>5.授权委托书（格式）</w:t>
          </w:r>
          <w:r>
            <w:tab/>
          </w:r>
          <w:r>
            <w:fldChar w:fldCharType="begin"/>
          </w:r>
          <w:r>
            <w:instrText xml:space="preserve"> PAGEREF _Toc5891 \h </w:instrText>
          </w:r>
          <w:r>
            <w:fldChar w:fldCharType="separate"/>
          </w:r>
          <w:r>
            <w:t>- 57 -</w:t>
          </w:r>
          <w:r>
            <w:fldChar w:fldCharType="end"/>
          </w:r>
          <w:r>
            <w:fldChar w:fldCharType="end"/>
          </w:r>
        </w:p>
        <w:p w14:paraId="0BA110A9">
          <w:pPr>
            <w:pStyle w:val="7"/>
            <w:tabs>
              <w:tab w:val="right" w:leader="dot" w:pos="8845"/>
            </w:tabs>
          </w:pPr>
          <w:r>
            <w:fldChar w:fldCharType="begin"/>
          </w:r>
          <w:r>
            <w:instrText xml:space="preserve"> HYPERLINK \l _Toc31667 </w:instrText>
          </w:r>
          <w:r>
            <w:fldChar w:fldCharType="separate"/>
          </w:r>
          <w:r>
            <w:rPr>
              <w:rFonts w:hint="eastAsia" w:ascii="仿宋" w:hAnsi="仿宋" w:eastAsia="仿宋" w:cs="仿宋"/>
              <w:bCs/>
              <w:szCs w:val="32"/>
            </w:rPr>
            <w:t>6.授权代表人身份证明文件（提供复印件加盖法人单位公章）</w:t>
          </w:r>
          <w:r>
            <w:tab/>
          </w:r>
          <w:r>
            <w:fldChar w:fldCharType="begin"/>
          </w:r>
          <w:r>
            <w:instrText xml:space="preserve"> PAGEREF _Toc31667 \h </w:instrText>
          </w:r>
          <w:r>
            <w:fldChar w:fldCharType="separate"/>
          </w:r>
          <w:r>
            <w:t>- 58 -</w:t>
          </w:r>
          <w:r>
            <w:fldChar w:fldCharType="end"/>
          </w:r>
          <w:r>
            <w:fldChar w:fldCharType="end"/>
          </w:r>
        </w:p>
        <w:p w14:paraId="4568FE08">
          <w:pPr>
            <w:pStyle w:val="12"/>
            <w:tabs>
              <w:tab w:val="right" w:leader="dot" w:pos="8845"/>
            </w:tabs>
          </w:pPr>
          <w:r>
            <w:fldChar w:fldCharType="begin"/>
          </w:r>
          <w:r>
            <w:instrText xml:space="preserve"> HYPERLINK \l _Toc29576 </w:instrText>
          </w:r>
          <w:r>
            <w:fldChar w:fldCharType="separate"/>
          </w:r>
          <w:r>
            <w:rPr>
              <w:rFonts w:hint="eastAsia" w:ascii="方正小标宋简体" w:hAnsi="方正小标宋简体" w:eastAsia="方正小标宋简体" w:cs="方正小标宋简体"/>
              <w:szCs w:val="44"/>
            </w:rPr>
            <w:t>项目比选申请文件技术部分</w:t>
          </w:r>
          <w:r>
            <w:tab/>
          </w:r>
          <w:r>
            <w:fldChar w:fldCharType="begin"/>
          </w:r>
          <w:r>
            <w:instrText xml:space="preserve"> PAGEREF _Toc29576 \h </w:instrText>
          </w:r>
          <w:r>
            <w:fldChar w:fldCharType="separate"/>
          </w:r>
          <w:r>
            <w:t>- 59 -</w:t>
          </w:r>
          <w:r>
            <w:fldChar w:fldCharType="end"/>
          </w:r>
          <w:r>
            <w:fldChar w:fldCharType="end"/>
          </w:r>
        </w:p>
        <w:p w14:paraId="01D5B9FD">
          <w:pPr>
            <w:pStyle w:val="12"/>
            <w:tabs>
              <w:tab w:val="right" w:leader="dot" w:pos="8845"/>
            </w:tabs>
          </w:pPr>
          <w:r>
            <w:fldChar w:fldCharType="begin"/>
          </w:r>
          <w:r>
            <w:instrText xml:space="preserve"> HYPERLINK \l _Toc7502 </w:instrText>
          </w:r>
          <w:r>
            <w:fldChar w:fldCharType="separate"/>
          </w:r>
          <w:r>
            <w:rPr>
              <w:rFonts w:hint="eastAsia" w:ascii="仿宋_GB2312" w:hAnsi="仿宋_GB2312" w:eastAsia="仿宋_GB2312" w:cs="仿宋_GB2312"/>
              <w:bCs/>
              <w:szCs w:val="32"/>
            </w:rPr>
            <w:t>二、技术部分材料</w:t>
          </w:r>
          <w:r>
            <w:tab/>
          </w:r>
          <w:r>
            <w:fldChar w:fldCharType="begin"/>
          </w:r>
          <w:r>
            <w:instrText xml:space="preserve"> PAGEREF _Toc7502 \h </w:instrText>
          </w:r>
          <w:r>
            <w:fldChar w:fldCharType="separate"/>
          </w:r>
          <w:r>
            <w:t>- 60 -</w:t>
          </w:r>
          <w:r>
            <w:fldChar w:fldCharType="end"/>
          </w:r>
          <w:r>
            <w:fldChar w:fldCharType="end"/>
          </w:r>
        </w:p>
        <w:p w14:paraId="6EF444C8">
          <w:pPr>
            <w:pStyle w:val="7"/>
            <w:tabs>
              <w:tab w:val="right" w:leader="dot" w:pos="8845"/>
            </w:tabs>
          </w:pPr>
          <w:r>
            <w:fldChar w:fldCharType="begin"/>
          </w:r>
          <w:r>
            <w:instrText xml:space="preserve"> HYPERLINK \l _Toc9055 </w:instrText>
          </w:r>
          <w:r>
            <w:fldChar w:fldCharType="separate"/>
          </w:r>
          <w:r>
            <w:rPr>
              <w:rFonts w:hint="eastAsia" w:ascii="方正小标宋简体" w:hAnsi="方正小标宋简体" w:eastAsia="方正小标宋简体" w:cs="方正小标宋简体"/>
              <w:szCs w:val="44"/>
            </w:rPr>
            <w:t>项目比选申请文件商务部分</w:t>
          </w:r>
          <w:r>
            <w:tab/>
          </w:r>
          <w:r>
            <w:fldChar w:fldCharType="begin"/>
          </w:r>
          <w:r>
            <w:instrText xml:space="preserve"> PAGEREF _Toc9055 \h </w:instrText>
          </w:r>
          <w:r>
            <w:fldChar w:fldCharType="separate"/>
          </w:r>
          <w:r>
            <w:t>- 61 -</w:t>
          </w:r>
          <w:r>
            <w:fldChar w:fldCharType="end"/>
          </w:r>
          <w:r>
            <w:fldChar w:fldCharType="end"/>
          </w:r>
        </w:p>
        <w:p w14:paraId="0392CD77">
          <w:pPr>
            <w:pStyle w:val="12"/>
            <w:tabs>
              <w:tab w:val="right" w:leader="dot" w:pos="8845"/>
            </w:tabs>
          </w:pPr>
          <w:r>
            <w:fldChar w:fldCharType="begin"/>
          </w:r>
          <w:r>
            <w:instrText xml:space="preserve"> HYPERLINK \l _Toc8561 </w:instrText>
          </w:r>
          <w:r>
            <w:fldChar w:fldCharType="separate"/>
          </w:r>
          <w:r>
            <w:rPr>
              <w:rFonts w:hint="eastAsia" w:ascii="仿宋" w:hAnsi="仿宋" w:eastAsia="仿宋" w:cs="仿宋"/>
              <w:bCs/>
              <w:szCs w:val="32"/>
            </w:rPr>
            <w:t>三、商务部分材料</w:t>
          </w:r>
          <w:r>
            <w:tab/>
          </w:r>
          <w:r>
            <w:fldChar w:fldCharType="begin"/>
          </w:r>
          <w:r>
            <w:instrText xml:space="preserve"> PAGEREF _Toc8561 \h </w:instrText>
          </w:r>
          <w:r>
            <w:fldChar w:fldCharType="separate"/>
          </w:r>
          <w:r>
            <w:t>- 62 -</w:t>
          </w:r>
          <w:r>
            <w:fldChar w:fldCharType="end"/>
          </w:r>
          <w:r>
            <w:fldChar w:fldCharType="end"/>
          </w:r>
        </w:p>
        <w:p w14:paraId="62F196B6">
          <w:pPr>
            <w:pStyle w:val="11"/>
            <w:tabs>
              <w:tab w:val="right" w:leader="dot" w:pos="8845"/>
            </w:tabs>
          </w:pPr>
          <w:r>
            <w:fldChar w:fldCharType="begin"/>
          </w:r>
          <w:r>
            <w:instrText xml:space="preserve"> HYPERLINK \l _Toc26396 </w:instrText>
          </w:r>
          <w:r>
            <w:fldChar w:fldCharType="separate"/>
          </w:r>
          <w:r>
            <w:rPr>
              <w:rFonts w:hint="eastAsia" w:ascii="仿宋" w:hAnsi="仿宋" w:eastAsia="仿宋" w:cs="仿宋"/>
              <w:bCs/>
              <w:szCs w:val="32"/>
            </w:rPr>
            <w:t>第</w:t>
          </w:r>
          <w:r>
            <w:rPr>
              <w:rFonts w:hint="eastAsia" w:ascii="仿宋" w:hAnsi="仿宋" w:eastAsia="仿宋" w:cs="仿宋"/>
              <w:bCs/>
              <w:szCs w:val="32"/>
              <w:lang w:val="en-US" w:eastAsia="zh-CN"/>
            </w:rPr>
            <w:t>五</w:t>
          </w:r>
          <w:r>
            <w:rPr>
              <w:rFonts w:hint="eastAsia" w:ascii="仿宋" w:hAnsi="仿宋" w:eastAsia="仿宋" w:cs="仿宋"/>
              <w:bCs/>
              <w:szCs w:val="32"/>
            </w:rPr>
            <w:t>章 评比办法</w:t>
          </w:r>
          <w:r>
            <w:tab/>
          </w:r>
          <w:r>
            <w:fldChar w:fldCharType="begin"/>
          </w:r>
          <w:r>
            <w:instrText xml:space="preserve"> PAGEREF _Toc26396 \h </w:instrText>
          </w:r>
          <w:r>
            <w:fldChar w:fldCharType="separate"/>
          </w:r>
          <w:r>
            <w:t>- 63 -</w:t>
          </w:r>
          <w:r>
            <w:fldChar w:fldCharType="end"/>
          </w:r>
          <w:r>
            <w:fldChar w:fldCharType="end"/>
          </w:r>
        </w:p>
        <w:p w14:paraId="765F947B">
          <w:pPr>
            <w:pStyle w:val="12"/>
            <w:tabs>
              <w:tab w:val="right" w:leader="dot" w:pos="8845"/>
            </w:tabs>
          </w:pPr>
          <w:r>
            <w:fldChar w:fldCharType="begin"/>
          </w:r>
          <w:r>
            <w:instrText xml:space="preserve"> HYPERLINK \l _Toc17508 </w:instrText>
          </w:r>
          <w:r>
            <w:fldChar w:fldCharType="separate"/>
          </w:r>
          <w:r>
            <w:rPr>
              <w:rFonts w:hint="eastAsia" w:ascii="黑体" w:hAnsi="黑体" w:eastAsia="黑体" w:cs="黑体"/>
              <w:szCs w:val="28"/>
            </w:rPr>
            <w:t>一、综合评分办法</w:t>
          </w:r>
          <w:r>
            <w:tab/>
          </w:r>
          <w:r>
            <w:fldChar w:fldCharType="begin"/>
          </w:r>
          <w:r>
            <w:instrText xml:space="preserve"> PAGEREF _Toc17508 \h </w:instrText>
          </w:r>
          <w:r>
            <w:fldChar w:fldCharType="separate"/>
          </w:r>
          <w:r>
            <w:t>- 63 -</w:t>
          </w:r>
          <w:r>
            <w:fldChar w:fldCharType="end"/>
          </w:r>
          <w:r>
            <w:fldChar w:fldCharType="end"/>
          </w:r>
        </w:p>
        <w:p w14:paraId="3479F2BD">
          <w:pPr>
            <w:pStyle w:val="12"/>
            <w:tabs>
              <w:tab w:val="right" w:leader="dot" w:pos="8845"/>
            </w:tabs>
          </w:pPr>
          <w:r>
            <w:fldChar w:fldCharType="begin"/>
          </w:r>
          <w:r>
            <w:instrText xml:space="preserve"> HYPERLINK \l _Toc6116 </w:instrText>
          </w:r>
          <w:r>
            <w:fldChar w:fldCharType="separate"/>
          </w:r>
          <w:r>
            <w:rPr>
              <w:rFonts w:hint="eastAsia" w:ascii="黑体" w:hAnsi="黑体" w:eastAsia="黑体" w:cs="黑体"/>
              <w:szCs w:val="28"/>
            </w:rPr>
            <w:t>二、总分计算公式</w:t>
          </w:r>
          <w:r>
            <w:tab/>
          </w:r>
          <w:r>
            <w:fldChar w:fldCharType="begin"/>
          </w:r>
          <w:r>
            <w:instrText xml:space="preserve"> PAGEREF _Toc6116 \h </w:instrText>
          </w:r>
          <w:r>
            <w:fldChar w:fldCharType="separate"/>
          </w:r>
          <w:r>
            <w:t>- 64 -</w:t>
          </w:r>
          <w:r>
            <w:fldChar w:fldCharType="end"/>
          </w:r>
          <w:r>
            <w:fldChar w:fldCharType="end"/>
          </w:r>
        </w:p>
        <w:p w14:paraId="72EB1A79">
          <w:pPr>
            <w:pStyle w:val="11"/>
            <w:tabs>
              <w:tab w:val="right" w:leader="dot" w:pos="8845"/>
            </w:tabs>
          </w:pPr>
          <w:r>
            <w:fldChar w:fldCharType="begin"/>
          </w:r>
          <w:r>
            <w:instrText xml:space="preserve"> HYPERLINK \l _Toc14540 </w:instrText>
          </w:r>
          <w:r>
            <w:fldChar w:fldCharType="separate"/>
          </w:r>
          <w:r>
            <w:rPr>
              <w:rFonts w:hint="eastAsia" w:ascii="仿宋" w:hAnsi="仿宋" w:eastAsia="仿宋" w:cs="仿宋"/>
              <w:bCs/>
              <w:szCs w:val="32"/>
            </w:rPr>
            <w:t>第</w:t>
          </w:r>
          <w:r>
            <w:rPr>
              <w:rFonts w:hint="eastAsia" w:ascii="仿宋" w:hAnsi="仿宋" w:eastAsia="仿宋" w:cs="仿宋"/>
              <w:bCs/>
              <w:szCs w:val="32"/>
              <w:lang w:val="en-US" w:eastAsia="zh-CN"/>
            </w:rPr>
            <w:t>六</w:t>
          </w:r>
          <w:r>
            <w:rPr>
              <w:rFonts w:hint="eastAsia" w:ascii="仿宋" w:hAnsi="仿宋" w:eastAsia="仿宋" w:cs="仿宋"/>
              <w:bCs/>
              <w:szCs w:val="32"/>
            </w:rPr>
            <w:t>章 中选标准</w:t>
          </w:r>
          <w:r>
            <w:tab/>
          </w:r>
          <w:r>
            <w:fldChar w:fldCharType="begin"/>
          </w:r>
          <w:r>
            <w:instrText xml:space="preserve"> PAGEREF _Toc14540 \h </w:instrText>
          </w:r>
          <w:r>
            <w:fldChar w:fldCharType="separate"/>
          </w:r>
          <w:r>
            <w:t>68</w:t>
          </w:r>
          <w:r>
            <w:fldChar w:fldCharType="end"/>
          </w:r>
          <w:r>
            <w:fldChar w:fldCharType="end"/>
          </w:r>
        </w:p>
        <w:p w14:paraId="04E9B89E">
          <w:r>
            <w:fldChar w:fldCharType="end"/>
          </w:r>
        </w:p>
      </w:sdtContent>
    </w:sdt>
    <w:p w14:paraId="1A291394">
      <w:r>
        <w:br w:type="page"/>
      </w:r>
    </w:p>
    <w:p w14:paraId="1B891560">
      <w:pPr>
        <w:spacing w:line="560" w:lineRule="exact"/>
        <w:jc w:val="center"/>
        <w:outlineLvl w:val="0"/>
        <w:rPr>
          <w:rFonts w:ascii="黑体" w:hAnsi="黑体" w:eastAsia="黑体" w:cs="黑体"/>
          <w:b/>
          <w:bCs/>
          <w:sz w:val="32"/>
          <w:szCs w:val="32"/>
        </w:rPr>
      </w:pPr>
      <w:bookmarkStart w:id="2" w:name="_Toc2182"/>
      <w:bookmarkStart w:id="3" w:name="_Toc28582"/>
      <w:r>
        <w:rPr>
          <w:rFonts w:hint="eastAsia" w:ascii="黑体" w:hAnsi="黑体" w:eastAsia="黑体" w:cs="黑体"/>
          <w:b/>
          <w:bCs/>
          <w:sz w:val="32"/>
          <w:szCs w:val="32"/>
        </w:rPr>
        <w:t>第一章 比选须知</w:t>
      </w:r>
      <w:bookmarkEnd w:id="2"/>
      <w:bookmarkEnd w:id="3"/>
    </w:p>
    <w:p w14:paraId="4FB46FB9">
      <w:pPr>
        <w:spacing w:line="560" w:lineRule="exact"/>
        <w:jc w:val="left"/>
        <w:rPr>
          <w:rFonts w:ascii="宋体" w:hAnsi="宋体" w:cs="宋体"/>
          <w:sz w:val="32"/>
          <w:szCs w:val="32"/>
        </w:rPr>
      </w:pPr>
      <w:bookmarkStart w:id="4" w:name="_Toc2162"/>
      <w:bookmarkStart w:id="5" w:name="_Toc11337"/>
      <w:bookmarkStart w:id="6" w:name="_Toc21327"/>
      <w:bookmarkStart w:id="7" w:name="_Toc14510"/>
      <w:bookmarkStart w:id="8" w:name="_Toc18263"/>
      <w:bookmarkStart w:id="9" w:name="_Toc2242"/>
      <w:bookmarkStart w:id="10" w:name="_Toc17254"/>
      <w:bookmarkStart w:id="11" w:name="_Toc24239"/>
      <w:bookmarkStart w:id="12" w:name="_Toc31166"/>
      <w:bookmarkStart w:id="13" w:name="_Toc32591"/>
      <w:bookmarkStart w:id="14" w:name="_Toc461525295"/>
      <w:bookmarkStart w:id="15" w:name="_Toc17641"/>
      <w:bookmarkStart w:id="16" w:name="_Toc11329"/>
    </w:p>
    <w:p w14:paraId="185ADAE1">
      <w:pPr>
        <w:spacing w:line="56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比选须知前附表</w:t>
      </w:r>
      <w:bookmarkEnd w:id="4"/>
      <w:bookmarkEnd w:id="5"/>
      <w:bookmarkEnd w:id="6"/>
      <w:bookmarkEnd w:id="7"/>
      <w:bookmarkEnd w:id="8"/>
      <w:bookmarkEnd w:id="9"/>
      <w:bookmarkEnd w:id="10"/>
      <w:bookmarkEnd w:id="11"/>
      <w:bookmarkEnd w:id="12"/>
      <w:bookmarkEnd w:id="13"/>
      <w:bookmarkEnd w:id="14"/>
      <w:bookmarkEnd w:id="15"/>
      <w:bookmarkEnd w:id="16"/>
    </w:p>
    <w:tbl>
      <w:tblPr>
        <w:tblStyle w:val="16"/>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595"/>
        <w:gridCol w:w="6822"/>
      </w:tblGrid>
      <w:tr w14:paraId="6195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43" w:type="dxa"/>
            <w:vAlign w:val="center"/>
          </w:tcPr>
          <w:p w14:paraId="3925EB02">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595" w:type="dxa"/>
            <w:vAlign w:val="center"/>
          </w:tcPr>
          <w:p w14:paraId="1A7281BB">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b/>
                <w:bCs/>
                <w:sz w:val="24"/>
              </w:rPr>
            </w:pPr>
            <w:r>
              <w:rPr>
                <w:rFonts w:hint="eastAsia" w:ascii="仿宋_GB2312" w:hAnsi="仿宋_GB2312" w:eastAsia="仿宋_GB2312" w:cs="仿宋_GB2312"/>
                <w:b/>
                <w:bCs/>
                <w:sz w:val="24"/>
              </w:rPr>
              <w:t>项目分类</w:t>
            </w:r>
          </w:p>
        </w:tc>
        <w:tc>
          <w:tcPr>
            <w:tcW w:w="6822" w:type="dxa"/>
            <w:vAlign w:val="center"/>
          </w:tcPr>
          <w:p w14:paraId="4A5962B9">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b/>
                <w:bCs/>
                <w:sz w:val="24"/>
              </w:rPr>
            </w:pPr>
            <w:r>
              <w:rPr>
                <w:rFonts w:hint="eastAsia" w:ascii="仿宋_GB2312" w:hAnsi="仿宋_GB2312" w:eastAsia="仿宋_GB2312" w:cs="仿宋_GB2312"/>
                <w:b/>
                <w:bCs/>
                <w:sz w:val="24"/>
              </w:rPr>
              <w:t>内容规定</w:t>
            </w:r>
          </w:p>
        </w:tc>
      </w:tr>
      <w:tr w14:paraId="61D9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0D4F4409">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w:t>
            </w:r>
          </w:p>
        </w:tc>
        <w:tc>
          <w:tcPr>
            <w:tcW w:w="1595" w:type="dxa"/>
            <w:vAlign w:val="center"/>
          </w:tcPr>
          <w:p w14:paraId="1190E09A">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项目名称</w:t>
            </w:r>
          </w:p>
        </w:tc>
        <w:tc>
          <w:tcPr>
            <w:tcW w:w="6822" w:type="dxa"/>
            <w:vAlign w:val="center"/>
          </w:tcPr>
          <w:p w14:paraId="21B7DCA3">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bCs/>
                <w:color w:val="FF0000"/>
                <w:sz w:val="24"/>
              </w:rPr>
              <w:t>智慧管控配置管理</w:t>
            </w:r>
            <w:r>
              <w:rPr>
                <w:rFonts w:hint="eastAsia" w:ascii="仿宋_GB2312" w:hAnsi="仿宋_GB2312" w:eastAsia="仿宋_GB2312" w:cs="仿宋_GB2312"/>
                <w:bCs/>
                <w:color w:val="FF0000"/>
                <w:sz w:val="24"/>
                <w:lang w:eastAsia="zh-CN"/>
              </w:rPr>
              <w:t>程序开发服务</w:t>
            </w:r>
          </w:p>
        </w:tc>
      </w:tr>
      <w:tr w14:paraId="0299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5097B61B">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2</w:t>
            </w:r>
          </w:p>
        </w:tc>
        <w:tc>
          <w:tcPr>
            <w:tcW w:w="1595" w:type="dxa"/>
            <w:vAlign w:val="center"/>
          </w:tcPr>
          <w:p w14:paraId="4673301B">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项目范围</w:t>
            </w:r>
          </w:p>
        </w:tc>
        <w:tc>
          <w:tcPr>
            <w:tcW w:w="6822" w:type="dxa"/>
            <w:vAlign w:val="center"/>
          </w:tcPr>
          <w:p w14:paraId="7489BF53">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color w:val="FF0000"/>
                <w:sz w:val="24"/>
              </w:rPr>
              <w:t>智慧管控配置管理</w:t>
            </w:r>
            <w:r>
              <w:rPr>
                <w:rFonts w:hint="eastAsia" w:ascii="仿宋_GB2312" w:hAnsi="仿宋_GB2312" w:eastAsia="仿宋_GB2312" w:cs="仿宋_GB2312"/>
                <w:color w:val="FF0000"/>
                <w:sz w:val="24"/>
                <w:lang w:eastAsia="zh-CN"/>
              </w:rPr>
              <w:t>程序开发服务</w:t>
            </w:r>
          </w:p>
        </w:tc>
      </w:tr>
      <w:tr w14:paraId="59F4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78A2FD87">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3</w:t>
            </w:r>
          </w:p>
        </w:tc>
        <w:tc>
          <w:tcPr>
            <w:tcW w:w="1595" w:type="dxa"/>
            <w:vAlign w:val="center"/>
          </w:tcPr>
          <w:p w14:paraId="376C348C">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项目内容</w:t>
            </w:r>
          </w:p>
        </w:tc>
        <w:tc>
          <w:tcPr>
            <w:tcW w:w="6822" w:type="dxa"/>
          </w:tcPr>
          <w:p w14:paraId="3D2924EB">
            <w:pPr>
              <w:keepNext w:val="0"/>
              <w:keepLines w:val="0"/>
              <w:suppressLineNumbers w:val="0"/>
              <w:spacing w:before="0" w:beforeAutospacing="0" w:after="0" w:afterAutospacing="0" w:line="360" w:lineRule="exact"/>
              <w:ind w:left="0" w:right="0"/>
              <w:rPr>
                <w:rFonts w:hint="default" w:ascii="仿宋_GB2312" w:hAnsi="仿宋_GB2312" w:eastAsia="仿宋_GB2312" w:cs="仿宋_GB2312"/>
                <w:sz w:val="24"/>
              </w:rPr>
            </w:pPr>
            <w:r>
              <w:rPr>
                <w:rFonts w:hint="eastAsia" w:ascii="仿宋_GB2312" w:hAnsi="仿宋_GB2312" w:eastAsia="仿宋_GB2312" w:cs="仿宋_GB2312"/>
                <w:sz w:val="24"/>
              </w:rPr>
              <w:t>根据项目所需的产品按技术需求及数量完成设计及</w:t>
            </w:r>
            <w:r>
              <w:rPr>
                <w:rFonts w:hint="eastAsia" w:ascii="仿宋_GB2312" w:hAnsi="仿宋_GB2312" w:eastAsia="仿宋_GB2312" w:cs="仿宋_GB2312"/>
                <w:sz w:val="24"/>
                <w:lang w:val="en-US" w:eastAsia="zh-CN"/>
              </w:rPr>
              <w:t>开发</w:t>
            </w:r>
            <w:r>
              <w:rPr>
                <w:rFonts w:hint="eastAsia" w:ascii="仿宋_GB2312" w:hAnsi="仿宋_GB2312" w:eastAsia="仿宋_GB2312" w:cs="仿宋_GB2312"/>
                <w:sz w:val="24"/>
              </w:rPr>
              <w:t>（具体服务内容详见比选文件中合同条款）</w:t>
            </w:r>
          </w:p>
        </w:tc>
      </w:tr>
      <w:tr w14:paraId="3460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shd w:val="clear" w:color="auto" w:fill="FFFFFF"/>
            <w:vAlign w:val="center"/>
          </w:tcPr>
          <w:p w14:paraId="11B54A93">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4</w:t>
            </w:r>
          </w:p>
        </w:tc>
        <w:tc>
          <w:tcPr>
            <w:tcW w:w="1595" w:type="dxa"/>
            <w:shd w:val="clear" w:color="auto" w:fill="FFFFFF"/>
            <w:vAlign w:val="center"/>
          </w:tcPr>
          <w:p w14:paraId="5322F05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资金来源</w:t>
            </w:r>
          </w:p>
        </w:tc>
        <w:tc>
          <w:tcPr>
            <w:tcW w:w="6822" w:type="dxa"/>
            <w:shd w:val="clear" w:color="auto" w:fill="FFFFFF"/>
            <w:vAlign w:val="center"/>
          </w:tcPr>
          <w:p w14:paraId="4AA3BAE5">
            <w:pPr>
              <w:keepNext w:val="0"/>
              <w:keepLines w:val="0"/>
              <w:suppressLineNumbers w:val="0"/>
              <w:spacing w:before="0" w:beforeAutospacing="0" w:after="0" w:afterAutospacing="0" w:line="360" w:lineRule="exact"/>
              <w:ind w:left="0" w:right="0"/>
              <w:rPr>
                <w:rFonts w:hint="default" w:ascii="仿宋_GB2312" w:hAnsi="仿宋_GB2312" w:eastAsia="仿宋_GB2312" w:cs="仿宋_GB2312"/>
                <w:sz w:val="24"/>
              </w:rPr>
            </w:pPr>
            <w:r>
              <w:rPr>
                <w:rFonts w:hint="eastAsia" w:ascii="仿宋_GB2312" w:hAnsi="仿宋_GB2312" w:eastAsia="仿宋_GB2312" w:cs="仿宋_GB2312"/>
                <w:sz w:val="24"/>
              </w:rPr>
              <w:t>企业自筹资金</w:t>
            </w:r>
          </w:p>
        </w:tc>
      </w:tr>
      <w:tr w14:paraId="690A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1167BE33">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5</w:t>
            </w:r>
          </w:p>
        </w:tc>
        <w:tc>
          <w:tcPr>
            <w:tcW w:w="1595" w:type="dxa"/>
            <w:vAlign w:val="center"/>
          </w:tcPr>
          <w:p w14:paraId="6305A972">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计费方式</w:t>
            </w:r>
          </w:p>
        </w:tc>
        <w:tc>
          <w:tcPr>
            <w:tcW w:w="6822" w:type="dxa"/>
            <w:vAlign w:val="center"/>
          </w:tcPr>
          <w:p w14:paraId="6B800D35">
            <w:pPr>
              <w:keepNext w:val="0"/>
              <w:keepLines w:val="0"/>
              <w:suppressLineNumbers w:val="0"/>
              <w:spacing w:before="0" w:beforeAutospacing="0" w:after="0" w:afterAutospacing="0" w:line="360" w:lineRule="exact"/>
              <w:ind w:left="0" w:right="0"/>
              <w:rPr>
                <w:rFonts w:hint="default" w:ascii="仿宋_GB2312" w:hAnsi="仿宋_GB2312" w:eastAsia="仿宋_GB2312" w:cs="仿宋_GB2312"/>
                <w:sz w:val="24"/>
              </w:rPr>
            </w:pPr>
            <w:r>
              <w:rPr>
                <w:rFonts w:hint="eastAsia" w:ascii="仿宋_GB2312" w:hAnsi="仿宋_GB2312" w:eastAsia="仿宋_GB2312" w:cs="仿宋_GB2312"/>
                <w:color w:val="FF0000"/>
                <w:sz w:val="24"/>
              </w:rPr>
              <w:t>智慧管控配置管理</w:t>
            </w:r>
            <w:r>
              <w:rPr>
                <w:rFonts w:hint="eastAsia" w:ascii="仿宋_GB2312" w:hAnsi="仿宋_GB2312" w:eastAsia="仿宋_GB2312" w:cs="仿宋_GB2312"/>
                <w:color w:val="FF0000"/>
                <w:sz w:val="24"/>
                <w:lang w:eastAsia="zh-CN"/>
              </w:rPr>
              <w:t>程序开发服务</w:t>
            </w:r>
            <w:r>
              <w:rPr>
                <w:rFonts w:hint="eastAsia" w:ascii="仿宋_GB2312" w:hAnsi="仿宋_GB2312" w:eastAsia="仿宋_GB2312" w:cs="仿宋_GB2312"/>
                <w:sz w:val="24"/>
              </w:rPr>
              <w:t>采购采用总价包干，费用不予调整。</w:t>
            </w:r>
          </w:p>
        </w:tc>
      </w:tr>
      <w:tr w14:paraId="0F5C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68FDF2B0">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6</w:t>
            </w:r>
          </w:p>
        </w:tc>
        <w:tc>
          <w:tcPr>
            <w:tcW w:w="1595" w:type="dxa"/>
            <w:vAlign w:val="center"/>
          </w:tcPr>
          <w:p w14:paraId="7BCF0D19">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上限价</w:t>
            </w:r>
          </w:p>
        </w:tc>
        <w:tc>
          <w:tcPr>
            <w:tcW w:w="6822" w:type="dxa"/>
            <w:vAlign w:val="center"/>
          </w:tcPr>
          <w:p w14:paraId="4AC366D2">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color w:val="FF0000"/>
                <w:sz w:val="24"/>
              </w:rPr>
              <w:t>智慧管控配置管理</w:t>
            </w:r>
            <w:r>
              <w:rPr>
                <w:rFonts w:hint="eastAsia" w:ascii="仿宋_GB2312" w:hAnsi="仿宋_GB2312" w:eastAsia="仿宋_GB2312" w:cs="仿宋_GB2312"/>
                <w:color w:val="FF0000"/>
                <w:sz w:val="24"/>
                <w:lang w:eastAsia="zh-CN"/>
              </w:rPr>
              <w:t>程序开发服务</w:t>
            </w:r>
            <w:r>
              <w:rPr>
                <w:rFonts w:hint="eastAsia" w:ascii="仿宋_GB2312" w:hAnsi="仿宋_GB2312" w:eastAsia="仿宋_GB2312" w:cs="仿宋_GB2312"/>
                <w:sz w:val="24"/>
              </w:rPr>
              <w:t>采购含税上限价：</w:t>
            </w:r>
            <w:r>
              <w:rPr>
                <w:rFonts w:hint="eastAsia" w:ascii="仿宋_GB2312" w:hAnsi="仿宋_GB2312" w:eastAsia="仿宋_GB2312" w:cs="仿宋_GB2312"/>
                <w:color w:val="FF0000"/>
                <w:sz w:val="24"/>
              </w:rPr>
              <w:t>大写：</w:t>
            </w:r>
            <w:r>
              <w:rPr>
                <w:rFonts w:hint="eastAsia" w:ascii="仿宋_GB2312" w:hAnsi="仿宋_GB2312" w:eastAsia="仿宋_GB2312" w:cs="仿宋_GB2312"/>
                <w:color w:val="FF0000"/>
                <w:sz w:val="24"/>
                <w:highlight w:val="none"/>
                <w:lang w:val="en-US" w:eastAsia="zh-CN"/>
              </w:rPr>
              <w:t>柒拾陆万玖仟柒佰</w:t>
            </w:r>
            <w:r>
              <w:rPr>
                <w:rFonts w:hint="eastAsia" w:ascii="仿宋_GB2312" w:hAnsi="仿宋_GB2312" w:eastAsia="仿宋_GB2312" w:cs="仿宋_GB2312"/>
                <w:color w:val="FF0000"/>
                <w:sz w:val="24"/>
                <w:highlight w:val="none"/>
              </w:rPr>
              <w:t>元整</w:t>
            </w:r>
            <w:r>
              <w:rPr>
                <w:rFonts w:hint="eastAsia" w:ascii="仿宋_GB2312" w:hAnsi="仿宋_GB2312" w:eastAsia="仿宋_GB2312" w:cs="仿宋_GB2312"/>
                <w:color w:val="FF0000"/>
                <w:sz w:val="24"/>
              </w:rPr>
              <w:t xml:space="preserve">（小写：¥ </w:t>
            </w:r>
            <w:r>
              <w:rPr>
                <w:rFonts w:hint="eastAsia" w:ascii="仿宋_GB2312" w:hAnsi="仿宋_GB2312" w:eastAsia="仿宋_GB2312" w:cs="仿宋_GB2312"/>
                <w:color w:val="FF0000"/>
                <w:sz w:val="24"/>
                <w:highlight w:val="none"/>
                <w:lang w:val="en-US" w:eastAsia="zh-CN"/>
              </w:rPr>
              <w:t>769700</w:t>
            </w:r>
            <w:r>
              <w:rPr>
                <w:rFonts w:hint="eastAsia" w:ascii="仿宋_GB2312" w:hAnsi="仿宋_GB2312" w:eastAsia="仿宋_GB2312" w:cs="仿宋_GB2312"/>
                <w:color w:val="FF0000"/>
                <w:sz w:val="24"/>
                <w:highlight w:val="none"/>
              </w:rPr>
              <w:t>元</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w:t>
            </w:r>
          </w:p>
        </w:tc>
      </w:tr>
      <w:tr w14:paraId="00AA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6598746E">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7</w:t>
            </w:r>
          </w:p>
        </w:tc>
        <w:tc>
          <w:tcPr>
            <w:tcW w:w="1595" w:type="dxa"/>
            <w:vAlign w:val="center"/>
          </w:tcPr>
          <w:p w14:paraId="5FF72CD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报价方式</w:t>
            </w:r>
          </w:p>
        </w:tc>
        <w:tc>
          <w:tcPr>
            <w:tcW w:w="6822" w:type="dxa"/>
            <w:vAlign w:val="center"/>
          </w:tcPr>
          <w:p w14:paraId="52055A3D">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比选申请人必须对比选项目内容中所有工作内容做完整唯一的报价</w:t>
            </w:r>
          </w:p>
        </w:tc>
      </w:tr>
      <w:tr w14:paraId="5FBD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52AA47FA">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8</w:t>
            </w:r>
          </w:p>
        </w:tc>
        <w:tc>
          <w:tcPr>
            <w:tcW w:w="1595" w:type="dxa"/>
            <w:vAlign w:val="center"/>
          </w:tcPr>
          <w:p w14:paraId="7F23F428">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合同期限</w:t>
            </w:r>
          </w:p>
        </w:tc>
        <w:tc>
          <w:tcPr>
            <w:tcW w:w="6822" w:type="dxa"/>
            <w:vAlign w:val="center"/>
          </w:tcPr>
          <w:p w14:paraId="67C6EB54">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color w:val="FF0000"/>
                <w:sz w:val="24"/>
                <w:lang w:val="en-US" w:eastAsia="zh-CN"/>
              </w:rPr>
              <w:t>15</w:t>
            </w:r>
            <w:r>
              <w:rPr>
                <w:rFonts w:hint="eastAsia" w:ascii="仿宋_GB2312" w:hAnsi="仿宋_GB2312" w:eastAsia="仿宋_GB2312" w:cs="仿宋_GB2312"/>
                <w:color w:val="FF0000"/>
                <w:sz w:val="24"/>
              </w:rPr>
              <w:t>个月</w:t>
            </w:r>
            <w:r>
              <w:rPr>
                <w:rFonts w:hint="eastAsia" w:ascii="仿宋_GB2312" w:hAnsi="仿宋_GB2312" w:eastAsia="仿宋_GB2312" w:cs="仿宋_GB2312"/>
                <w:sz w:val="24"/>
              </w:rPr>
              <w:t>（具体时间以合同签订时间为准）</w:t>
            </w:r>
          </w:p>
        </w:tc>
      </w:tr>
      <w:tr w14:paraId="5E75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6B35AA6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9</w:t>
            </w:r>
          </w:p>
        </w:tc>
        <w:tc>
          <w:tcPr>
            <w:tcW w:w="1595" w:type="dxa"/>
            <w:vAlign w:val="center"/>
          </w:tcPr>
          <w:p w14:paraId="1D043A0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比选申请人资格要求</w:t>
            </w:r>
          </w:p>
        </w:tc>
        <w:tc>
          <w:tcPr>
            <w:tcW w:w="6822" w:type="dxa"/>
            <w:vAlign w:val="center"/>
          </w:tcPr>
          <w:p w14:paraId="274AB10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kern w:val="0"/>
                <w:sz w:val="24"/>
              </w:rPr>
            </w:pPr>
            <w:r>
              <w:rPr>
                <w:rFonts w:hint="default" w:ascii="仿宋_GB2312" w:hAnsi="仿宋_GB2312" w:eastAsia="仿宋_GB2312" w:cs="仿宋_GB2312"/>
                <w:kern w:val="0"/>
                <w:sz w:val="24"/>
              </w:rPr>
              <w:t>1.中华人民共和国境内依法成立的公司，符合生产或经营本次比选服务，企业人员、设备、资金等方面具有相应能力。</w:t>
            </w:r>
          </w:p>
          <w:p w14:paraId="0B59D45F">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kern w:val="0"/>
                <w:sz w:val="24"/>
              </w:rPr>
            </w:pPr>
            <w:r>
              <w:rPr>
                <w:rFonts w:hint="default" w:ascii="仿宋_GB2312" w:hAnsi="仿宋_GB2312" w:eastAsia="仿宋_GB2312" w:cs="仿宋_GB2312"/>
                <w:kern w:val="0"/>
                <w:sz w:val="24"/>
              </w:rPr>
              <w:t>2.最近3年内没有受到行政处罚或行业处分。</w:t>
            </w:r>
          </w:p>
          <w:p w14:paraId="16E3DCC4">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kern w:val="0"/>
                <w:sz w:val="24"/>
              </w:rPr>
            </w:pPr>
            <w:r>
              <w:rPr>
                <w:rFonts w:hint="default" w:ascii="仿宋_GB2312" w:hAnsi="仿宋_GB2312" w:eastAsia="仿宋_GB2312" w:cs="仿宋_GB2312"/>
                <w:kern w:val="0"/>
                <w:sz w:val="24"/>
              </w:rPr>
              <w:t>3.未被国家、广西壮族自治区、南宁市相关行政主管部门通报停止投标活动，无犯罪行贿记录。</w:t>
            </w:r>
          </w:p>
          <w:p w14:paraId="2947706E">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kern w:val="0"/>
                <w:sz w:val="24"/>
              </w:rPr>
            </w:pPr>
            <w:r>
              <w:rPr>
                <w:rFonts w:hint="default" w:ascii="仿宋_GB2312" w:hAnsi="仿宋_GB2312" w:eastAsia="仿宋_GB2312" w:cs="仿宋_GB2312"/>
                <w:kern w:val="0"/>
                <w:sz w:val="24"/>
              </w:rPr>
              <w:t>4.存在以下情形的不同供应商，不得同时参加本项目的响应：单位负责人为同一人或存在控股、管理关系的不同单位；控股股东、实际控制人、董事、监事或高级管理人员同时在其他响应单位任职的。</w:t>
            </w:r>
          </w:p>
          <w:p w14:paraId="09D245A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default" w:ascii="仿宋_GB2312" w:hAnsi="仿宋_GB2312" w:eastAsia="仿宋_GB2312" w:cs="仿宋_GB2312"/>
                <w:kern w:val="0"/>
                <w:sz w:val="24"/>
              </w:rPr>
              <w:t>5.本次比选不接受联合体报价。</w:t>
            </w:r>
          </w:p>
        </w:tc>
      </w:tr>
      <w:tr w14:paraId="18B5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0B5825B9">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10</w:t>
            </w:r>
          </w:p>
        </w:tc>
        <w:tc>
          <w:tcPr>
            <w:tcW w:w="1595" w:type="dxa"/>
            <w:vAlign w:val="center"/>
          </w:tcPr>
          <w:p w14:paraId="7EFED12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获取比选文件的时间、地点、方式及比选文件售价</w:t>
            </w:r>
          </w:p>
        </w:tc>
        <w:tc>
          <w:tcPr>
            <w:tcW w:w="6822" w:type="dxa"/>
            <w:vAlign w:val="center"/>
          </w:tcPr>
          <w:p w14:paraId="114312AE">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时间：自公告发布之日起。</w:t>
            </w:r>
          </w:p>
          <w:p w14:paraId="38E6889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地点：南宁轨道数智科技有限公司官网。</w:t>
            </w:r>
          </w:p>
          <w:p w14:paraId="2CE04C5C">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方式：本项目实行网上发布电子版比选文件，凡有意参与的潜在比选申请人，请登录南宁轨道数智科技有限公司（https://www.nnsmk.com/）的新闻中心中最新公告处下载比选文件。</w:t>
            </w:r>
          </w:p>
          <w:p w14:paraId="1B174C0B">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售价：比选文件不收取费用。</w:t>
            </w:r>
          </w:p>
        </w:tc>
      </w:tr>
      <w:tr w14:paraId="1E21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5B8A4906">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11</w:t>
            </w:r>
          </w:p>
        </w:tc>
        <w:tc>
          <w:tcPr>
            <w:tcW w:w="1595" w:type="dxa"/>
            <w:vAlign w:val="center"/>
          </w:tcPr>
          <w:p w14:paraId="72F2EBC8">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比选有效期</w:t>
            </w:r>
          </w:p>
        </w:tc>
        <w:tc>
          <w:tcPr>
            <w:tcW w:w="6822" w:type="dxa"/>
            <w:vAlign w:val="center"/>
          </w:tcPr>
          <w:p w14:paraId="4F0EA9AE">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90天（比选有效期是指为保证比选发起人有足够的时间完成评审和与中选人签订合同而在一定时间内保持有效的期限。比选有效期从比选申请文件递交截止之日算起。）</w:t>
            </w:r>
          </w:p>
        </w:tc>
      </w:tr>
      <w:tr w14:paraId="2508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500D83D1">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12</w:t>
            </w:r>
          </w:p>
        </w:tc>
        <w:tc>
          <w:tcPr>
            <w:tcW w:w="1595" w:type="dxa"/>
            <w:vAlign w:val="center"/>
          </w:tcPr>
          <w:p w14:paraId="43BE0576">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比选申请文件份数</w:t>
            </w:r>
          </w:p>
        </w:tc>
        <w:tc>
          <w:tcPr>
            <w:tcW w:w="6822" w:type="dxa"/>
            <w:vAlign w:val="center"/>
          </w:tcPr>
          <w:p w14:paraId="74E0D1F0">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纸质版一式伍份，其中正本壹份、副本肆份（中选后提交扫描件电子版）</w:t>
            </w:r>
          </w:p>
        </w:tc>
      </w:tr>
      <w:tr w14:paraId="29CD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22FDABD5">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13</w:t>
            </w:r>
          </w:p>
        </w:tc>
        <w:tc>
          <w:tcPr>
            <w:tcW w:w="1595" w:type="dxa"/>
            <w:vAlign w:val="center"/>
          </w:tcPr>
          <w:p w14:paraId="58D31C55">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比选申请文件递交地址</w:t>
            </w:r>
          </w:p>
        </w:tc>
        <w:tc>
          <w:tcPr>
            <w:tcW w:w="6822" w:type="dxa"/>
            <w:vAlign w:val="center"/>
          </w:tcPr>
          <w:p w14:paraId="3B06F04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现场递交地点：南宁市青秀区凤岭北路111号国际旅游中心</w:t>
            </w:r>
            <w:r>
              <w:rPr>
                <w:rFonts w:hint="eastAsia" w:ascii="仿宋_GB2312" w:hAnsi="仿宋_GB2312" w:eastAsia="仿宋_GB2312" w:cs="仿宋_GB2312"/>
                <w:sz w:val="24"/>
                <w:lang w:val="en-US" w:eastAsia="zh-CN"/>
              </w:rPr>
              <w:t>3号楼</w:t>
            </w:r>
            <w:r>
              <w:rPr>
                <w:rFonts w:hint="eastAsia" w:ascii="仿宋_GB2312" w:hAnsi="仿宋_GB2312" w:eastAsia="仿宋_GB2312" w:cs="仿宋_GB2312"/>
                <w:sz w:val="24"/>
              </w:rPr>
              <w:t>19</w:t>
            </w:r>
            <w:r>
              <w:rPr>
                <w:rFonts w:hint="eastAsia" w:ascii="仿宋_GB2312" w:hAnsi="仿宋_GB2312" w:eastAsia="仿宋_GB2312" w:cs="仿宋_GB2312"/>
                <w:sz w:val="24"/>
                <w:lang w:val="en-US" w:eastAsia="zh-CN"/>
              </w:rPr>
              <w:t>层</w:t>
            </w:r>
            <w:r>
              <w:rPr>
                <w:rFonts w:hint="eastAsia" w:ascii="仿宋_GB2312" w:hAnsi="仿宋_GB2312" w:eastAsia="仿宋_GB2312" w:cs="仿宋_GB2312"/>
                <w:sz w:val="24"/>
              </w:rPr>
              <w:t>南宁轨道数智科技有限公司综合部</w:t>
            </w:r>
          </w:p>
          <w:p w14:paraId="3E410799">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邮寄递交地址：南宁市青秀区凤岭北路111号国际旅游中心</w:t>
            </w:r>
            <w:r>
              <w:rPr>
                <w:rFonts w:hint="eastAsia" w:ascii="仿宋_GB2312" w:hAnsi="仿宋_GB2312" w:eastAsia="仿宋_GB2312" w:cs="仿宋_GB2312"/>
                <w:sz w:val="24"/>
                <w:lang w:val="en-US" w:eastAsia="zh-CN"/>
              </w:rPr>
              <w:t>3号楼</w:t>
            </w:r>
            <w:r>
              <w:rPr>
                <w:rFonts w:hint="eastAsia" w:ascii="仿宋_GB2312" w:hAnsi="仿宋_GB2312" w:eastAsia="仿宋_GB2312" w:cs="仿宋_GB2312"/>
                <w:sz w:val="24"/>
              </w:rPr>
              <w:t>19</w:t>
            </w:r>
            <w:r>
              <w:rPr>
                <w:rFonts w:hint="eastAsia" w:ascii="仿宋_GB2312" w:hAnsi="仿宋_GB2312" w:eastAsia="仿宋_GB2312" w:cs="仿宋_GB2312"/>
                <w:sz w:val="24"/>
                <w:lang w:val="en-US" w:eastAsia="zh-CN"/>
              </w:rPr>
              <w:t>层</w:t>
            </w:r>
            <w:r>
              <w:rPr>
                <w:rFonts w:hint="eastAsia" w:ascii="仿宋_GB2312" w:hAnsi="仿宋_GB2312" w:eastAsia="仿宋_GB2312" w:cs="仿宋_GB2312"/>
                <w:sz w:val="24"/>
              </w:rPr>
              <w:t>南宁轨道数智科技有限公司综合部</w:t>
            </w:r>
          </w:p>
        </w:tc>
      </w:tr>
      <w:tr w14:paraId="3ED3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shd w:val="clear" w:color="auto" w:fill="FFFFFF"/>
            <w:vAlign w:val="center"/>
          </w:tcPr>
          <w:p w14:paraId="1FCFE1E7">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14</w:t>
            </w:r>
          </w:p>
        </w:tc>
        <w:tc>
          <w:tcPr>
            <w:tcW w:w="1595" w:type="dxa"/>
            <w:shd w:val="clear" w:color="auto" w:fill="FFFFFF"/>
            <w:vAlign w:val="center"/>
          </w:tcPr>
          <w:p w14:paraId="4D857CD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比选申请文件递交时间</w:t>
            </w:r>
          </w:p>
        </w:tc>
        <w:tc>
          <w:tcPr>
            <w:tcW w:w="6822" w:type="dxa"/>
            <w:shd w:val="clear" w:color="auto" w:fill="FFFFFF"/>
            <w:vAlign w:val="center"/>
          </w:tcPr>
          <w:p w14:paraId="38AD1C2E">
            <w:pPr>
              <w:keepNext w:val="0"/>
              <w:keepLines w:val="0"/>
              <w:suppressLineNumbers w:val="0"/>
              <w:spacing w:before="0" w:beforeAutospacing="0" w:after="0" w:afterAutospacing="0" w:line="360" w:lineRule="exact"/>
              <w:ind w:left="0" w:right="0"/>
              <w:rPr>
                <w:rFonts w:hint="default" w:ascii="仿宋_GB2312" w:hAnsi="仿宋_GB2312" w:eastAsia="仿宋_GB2312" w:cs="仿宋_GB2312"/>
                <w:bCs/>
                <w:sz w:val="24"/>
              </w:rPr>
            </w:pPr>
            <w:r>
              <w:rPr>
                <w:rFonts w:hint="eastAsia" w:ascii="仿宋_GB2312" w:hAnsi="仿宋_GB2312" w:eastAsia="仿宋_GB2312" w:cs="仿宋_GB2312"/>
                <w:sz w:val="24"/>
              </w:rPr>
              <w:t>截止日期：2024</w:t>
            </w:r>
            <w:r>
              <w:rPr>
                <w:rFonts w:hint="eastAsia" w:ascii="仿宋_GB2312" w:hAnsi="仿宋_GB2312" w:eastAsia="仿宋_GB2312" w:cs="仿宋_GB2312"/>
                <w:sz w:val="24"/>
                <w:highlight w:val="red"/>
              </w:rPr>
              <w:t>年</w:t>
            </w:r>
            <w:r>
              <w:rPr>
                <w:rFonts w:hint="eastAsia" w:ascii="仿宋_GB2312" w:hAnsi="仿宋_GB2312" w:eastAsia="仿宋_GB2312" w:cs="仿宋_GB2312"/>
                <w:sz w:val="24"/>
                <w:highlight w:val="red"/>
                <w:lang w:val="en-US" w:eastAsia="zh-CN"/>
              </w:rPr>
              <w:t>11</w:t>
            </w:r>
            <w:r>
              <w:rPr>
                <w:rFonts w:hint="eastAsia" w:ascii="仿宋_GB2312" w:hAnsi="仿宋_GB2312" w:eastAsia="仿宋_GB2312" w:cs="仿宋_GB2312"/>
                <w:sz w:val="24"/>
                <w:highlight w:val="red"/>
              </w:rPr>
              <w:t>月</w:t>
            </w:r>
            <w:r>
              <w:rPr>
                <w:rFonts w:hint="eastAsia" w:ascii="仿宋_GB2312" w:hAnsi="仿宋_GB2312" w:eastAsia="仿宋_GB2312" w:cs="仿宋_GB2312"/>
                <w:sz w:val="24"/>
                <w:highlight w:val="red"/>
                <w:lang w:val="en-US" w:eastAsia="zh-CN"/>
              </w:rPr>
              <w:t>29</w:t>
            </w:r>
            <w:r>
              <w:rPr>
                <w:rFonts w:hint="eastAsia" w:ascii="仿宋_GB2312" w:hAnsi="仿宋_GB2312" w:eastAsia="仿宋_GB2312" w:cs="仿宋_GB2312"/>
                <w:sz w:val="24"/>
              </w:rPr>
              <w:t>日 上午</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:30前（5个工作日）</w:t>
            </w:r>
          </w:p>
          <w:p w14:paraId="14464452">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highlight w:val="yellow"/>
              </w:rPr>
            </w:pPr>
            <w:r>
              <w:rPr>
                <w:rFonts w:hint="eastAsia" w:ascii="仿宋_GB2312" w:hAnsi="仿宋_GB2312" w:eastAsia="仿宋_GB2312" w:cs="仿宋_GB2312"/>
                <w:sz w:val="24"/>
              </w:rPr>
              <w:t>现场递交时间：2024年</w:t>
            </w:r>
            <w:r>
              <w:rPr>
                <w:rFonts w:hint="eastAsia" w:ascii="仿宋_GB2312" w:hAnsi="仿宋_GB2312" w:eastAsia="仿宋_GB2312" w:cs="仿宋_GB2312"/>
                <w:sz w:val="24"/>
                <w:highlight w:val="red"/>
                <w:lang w:val="en-US" w:eastAsia="zh-CN"/>
              </w:rPr>
              <w:t>11</w:t>
            </w:r>
            <w:r>
              <w:rPr>
                <w:rFonts w:hint="eastAsia" w:ascii="仿宋_GB2312" w:hAnsi="仿宋_GB2312" w:eastAsia="仿宋_GB2312" w:cs="仿宋_GB2312"/>
                <w:sz w:val="24"/>
                <w:highlight w:val="red"/>
              </w:rPr>
              <w:t>月</w:t>
            </w:r>
            <w:r>
              <w:rPr>
                <w:rFonts w:hint="eastAsia" w:ascii="仿宋_GB2312" w:hAnsi="仿宋_GB2312" w:eastAsia="仿宋_GB2312" w:cs="仿宋_GB2312"/>
                <w:sz w:val="24"/>
                <w:highlight w:val="red"/>
                <w:lang w:val="en-US" w:eastAsia="zh-CN"/>
              </w:rPr>
              <w:t>29</w:t>
            </w:r>
            <w:r>
              <w:rPr>
                <w:rFonts w:hint="eastAsia" w:ascii="仿宋_GB2312" w:hAnsi="仿宋_GB2312" w:eastAsia="仿宋_GB2312" w:cs="仿宋_GB2312"/>
                <w:sz w:val="24"/>
              </w:rPr>
              <w:t>日 上午</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:30前</w:t>
            </w:r>
          </w:p>
        </w:tc>
      </w:tr>
      <w:tr w14:paraId="7AC4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shd w:val="clear" w:color="auto" w:fill="FFFFFF"/>
            <w:vAlign w:val="center"/>
          </w:tcPr>
          <w:p w14:paraId="039A35D2">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15</w:t>
            </w:r>
          </w:p>
        </w:tc>
        <w:tc>
          <w:tcPr>
            <w:tcW w:w="1595" w:type="dxa"/>
            <w:shd w:val="clear" w:color="auto" w:fill="FFFFFF"/>
            <w:vAlign w:val="center"/>
          </w:tcPr>
          <w:p w14:paraId="4EC5ECB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比选时间、地点</w:t>
            </w:r>
          </w:p>
        </w:tc>
        <w:tc>
          <w:tcPr>
            <w:tcW w:w="6822" w:type="dxa"/>
            <w:shd w:val="clear" w:color="auto" w:fill="FFFFFF"/>
            <w:vAlign w:val="center"/>
          </w:tcPr>
          <w:p w14:paraId="73381586">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时间：2024年</w:t>
            </w:r>
            <w:r>
              <w:rPr>
                <w:rFonts w:hint="eastAsia" w:ascii="仿宋_GB2312" w:hAnsi="仿宋_GB2312" w:eastAsia="仿宋_GB2312" w:cs="仿宋_GB2312"/>
                <w:sz w:val="24"/>
                <w:highlight w:val="red"/>
                <w:lang w:val="en-US" w:eastAsia="zh-CN"/>
              </w:rPr>
              <w:t>11</w:t>
            </w:r>
            <w:r>
              <w:rPr>
                <w:rFonts w:hint="eastAsia" w:ascii="仿宋_GB2312" w:hAnsi="仿宋_GB2312" w:eastAsia="仿宋_GB2312" w:cs="仿宋_GB2312"/>
                <w:sz w:val="24"/>
                <w:highlight w:val="red"/>
              </w:rPr>
              <w:t>月</w:t>
            </w:r>
            <w:r>
              <w:rPr>
                <w:rFonts w:hint="eastAsia" w:ascii="仿宋_GB2312" w:hAnsi="仿宋_GB2312" w:eastAsia="仿宋_GB2312" w:cs="仿宋_GB2312"/>
                <w:sz w:val="24"/>
                <w:highlight w:val="red"/>
                <w:lang w:val="en-US" w:eastAsia="zh-CN"/>
              </w:rPr>
              <w:t>29</w:t>
            </w:r>
            <w:r>
              <w:rPr>
                <w:rFonts w:hint="eastAsia" w:ascii="仿宋_GB2312" w:hAnsi="仿宋_GB2312" w:eastAsia="仿宋_GB2312" w:cs="仿宋_GB2312"/>
                <w:sz w:val="24"/>
              </w:rPr>
              <w:t>日 上午</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:30</w:t>
            </w:r>
          </w:p>
          <w:p w14:paraId="5F5328E8">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highlight w:val="yellow"/>
              </w:rPr>
            </w:pPr>
            <w:r>
              <w:rPr>
                <w:rFonts w:hint="eastAsia" w:ascii="仿宋_GB2312" w:hAnsi="仿宋_GB2312" w:eastAsia="仿宋_GB2312" w:cs="仿宋_GB2312"/>
                <w:sz w:val="24"/>
              </w:rPr>
              <w:t>地点：南宁市青秀区凤岭北路111号国际旅游中心</w:t>
            </w:r>
            <w:r>
              <w:rPr>
                <w:rFonts w:hint="eastAsia" w:ascii="仿宋_GB2312" w:hAnsi="仿宋_GB2312" w:eastAsia="仿宋_GB2312" w:cs="仿宋_GB2312"/>
                <w:sz w:val="24"/>
                <w:lang w:val="en-US" w:eastAsia="zh-CN"/>
              </w:rPr>
              <w:t>3号楼</w:t>
            </w:r>
            <w:r>
              <w:rPr>
                <w:rFonts w:hint="eastAsia" w:ascii="仿宋_GB2312" w:hAnsi="仿宋_GB2312" w:eastAsia="仿宋_GB2312" w:cs="仿宋_GB2312"/>
                <w:sz w:val="24"/>
              </w:rPr>
              <w:t>19</w:t>
            </w:r>
            <w:r>
              <w:rPr>
                <w:rFonts w:hint="eastAsia" w:ascii="仿宋_GB2312" w:hAnsi="仿宋_GB2312" w:eastAsia="仿宋_GB2312" w:cs="仿宋_GB2312"/>
                <w:sz w:val="24"/>
                <w:lang w:val="en-US" w:eastAsia="zh-CN"/>
              </w:rPr>
              <w:t>层</w:t>
            </w:r>
            <w:r>
              <w:rPr>
                <w:rFonts w:hint="eastAsia" w:ascii="仿宋_GB2312" w:hAnsi="仿宋_GB2312" w:eastAsia="仿宋_GB2312" w:cs="仿宋_GB2312"/>
                <w:sz w:val="24"/>
              </w:rPr>
              <w:t>南宁轨道数智科技有限公司会议室</w:t>
            </w:r>
          </w:p>
        </w:tc>
      </w:tr>
      <w:tr w14:paraId="5609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3016B21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16</w:t>
            </w:r>
          </w:p>
        </w:tc>
        <w:tc>
          <w:tcPr>
            <w:tcW w:w="1595" w:type="dxa"/>
            <w:vAlign w:val="center"/>
          </w:tcPr>
          <w:p w14:paraId="6AA16B43">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评比办法</w:t>
            </w:r>
          </w:p>
        </w:tc>
        <w:tc>
          <w:tcPr>
            <w:tcW w:w="6822" w:type="dxa"/>
            <w:vAlign w:val="center"/>
          </w:tcPr>
          <w:p w14:paraId="6E519832">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综合评分办法（详见第四章）</w:t>
            </w:r>
          </w:p>
        </w:tc>
      </w:tr>
      <w:tr w14:paraId="2A66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2721C8A3">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17</w:t>
            </w:r>
          </w:p>
        </w:tc>
        <w:tc>
          <w:tcPr>
            <w:tcW w:w="1595" w:type="dxa"/>
            <w:vAlign w:val="center"/>
          </w:tcPr>
          <w:p w14:paraId="41DB8EC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中选通知</w:t>
            </w:r>
          </w:p>
        </w:tc>
        <w:tc>
          <w:tcPr>
            <w:tcW w:w="6822" w:type="dxa"/>
          </w:tcPr>
          <w:p w14:paraId="429A8741">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比选人根据评比委员会的评比结果在比选有效期内向中选的比选申请人发出中选通知书。</w:t>
            </w:r>
          </w:p>
          <w:p w14:paraId="1F8495B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比选人无义务向未中选的比选申请人解释未中选原因和退还其比选文件。</w:t>
            </w:r>
          </w:p>
        </w:tc>
      </w:tr>
      <w:tr w14:paraId="618D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198244F0">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18</w:t>
            </w:r>
          </w:p>
        </w:tc>
        <w:tc>
          <w:tcPr>
            <w:tcW w:w="1595" w:type="dxa"/>
            <w:vAlign w:val="center"/>
          </w:tcPr>
          <w:p w14:paraId="38FE1511">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联系方式</w:t>
            </w:r>
          </w:p>
        </w:tc>
        <w:tc>
          <w:tcPr>
            <w:tcW w:w="6822" w:type="dxa"/>
            <w:vAlign w:val="center"/>
          </w:tcPr>
          <w:p w14:paraId="3ADD8812">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蔡女士 0771-2277888-1600</w:t>
            </w:r>
          </w:p>
        </w:tc>
      </w:tr>
      <w:tr w14:paraId="4539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3DCB5AA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19</w:t>
            </w:r>
          </w:p>
        </w:tc>
        <w:tc>
          <w:tcPr>
            <w:tcW w:w="1595" w:type="dxa"/>
            <w:vAlign w:val="center"/>
          </w:tcPr>
          <w:p w14:paraId="6D380220">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其他事项</w:t>
            </w:r>
          </w:p>
        </w:tc>
        <w:tc>
          <w:tcPr>
            <w:tcW w:w="6822" w:type="dxa"/>
            <w:vAlign w:val="center"/>
          </w:tcPr>
          <w:p w14:paraId="4C961651">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中选单位如放弃中选资格，则比选发起人有权将其列入不良行为记录名单，三年内禁止其参加比选发起人的任何采购活动。</w:t>
            </w:r>
          </w:p>
        </w:tc>
      </w:tr>
    </w:tbl>
    <w:p w14:paraId="12759855">
      <w:pPr>
        <w:spacing w:line="480" w:lineRule="exact"/>
        <w:jc w:val="center"/>
        <w:rPr>
          <w:rFonts w:eastAsia="仿宋"/>
          <w:b/>
          <w:bCs/>
          <w:sz w:val="28"/>
          <w:szCs w:val="28"/>
        </w:rPr>
        <w:sectPr>
          <w:footerReference r:id="rId3" w:type="default"/>
          <w:pgSz w:w="11906" w:h="16838"/>
          <w:pgMar w:top="2098" w:right="1474" w:bottom="1984" w:left="1587" w:header="851" w:footer="992" w:gutter="0"/>
          <w:pgNumType w:fmt="numberInDash" w:start="1"/>
          <w:cols w:space="720" w:num="1"/>
          <w:docGrid w:type="lines" w:linePitch="312" w:charSpace="0"/>
        </w:sectPr>
      </w:pPr>
      <w:bookmarkStart w:id="17" w:name="_Toc16198"/>
      <w:bookmarkStart w:id="18" w:name="_Toc28086"/>
      <w:bookmarkStart w:id="19" w:name="_Toc26201"/>
      <w:bookmarkStart w:id="20" w:name="_Toc12506"/>
      <w:bookmarkStart w:id="21" w:name="_Toc32363"/>
      <w:bookmarkStart w:id="22" w:name="_Toc6681"/>
      <w:bookmarkStart w:id="23" w:name="_Toc30162"/>
      <w:bookmarkStart w:id="24" w:name="_Toc3861"/>
      <w:bookmarkStart w:id="25" w:name="_Toc18983"/>
      <w:bookmarkStart w:id="26" w:name="_Toc20803"/>
      <w:bookmarkStart w:id="27" w:name="_Toc336"/>
      <w:bookmarkStart w:id="28" w:name="_Toc12419"/>
      <w:bookmarkStart w:id="29" w:name="_Toc461525297"/>
    </w:p>
    <w:p w14:paraId="70055643">
      <w:pPr>
        <w:spacing w:line="480" w:lineRule="exact"/>
        <w:jc w:val="center"/>
        <w:outlineLvl w:val="1"/>
        <w:rPr>
          <w:rFonts w:eastAsia="仿宋"/>
          <w:b/>
          <w:sz w:val="28"/>
          <w:szCs w:val="28"/>
        </w:rPr>
      </w:pPr>
      <w:bookmarkStart w:id="30" w:name="_Toc30799"/>
      <w:bookmarkStart w:id="31" w:name="_Toc27355"/>
      <w:r>
        <w:rPr>
          <w:rFonts w:hint="eastAsia" w:ascii="楷体" w:hAnsi="楷体" w:eastAsia="楷体" w:cs="楷体"/>
          <w:b/>
          <w:bCs/>
          <w:sz w:val="32"/>
          <w:szCs w:val="32"/>
        </w:rPr>
        <w:t>一、总则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Start w:id="32" w:name="_Toc114052414"/>
      <w:bookmarkStart w:id="33" w:name="_Toc114052340"/>
      <w:bookmarkStart w:id="34" w:name="_Toc310318572"/>
      <w:bookmarkStart w:id="35" w:name="_Toc286386834"/>
    </w:p>
    <w:p w14:paraId="10E9A735">
      <w:pPr>
        <w:spacing w:line="480" w:lineRule="exact"/>
        <w:ind w:right="753"/>
        <w:jc w:val="left"/>
        <w:outlineLvl w:val="2"/>
        <w:rPr>
          <w:rFonts w:ascii="仿宋_GB2312" w:hAnsi="仿宋_GB2312" w:eastAsia="仿宋_GB2312" w:cs="仿宋_GB2312"/>
          <w:b/>
          <w:sz w:val="28"/>
          <w:szCs w:val="28"/>
        </w:rPr>
      </w:pPr>
      <w:bookmarkStart w:id="36" w:name="_Toc20556"/>
      <w:r>
        <w:rPr>
          <w:rFonts w:hint="eastAsia" w:ascii="仿宋_GB2312" w:hAnsi="仿宋_GB2312" w:eastAsia="仿宋_GB2312" w:cs="仿宋_GB2312"/>
          <w:b/>
          <w:sz w:val="28"/>
          <w:szCs w:val="28"/>
        </w:rPr>
        <w:t>1.项目比选说明</w:t>
      </w:r>
      <w:bookmarkEnd w:id="32"/>
      <w:bookmarkEnd w:id="33"/>
      <w:bookmarkEnd w:id="34"/>
      <w:bookmarkEnd w:id="35"/>
      <w:bookmarkEnd w:id="36"/>
    </w:p>
    <w:p w14:paraId="779D0E6C">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1.1 项目比选的说明见比选须知前附表（以下称“比选须知前附表”）第1项～第19项所述。</w:t>
      </w:r>
    </w:p>
    <w:p w14:paraId="66925A4F">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1.2 上述项目按照国家有关的法律、法规作为依据，并按照南宁市政府现行有关规定执行，南宁轨道数智科技有限公司现通过公开比选来择优选定服务单位。</w:t>
      </w:r>
    </w:p>
    <w:p w14:paraId="0614B3BF">
      <w:pPr>
        <w:spacing w:line="480" w:lineRule="exact"/>
        <w:jc w:val="left"/>
        <w:outlineLvl w:val="2"/>
        <w:rPr>
          <w:rFonts w:ascii="仿宋_GB2312" w:hAnsi="仿宋_GB2312" w:eastAsia="仿宋_GB2312" w:cs="仿宋_GB2312"/>
          <w:b/>
          <w:sz w:val="28"/>
          <w:szCs w:val="28"/>
        </w:rPr>
      </w:pPr>
      <w:bookmarkStart w:id="37" w:name="_Toc23774"/>
      <w:r>
        <w:rPr>
          <w:rFonts w:hint="eastAsia" w:ascii="仿宋_GB2312" w:hAnsi="仿宋_GB2312" w:eastAsia="仿宋_GB2312" w:cs="仿宋_GB2312"/>
          <w:b/>
          <w:sz w:val="28"/>
          <w:szCs w:val="28"/>
        </w:rPr>
        <w:t>2.工作内容</w:t>
      </w:r>
      <w:bookmarkEnd w:id="37"/>
    </w:p>
    <w:p w14:paraId="1B301B57">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w:t>
      </w:r>
      <w:r>
        <w:rPr>
          <w:rFonts w:hint="eastAsia" w:ascii="仿宋_GB2312" w:hAnsi="仿宋_GB2312" w:eastAsia="仿宋_GB2312" w:cs="仿宋_GB2312"/>
          <w:color w:val="FF0000"/>
          <w:sz w:val="28"/>
          <w:szCs w:val="28"/>
        </w:rPr>
        <w:t>智慧管控配置管理</w:t>
      </w:r>
      <w:r>
        <w:rPr>
          <w:rFonts w:hint="eastAsia" w:ascii="仿宋_GB2312" w:hAnsi="仿宋_GB2312" w:eastAsia="仿宋_GB2312" w:cs="仿宋_GB2312"/>
          <w:color w:val="FF0000"/>
          <w:sz w:val="28"/>
          <w:szCs w:val="28"/>
          <w:lang w:eastAsia="zh-CN"/>
        </w:rPr>
        <w:t>程序开发服务</w:t>
      </w:r>
      <w:r>
        <w:rPr>
          <w:rFonts w:hint="eastAsia" w:ascii="仿宋_GB2312" w:hAnsi="仿宋_GB2312" w:eastAsia="仿宋_GB2312" w:cs="仿宋_GB2312"/>
          <w:sz w:val="28"/>
          <w:szCs w:val="28"/>
        </w:rPr>
        <w:t>，服务内容包括：根据项目所需的产品按技术需求及数量完成设计及</w:t>
      </w:r>
      <w:r>
        <w:rPr>
          <w:rFonts w:hint="eastAsia" w:ascii="仿宋_GB2312" w:hAnsi="仿宋_GB2312" w:eastAsia="仿宋_GB2312" w:cs="仿宋_GB2312"/>
          <w:sz w:val="28"/>
          <w:szCs w:val="28"/>
          <w:lang w:val="en-US" w:eastAsia="zh-CN"/>
        </w:rPr>
        <w:t>开发</w:t>
      </w:r>
      <w:r>
        <w:rPr>
          <w:rFonts w:hint="eastAsia" w:ascii="仿宋_GB2312" w:hAnsi="仿宋_GB2312" w:eastAsia="仿宋_GB2312" w:cs="仿宋_GB2312"/>
          <w:sz w:val="28"/>
          <w:szCs w:val="28"/>
          <w:shd w:val="clear" w:color="auto" w:fill="FFFFFF"/>
        </w:rPr>
        <w:t>。</w:t>
      </w:r>
      <w:r>
        <w:rPr>
          <w:rFonts w:hint="eastAsia" w:ascii="仿宋_GB2312" w:hAnsi="仿宋_GB2312" w:eastAsia="仿宋_GB2312" w:cs="仿宋_GB2312"/>
          <w:sz w:val="28"/>
          <w:szCs w:val="28"/>
        </w:rPr>
        <w:t>（具体服务内容详见比选文件中合同条款）</w:t>
      </w:r>
    </w:p>
    <w:p w14:paraId="20224F35">
      <w:pPr>
        <w:spacing w:line="480" w:lineRule="exact"/>
        <w:ind w:right="753"/>
        <w:jc w:val="left"/>
        <w:outlineLvl w:val="2"/>
        <w:rPr>
          <w:rFonts w:ascii="仿宋_GB2312" w:hAnsi="仿宋_GB2312" w:eastAsia="仿宋_GB2312" w:cs="仿宋_GB2312"/>
          <w:b/>
          <w:sz w:val="28"/>
          <w:szCs w:val="28"/>
        </w:rPr>
      </w:pPr>
      <w:bookmarkStart w:id="38" w:name="_Toc31294"/>
      <w:r>
        <w:rPr>
          <w:rFonts w:hint="eastAsia" w:ascii="仿宋_GB2312" w:hAnsi="仿宋_GB2312" w:eastAsia="仿宋_GB2312" w:cs="仿宋_GB2312"/>
          <w:b/>
          <w:sz w:val="28"/>
          <w:szCs w:val="28"/>
        </w:rPr>
        <w:t>3.资金来源</w:t>
      </w:r>
      <w:bookmarkEnd w:id="38"/>
    </w:p>
    <w:p w14:paraId="5AEC6CF4">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资金来源见前附表第4项所述。</w:t>
      </w:r>
    </w:p>
    <w:p w14:paraId="6D67AFBC">
      <w:pPr>
        <w:spacing w:line="480" w:lineRule="exact"/>
        <w:ind w:right="753"/>
        <w:jc w:val="left"/>
        <w:outlineLvl w:val="2"/>
        <w:rPr>
          <w:rFonts w:ascii="仿宋_GB2312" w:hAnsi="仿宋_GB2312" w:eastAsia="仿宋_GB2312" w:cs="仿宋_GB2312"/>
          <w:b/>
          <w:sz w:val="28"/>
          <w:szCs w:val="28"/>
        </w:rPr>
      </w:pPr>
      <w:bookmarkStart w:id="39" w:name="_Toc5832"/>
      <w:r>
        <w:rPr>
          <w:rFonts w:hint="eastAsia" w:ascii="仿宋_GB2312" w:hAnsi="仿宋_GB2312" w:eastAsia="仿宋_GB2312" w:cs="仿宋_GB2312"/>
          <w:b/>
          <w:sz w:val="28"/>
          <w:szCs w:val="28"/>
        </w:rPr>
        <w:t>4.</w:t>
      </w:r>
      <w:bookmarkStart w:id="40" w:name="_Toc286386836"/>
      <w:bookmarkStart w:id="41" w:name="_Toc310318574"/>
      <w:bookmarkStart w:id="42" w:name="_Toc114052416"/>
      <w:bookmarkStart w:id="43" w:name="_Toc114052342"/>
      <w:r>
        <w:rPr>
          <w:rFonts w:hint="eastAsia" w:ascii="仿宋_GB2312" w:hAnsi="仿宋_GB2312" w:eastAsia="仿宋_GB2312" w:cs="仿宋_GB2312"/>
          <w:b/>
          <w:sz w:val="28"/>
          <w:szCs w:val="28"/>
        </w:rPr>
        <w:t>比选申请人资格要求</w:t>
      </w:r>
      <w:bookmarkEnd w:id="39"/>
      <w:bookmarkEnd w:id="40"/>
      <w:bookmarkEnd w:id="41"/>
      <w:bookmarkEnd w:id="42"/>
      <w:bookmarkEnd w:id="43"/>
    </w:p>
    <w:p w14:paraId="5AF80A5E">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比选申请人必须具有前附表第9项相应的资质及要求。</w:t>
      </w:r>
    </w:p>
    <w:p w14:paraId="50B94A3C">
      <w:pPr>
        <w:spacing w:line="480" w:lineRule="exact"/>
        <w:ind w:right="753"/>
        <w:jc w:val="left"/>
        <w:outlineLvl w:val="2"/>
        <w:rPr>
          <w:rFonts w:ascii="仿宋_GB2312" w:hAnsi="仿宋_GB2312" w:eastAsia="仿宋_GB2312" w:cs="仿宋_GB2312"/>
          <w:b/>
          <w:sz w:val="28"/>
          <w:szCs w:val="28"/>
        </w:rPr>
      </w:pPr>
      <w:bookmarkStart w:id="44" w:name="_Toc26968"/>
      <w:r>
        <w:rPr>
          <w:rFonts w:hint="eastAsia" w:ascii="仿宋_GB2312" w:hAnsi="仿宋_GB2312" w:eastAsia="仿宋_GB2312" w:cs="仿宋_GB2312"/>
          <w:b/>
          <w:sz w:val="28"/>
          <w:szCs w:val="28"/>
        </w:rPr>
        <w:t>5.</w:t>
      </w:r>
      <w:bookmarkStart w:id="45" w:name="_Toc114052417"/>
      <w:bookmarkStart w:id="46" w:name="_Toc286386837"/>
      <w:bookmarkStart w:id="47" w:name="_Toc114052343"/>
      <w:bookmarkStart w:id="48" w:name="_Toc310318575"/>
      <w:r>
        <w:rPr>
          <w:rFonts w:hint="eastAsia" w:ascii="仿宋_GB2312" w:hAnsi="仿宋_GB2312" w:eastAsia="仿宋_GB2312" w:cs="仿宋_GB2312"/>
          <w:b/>
          <w:sz w:val="28"/>
          <w:szCs w:val="28"/>
        </w:rPr>
        <w:t>申请比选费用</w:t>
      </w:r>
      <w:bookmarkEnd w:id="44"/>
      <w:bookmarkEnd w:id="45"/>
      <w:bookmarkEnd w:id="46"/>
      <w:bookmarkEnd w:id="47"/>
      <w:bookmarkEnd w:id="48"/>
    </w:p>
    <w:p w14:paraId="1814D9AE">
      <w:pPr>
        <w:spacing w:line="480" w:lineRule="exact"/>
        <w:ind w:right="754"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比选申请人应承担其编制文件与递交文件所涉及的一切费用。不管评比结果如何，比选人对上述费用不负任何责任。</w:t>
      </w:r>
      <w:bookmarkStart w:id="49" w:name="_Toc26141"/>
      <w:bookmarkStart w:id="50" w:name="_Toc22143"/>
      <w:bookmarkStart w:id="51" w:name="_Toc461525298"/>
      <w:bookmarkStart w:id="52" w:name="_Toc18809"/>
      <w:bookmarkStart w:id="53" w:name="_Toc6541"/>
      <w:bookmarkStart w:id="54" w:name="_Toc8029"/>
      <w:bookmarkStart w:id="55" w:name="_Toc5207"/>
      <w:bookmarkStart w:id="56" w:name="_Toc3066"/>
      <w:bookmarkStart w:id="57" w:name="_Toc16023"/>
      <w:bookmarkStart w:id="58" w:name="_Toc15439"/>
      <w:bookmarkStart w:id="59" w:name="_Toc17323"/>
      <w:bookmarkStart w:id="60" w:name="_Toc25256"/>
      <w:bookmarkStart w:id="61" w:name="_Toc17725"/>
    </w:p>
    <w:p w14:paraId="76495172">
      <w:pPr>
        <w:spacing w:line="480" w:lineRule="exact"/>
        <w:ind w:right="754" w:firstLine="560" w:firstLineChars="200"/>
        <w:jc w:val="left"/>
        <w:rPr>
          <w:rFonts w:ascii="仿宋_GB2312" w:hAnsi="仿宋_GB2312" w:eastAsia="仿宋_GB2312" w:cs="仿宋_GB2312"/>
          <w:sz w:val="28"/>
          <w:szCs w:val="28"/>
        </w:rPr>
      </w:pPr>
    </w:p>
    <w:p w14:paraId="61C5706E">
      <w:pPr>
        <w:spacing w:line="480" w:lineRule="exact"/>
        <w:jc w:val="center"/>
        <w:outlineLvl w:val="1"/>
        <w:rPr>
          <w:rFonts w:eastAsia="仿宋"/>
          <w:b/>
          <w:sz w:val="28"/>
          <w:szCs w:val="28"/>
        </w:rPr>
      </w:pPr>
      <w:bookmarkStart w:id="62" w:name="_Toc9874"/>
      <w:bookmarkStart w:id="63" w:name="_Toc2924"/>
      <w:r>
        <w:rPr>
          <w:rFonts w:hint="eastAsia" w:ascii="楷体" w:hAnsi="楷体" w:eastAsia="楷体" w:cs="楷体"/>
          <w:b/>
          <w:bCs/>
          <w:sz w:val="32"/>
          <w:szCs w:val="32"/>
        </w:rPr>
        <w:t>二、比选文件</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5183AF7">
      <w:pPr>
        <w:spacing w:line="480" w:lineRule="exact"/>
        <w:ind w:right="753"/>
        <w:jc w:val="left"/>
        <w:outlineLvl w:val="2"/>
        <w:rPr>
          <w:rFonts w:ascii="仿宋_GB2312" w:hAnsi="仿宋_GB2312" w:eastAsia="仿宋_GB2312" w:cs="仿宋_GB2312"/>
          <w:b/>
          <w:sz w:val="28"/>
          <w:szCs w:val="28"/>
        </w:rPr>
      </w:pPr>
      <w:bookmarkStart w:id="64" w:name="_Toc2005"/>
      <w:r>
        <w:rPr>
          <w:rFonts w:hint="eastAsia" w:ascii="仿宋_GB2312" w:hAnsi="仿宋_GB2312" w:eastAsia="仿宋_GB2312" w:cs="仿宋_GB2312"/>
          <w:b/>
          <w:sz w:val="28"/>
          <w:szCs w:val="28"/>
        </w:rPr>
        <w:t>6.</w:t>
      </w:r>
      <w:bookmarkStart w:id="65" w:name="_Toc310318577"/>
      <w:bookmarkStart w:id="66" w:name="_Toc114052345"/>
      <w:bookmarkStart w:id="67" w:name="_Toc286386839"/>
      <w:bookmarkStart w:id="68" w:name="_Toc114052419"/>
      <w:r>
        <w:rPr>
          <w:rFonts w:hint="eastAsia" w:ascii="仿宋_GB2312" w:hAnsi="仿宋_GB2312" w:eastAsia="仿宋_GB2312" w:cs="仿宋_GB2312"/>
          <w:b/>
          <w:sz w:val="28"/>
          <w:szCs w:val="28"/>
        </w:rPr>
        <w:t>比选文件的组成</w:t>
      </w:r>
      <w:bookmarkEnd w:id="64"/>
      <w:bookmarkEnd w:id="65"/>
      <w:bookmarkEnd w:id="66"/>
      <w:bookmarkEnd w:id="67"/>
      <w:bookmarkEnd w:id="68"/>
    </w:p>
    <w:p w14:paraId="75D03A73">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6.1比选文件包括比选须知前附表、比选须知、合同条款（格式）、比选申请文件格式、评比办法。</w:t>
      </w:r>
    </w:p>
    <w:p w14:paraId="6A44ECB0">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6.2比选申请人应认真审阅比选文件中所有的比选文件内容要求。如果比选申请人的比选申请文件不能符合比选文件的要求，责任由比选申请人负责。实质上不响应比选文件要求的比选申请文件将被拒绝。</w:t>
      </w:r>
    </w:p>
    <w:p w14:paraId="5C1AFF63">
      <w:pPr>
        <w:spacing w:line="480" w:lineRule="exact"/>
        <w:ind w:right="753"/>
        <w:jc w:val="left"/>
        <w:outlineLvl w:val="2"/>
        <w:rPr>
          <w:rFonts w:ascii="仿宋_GB2312" w:hAnsi="仿宋_GB2312" w:eastAsia="仿宋_GB2312" w:cs="仿宋_GB2312"/>
          <w:b/>
          <w:sz w:val="28"/>
          <w:szCs w:val="28"/>
        </w:rPr>
      </w:pPr>
      <w:bookmarkStart w:id="69" w:name="_Toc12840"/>
      <w:r>
        <w:rPr>
          <w:rFonts w:hint="eastAsia" w:ascii="仿宋_GB2312" w:hAnsi="仿宋_GB2312" w:eastAsia="仿宋_GB2312" w:cs="仿宋_GB2312"/>
          <w:b/>
          <w:sz w:val="28"/>
          <w:szCs w:val="28"/>
        </w:rPr>
        <w:t>7.</w:t>
      </w:r>
      <w:bookmarkStart w:id="70" w:name="_Toc114052346"/>
      <w:bookmarkStart w:id="71" w:name="_Toc114052420"/>
      <w:bookmarkStart w:id="72" w:name="_Toc286386840"/>
      <w:bookmarkStart w:id="73" w:name="_Toc310318578"/>
      <w:r>
        <w:rPr>
          <w:rFonts w:hint="eastAsia" w:ascii="仿宋_GB2312" w:hAnsi="仿宋_GB2312" w:eastAsia="仿宋_GB2312" w:cs="仿宋_GB2312"/>
          <w:b/>
          <w:sz w:val="28"/>
          <w:szCs w:val="28"/>
        </w:rPr>
        <w:t>比选文件的解释</w:t>
      </w:r>
      <w:bookmarkEnd w:id="69"/>
      <w:bookmarkEnd w:id="70"/>
      <w:bookmarkEnd w:id="71"/>
      <w:bookmarkEnd w:id="72"/>
      <w:bookmarkEnd w:id="73"/>
    </w:p>
    <w:p w14:paraId="21E93B4B">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7.1比选申请人在获取比选文件后，若有问题需要澄清，均应在递交文件截止时间 3个工作日前的正常工作时间内，用当面递交或邮寄书面通知比选人，其他方式为无效。比选人将于递交文件截止时间2天前以书面形式，在比选人官网发布，予以答复。</w:t>
      </w:r>
    </w:p>
    <w:p w14:paraId="3CFA2643">
      <w:pPr>
        <w:spacing w:line="480" w:lineRule="exact"/>
        <w:ind w:right="753"/>
        <w:jc w:val="left"/>
        <w:outlineLvl w:val="2"/>
        <w:rPr>
          <w:rFonts w:ascii="仿宋_GB2312" w:hAnsi="仿宋_GB2312" w:eastAsia="仿宋_GB2312" w:cs="仿宋_GB2312"/>
          <w:b/>
          <w:sz w:val="28"/>
          <w:szCs w:val="28"/>
        </w:rPr>
      </w:pPr>
      <w:bookmarkStart w:id="74" w:name="_Toc15884"/>
      <w:r>
        <w:rPr>
          <w:rFonts w:hint="eastAsia" w:ascii="仿宋_GB2312" w:hAnsi="仿宋_GB2312" w:eastAsia="仿宋_GB2312" w:cs="仿宋_GB2312"/>
          <w:b/>
          <w:sz w:val="28"/>
          <w:szCs w:val="28"/>
        </w:rPr>
        <w:t>8.</w:t>
      </w:r>
      <w:bookmarkStart w:id="75" w:name="_Toc114052347"/>
      <w:bookmarkStart w:id="76" w:name="_Toc114052421"/>
      <w:bookmarkStart w:id="77" w:name="_Toc286386841"/>
      <w:bookmarkStart w:id="78" w:name="_Toc310318579"/>
      <w:r>
        <w:rPr>
          <w:rFonts w:hint="eastAsia" w:ascii="仿宋_GB2312" w:hAnsi="仿宋_GB2312" w:eastAsia="仿宋_GB2312" w:cs="仿宋_GB2312"/>
          <w:b/>
          <w:sz w:val="28"/>
          <w:szCs w:val="28"/>
        </w:rPr>
        <w:t>比选文件的修改</w:t>
      </w:r>
      <w:bookmarkEnd w:id="74"/>
      <w:bookmarkEnd w:id="75"/>
      <w:bookmarkEnd w:id="76"/>
      <w:bookmarkEnd w:id="77"/>
      <w:bookmarkEnd w:id="78"/>
    </w:p>
    <w:p w14:paraId="1196EFAB">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8.1 在递交文件截止日期前2天，比选人可以采用补充通知的方式修改比选文件。</w:t>
      </w:r>
    </w:p>
    <w:p w14:paraId="1176AE65">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8.2 补充通知将以书面形式，在比选人官网发布，补充通知作为比选文件的组成部分，对比选申请人起约束作用。</w:t>
      </w:r>
      <w:bookmarkStart w:id="79" w:name="_Toc8400"/>
      <w:bookmarkStart w:id="80" w:name="_Toc9453"/>
      <w:bookmarkStart w:id="81" w:name="_Toc6395"/>
      <w:bookmarkStart w:id="82" w:name="_Toc29216"/>
      <w:bookmarkStart w:id="83" w:name="_Toc461525299"/>
      <w:bookmarkStart w:id="84" w:name="_Toc9684"/>
      <w:bookmarkStart w:id="85" w:name="_Toc10523"/>
      <w:bookmarkStart w:id="86" w:name="_Toc26897"/>
      <w:bookmarkStart w:id="87" w:name="_Toc19209"/>
      <w:bookmarkStart w:id="88" w:name="_Toc30617"/>
      <w:bookmarkStart w:id="89" w:name="_Toc9199"/>
      <w:bookmarkStart w:id="90" w:name="_Toc18772"/>
      <w:bookmarkStart w:id="91" w:name="_Toc24574"/>
    </w:p>
    <w:p w14:paraId="15A82095">
      <w:pPr>
        <w:spacing w:line="480" w:lineRule="exact"/>
        <w:ind w:right="-23" w:firstLine="560" w:firstLineChars="200"/>
        <w:jc w:val="left"/>
        <w:rPr>
          <w:rFonts w:ascii="仿宋_GB2312" w:hAnsi="仿宋_GB2312" w:eastAsia="仿宋_GB2312" w:cs="仿宋_GB2312"/>
          <w:sz w:val="28"/>
          <w:szCs w:val="28"/>
        </w:rPr>
      </w:pPr>
    </w:p>
    <w:p w14:paraId="6A37A892">
      <w:pPr>
        <w:spacing w:line="480" w:lineRule="exact"/>
        <w:jc w:val="center"/>
        <w:outlineLvl w:val="1"/>
        <w:rPr>
          <w:rFonts w:eastAsia="仿宋"/>
          <w:b/>
          <w:sz w:val="28"/>
          <w:szCs w:val="28"/>
        </w:rPr>
      </w:pPr>
      <w:bookmarkStart w:id="92" w:name="_Toc21566"/>
      <w:bookmarkStart w:id="93" w:name="_Toc23095"/>
      <w:r>
        <w:rPr>
          <w:rFonts w:hint="eastAsia" w:ascii="楷体" w:hAnsi="楷体" w:eastAsia="楷体" w:cs="楷体"/>
          <w:b/>
          <w:bCs/>
          <w:sz w:val="32"/>
          <w:szCs w:val="32"/>
        </w:rPr>
        <w:t>三、申请比选报价说明</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9481901">
      <w:pPr>
        <w:spacing w:line="480" w:lineRule="exact"/>
        <w:ind w:right="753"/>
        <w:jc w:val="left"/>
        <w:outlineLvl w:val="2"/>
        <w:rPr>
          <w:rFonts w:ascii="仿宋_GB2312" w:hAnsi="仿宋_GB2312" w:eastAsia="仿宋_GB2312" w:cs="仿宋_GB2312"/>
          <w:b/>
          <w:sz w:val="28"/>
          <w:szCs w:val="28"/>
        </w:rPr>
      </w:pPr>
      <w:bookmarkStart w:id="94" w:name="_Toc25823"/>
      <w:r>
        <w:rPr>
          <w:rFonts w:hint="eastAsia" w:ascii="仿宋_GB2312" w:hAnsi="仿宋_GB2312" w:eastAsia="仿宋_GB2312" w:cs="仿宋_GB2312"/>
          <w:b/>
          <w:sz w:val="28"/>
          <w:szCs w:val="28"/>
        </w:rPr>
        <w:t>9.</w:t>
      </w:r>
      <w:bookmarkStart w:id="95" w:name="_Toc114052349"/>
      <w:bookmarkStart w:id="96" w:name="_Toc114052423"/>
      <w:bookmarkStart w:id="97" w:name="_Toc286386843"/>
      <w:bookmarkStart w:id="98" w:name="_Toc310318581"/>
      <w:r>
        <w:rPr>
          <w:rFonts w:hint="eastAsia" w:ascii="仿宋_GB2312" w:hAnsi="仿宋_GB2312" w:eastAsia="仿宋_GB2312" w:cs="仿宋_GB2312"/>
          <w:b/>
          <w:sz w:val="28"/>
          <w:szCs w:val="28"/>
        </w:rPr>
        <w:t>申请比选</w:t>
      </w:r>
      <w:bookmarkEnd w:id="95"/>
      <w:bookmarkEnd w:id="96"/>
      <w:bookmarkEnd w:id="97"/>
      <w:r>
        <w:rPr>
          <w:rFonts w:hint="eastAsia" w:ascii="仿宋_GB2312" w:hAnsi="仿宋_GB2312" w:eastAsia="仿宋_GB2312" w:cs="仿宋_GB2312"/>
          <w:b/>
          <w:sz w:val="28"/>
          <w:szCs w:val="28"/>
        </w:rPr>
        <w:t>报价</w:t>
      </w:r>
      <w:bookmarkEnd w:id="94"/>
      <w:bookmarkEnd w:id="98"/>
    </w:p>
    <w:p w14:paraId="107723B0">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9.1申请比选报价见比选须知前附表第7项所述。</w:t>
      </w:r>
      <w:bookmarkStart w:id="99" w:name="_Toc18607"/>
      <w:bookmarkStart w:id="100" w:name="_Toc25856"/>
      <w:bookmarkStart w:id="101" w:name="_Toc31461"/>
      <w:bookmarkStart w:id="102" w:name="_Toc26723"/>
      <w:bookmarkStart w:id="103" w:name="_Toc11943"/>
      <w:bookmarkStart w:id="104" w:name="_Toc23191"/>
      <w:bookmarkStart w:id="105" w:name="_Toc17259"/>
      <w:bookmarkStart w:id="106" w:name="_Toc5583"/>
      <w:bookmarkStart w:id="107" w:name="_Toc23455"/>
      <w:bookmarkStart w:id="108" w:name="_Toc2346"/>
      <w:bookmarkStart w:id="109" w:name="_Toc461525300"/>
      <w:bookmarkStart w:id="110" w:name="_Toc17188"/>
      <w:bookmarkStart w:id="111" w:name="_Toc17722"/>
    </w:p>
    <w:p w14:paraId="372C2104">
      <w:pPr>
        <w:spacing w:line="480" w:lineRule="exact"/>
        <w:ind w:right="753" w:firstLine="560" w:firstLineChars="200"/>
        <w:jc w:val="left"/>
        <w:rPr>
          <w:rFonts w:eastAsia="仿宋"/>
          <w:sz w:val="28"/>
          <w:szCs w:val="28"/>
        </w:rPr>
      </w:pPr>
    </w:p>
    <w:p w14:paraId="511A35B2">
      <w:pPr>
        <w:spacing w:line="480" w:lineRule="exact"/>
        <w:jc w:val="center"/>
        <w:outlineLvl w:val="1"/>
        <w:rPr>
          <w:rFonts w:ascii="楷体" w:hAnsi="楷体" w:eastAsia="楷体" w:cs="楷体"/>
          <w:b/>
          <w:sz w:val="28"/>
          <w:szCs w:val="28"/>
        </w:rPr>
      </w:pPr>
      <w:bookmarkStart w:id="112" w:name="_Toc13994"/>
      <w:bookmarkStart w:id="113" w:name="_Toc2911"/>
      <w:r>
        <w:rPr>
          <w:rFonts w:hint="eastAsia" w:ascii="楷体" w:hAnsi="楷体" w:eastAsia="楷体" w:cs="楷体"/>
          <w:b/>
          <w:bCs/>
          <w:sz w:val="32"/>
          <w:szCs w:val="32"/>
        </w:rPr>
        <w:t>四、比选申请文件的编制</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F8B4586">
      <w:pPr>
        <w:spacing w:line="480" w:lineRule="exact"/>
        <w:ind w:right="753"/>
        <w:jc w:val="left"/>
        <w:outlineLvl w:val="2"/>
        <w:rPr>
          <w:rFonts w:ascii="仿宋_GB2312" w:hAnsi="仿宋_GB2312" w:eastAsia="仿宋_GB2312" w:cs="仿宋_GB2312"/>
          <w:b/>
          <w:sz w:val="28"/>
          <w:szCs w:val="28"/>
        </w:rPr>
      </w:pPr>
      <w:bookmarkStart w:id="114" w:name="_Toc22697"/>
      <w:r>
        <w:rPr>
          <w:rFonts w:hint="eastAsia" w:ascii="仿宋_GB2312" w:hAnsi="仿宋_GB2312" w:eastAsia="仿宋_GB2312" w:cs="仿宋_GB2312"/>
          <w:b/>
          <w:sz w:val="28"/>
          <w:szCs w:val="28"/>
        </w:rPr>
        <w:t>10.</w:t>
      </w:r>
      <w:bookmarkStart w:id="115" w:name="_Toc286386845"/>
      <w:bookmarkStart w:id="116" w:name="_Toc310318583"/>
      <w:r>
        <w:rPr>
          <w:rFonts w:hint="eastAsia" w:ascii="仿宋_GB2312" w:hAnsi="仿宋_GB2312" w:eastAsia="仿宋_GB2312" w:cs="仿宋_GB2312"/>
          <w:b/>
          <w:sz w:val="28"/>
          <w:szCs w:val="28"/>
        </w:rPr>
        <w:t>比选申请文件编写注意事项</w:t>
      </w:r>
      <w:bookmarkEnd w:id="114"/>
      <w:bookmarkEnd w:id="115"/>
      <w:bookmarkEnd w:id="116"/>
    </w:p>
    <w:p w14:paraId="72F13194">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10.1比选申请人应认真阅读比选文件，按照比选文件的要求编制比选申请文件。如果没有按照比选文件要求提交比选申请文件，没有对比选文件提出的实质性要求和条件作出响应，有可能导致该比选申请文件被拒绝。</w:t>
      </w:r>
    </w:p>
    <w:p w14:paraId="19EF63C5">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10.2比选文件提出的实质性要求和条件是指本比选项目所涉及的最低人员配置、价格、服务及其它要求、合同条款等内容。</w:t>
      </w:r>
    </w:p>
    <w:p w14:paraId="6E809590">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10.3比选申请人的比选申请文件所有来往函件统一使用中文(特别规定除外)。</w:t>
      </w:r>
    </w:p>
    <w:p w14:paraId="030B2E8F">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10.4比选申请文件中使用的计量单位除比选文件中有特殊规定外，一律使用法定计量单位。</w:t>
      </w:r>
    </w:p>
    <w:p w14:paraId="54989A58">
      <w:pPr>
        <w:kinsoku w:val="0"/>
        <w:overflowPunct w:val="0"/>
        <w:autoSpaceDE w:val="0"/>
        <w:autoSpaceDN w:val="0"/>
        <w:adjustRightInd w:val="0"/>
        <w:snapToGrid w:val="0"/>
        <w:spacing w:line="480" w:lineRule="exact"/>
        <w:ind w:left="562" w:right="754" w:hanging="562" w:hangingChars="200"/>
        <w:jc w:val="left"/>
        <w:outlineLvl w:val="2"/>
        <w:rPr>
          <w:rFonts w:ascii="仿宋_GB2312" w:hAnsi="仿宋_GB2312" w:eastAsia="仿宋_GB2312" w:cs="仿宋_GB2312"/>
          <w:b/>
          <w:sz w:val="28"/>
          <w:szCs w:val="28"/>
        </w:rPr>
      </w:pPr>
      <w:bookmarkStart w:id="117" w:name="_Toc12765"/>
      <w:r>
        <w:rPr>
          <w:rFonts w:hint="eastAsia" w:ascii="仿宋_GB2312" w:hAnsi="仿宋_GB2312" w:eastAsia="仿宋_GB2312" w:cs="仿宋_GB2312"/>
          <w:b/>
          <w:sz w:val="28"/>
          <w:szCs w:val="28"/>
        </w:rPr>
        <w:t>11.比选申请文件的组成</w:t>
      </w:r>
      <w:bookmarkEnd w:id="117"/>
    </w:p>
    <w:p w14:paraId="69F03949">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11.1 比选申请文件</w:t>
      </w:r>
      <w:r>
        <w:rPr>
          <w:rFonts w:hint="eastAsia" w:ascii="仿宋_GB2312" w:hAnsi="仿宋_GB2312" w:eastAsia="仿宋_GB2312" w:cs="仿宋_GB2312"/>
          <w:b/>
          <w:sz w:val="28"/>
          <w:szCs w:val="28"/>
        </w:rPr>
        <w:t>由资格审查部分、技术部分、商务部分三部分组成，</w:t>
      </w:r>
      <w:r>
        <w:rPr>
          <w:rFonts w:hint="eastAsia" w:ascii="仿宋_GB2312" w:hAnsi="仿宋_GB2312" w:eastAsia="仿宋_GB2312" w:cs="仿宋_GB2312"/>
          <w:b/>
          <w:bCs/>
          <w:sz w:val="28"/>
          <w:szCs w:val="28"/>
        </w:rPr>
        <w:t>详细要求与部分格式详见第三章。</w:t>
      </w:r>
    </w:p>
    <w:p w14:paraId="5A3B6B41">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11.2 比选申请文件应按以下顺序分三个章节进行编制，主要包括下列内容：</w:t>
      </w:r>
    </w:p>
    <w:p w14:paraId="0B7A31A3">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11.2.1 资格审查章节主要包括下列内容</w:t>
      </w:r>
    </w:p>
    <w:p w14:paraId="0F1F1689">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（1）诚信声明（原件）；</w:t>
      </w:r>
    </w:p>
    <w:p w14:paraId="1C1AAC04">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（2）比选函（原件）；</w:t>
      </w:r>
    </w:p>
    <w:p w14:paraId="538C6A4A">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（3）公司营业执照（复印件加盖公章）；</w:t>
      </w:r>
    </w:p>
    <w:p w14:paraId="4A909F57">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（4）公司法人身份证明（复印件加盖公章）；</w:t>
      </w:r>
    </w:p>
    <w:p w14:paraId="5D53CD47">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（5）比选申请文件签署授权委托书（原件）；</w:t>
      </w:r>
    </w:p>
    <w:p w14:paraId="21BF2548">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（6）授权代表人身份证（复印件加盖公章）。</w:t>
      </w:r>
    </w:p>
    <w:p w14:paraId="79D754F5">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11.2.2 技术章节主要包括下列内容：</w:t>
      </w:r>
    </w:p>
    <w:p w14:paraId="343ABA0D">
      <w:pPr>
        <w:kinsoku w:val="0"/>
        <w:overflowPunct w:val="0"/>
        <w:autoSpaceDE w:val="0"/>
        <w:autoSpaceDN w:val="0"/>
        <w:adjustRightInd w:val="0"/>
        <w:snapToGrid w:val="0"/>
        <w:spacing w:line="480" w:lineRule="exact"/>
        <w:ind w:right="754" w:firstLine="843" w:firstLineChars="3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项目技术需求响应表；</w:t>
      </w:r>
    </w:p>
    <w:p w14:paraId="5D1F8225">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11.2.3 商务章节主要包括下列内容：</w:t>
      </w:r>
    </w:p>
    <w:p w14:paraId="6B6325C3">
      <w:pPr>
        <w:kinsoku w:val="0"/>
        <w:overflowPunct w:val="0"/>
        <w:autoSpaceDE w:val="0"/>
        <w:autoSpaceDN w:val="0"/>
        <w:adjustRightInd w:val="0"/>
        <w:snapToGrid w:val="0"/>
        <w:spacing w:line="480" w:lineRule="exact"/>
        <w:ind w:right="754" w:firstLine="843" w:firstLineChars="3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报价明细表；</w:t>
      </w:r>
    </w:p>
    <w:p w14:paraId="7CB6ADB1">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11.3 比选申请人需按照比选人提供的比选申请文件格式和顺序另行编制比选申请文件，但表格可以按同样格式扩展。</w:t>
      </w:r>
    </w:p>
    <w:p w14:paraId="3D3FB892">
      <w:pPr>
        <w:spacing w:line="480" w:lineRule="exact"/>
        <w:ind w:right="753"/>
        <w:jc w:val="left"/>
        <w:outlineLvl w:val="2"/>
        <w:rPr>
          <w:rFonts w:ascii="仿宋_GB2312" w:hAnsi="仿宋_GB2312" w:eastAsia="仿宋_GB2312" w:cs="仿宋_GB2312"/>
          <w:b/>
          <w:sz w:val="28"/>
          <w:szCs w:val="28"/>
        </w:rPr>
      </w:pPr>
      <w:bookmarkStart w:id="118" w:name="_Toc6332"/>
      <w:r>
        <w:rPr>
          <w:rFonts w:hint="eastAsia" w:ascii="仿宋_GB2312" w:hAnsi="仿宋_GB2312" w:eastAsia="仿宋_GB2312" w:cs="仿宋_GB2312"/>
          <w:b/>
          <w:sz w:val="28"/>
          <w:szCs w:val="28"/>
        </w:rPr>
        <w:t>12.</w:t>
      </w:r>
      <w:bookmarkStart w:id="119" w:name="_Toc114052363"/>
      <w:bookmarkStart w:id="120" w:name="_Toc310318585"/>
      <w:bookmarkStart w:id="121" w:name="_Toc114052427"/>
      <w:bookmarkStart w:id="122" w:name="_Toc286386847"/>
      <w:r>
        <w:rPr>
          <w:rFonts w:hint="eastAsia" w:ascii="仿宋_GB2312" w:hAnsi="仿宋_GB2312" w:eastAsia="仿宋_GB2312" w:cs="仿宋_GB2312"/>
          <w:b/>
          <w:sz w:val="28"/>
          <w:szCs w:val="28"/>
        </w:rPr>
        <w:t>比选有效期</w:t>
      </w:r>
      <w:bookmarkEnd w:id="118"/>
      <w:bookmarkEnd w:id="119"/>
      <w:bookmarkEnd w:id="120"/>
      <w:bookmarkEnd w:id="121"/>
      <w:bookmarkEnd w:id="122"/>
    </w:p>
    <w:p w14:paraId="3310C37D">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12.1 比选申请文件在前附表第14条规定的递交比选申请文件日期之后的90天内有效。</w:t>
      </w:r>
    </w:p>
    <w:p w14:paraId="25398039">
      <w:pPr>
        <w:spacing w:line="480" w:lineRule="exact"/>
        <w:ind w:right="-21"/>
        <w:jc w:val="left"/>
        <w:outlineLvl w:val="2"/>
        <w:rPr>
          <w:rFonts w:ascii="仿宋_GB2312" w:hAnsi="仿宋_GB2312" w:eastAsia="仿宋_GB2312" w:cs="仿宋_GB2312"/>
          <w:b/>
          <w:sz w:val="28"/>
          <w:szCs w:val="28"/>
        </w:rPr>
      </w:pPr>
      <w:bookmarkStart w:id="123" w:name="_Toc11166"/>
      <w:r>
        <w:rPr>
          <w:rFonts w:hint="eastAsia" w:ascii="仿宋_GB2312" w:hAnsi="仿宋_GB2312" w:eastAsia="仿宋_GB2312" w:cs="仿宋_GB2312"/>
          <w:b/>
          <w:sz w:val="28"/>
          <w:szCs w:val="28"/>
        </w:rPr>
        <w:t>13.比选保证金</w:t>
      </w:r>
      <w:bookmarkEnd w:id="123"/>
    </w:p>
    <w:p w14:paraId="4CBAE5B7">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13.1本次比选不需要缴纳申请比选保证金。</w:t>
      </w:r>
    </w:p>
    <w:p w14:paraId="44E78CF8">
      <w:pPr>
        <w:spacing w:line="480" w:lineRule="exact"/>
        <w:ind w:right="753"/>
        <w:jc w:val="left"/>
        <w:outlineLvl w:val="2"/>
        <w:rPr>
          <w:rFonts w:ascii="仿宋_GB2312" w:hAnsi="仿宋_GB2312" w:eastAsia="仿宋_GB2312" w:cs="仿宋_GB2312"/>
          <w:b/>
          <w:sz w:val="28"/>
          <w:szCs w:val="28"/>
        </w:rPr>
      </w:pPr>
      <w:bookmarkStart w:id="124" w:name="_Toc32682"/>
      <w:r>
        <w:rPr>
          <w:rFonts w:hint="eastAsia" w:ascii="仿宋_GB2312" w:hAnsi="仿宋_GB2312" w:eastAsia="仿宋_GB2312" w:cs="仿宋_GB2312"/>
          <w:b/>
          <w:sz w:val="28"/>
          <w:szCs w:val="28"/>
        </w:rPr>
        <w:t>14.</w:t>
      </w:r>
      <w:bookmarkStart w:id="125" w:name="_Toc286386849"/>
      <w:bookmarkStart w:id="126" w:name="_Toc310318587"/>
      <w:bookmarkStart w:id="127" w:name="_Toc114052429"/>
      <w:bookmarkStart w:id="128" w:name="_Toc114052365"/>
      <w:r>
        <w:rPr>
          <w:rFonts w:hint="eastAsia" w:ascii="仿宋_GB2312" w:hAnsi="仿宋_GB2312" w:eastAsia="仿宋_GB2312" w:cs="仿宋_GB2312"/>
          <w:b/>
          <w:sz w:val="28"/>
          <w:szCs w:val="28"/>
        </w:rPr>
        <w:t>比选答疑</w:t>
      </w:r>
      <w:bookmarkEnd w:id="124"/>
      <w:bookmarkEnd w:id="125"/>
      <w:bookmarkEnd w:id="126"/>
      <w:bookmarkEnd w:id="127"/>
      <w:bookmarkEnd w:id="128"/>
    </w:p>
    <w:p w14:paraId="352346BB">
      <w:pPr>
        <w:spacing w:line="480" w:lineRule="exact"/>
        <w:ind w:right="-21"/>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14.1比选申请人提出的与比选有关的任何问题均应在递交文件截止时间3个工作日前的正常工作时间内，用当面递交或邮寄书面通知比选人，其他方式为无效。比选人将以书面形式通过“比选补遗文件”的形式予以答复。</w:t>
      </w:r>
    </w:p>
    <w:p w14:paraId="49D22E7D">
      <w:pPr>
        <w:spacing w:line="480" w:lineRule="exact"/>
        <w:ind w:right="-21"/>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14.2比选补遗文件包括所有问题和答复，比选人将于递交文件截止时间2天前以书面形式,在比选人官网发布，予以答复。</w:t>
      </w:r>
    </w:p>
    <w:p w14:paraId="273D03CA">
      <w:pPr>
        <w:spacing w:line="480" w:lineRule="exact"/>
        <w:ind w:right="753"/>
        <w:jc w:val="left"/>
        <w:outlineLvl w:val="2"/>
        <w:rPr>
          <w:rFonts w:ascii="仿宋_GB2312" w:hAnsi="仿宋_GB2312" w:eastAsia="仿宋_GB2312" w:cs="仿宋_GB2312"/>
          <w:b/>
          <w:sz w:val="28"/>
          <w:szCs w:val="28"/>
        </w:rPr>
      </w:pPr>
      <w:bookmarkStart w:id="129" w:name="_Toc29663"/>
      <w:r>
        <w:rPr>
          <w:rFonts w:hint="eastAsia" w:ascii="仿宋_GB2312" w:hAnsi="仿宋_GB2312" w:eastAsia="仿宋_GB2312" w:cs="仿宋_GB2312"/>
          <w:b/>
          <w:sz w:val="28"/>
          <w:szCs w:val="28"/>
        </w:rPr>
        <w:t>15.</w:t>
      </w:r>
      <w:bookmarkStart w:id="130" w:name="_Toc286386850"/>
      <w:bookmarkStart w:id="131" w:name="_Toc310318588"/>
      <w:bookmarkStart w:id="132" w:name="_Toc114052430"/>
      <w:bookmarkStart w:id="133" w:name="_Toc114052366"/>
      <w:r>
        <w:rPr>
          <w:rFonts w:hint="eastAsia" w:ascii="仿宋_GB2312" w:hAnsi="仿宋_GB2312" w:eastAsia="仿宋_GB2312" w:cs="仿宋_GB2312"/>
          <w:b/>
          <w:sz w:val="28"/>
          <w:szCs w:val="28"/>
        </w:rPr>
        <w:t>比选申请文件的份数</w:t>
      </w:r>
      <w:bookmarkEnd w:id="130"/>
      <w:bookmarkEnd w:id="131"/>
      <w:bookmarkEnd w:id="132"/>
      <w:bookmarkEnd w:id="133"/>
      <w:r>
        <w:rPr>
          <w:rFonts w:hint="eastAsia" w:ascii="仿宋_GB2312" w:hAnsi="仿宋_GB2312" w:eastAsia="仿宋_GB2312" w:cs="仿宋_GB2312"/>
          <w:b/>
          <w:sz w:val="28"/>
          <w:szCs w:val="28"/>
        </w:rPr>
        <w:t>和签署</w:t>
      </w:r>
      <w:bookmarkEnd w:id="129"/>
    </w:p>
    <w:p w14:paraId="63C96247">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15.1比选申请人按比选文件规定，编制壹份比选申请文件“正本”和肆份比选申请文件“副本”，并标明“比选申请文件正本”和“比选申请文件副本”。比选申请文件正本和副本如有不一致之处，以正本为准。</w:t>
      </w:r>
    </w:p>
    <w:p w14:paraId="5273929E">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15.2比选申请文件正本与副本均应使用不能擦去的黑色墨水打印或书写，装订成册，由比选申请人负责人或授权委托代理人亲自签署或加盖印鉴，并加盖比选申请人单位公章。</w:t>
      </w:r>
    </w:p>
    <w:p w14:paraId="24A82D0B">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15.3全套比选申请文件应无涂改和行间插字，除非这些删改是根据比选人指示进行的；或者是比选申请人造成的必须修改的错误，但修改处应由比选申请文件签字人签字证明，否则修改无效。</w:t>
      </w:r>
    </w:p>
    <w:p w14:paraId="3403BC63">
      <w:pPr>
        <w:spacing w:line="480" w:lineRule="exact"/>
        <w:rPr>
          <w:rFonts w:eastAsia="仿宋"/>
          <w:b/>
          <w:bCs/>
          <w:sz w:val="28"/>
          <w:szCs w:val="28"/>
        </w:rPr>
      </w:pPr>
      <w:bookmarkStart w:id="134" w:name="_Toc25460"/>
      <w:bookmarkStart w:id="135" w:name="_Toc19276"/>
      <w:bookmarkStart w:id="136" w:name="_Toc23101"/>
      <w:bookmarkStart w:id="137" w:name="_Toc2153"/>
      <w:bookmarkStart w:id="138" w:name="_Toc11391"/>
      <w:bookmarkStart w:id="139" w:name="_Toc15955"/>
      <w:bookmarkStart w:id="140" w:name="_Toc461525301"/>
      <w:bookmarkStart w:id="141" w:name="_Toc16937"/>
      <w:bookmarkStart w:id="142" w:name="_Toc28307"/>
      <w:bookmarkStart w:id="143" w:name="_Toc14726"/>
      <w:bookmarkStart w:id="144" w:name="_Toc31804"/>
      <w:bookmarkStart w:id="145" w:name="_Toc28652"/>
      <w:bookmarkStart w:id="146" w:name="_Toc23604"/>
    </w:p>
    <w:p w14:paraId="2A44A692">
      <w:pPr>
        <w:spacing w:line="480" w:lineRule="exact"/>
        <w:jc w:val="center"/>
        <w:outlineLvl w:val="1"/>
        <w:rPr>
          <w:rFonts w:eastAsia="仿宋"/>
          <w:b/>
          <w:sz w:val="28"/>
          <w:szCs w:val="28"/>
        </w:rPr>
      </w:pPr>
      <w:bookmarkStart w:id="147" w:name="_Toc17129"/>
      <w:bookmarkStart w:id="148" w:name="_Toc25452"/>
      <w:r>
        <w:rPr>
          <w:rFonts w:hint="eastAsia" w:ascii="楷体" w:hAnsi="楷体" w:eastAsia="楷体" w:cs="楷体"/>
          <w:b/>
          <w:bCs/>
          <w:sz w:val="32"/>
          <w:szCs w:val="32"/>
        </w:rPr>
        <w:t>五、比选申请文件的递交</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F598E1A">
      <w:pPr>
        <w:spacing w:line="480" w:lineRule="exact"/>
        <w:jc w:val="left"/>
        <w:outlineLvl w:val="2"/>
        <w:rPr>
          <w:rFonts w:ascii="仿宋_GB2312" w:hAnsi="仿宋_GB2312" w:eastAsia="仿宋_GB2312" w:cs="仿宋_GB2312"/>
          <w:b/>
          <w:sz w:val="28"/>
          <w:szCs w:val="28"/>
        </w:rPr>
      </w:pPr>
      <w:bookmarkStart w:id="149" w:name="_Toc7356"/>
      <w:r>
        <w:rPr>
          <w:rFonts w:hint="eastAsia" w:ascii="仿宋_GB2312" w:hAnsi="仿宋_GB2312" w:eastAsia="仿宋_GB2312" w:cs="仿宋_GB2312"/>
          <w:b/>
          <w:sz w:val="28"/>
          <w:szCs w:val="28"/>
        </w:rPr>
        <w:t>16.比选申请文件的密封与标志</w:t>
      </w:r>
      <w:bookmarkEnd w:id="149"/>
    </w:p>
    <w:p w14:paraId="131A5047">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16.1比选申请文件装订要求：比选申请文件中资格审查部分、技术部分、商务部分一起装订。</w:t>
      </w:r>
    </w:p>
    <w:p w14:paraId="562E3F61">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16.2比选申请文件密封在一个比选文件密封袋中。</w:t>
      </w:r>
    </w:p>
    <w:p w14:paraId="03B205DC">
      <w:pPr>
        <w:tabs>
          <w:tab w:val="left" w:pos="8610"/>
        </w:tabs>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16.3密封袋封口处都应加盖比选申请人公章或粘贴加盖公章的密封条，若密封袋没有加盖公章或破损严重，有可能导致比选申请文件被比选人拒收。</w:t>
      </w:r>
    </w:p>
    <w:p w14:paraId="583F4EE7">
      <w:pPr>
        <w:spacing w:line="480" w:lineRule="exact"/>
        <w:ind w:right="753"/>
        <w:jc w:val="left"/>
        <w:outlineLvl w:val="2"/>
        <w:rPr>
          <w:rFonts w:ascii="仿宋_GB2312" w:hAnsi="仿宋_GB2312" w:eastAsia="仿宋_GB2312" w:cs="仿宋_GB2312"/>
          <w:b/>
          <w:sz w:val="28"/>
          <w:szCs w:val="28"/>
        </w:rPr>
      </w:pPr>
      <w:bookmarkStart w:id="150" w:name="_Toc7323"/>
      <w:r>
        <w:rPr>
          <w:rFonts w:hint="eastAsia" w:ascii="仿宋_GB2312" w:hAnsi="仿宋_GB2312" w:eastAsia="仿宋_GB2312" w:cs="仿宋_GB2312"/>
          <w:b/>
          <w:sz w:val="28"/>
          <w:szCs w:val="28"/>
        </w:rPr>
        <w:t>17.递交比选文件截止期</w:t>
      </w:r>
      <w:bookmarkEnd w:id="150"/>
    </w:p>
    <w:p w14:paraId="4186A5F1">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17.1比选申请人应在前附表第14项所述规定的时间，将比选申请文件递交至前附表第13项所述的单位和地址。</w:t>
      </w:r>
    </w:p>
    <w:p w14:paraId="1D92D134">
      <w:pPr>
        <w:spacing w:line="480" w:lineRule="exact"/>
        <w:rPr>
          <w:rFonts w:eastAsia="仿宋"/>
          <w:b/>
          <w:bCs/>
          <w:sz w:val="28"/>
          <w:szCs w:val="28"/>
        </w:rPr>
      </w:pPr>
      <w:bookmarkStart w:id="151" w:name="_Toc29047"/>
      <w:bookmarkStart w:id="152" w:name="_Toc20601"/>
      <w:bookmarkStart w:id="153" w:name="_Toc32687"/>
      <w:bookmarkStart w:id="154" w:name="_Toc6376"/>
      <w:bookmarkStart w:id="155" w:name="_Toc30232"/>
      <w:bookmarkStart w:id="156" w:name="_Toc31139"/>
      <w:bookmarkStart w:id="157" w:name="_Toc1057"/>
      <w:bookmarkStart w:id="158" w:name="_Toc461525302"/>
      <w:bookmarkStart w:id="159" w:name="_Toc17217"/>
      <w:bookmarkStart w:id="160" w:name="_Toc20356"/>
      <w:bookmarkStart w:id="161" w:name="_Toc22118"/>
      <w:bookmarkStart w:id="162" w:name="_Toc27095"/>
      <w:bookmarkStart w:id="163" w:name="_Toc31034"/>
    </w:p>
    <w:p w14:paraId="5D02E57E">
      <w:pPr>
        <w:spacing w:line="480" w:lineRule="exact"/>
        <w:jc w:val="center"/>
        <w:outlineLvl w:val="1"/>
        <w:rPr>
          <w:rFonts w:eastAsia="仿宋"/>
          <w:b/>
          <w:sz w:val="28"/>
          <w:szCs w:val="28"/>
        </w:rPr>
      </w:pPr>
      <w:bookmarkStart w:id="164" w:name="_Toc3687"/>
      <w:bookmarkStart w:id="165" w:name="_Toc257"/>
      <w:r>
        <w:rPr>
          <w:rFonts w:hint="eastAsia" w:ascii="楷体" w:hAnsi="楷体" w:eastAsia="楷体" w:cs="楷体"/>
          <w:b/>
          <w:bCs/>
          <w:sz w:val="32"/>
          <w:szCs w:val="32"/>
        </w:rPr>
        <w:t>六、评</w:t>
      </w:r>
      <w:bookmarkEnd w:id="151"/>
      <w:bookmarkEnd w:id="152"/>
      <w:bookmarkEnd w:id="153"/>
      <w:r>
        <w:rPr>
          <w:rFonts w:hint="eastAsia" w:ascii="楷体" w:hAnsi="楷体" w:eastAsia="楷体" w:cs="楷体"/>
          <w:b/>
          <w:bCs/>
          <w:sz w:val="32"/>
          <w:szCs w:val="32"/>
        </w:rPr>
        <w:t>比</w:t>
      </w:r>
      <w:bookmarkEnd w:id="154"/>
      <w:bookmarkEnd w:id="155"/>
      <w:bookmarkEnd w:id="156"/>
      <w:bookmarkEnd w:id="157"/>
      <w:bookmarkEnd w:id="158"/>
      <w:bookmarkEnd w:id="159"/>
      <w:bookmarkEnd w:id="160"/>
      <w:bookmarkEnd w:id="161"/>
      <w:bookmarkEnd w:id="162"/>
      <w:bookmarkEnd w:id="163"/>
      <w:bookmarkEnd w:id="164"/>
      <w:bookmarkEnd w:id="165"/>
    </w:p>
    <w:p w14:paraId="1AC4D4EF">
      <w:pPr>
        <w:spacing w:line="480" w:lineRule="exact"/>
        <w:ind w:right="753"/>
        <w:jc w:val="left"/>
        <w:outlineLvl w:val="2"/>
        <w:rPr>
          <w:rFonts w:ascii="仿宋_GB2312" w:hAnsi="仿宋_GB2312" w:eastAsia="仿宋_GB2312" w:cs="仿宋_GB2312"/>
          <w:b/>
          <w:sz w:val="28"/>
          <w:szCs w:val="28"/>
        </w:rPr>
      </w:pPr>
      <w:bookmarkStart w:id="166" w:name="_Toc22648"/>
      <w:r>
        <w:rPr>
          <w:rFonts w:hint="eastAsia" w:ascii="仿宋_GB2312" w:hAnsi="仿宋_GB2312" w:eastAsia="仿宋_GB2312" w:cs="仿宋_GB2312"/>
          <w:b/>
          <w:sz w:val="28"/>
          <w:szCs w:val="28"/>
        </w:rPr>
        <w:t>18.评比委员会</w:t>
      </w:r>
      <w:bookmarkEnd w:id="166"/>
    </w:p>
    <w:p w14:paraId="0C438822">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18.1本项目的评比委员会由5名</w:t>
      </w:r>
      <w:r>
        <w:rPr>
          <w:rFonts w:hint="eastAsia" w:ascii="仿宋_GB2312" w:hAnsi="仿宋_GB2312" w:eastAsia="仿宋_GB2312" w:cs="仿宋_GB2312"/>
          <w:sz w:val="28"/>
          <w:szCs w:val="28"/>
          <w:lang w:eastAsia="zh-CN"/>
        </w:rPr>
        <w:t>成</w:t>
      </w:r>
      <w:r>
        <w:rPr>
          <w:rFonts w:hint="eastAsia" w:ascii="仿宋_GB2312" w:hAnsi="仿宋_GB2312" w:eastAsia="仿宋_GB2312" w:cs="仿宋_GB2312"/>
          <w:sz w:val="28"/>
          <w:szCs w:val="28"/>
        </w:rPr>
        <w:t>组成。</w:t>
      </w:r>
    </w:p>
    <w:p w14:paraId="710BD2D4">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18.2评比委员会成员独立、客观、公正地履行职责，遵守职业道德，对所提出的评比意见承担个人责任；评比委员会成员应对整个评比活动保密。</w:t>
      </w:r>
    </w:p>
    <w:p w14:paraId="2C959DFA">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18.3评比委员会成员不得在比选期间私下接触参加比选的参选人员，不得接受参选人或相关人员的任何馈赠，不得参加参选人以任何形式组织的宴请、娱乐、旅游等活动，不得透露与评比工作有关的内容情况。比选人应当对参选人报送的文件内容保密，比选人及参与者不得泄露。如果参加竞争的参选人试图采用不正当手段对评委施加影响，取消其比选资格。</w:t>
      </w:r>
    </w:p>
    <w:p w14:paraId="6F4512B2">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18.4严禁任何单位或个人以任何形式操纵、干预评比过程和评比结果。</w:t>
      </w:r>
    </w:p>
    <w:p w14:paraId="56C1172E">
      <w:pPr>
        <w:spacing w:line="480" w:lineRule="exact"/>
        <w:ind w:right="753"/>
        <w:jc w:val="left"/>
        <w:outlineLvl w:val="2"/>
        <w:rPr>
          <w:rFonts w:ascii="仿宋_GB2312" w:hAnsi="仿宋_GB2312" w:eastAsia="仿宋_GB2312" w:cs="仿宋_GB2312"/>
          <w:b/>
          <w:sz w:val="28"/>
          <w:szCs w:val="28"/>
        </w:rPr>
      </w:pPr>
      <w:bookmarkStart w:id="167" w:name="_Toc310318596"/>
      <w:r>
        <w:rPr>
          <w:rFonts w:hint="eastAsia" w:ascii="仿宋_GB2312" w:hAnsi="仿宋_GB2312" w:eastAsia="仿宋_GB2312" w:cs="仿宋_GB2312"/>
          <w:b/>
          <w:sz w:val="28"/>
          <w:szCs w:val="28"/>
        </w:rPr>
        <w:t xml:space="preserve"> </w:t>
      </w:r>
      <w:bookmarkStart w:id="168" w:name="_Toc217"/>
      <w:r>
        <w:rPr>
          <w:rFonts w:hint="eastAsia" w:ascii="仿宋_GB2312" w:hAnsi="仿宋_GB2312" w:eastAsia="仿宋_GB2312" w:cs="仿宋_GB2312"/>
          <w:b/>
          <w:sz w:val="28"/>
          <w:szCs w:val="28"/>
        </w:rPr>
        <w:t>19.评比</w:t>
      </w:r>
      <w:bookmarkEnd w:id="167"/>
      <w:bookmarkEnd w:id="168"/>
    </w:p>
    <w:p w14:paraId="39E50624">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19.1比选人将于前附表第13、14项规定的时间、地点递交比选材料，参加评比的比选申请人负责人或授权委托代理人应签名报到，并携带有效证明材料前往，以证实其身份。如比选申请人负责人或授权代理人未能在前附表第13、14项所述的时间、地点递交材料并证明其身份，将视同其放弃本次评比机会。</w:t>
      </w:r>
    </w:p>
    <w:p w14:paraId="16A59178">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19.2评比会议程序：</w:t>
      </w:r>
    </w:p>
    <w:p w14:paraId="59280312">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19.2.1由主持人宣布评比会议开始，评比委员会确认文件是否密封。</w:t>
      </w:r>
    </w:p>
    <w:p w14:paraId="00CD2EAF">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19.2.2评比委员会审查比选申请文件的资格审查部分，并进行评审。</w:t>
      </w:r>
    </w:p>
    <w:p w14:paraId="0EA77B91">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19.2.3由主持人当众宣布审查结果，并宣读有效的比选申请人名称以及比选人认为需要的其他内容。</w:t>
      </w:r>
    </w:p>
    <w:p w14:paraId="5476142F">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19.2.4评比委员会审查已通过资格审查的比选申请文件的技术部分，并进行综合评审。</w:t>
      </w:r>
    </w:p>
    <w:p w14:paraId="465CE0F8">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19.2.5评比委员会审查已通过资格审查的比选申请文件的商务部分，并进行评审。</w:t>
      </w:r>
    </w:p>
    <w:p w14:paraId="5471F7FF">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19.2.6在评比过程中，评比委员、记录人等有关人员在比选记录表上签字确认，主持人宣读比选结果。</w:t>
      </w:r>
    </w:p>
    <w:p w14:paraId="576EBF08">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19.2.7评比结束</w:t>
      </w:r>
    </w:p>
    <w:p w14:paraId="75818692">
      <w:pPr>
        <w:spacing w:line="480" w:lineRule="exact"/>
        <w:ind w:right="753"/>
        <w:jc w:val="left"/>
        <w:outlineLvl w:val="2"/>
        <w:rPr>
          <w:rFonts w:ascii="仿宋_GB2312" w:hAnsi="仿宋_GB2312" w:eastAsia="仿宋_GB2312" w:cs="仿宋_GB2312"/>
          <w:b/>
          <w:sz w:val="28"/>
          <w:szCs w:val="28"/>
        </w:rPr>
      </w:pPr>
      <w:bookmarkStart w:id="169" w:name="_Toc114052439"/>
      <w:bookmarkStart w:id="170" w:name="_Toc286386859"/>
      <w:bookmarkStart w:id="171" w:name="_Toc114052375"/>
      <w:bookmarkStart w:id="172" w:name="_Toc310318597"/>
      <w:bookmarkStart w:id="173" w:name="_Toc1326"/>
      <w:r>
        <w:rPr>
          <w:rFonts w:hint="eastAsia" w:ascii="仿宋_GB2312" w:hAnsi="仿宋_GB2312" w:eastAsia="仿宋_GB2312" w:cs="仿宋_GB2312"/>
          <w:b/>
          <w:sz w:val="28"/>
          <w:szCs w:val="28"/>
        </w:rPr>
        <w:t>20.评比</w:t>
      </w:r>
      <w:bookmarkEnd w:id="169"/>
      <w:bookmarkEnd w:id="170"/>
      <w:bookmarkEnd w:id="171"/>
      <w:bookmarkEnd w:id="172"/>
      <w:r>
        <w:rPr>
          <w:rFonts w:hint="eastAsia" w:ascii="仿宋_GB2312" w:hAnsi="仿宋_GB2312" w:eastAsia="仿宋_GB2312" w:cs="仿宋_GB2312"/>
          <w:b/>
          <w:sz w:val="28"/>
          <w:szCs w:val="28"/>
        </w:rPr>
        <w:t>工作相关要求</w:t>
      </w:r>
      <w:bookmarkEnd w:id="173"/>
    </w:p>
    <w:p w14:paraId="57CBBF9C">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20.1本次比选的工作由评比委员会负责。</w:t>
      </w:r>
    </w:p>
    <w:p w14:paraId="4CCF980A">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20.2出现下列特殊情况之一，本次比选无效，本公司将重新组织比选：</w:t>
      </w:r>
    </w:p>
    <w:p w14:paraId="6D3889C9">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20.2.1在比选申请文件递交截止时间到达时提交比选申请文件的比选申请人少于3家的；</w:t>
      </w:r>
    </w:p>
    <w:p w14:paraId="511AF5B7">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20.2.2比选申请文件有效的比选申请人仅有2家，且评委认为没有竞争力的；</w:t>
      </w:r>
    </w:p>
    <w:p w14:paraId="1379C34C">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20.2.3有效比选申请文件只有1家或0家的；</w:t>
      </w:r>
    </w:p>
    <w:p w14:paraId="23236C91">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20.3评比过程的保密性。评比委员会成员、有关工作人员及其他知情人不得透露对比选申请文件的评比和比较、中选候选人的推荐情况以及与比选有关的其他情况。</w:t>
      </w:r>
    </w:p>
    <w:p w14:paraId="211A4FB9">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20.4比选申请人在评比过程中所进行的力图影响评比公正性的活动，可能导致其中选无效。</w:t>
      </w:r>
    </w:p>
    <w:p w14:paraId="3E7AF9FC">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20.5比选申请文件的澄清或说明</w:t>
      </w:r>
    </w:p>
    <w:p w14:paraId="5A5A1937">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20.5.1评比时评比委员会将以书面形式要求比选申请人就其比选申请文件中含义不明确、同类问题表述不一致或有明显文字错误等的内容予以澄清或说明。</w:t>
      </w:r>
    </w:p>
    <w:p w14:paraId="1A4CD2D9">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20.5.2比选申请人对要求澄清或说明的内容应在评比委员会规定的时间内以书面形式予以澄清，该澄清或说明函应有比选申请人负责人或其委托代理人的签名。</w:t>
      </w:r>
    </w:p>
    <w:p w14:paraId="2726C97D">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20.5.3比选申请人的澄清或说明函作为比选申请文件的组成部分。</w:t>
      </w:r>
    </w:p>
    <w:p w14:paraId="0F1610C4">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20.5.4比选申请人对比选申请文件的澄清或说明不得超出比选申请文件的范围或改变投标的实质内容。</w:t>
      </w:r>
    </w:p>
    <w:p w14:paraId="640FC1AC">
      <w:pPr>
        <w:spacing w:line="480" w:lineRule="exact"/>
        <w:ind w:right="753"/>
        <w:jc w:val="left"/>
        <w:outlineLvl w:val="2"/>
        <w:rPr>
          <w:rFonts w:ascii="仿宋_GB2312" w:hAnsi="仿宋_GB2312" w:eastAsia="仿宋_GB2312" w:cs="仿宋_GB2312"/>
          <w:sz w:val="28"/>
          <w:szCs w:val="28"/>
        </w:rPr>
      </w:pPr>
      <w:bookmarkStart w:id="174" w:name="_Toc310318598"/>
      <w:bookmarkStart w:id="175" w:name="_Toc3124"/>
      <w:r>
        <w:rPr>
          <w:rFonts w:hint="eastAsia" w:ascii="仿宋_GB2312" w:hAnsi="仿宋_GB2312" w:eastAsia="仿宋_GB2312" w:cs="仿宋_GB2312"/>
          <w:b/>
          <w:sz w:val="28"/>
          <w:szCs w:val="28"/>
        </w:rPr>
        <w:t>21.比选申请文件评比</w:t>
      </w:r>
      <w:bookmarkEnd w:id="174"/>
      <w:r>
        <w:rPr>
          <w:rFonts w:hint="eastAsia" w:ascii="仿宋_GB2312" w:hAnsi="仿宋_GB2312" w:eastAsia="仿宋_GB2312" w:cs="仿宋_GB2312"/>
          <w:b/>
          <w:sz w:val="28"/>
          <w:szCs w:val="28"/>
        </w:rPr>
        <w:t>相关要求</w:t>
      </w:r>
      <w:bookmarkEnd w:id="175"/>
    </w:p>
    <w:p w14:paraId="555FF57C">
      <w:pPr>
        <w:spacing w:line="480" w:lineRule="exact"/>
        <w:ind w:right="754"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21.1比选申请人资格审查</w:t>
      </w:r>
    </w:p>
    <w:p w14:paraId="7A908F41">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只有通过资格审查才能进入下一步的评比，资格审查资料有任何一项不合格者其资格审查视为不通过。</w:t>
      </w:r>
    </w:p>
    <w:p w14:paraId="5A2BF7D5">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21.2比选申请人或其比选文件有下列情况之一者，其比选申请文件将视为无效或作废处理：</w:t>
      </w:r>
    </w:p>
    <w:p w14:paraId="633BC468">
      <w:pPr>
        <w:spacing w:line="480" w:lineRule="exact"/>
        <w:ind w:right="753"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（1）比选申请文件未按照规定的要求装订、密封和标记的；</w:t>
      </w:r>
    </w:p>
    <w:p w14:paraId="477D7639">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（2）本须知第11条规定的比选申请文件有关内容未按本须知第15条规定加盖比选申请人公章、未经比选申请人负责人或其委托代理人签字或盖章的；</w:t>
      </w:r>
    </w:p>
    <w:p w14:paraId="538D4455">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（3）不按本须知第11条内容提供资料的；逾期递交比选申请文件的；</w:t>
      </w:r>
    </w:p>
    <w:p w14:paraId="5C1CDF4C">
      <w:pPr>
        <w:spacing w:line="480" w:lineRule="exact"/>
        <w:ind w:right="753"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（4）比选申请文件内容不真实的；</w:t>
      </w:r>
    </w:p>
    <w:p w14:paraId="53675BD3">
      <w:pPr>
        <w:spacing w:line="480" w:lineRule="exact"/>
        <w:ind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（5）比选申请文件实质上没有响应比选文件的要求的；（包括以下内容：比选项目所涉及的价格、技术需求、服务内容、合同条款等）</w:t>
      </w:r>
    </w:p>
    <w:p w14:paraId="75DE1CBA">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（6）比选申请人报价超过上控价的；</w:t>
      </w:r>
    </w:p>
    <w:p w14:paraId="3DB1FABC">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（7）比选申请人不符合前附表第9条所述资格要求。</w:t>
      </w:r>
    </w:p>
    <w:p w14:paraId="297A8E40">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21.2评比细则</w:t>
      </w:r>
    </w:p>
    <w:p w14:paraId="06FDCEE9">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详见第四章。</w:t>
      </w:r>
    </w:p>
    <w:p w14:paraId="49A374FC">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21.3确定中选人</w:t>
      </w:r>
    </w:p>
    <w:p w14:paraId="6043079A">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评比委员会将按照综合得分由低到高进行排序，得分最高的排名第一（当综合得分相同时，按报价由低到高顺序排列；综合得分且报价相同的，按照技术部分得分由高到低顺序排列，如意见不一致时，以记名方式投票并按照多数评审意见确定）。如排名第一的比选候选人放弃中选、因不可抗力不能履行合同或者被查实存在影响比选结果的违法行为等情形，不符合比选条件的，比选发起人可以按照评比委员会提出的中选候选人名单排序依次确定经公示的其他中选候选人为中选人，也可以重新比选。</w:t>
      </w:r>
    </w:p>
    <w:p w14:paraId="644D3DF2">
      <w:pPr>
        <w:spacing w:line="480" w:lineRule="exact"/>
        <w:ind w:right="753"/>
        <w:jc w:val="left"/>
        <w:outlineLvl w:val="2"/>
        <w:rPr>
          <w:rFonts w:ascii="仿宋_GB2312" w:hAnsi="仿宋_GB2312" w:eastAsia="仿宋_GB2312" w:cs="仿宋_GB2312"/>
          <w:b/>
          <w:sz w:val="28"/>
          <w:szCs w:val="28"/>
        </w:rPr>
      </w:pPr>
      <w:bookmarkStart w:id="176" w:name="_Toc114052441"/>
      <w:bookmarkStart w:id="177" w:name="_Toc310318599"/>
      <w:bookmarkStart w:id="178" w:name="_Toc21949"/>
      <w:bookmarkStart w:id="179" w:name="_Toc114052377"/>
      <w:bookmarkStart w:id="180" w:name="_Toc286386861"/>
      <w:r>
        <w:rPr>
          <w:rFonts w:hint="eastAsia" w:ascii="仿宋_GB2312" w:hAnsi="仿宋_GB2312" w:eastAsia="仿宋_GB2312" w:cs="仿宋_GB2312"/>
          <w:b/>
          <w:sz w:val="28"/>
          <w:szCs w:val="28"/>
        </w:rPr>
        <w:t>22.评比结果公示</w:t>
      </w:r>
      <w:bookmarkEnd w:id="176"/>
      <w:bookmarkEnd w:id="177"/>
      <w:bookmarkEnd w:id="178"/>
      <w:bookmarkEnd w:id="179"/>
      <w:bookmarkEnd w:id="180"/>
    </w:p>
    <w:p w14:paraId="3DECDD55">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22.1在评比结束后，比选人将在南宁轨道数智科技有限公司（https://www.nnsmk.com/）的新闻中心中最新公告处的公示评比结果。</w:t>
      </w:r>
    </w:p>
    <w:p w14:paraId="11E7D949">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22.2比选申请人如对评比结果有异议，在评比结果公示三天内，可以书面形式向比选人提出质疑。比选人应当在收到比选申请人的书面质疑后五个工作日内做出答复，但答复的内容不得涉及商业秘密。</w:t>
      </w:r>
    </w:p>
    <w:p w14:paraId="7936730F">
      <w:pPr>
        <w:spacing w:line="480" w:lineRule="exact"/>
        <w:rPr>
          <w:rFonts w:eastAsia="仿宋"/>
          <w:b/>
          <w:bCs/>
          <w:sz w:val="28"/>
          <w:szCs w:val="28"/>
        </w:rPr>
      </w:pPr>
      <w:bookmarkStart w:id="181" w:name="_Toc30023"/>
      <w:bookmarkStart w:id="182" w:name="_Toc16746"/>
      <w:bookmarkStart w:id="183" w:name="_Toc529"/>
      <w:bookmarkStart w:id="184" w:name="_Toc8363"/>
      <w:bookmarkStart w:id="185" w:name="_Toc24212"/>
      <w:bookmarkStart w:id="186" w:name="_Toc19549"/>
      <w:bookmarkStart w:id="187" w:name="_Toc20403"/>
      <w:bookmarkStart w:id="188" w:name="_Toc24316"/>
      <w:bookmarkStart w:id="189" w:name="_Toc6141"/>
      <w:bookmarkStart w:id="190" w:name="_Toc16935"/>
      <w:bookmarkStart w:id="191" w:name="_Toc12010"/>
      <w:bookmarkStart w:id="192" w:name="_Toc17996"/>
      <w:bookmarkStart w:id="193" w:name="_Toc461525303"/>
    </w:p>
    <w:p w14:paraId="12BE88C2">
      <w:pPr>
        <w:spacing w:line="480" w:lineRule="exact"/>
        <w:jc w:val="center"/>
        <w:outlineLvl w:val="1"/>
        <w:rPr>
          <w:rFonts w:eastAsia="仿宋"/>
          <w:b/>
          <w:sz w:val="28"/>
          <w:szCs w:val="28"/>
        </w:rPr>
      </w:pPr>
      <w:bookmarkStart w:id="194" w:name="_Toc7395"/>
      <w:bookmarkStart w:id="195" w:name="_Toc19777"/>
      <w:r>
        <w:rPr>
          <w:rFonts w:hint="eastAsia" w:ascii="楷体" w:hAnsi="楷体" w:eastAsia="楷体" w:cs="楷体"/>
          <w:b/>
          <w:bCs/>
          <w:sz w:val="32"/>
          <w:szCs w:val="32"/>
        </w:rPr>
        <w:t>七、授予合同</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5ABF159">
      <w:pPr>
        <w:spacing w:line="480" w:lineRule="exact"/>
        <w:ind w:right="753"/>
        <w:jc w:val="left"/>
        <w:outlineLvl w:val="2"/>
        <w:rPr>
          <w:rFonts w:ascii="仿宋_GB2312" w:hAnsi="仿宋_GB2312" w:eastAsia="仿宋_GB2312" w:cs="仿宋_GB2312"/>
          <w:b/>
          <w:sz w:val="28"/>
          <w:szCs w:val="28"/>
        </w:rPr>
      </w:pPr>
      <w:bookmarkStart w:id="196" w:name="_Toc23180"/>
      <w:r>
        <w:rPr>
          <w:rFonts w:hint="eastAsia" w:ascii="仿宋_GB2312" w:hAnsi="仿宋_GB2312" w:eastAsia="仿宋_GB2312" w:cs="仿宋_GB2312"/>
          <w:b/>
          <w:sz w:val="28"/>
          <w:szCs w:val="28"/>
        </w:rPr>
        <w:t>23.中选通知书</w:t>
      </w:r>
      <w:bookmarkEnd w:id="196"/>
    </w:p>
    <w:p w14:paraId="2BEAFC33">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23.1比选人将向中选人发出中选通知书。</w:t>
      </w:r>
    </w:p>
    <w:p w14:paraId="3CF155BC">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23.2比选人无义务向落选的比选申请人解释落选原因和退还比选申请文件。</w:t>
      </w:r>
    </w:p>
    <w:p w14:paraId="29FFF9CD">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23.3中选通知书作为合同的组成部分。</w:t>
      </w:r>
    </w:p>
    <w:p w14:paraId="7D7FFDCF">
      <w:pPr>
        <w:spacing w:line="480" w:lineRule="exact"/>
        <w:ind w:right="753"/>
        <w:jc w:val="left"/>
        <w:outlineLvl w:val="2"/>
        <w:rPr>
          <w:rFonts w:ascii="仿宋_GB2312" w:hAnsi="仿宋_GB2312" w:eastAsia="仿宋_GB2312" w:cs="仿宋_GB2312"/>
          <w:b/>
          <w:sz w:val="28"/>
          <w:szCs w:val="28"/>
        </w:rPr>
      </w:pPr>
      <w:bookmarkStart w:id="197" w:name="_Toc18075"/>
      <w:r>
        <w:rPr>
          <w:rFonts w:hint="eastAsia" w:ascii="仿宋_GB2312" w:hAnsi="仿宋_GB2312" w:eastAsia="仿宋_GB2312" w:cs="仿宋_GB2312"/>
          <w:b/>
          <w:sz w:val="28"/>
          <w:szCs w:val="28"/>
        </w:rPr>
        <w:t>24.合同的签署</w:t>
      </w:r>
      <w:bookmarkEnd w:id="197"/>
    </w:p>
    <w:p w14:paraId="22D89A3A">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24.1中选人应按中选通知书中的相关要求，由中选人负责人或授权代表前往比选人处与比选人进行签订合同。</w:t>
      </w:r>
    </w:p>
    <w:p w14:paraId="0D6A8751">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24.2中选人如放弃中选资格，则比选人有权将其列入不良行为记录名单、三年内禁止其参加比选人发起的任何采购活动。</w:t>
      </w:r>
    </w:p>
    <w:p w14:paraId="6B0DA34E">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24.3中选人被废除中选资格后，比选人有权按比选结果排名顺延中选人。</w:t>
      </w:r>
    </w:p>
    <w:p w14:paraId="6BAE3398">
      <w:r>
        <w:br w:type="page"/>
      </w:r>
    </w:p>
    <w:p w14:paraId="709FD321">
      <w:pPr>
        <w:spacing w:line="560" w:lineRule="exact"/>
        <w:jc w:val="center"/>
        <w:outlineLvl w:val="0"/>
        <w:rPr>
          <w:rFonts w:hint="eastAsia" w:ascii="黑体" w:hAnsi="黑体" w:eastAsia="黑体" w:cs="黑体"/>
          <w:b/>
          <w:bCs/>
          <w:sz w:val="32"/>
          <w:szCs w:val="32"/>
        </w:rPr>
      </w:pPr>
      <w:bookmarkStart w:id="198" w:name="_Toc21670"/>
      <w:bookmarkStart w:id="199" w:name="_Toc4769"/>
      <w:bookmarkStart w:id="200" w:name="_Toc31070"/>
      <w:bookmarkStart w:id="201" w:name="_Toc2960"/>
      <w:bookmarkStart w:id="202" w:name="_Toc9095"/>
      <w:bookmarkStart w:id="203" w:name="_Toc14411"/>
      <w:bookmarkStart w:id="204" w:name="_Toc16062"/>
      <w:bookmarkStart w:id="205" w:name="_Toc461525304"/>
      <w:bookmarkStart w:id="206" w:name="_Toc21358"/>
      <w:bookmarkStart w:id="207" w:name="_Toc5964"/>
      <w:bookmarkStart w:id="208" w:name="_Toc1354"/>
      <w:bookmarkStart w:id="209" w:name="_Toc12854"/>
      <w:r>
        <w:rPr>
          <w:rFonts w:hint="eastAsia" w:ascii="黑体" w:hAnsi="黑体" w:eastAsia="黑体" w:cs="黑体"/>
          <w:b/>
          <w:bCs/>
          <w:sz w:val="32"/>
          <w:szCs w:val="32"/>
        </w:rPr>
        <w:t>第二章 合同条款</w:t>
      </w:r>
      <w:bookmarkEnd w:id="198"/>
      <w:bookmarkEnd w:id="199"/>
      <w:bookmarkEnd w:id="200"/>
      <w:bookmarkEnd w:id="201"/>
      <w:bookmarkEnd w:id="202"/>
      <w:bookmarkEnd w:id="203"/>
      <w:bookmarkEnd w:id="204"/>
      <w:bookmarkEnd w:id="205"/>
      <w:bookmarkEnd w:id="206"/>
      <w:bookmarkEnd w:id="207"/>
      <w:bookmarkEnd w:id="208"/>
      <w:bookmarkEnd w:id="209"/>
    </w:p>
    <w:p w14:paraId="1B9B1E6D">
      <w:pPr>
        <w:rPr>
          <w:rFonts w:hint="eastAsia"/>
        </w:rPr>
      </w:pPr>
    </w:p>
    <w:p w14:paraId="65BA32D5">
      <w:pPr>
        <w:bidi w:val="0"/>
        <w:rPr>
          <w:rFonts w:hint="eastAsia"/>
          <w:lang w:val="en-US" w:eastAsia="zh-CN"/>
        </w:rPr>
      </w:pPr>
      <w:r>
        <w:rPr>
          <w:rFonts w:hint="eastAsia"/>
          <w:lang w:val="en-US" w:eastAsia="zh-CN"/>
        </w:rPr>
        <w:t>甲方合同编号：</w:t>
      </w:r>
    </w:p>
    <w:p w14:paraId="2213FCD7">
      <w:pPr>
        <w:bidi w:val="0"/>
        <w:rPr>
          <w:rFonts w:hint="default"/>
          <w:lang w:val="en-US" w:eastAsia="zh-CN"/>
        </w:rPr>
      </w:pPr>
      <w:r>
        <w:rPr>
          <w:rFonts w:hint="eastAsia"/>
          <w:lang w:val="en-US" w:eastAsia="zh-CN"/>
        </w:rPr>
        <w:t>乙方合同编号：</w:t>
      </w:r>
    </w:p>
    <w:p w14:paraId="102AC475">
      <w:pPr>
        <w:spacing w:line="600" w:lineRule="exact"/>
        <w:jc w:val="center"/>
        <w:rPr>
          <w:rFonts w:hint="eastAsia" w:ascii="宋体" w:hAnsi="宋体"/>
          <w:b/>
          <w:bCs/>
          <w:color w:val="000000"/>
          <w:sz w:val="44"/>
          <w:szCs w:val="44"/>
        </w:rPr>
      </w:pPr>
    </w:p>
    <w:p w14:paraId="65F8FAA5">
      <w:pPr>
        <w:pStyle w:val="14"/>
        <w:rPr>
          <w:rFonts w:hint="eastAsia"/>
        </w:rPr>
      </w:pPr>
    </w:p>
    <w:p w14:paraId="29E36EE2">
      <w:pPr>
        <w:spacing w:line="600" w:lineRule="exact"/>
        <w:jc w:val="center"/>
        <w:rPr>
          <w:rFonts w:hint="eastAsia" w:ascii="宋体" w:hAnsi="宋体"/>
          <w:b/>
          <w:bCs/>
          <w:color w:val="000000"/>
          <w:sz w:val="44"/>
          <w:szCs w:val="44"/>
        </w:rPr>
      </w:pPr>
    </w:p>
    <w:p w14:paraId="478AA5D6">
      <w:pPr>
        <w:spacing w:line="600" w:lineRule="exact"/>
        <w:jc w:val="center"/>
        <w:rPr>
          <w:rFonts w:hint="eastAsia" w:ascii="宋体" w:hAnsi="宋体"/>
          <w:b/>
          <w:bCs/>
          <w:color w:val="000000"/>
          <w:sz w:val="44"/>
          <w:szCs w:val="44"/>
        </w:rPr>
      </w:pPr>
      <w:r>
        <w:rPr>
          <w:rFonts w:hint="eastAsia" w:ascii="宋体" w:hAnsi="宋体"/>
          <w:b/>
          <w:bCs/>
          <w:color w:val="FF0000"/>
          <w:sz w:val="44"/>
          <w:szCs w:val="44"/>
        </w:rPr>
        <w:t>智慧管控配置管理</w:t>
      </w:r>
      <w:r>
        <w:rPr>
          <w:rFonts w:hint="eastAsia" w:ascii="宋体" w:hAnsi="宋体"/>
          <w:b/>
          <w:bCs/>
          <w:color w:val="FF0000"/>
          <w:sz w:val="44"/>
          <w:szCs w:val="44"/>
          <w:lang w:eastAsia="zh-CN"/>
        </w:rPr>
        <w:t>程序开发服务</w:t>
      </w:r>
      <w:r>
        <w:rPr>
          <w:rFonts w:hint="eastAsia" w:ascii="宋体" w:hAnsi="宋体"/>
          <w:b/>
          <w:bCs/>
          <w:color w:val="000000"/>
          <w:sz w:val="44"/>
          <w:szCs w:val="44"/>
        </w:rPr>
        <w:t>合同</w:t>
      </w:r>
    </w:p>
    <w:p w14:paraId="713C21AB">
      <w:pPr>
        <w:spacing w:line="600" w:lineRule="exact"/>
        <w:jc w:val="center"/>
        <w:rPr>
          <w:rFonts w:hint="eastAsia" w:ascii="宋体" w:hAnsi="宋体"/>
          <w:b/>
          <w:bCs/>
          <w:color w:val="000000"/>
          <w:sz w:val="44"/>
          <w:szCs w:val="44"/>
        </w:rPr>
      </w:pPr>
    </w:p>
    <w:p w14:paraId="584987DD">
      <w:pPr>
        <w:spacing w:line="600" w:lineRule="exact"/>
        <w:jc w:val="center"/>
        <w:rPr>
          <w:rFonts w:hint="eastAsia" w:ascii="宋体" w:hAnsi="宋体"/>
          <w:b/>
          <w:bCs/>
          <w:color w:val="000000"/>
          <w:sz w:val="44"/>
          <w:szCs w:val="44"/>
        </w:rPr>
      </w:pPr>
    </w:p>
    <w:p w14:paraId="067B7A81">
      <w:pPr>
        <w:pStyle w:val="15"/>
        <w:ind w:left="0" w:leftChars="0" w:firstLine="0" w:firstLineChars="0"/>
        <w:rPr>
          <w:color w:val="000000"/>
        </w:rPr>
      </w:pPr>
    </w:p>
    <w:p w14:paraId="5E652549">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甲方：南宁</w:t>
      </w:r>
      <w:r>
        <w:rPr>
          <w:rFonts w:hint="eastAsia" w:ascii="仿宋_GB2312" w:hAnsi="仿宋_GB2312" w:eastAsia="仿宋_GB2312" w:cs="仿宋_GB2312"/>
          <w:color w:val="000000"/>
          <w:sz w:val="28"/>
          <w:szCs w:val="28"/>
          <w:lang w:val="en-US" w:eastAsia="zh-CN"/>
        </w:rPr>
        <w:t>轨道数智科技有限</w:t>
      </w:r>
      <w:r>
        <w:rPr>
          <w:rFonts w:hint="eastAsia" w:ascii="仿宋_GB2312" w:hAnsi="仿宋_GB2312" w:eastAsia="仿宋_GB2312" w:cs="仿宋_GB2312"/>
          <w:color w:val="000000"/>
          <w:sz w:val="28"/>
          <w:szCs w:val="28"/>
        </w:rPr>
        <w:t>公司</w:t>
      </w:r>
    </w:p>
    <w:p w14:paraId="1DF322F1">
      <w:pPr>
        <w:spacing w:line="520" w:lineRule="exac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法定代表人：</w:t>
      </w:r>
      <w:r>
        <w:rPr>
          <w:rFonts w:hint="eastAsia" w:ascii="仿宋_GB2312" w:hAnsi="仿宋_GB2312" w:eastAsia="仿宋_GB2312" w:cs="仿宋_GB2312"/>
          <w:color w:val="000000"/>
          <w:sz w:val="28"/>
          <w:szCs w:val="28"/>
          <w:lang w:val="en-US" w:eastAsia="zh-CN"/>
        </w:rPr>
        <w:t>韩嘉</w:t>
      </w:r>
    </w:p>
    <w:p w14:paraId="4CAA5197">
      <w:pPr>
        <w:spacing w:line="520" w:lineRule="exac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联系地址：</w:t>
      </w:r>
      <w:r>
        <w:rPr>
          <w:rFonts w:hint="eastAsia" w:ascii="仿宋_GB2312" w:hAnsi="仿宋_GB2312" w:eastAsia="仿宋_GB2312" w:cs="仿宋_GB2312"/>
          <w:color w:val="000000"/>
          <w:sz w:val="28"/>
          <w:szCs w:val="28"/>
          <w:lang w:val="en-US" w:eastAsia="zh-CN"/>
        </w:rPr>
        <w:t>南宁市青秀区凤岭北路111号南宁国际旅游中心3号楼19层</w:t>
      </w:r>
    </w:p>
    <w:p w14:paraId="72B73E02">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联系电话：0771-2277888</w:t>
      </w:r>
    </w:p>
    <w:p w14:paraId="36676B60">
      <w:pPr>
        <w:spacing w:line="520" w:lineRule="exact"/>
        <w:ind w:left="-210" w:leftChars="-100" w:firstLine="243" w:firstLineChars="87"/>
        <w:rPr>
          <w:rFonts w:hint="eastAsia" w:ascii="仿宋_GB2312" w:hAnsi="仿宋_GB2312" w:eastAsia="仿宋_GB2312" w:cs="仿宋_GB2312"/>
          <w:color w:val="000000"/>
          <w:sz w:val="28"/>
          <w:szCs w:val="28"/>
        </w:rPr>
      </w:pPr>
    </w:p>
    <w:p w14:paraId="78A364DC">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乙方： </w:t>
      </w:r>
    </w:p>
    <w:p w14:paraId="7F25D882">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法定代表人： </w:t>
      </w:r>
    </w:p>
    <w:p w14:paraId="576FC950">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联系地址： </w:t>
      </w:r>
    </w:p>
    <w:p w14:paraId="628F11E8">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联系电话： </w:t>
      </w:r>
    </w:p>
    <w:p w14:paraId="0F25B7CD">
      <w:pPr>
        <w:spacing w:line="520" w:lineRule="exact"/>
        <w:rPr>
          <w:rFonts w:hint="eastAsia" w:ascii="仿宋_GB2312" w:hAnsi="仿宋_GB2312" w:eastAsia="仿宋_GB2312" w:cs="仿宋_GB2312"/>
          <w:color w:val="000000"/>
          <w:sz w:val="28"/>
          <w:szCs w:val="28"/>
        </w:rPr>
      </w:pPr>
    </w:p>
    <w:p w14:paraId="58C82149">
      <w:pPr>
        <w:pStyle w:val="14"/>
        <w:rPr>
          <w:rFonts w:hint="eastAsia"/>
        </w:rPr>
      </w:pPr>
    </w:p>
    <w:p w14:paraId="19C6AD28">
      <w:pPr>
        <w:spacing w:line="520" w:lineRule="exact"/>
        <w:jc w:val="center"/>
        <w:rPr>
          <w:rFonts w:hint="eastAsia" w:ascii="仿宋_GB2312" w:hAnsi="仿宋_GB2312" w:eastAsia="仿宋_GB2312" w:cs="仿宋_GB2312"/>
          <w:b/>
          <w:sz w:val="28"/>
          <w:szCs w:val="28"/>
          <w:u w:val="single"/>
          <w:lang w:val="en-US" w:eastAsia="zh-CN"/>
        </w:rPr>
      </w:pPr>
      <w:r>
        <w:rPr>
          <w:rFonts w:hint="eastAsia" w:ascii="仿宋_GB2312" w:hAnsi="仿宋_GB2312" w:eastAsia="仿宋_GB2312" w:cs="仿宋_GB2312"/>
          <w:b/>
          <w:sz w:val="28"/>
          <w:szCs w:val="28"/>
        </w:rPr>
        <w:t>签订时间：</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u w:val="single"/>
          <w:lang w:val="en-US" w:eastAsia="zh-CN"/>
        </w:rPr>
        <w:t xml:space="preserve">2024 年 11月   日 </w:t>
      </w:r>
    </w:p>
    <w:p w14:paraId="5419D5FD">
      <w:pPr>
        <w:rPr>
          <w:rFonts w:hint="eastAsia" w:ascii="仿宋_GB2312" w:hAnsi="仿宋_GB2312" w:eastAsia="仿宋_GB2312" w:cs="仿宋_GB2312"/>
          <w:b/>
          <w:sz w:val="28"/>
          <w:szCs w:val="28"/>
          <w:u w:val="single"/>
          <w:lang w:val="en-US" w:eastAsia="zh-CN"/>
        </w:rPr>
      </w:pPr>
      <w:r>
        <w:rPr>
          <w:rFonts w:hint="eastAsia" w:ascii="仿宋_GB2312" w:hAnsi="仿宋_GB2312" w:eastAsia="仿宋_GB2312" w:cs="仿宋_GB2312"/>
          <w:b/>
          <w:sz w:val="28"/>
          <w:szCs w:val="28"/>
          <w:u w:val="single"/>
          <w:lang w:val="en-US" w:eastAsia="zh-CN"/>
        </w:rPr>
        <w:br w:type="page"/>
      </w:r>
    </w:p>
    <w:p w14:paraId="0C382A31">
      <w:pPr>
        <w:spacing w:line="560" w:lineRule="exact"/>
        <w:ind w:left="1973" w:hanging="1973" w:hangingChars="702"/>
        <w:rPr>
          <w:rFonts w:ascii="仿宋" w:hAnsi="仿宋" w:eastAsia="仿宋"/>
          <w:b/>
          <w:sz w:val="28"/>
          <w:szCs w:val="28"/>
        </w:rPr>
      </w:pPr>
      <w:r>
        <w:rPr>
          <w:rFonts w:hint="eastAsia" w:ascii="仿宋" w:hAnsi="仿宋" w:eastAsia="仿宋"/>
          <w:b/>
          <w:sz w:val="28"/>
          <w:szCs w:val="28"/>
        </w:rPr>
        <w:t>鉴于：</w:t>
      </w:r>
    </w:p>
    <w:p w14:paraId="5396535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1、甲方因业务发展委托乙方提供</w:t>
      </w:r>
      <w:r>
        <w:rPr>
          <w:rFonts w:hint="eastAsia" w:ascii="仿宋" w:hAnsi="仿宋" w:eastAsia="仿宋"/>
          <w:sz w:val="28"/>
          <w:szCs w:val="28"/>
          <w:u w:val="single"/>
          <w:lang w:val="en-US" w:eastAsia="zh-CN"/>
        </w:rPr>
        <w:t xml:space="preserve"> </w:t>
      </w:r>
      <w:r>
        <w:rPr>
          <w:rFonts w:hint="eastAsia" w:ascii="仿宋" w:hAnsi="仿宋" w:eastAsia="仿宋"/>
          <w:b/>
          <w:bCs/>
          <w:color w:val="FF0000"/>
          <w:sz w:val="28"/>
          <w:szCs w:val="28"/>
          <w:u w:val="single"/>
          <w:lang w:val="en-US" w:eastAsia="zh-CN"/>
        </w:rPr>
        <w:t>智慧管控配置管理功能开发服务</w:t>
      </w:r>
      <w:r>
        <w:rPr>
          <w:rFonts w:hint="eastAsia" w:ascii="仿宋" w:hAnsi="仿宋" w:eastAsia="仿宋"/>
          <w:sz w:val="28"/>
          <w:szCs w:val="28"/>
          <w:lang w:eastAsia="zh-CN"/>
        </w:rPr>
        <w:t>，具体详见【附件一】</w:t>
      </w:r>
      <w:r>
        <w:rPr>
          <w:rFonts w:hint="eastAsia" w:ascii="仿宋" w:hAnsi="仿宋" w:eastAsia="仿宋"/>
          <w:sz w:val="28"/>
          <w:szCs w:val="28"/>
        </w:rPr>
        <w:t>；</w:t>
      </w:r>
    </w:p>
    <w:p w14:paraId="4A577731">
      <w:pPr>
        <w:pStyle w:val="13"/>
        <w:spacing w:before="0" w:beforeAutospacing="0" w:after="0" w:afterAutospacing="0" w:line="560" w:lineRule="exact"/>
        <w:ind w:firstLine="560" w:firstLineChars="200"/>
        <w:outlineLvl w:val="9"/>
        <w:rPr>
          <w:rFonts w:ascii="仿宋" w:hAnsi="仿宋" w:eastAsia="仿宋"/>
          <w:sz w:val="28"/>
          <w:szCs w:val="28"/>
        </w:rPr>
      </w:pPr>
      <w:r>
        <w:rPr>
          <w:rFonts w:hint="eastAsia" w:ascii="仿宋" w:hAnsi="仿宋" w:eastAsia="仿宋"/>
          <w:sz w:val="28"/>
          <w:szCs w:val="28"/>
        </w:rPr>
        <w:t>2、乙方拥有相应的科研技术能力并愿意承担该项目的开发任务；</w:t>
      </w:r>
    </w:p>
    <w:p w14:paraId="6FC05550">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3、根据《中华人民共和国民法典》及其他法律法规的规定，经双方友好协商一致，特</w:t>
      </w:r>
      <w:r>
        <w:rPr>
          <w:rFonts w:ascii="仿宋" w:hAnsi="仿宋" w:eastAsia="仿宋"/>
          <w:sz w:val="28"/>
          <w:szCs w:val="28"/>
        </w:rPr>
        <w:t>签订本</w:t>
      </w:r>
      <w:r>
        <w:rPr>
          <w:rFonts w:hint="eastAsia" w:ascii="仿宋" w:hAnsi="仿宋" w:eastAsia="仿宋"/>
          <w:sz w:val="28"/>
          <w:szCs w:val="28"/>
          <w:lang w:eastAsia="zh-CN"/>
        </w:rPr>
        <w:t>合同</w:t>
      </w:r>
      <w:r>
        <w:rPr>
          <w:rFonts w:ascii="仿宋" w:hAnsi="仿宋" w:eastAsia="仿宋"/>
          <w:sz w:val="28"/>
          <w:szCs w:val="28"/>
        </w:rPr>
        <w:t>。</w:t>
      </w:r>
    </w:p>
    <w:p w14:paraId="79DBCEAB">
      <w:pPr>
        <w:pStyle w:val="13"/>
        <w:spacing w:before="0" w:beforeAutospacing="0" w:after="0" w:afterAutospacing="0" w:line="560" w:lineRule="exact"/>
        <w:ind w:firstLine="560" w:firstLineChars="200"/>
        <w:outlineLvl w:val="2"/>
        <w:rPr>
          <w:rFonts w:ascii="仿宋" w:hAnsi="仿宋" w:eastAsia="仿宋"/>
          <w:sz w:val="28"/>
          <w:szCs w:val="28"/>
        </w:rPr>
      </w:pPr>
      <w:bookmarkStart w:id="210" w:name="_Toc11410"/>
      <w:r>
        <w:rPr>
          <w:rFonts w:hint="eastAsia" w:ascii="仿宋" w:hAnsi="仿宋" w:eastAsia="仿宋"/>
          <w:sz w:val="28"/>
          <w:szCs w:val="28"/>
        </w:rPr>
        <w:t>一、定义</w:t>
      </w:r>
      <w:bookmarkEnd w:id="210"/>
    </w:p>
    <w:p w14:paraId="3B2D62A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w:t>
      </w:r>
      <w:r>
        <w:rPr>
          <w:rFonts w:ascii="仿宋" w:hAnsi="仿宋" w:eastAsia="仿宋"/>
          <w:sz w:val="28"/>
          <w:szCs w:val="28"/>
        </w:rPr>
        <w:t xml:space="preserve"> “</w:t>
      </w:r>
      <w:r>
        <w:rPr>
          <w:rFonts w:hint="eastAsia" w:ascii="仿宋" w:hAnsi="仿宋" w:eastAsia="仿宋"/>
          <w:sz w:val="28"/>
          <w:szCs w:val="28"/>
        </w:rPr>
        <w:t>本</w:t>
      </w:r>
      <w:r>
        <w:rPr>
          <w:rFonts w:hint="eastAsia" w:ascii="仿宋" w:hAnsi="仿宋" w:eastAsia="仿宋"/>
          <w:sz w:val="28"/>
          <w:szCs w:val="28"/>
          <w:lang w:eastAsia="zh-CN"/>
        </w:rPr>
        <w:t>合同</w:t>
      </w:r>
      <w:r>
        <w:rPr>
          <w:rFonts w:hint="eastAsia" w:ascii="仿宋" w:hAnsi="仿宋" w:eastAsia="仿宋"/>
          <w:sz w:val="28"/>
          <w:szCs w:val="28"/>
        </w:rPr>
        <w:t>”意指</w:t>
      </w:r>
      <w:r>
        <w:rPr>
          <w:rFonts w:hint="eastAsia" w:ascii="仿宋" w:hAnsi="仿宋" w:eastAsia="仿宋"/>
          <w:sz w:val="28"/>
          <w:szCs w:val="28"/>
          <w:lang w:eastAsia="zh-CN"/>
        </w:rPr>
        <w:t>合同</w:t>
      </w:r>
      <w:r>
        <w:rPr>
          <w:rFonts w:hint="eastAsia" w:ascii="仿宋" w:hAnsi="仿宋" w:eastAsia="仿宋"/>
          <w:sz w:val="28"/>
          <w:szCs w:val="28"/>
        </w:rPr>
        <w:t>主体文本及</w:t>
      </w:r>
      <w:r>
        <w:rPr>
          <w:rFonts w:hint="eastAsia" w:ascii="仿宋" w:hAnsi="仿宋" w:eastAsia="仿宋"/>
          <w:sz w:val="28"/>
          <w:szCs w:val="28"/>
          <w:lang w:eastAsia="zh-CN"/>
        </w:rPr>
        <w:t>合同</w:t>
      </w:r>
      <w:r>
        <w:rPr>
          <w:rFonts w:hint="eastAsia" w:ascii="仿宋" w:hAnsi="仿宋" w:eastAsia="仿宋"/>
          <w:sz w:val="28"/>
          <w:szCs w:val="28"/>
        </w:rPr>
        <w:t>附件。</w:t>
      </w:r>
      <w:r>
        <w:rPr>
          <w:rFonts w:hint="eastAsia" w:ascii="仿宋" w:hAnsi="仿宋" w:eastAsia="仿宋"/>
          <w:sz w:val="28"/>
          <w:szCs w:val="28"/>
          <w:lang w:eastAsia="zh-CN"/>
        </w:rPr>
        <w:t>合同</w:t>
      </w:r>
      <w:r>
        <w:rPr>
          <w:rFonts w:hint="eastAsia" w:ascii="仿宋" w:hAnsi="仿宋" w:eastAsia="仿宋"/>
          <w:sz w:val="28"/>
          <w:szCs w:val="28"/>
        </w:rPr>
        <w:t>附件属“</w:t>
      </w:r>
      <w:r>
        <w:rPr>
          <w:rFonts w:hint="eastAsia" w:ascii="仿宋" w:hAnsi="仿宋" w:eastAsia="仿宋"/>
          <w:sz w:val="28"/>
          <w:szCs w:val="28"/>
          <w:lang w:eastAsia="zh-CN"/>
        </w:rPr>
        <w:t>合同</w:t>
      </w:r>
      <w:r>
        <w:rPr>
          <w:rFonts w:hint="eastAsia" w:ascii="仿宋" w:hAnsi="仿宋" w:eastAsia="仿宋"/>
          <w:sz w:val="28"/>
          <w:szCs w:val="28"/>
        </w:rPr>
        <w:t>”不可分割之部分，与</w:t>
      </w:r>
      <w:r>
        <w:rPr>
          <w:rFonts w:hint="eastAsia" w:ascii="仿宋" w:hAnsi="仿宋" w:eastAsia="仿宋"/>
          <w:sz w:val="28"/>
          <w:szCs w:val="28"/>
          <w:lang w:eastAsia="zh-CN"/>
        </w:rPr>
        <w:t>合同</w:t>
      </w:r>
      <w:r>
        <w:rPr>
          <w:rFonts w:hint="eastAsia" w:ascii="仿宋" w:hAnsi="仿宋" w:eastAsia="仿宋"/>
          <w:sz w:val="28"/>
          <w:szCs w:val="28"/>
        </w:rPr>
        <w:t>主体文本条款具有同等法律效力。</w:t>
      </w:r>
    </w:p>
    <w:p w14:paraId="586E578C">
      <w:pPr>
        <w:pStyle w:val="13"/>
        <w:spacing w:before="0" w:beforeAutospacing="0" w:after="0" w:afterAutospacing="0" w:line="560" w:lineRule="exact"/>
        <w:ind w:firstLine="560" w:firstLineChars="200"/>
        <w:rPr>
          <w:rFonts w:ascii="仿宋" w:hAnsi="仿宋" w:eastAsia="仿宋"/>
          <w:sz w:val="28"/>
          <w:szCs w:val="28"/>
          <w:u w:val="single"/>
        </w:rPr>
      </w:pPr>
      <w:r>
        <w:rPr>
          <w:rFonts w:hint="eastAsia" w:ascii="仿宋" w:hAnsi="仿宋" w:eastAsia="仿宋"/>
          <w:sz w:val="28"/>
          <w:szCs w:val="28"/>
        </w:rPr>
        <w:t>1.2 “验收”意指甲方按技术规范、业务需求、验收报告对系统组织进行的验收。</w:t>
      </w:r>
    </w:p>
    <w:p w14:paraId="0A030727">
      <w:pPr>
        <w:pStyle w:val="13"/>
        <w:spacing w:before="0" w:beforeAutospacing="0" w:after="0" w:afterAutospacing="0" w:line="560" w:lineRule="exact"/>
        <w:ind w:firstLine="560" w:firstLineChars="200"/>
        <w:outlineLvl w:val="2"/>
        <w:rPr>
          <w:rFonts w:ascii="仿宋" w:hAnsi="仿宋" w:eastAsia="仿宋"/>
          <w:sz w:val="28"/>
          <w:szCs w:val="28"/>
        </w:rPr>
      </w:pPr>
      <w:bookmarkStart w:id="211" w:name="_Toc29417"/>
      <w:r>
        <w:rPr>
          <w:rFonts w:hint="eastAsia" w:ascii="仿宋" w:hAnsi="仿宋" w:eastAsia="仿宋"/>
          <w:sz w:val="28"/>
          <w:szCs w:val="28"/>
        </w:rPr>
        <w:t>二</w:t>
      </w:r>
      <w:r>
        <w:rPr>
          <w:rFonts w:ascii="仿宋" w:hAnsi="仿宋" w:eastAsia="仿宋"/>
          <w:sz w:val="28"/>
          <w:szCs w:val="28"/>
        </w:rPr>
        <w:t>、</w:t>
      </w:r>
      <w:r>
        <w:rPr>
          <w:rFonts w:hint="eastAsia" w:ascii="仿宋" w:hAnsi="仿宋" w:eastAsia="仿宋"/>
          <w:sz w:val="28"/>
          <w:szCs w:val="28"/>
        </w:rPr>
        <w:t>标的技术的</w:t>
      </w:r>
      <w:r>
        <w:rPr>
          <w:rFonts w:ascii="仿宋" w:hAnsi="仿宋" w:eastAsia="仿宋"/>
          <w:sz w:val="28"/>
          <w:szCs w:val="28"/>
        </w:rPr>
        <w:t>内容、</w:t>
      </w:r>
      <w:r>
        <w:rPr>
          <w:rFonts w:hint="eastAsia" w:ascii="仿宋" w:hAnsi="仿宋" w:eastAsia="仿宋"/>
          <w:sz w:val="28"/>
          <w:szCs w:val="28"/>
        </w:rPr>
        <w:t>形式</w:t>
      </w:r>
      <w:r>
        <w:rPr>
          <w:rFonts w:ascii="仿宋" w:hAnsi="仿宋" w:eastAsia="仿宋"/>
          <w:sz w:val="28"/>
          <w:szCs w:val="28"/>
        </w:rPr>
        <w:t>和要求</w:t>
      </w:r>
      <w:bookmarkEnd w:id="211"/>
    </w:p>
    <w:p w14:paraId="743DCE53">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2.1乙方接受甲方委托开发的项目具体内容以双方盖章确认的技术文件为准。</w:t>
      </w:r>
    </w:p>
    <w:p w14:paraId="6FA5E701">
      <w:pPr>
        <w:pStyle w:val="13"/>
        <w:tabs>
          <w:tab w:val="right" w:pos="8306"/>
        </w:tabs>
        <w:spacing w:before="0" w:beforeAutospacing="0" w:after="0" w:afterAutospacing="0" w:line="560" w:lineRule="exact"/>
        <w:ind w:firstLine="560" w:firstLineChars="200"/>
        <w:outlineLvl w:val="2"/>
        <w:rPr>
          <w:rFonts w:ascii="仿宋" w:hAnsi="仿宋" w:eastAsia="仿宋"/>
          <w:sz w:val="28"/>
          <w:szCs w:val="28"/>
        </w:rPr>
      </w:pPr>
      <w:bookmarkStart w:id="212" w:name="_Toc30924"/>
      <w:r>
        <w:rPr>
          <w:rFonts w:hint="eastAsia" w:ascii="仿宋" w:hAnsi="仿宋" w:eastAsia="仿宋"/>
          <w:sz w:val="28"/>
          <w:szCs w:val="28"/>
        </w:rPr>
        <w:t>三</w:t>
      </w:r>
      <w:r>
        <w:rPr>
          <w:rFonts w:ascii="仿宋" w:hAnsi="仿宋" w:eastAsia="仿宋"/>
          <w:sz w:val="28"/>
          <w:szCs w:val="28"/>
        </w:rPr>
        <w:t>、履行期限</w:t>
      </w:r>
      <w:r>
        <w:rPr>
          <w:rFonts w:hint="eastAsia" w:ascii="仿宋" w:hAnsi="仿宋" w:eastAsia="仿宋"/>
          <w:sz w:val="28"/>
          <w:szCs w:val="28"/>
        </w:rPr>
        <w:t>和</w:t>
      </w:r>
      <w:r>
        <w:rPr>
          <w:rFonts w:ascii="仿宋" w:hAnsi="仿宋" w:eastAsia="仿宋"/>
          <w:sz w:val="28"/>
          <w:szCs w:val="28"/>
        </w:rPr>
        <w:t>地点</w:t>
      </w:r>
      <w:bookmarkEnd w:id="212"/>
      <w:r>
        <w:rPr>
          <w:rFonts w:ascii="仿宋" w:hAnsi="仿宋" w:eastAsia="仿宋"/>
          <w:sz w:val="28"/>
          <w:szCs w:val="28"/>
        </w:rPr>
        <w:tab/>
      </w:r>
    </w:p>
    <w:p w14:paraId="1CE4C51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3.1项目开发工期，自本</w:t>
      </w:r>
      <w:r>
        <w:rPr>
          <w:rFonts w:hint="eastAsia" w:ascii="仿宋" w:hAnsi="仿宋" w:eastAsia="仿宋"/>
          <w:sz w:val="28"/>
          <w:szCs w:val="28"/>
          <w:lang w:eastAsia="zh-CN"/>
        </w:rPr>
        <w:t>合同</w:t>
      </w:r>
      <w:r>
        <w:rPr>
          <w:rFonts w:hint="eastAsia" w:ascii="仿宋" w:hAnsi="仿宋" w:eastAsia="仿宋"/>
          <w:sz w:val="28"/>
          <w:szCs w:val="28"/>
        </w:rPr>
        <w:t xml:space="preserve">签订之日起算，共计【 </w:t>
      </w:r>
      <w:r>
        <w:rPr>
          <w:rFonts w:hint="eastAsia" w:ascii="仿宋" w:hAnsi="仿宋" w:eastAsia="仿宋"/>
          <w:sz w:val="28"/>
          <w:szCs w:val="28"/>
          <w:lang w:val="en-US" w:eastAsia="zh-CN"/>
        </w:rPr>
        <w:t>3</w:t>
      </w:r>
      <w:r>
        <w:rPr>
          <w:rFonts w:hint="eastAsia" w:ascii="仿宋" w:hAnsi="仿宋" w:eastAsia="仿宋"/>
          <w:sz w:val="28"/>
          <w:szCs w:val="28"/>
        </w:rPr>
        <w:t>0 】个</w:t>
      </w:r>
      <w:r>
        <w:rPr>
          <w:rFonts w:hint="eastAsia" w:ascii="仿宋" w:hAnsi="仿宋" w:eastAsia="仿宋"/>
          <w:sz w:val="28"/>
          <w:szCs w:val="28"/>
          <w:lang w:val="en-US" w:eastAsia="zh-CN"/>
        </w:rPr>
        <w:t>自然</w:t>
      </w:r>
      <w:r>
        <w:rPr>
          <w:rFonts w:hint="eastAsia" w:ascii="仿宋" w:hAnsi="仿宋" w:eastAsia="仿宋"/>
          <w:sz w:val="28"/>
          <w:szCs w:val="28"/>
        </w:rPr>
        <w:t>日。以下期限不计入总工期：</w:t>
      </w:r>
    </w:p>
    <w:p w14:paraId="35E752DF">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（1）甲方提出超出双方盖章确认的技术文件所示范围的变更，且乙方同意开展变更工作而延长的期限；</w:t>
      </w:r>
    </w:p>
    <w:p w14:paraId="5A6D3C7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sz w:val="28"/>
          <w:szCs w:val="28"/>
          <w:lang w:eastAsia="zh-Hans"/>
        </w:rPr>
        <w:t>关于项目</w:t>
      </w:r>
      <w:r>
        <w:rPr>
          <w:rFonts w:hint="eastAsia" w:ascii="仿宋" w:hAnsi="仿宋" w:eastAsia="仿宋"/>
          <w:sz w:val="28"/>
          <w:szCs w:val="28"/>
        </w:rPr>
        <w:t>设计双方的交互沟通确认时间及修改时间；</w:t>
      </w:r>
    </w:p>
    <w:p w14:paraId="17B66317">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（3）开发过程中，需要甲方确认事项对应的甲方确认时间；</w:t>
      </w:r>
    </w:p>
    <w:p w14:paraId="480116F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（4）因不可抗力导致的延期。</w:t>
      </w:r>
    </w:p>
    <w:p w14:paraId="54C948E1">
      <w:pPr>
        <w:pStyle w:val="13"/>
        <w:spacing w:before="0" w:beforeAutospacing="0" w:after="0" w:afterAutospacing="0" w:line="56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2因甲方项目需求变更导致的工期变更，双方通过【附件</w:t>
      </w:r>
      <w:r>
        <w:rPr>
          <w:rFonts w:hint="eastAsia" w:ascii="仿宋" w:hAnsi="仿宋" w:eastAsia="仿宋"/>
          <w:sz w:val="28"/>
          <w:szCs w:val="28"/>
          <w:lang w:val="en-US" w:eastAsia="zh-CN"/>
        </w:rPr>
        <w:t>三</w:t>
      </w:r>
      <w:r>
        <w:rPr>
          <w:rFonts w:hint="eastAsia" w:ascii="仿宋" w:hAnsi="仿宋" w:eastAsia="仿宋"/>
          <w:sz w:val="28"/>
          <w:szCs w:val="28"/>
        </w:rPr>
        <w:t>】确定。</w:t>
      </w:r>
    </w:p>
    <w:p w14:paraId="1E1D2094">
      <w:pPr>
        <w:pStyle w:val="13"/>
        <w:spacing w:before="0" w:beforeAutospacing="0" w:after="0" w:afterAutospacing="0" w:line="56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3工期截止日确定规则为，乙方开发完毕且通知甲方进行项目测试验收之日。</w:t>
      </w:r>
    </w:p>
    <w:p w14:paraId="73096F37">
      <w:pPr>
        <w:pStyle w:val="13"/>
        <w:spacing w:before="0" w:beforeAutospacing="0" w:after="0" w:afterAutospacing="0" w:line="56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4项目进行过程中涉及需要甲方确认的事项，甲方应在收到乙方要求确认的通知后24小时内完成确认，且最晚确认时间不得晚于项目结束前一天，逾期视为确认无误。</w:t>
      </w:r>
    </w:p>
    <w:p w14:paraId="3A58886A">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5</w:t>
      </w:r>
      <w:r>
        <w:rPr>
          <w:rFonts w:hint="eastAsia" w:ascii="仿宋" w:hAnsi="仿宋" w:eastAsia="仿宋"/>
          <w:sz w:val="28"/>
          <w:szCs w:val="28"/>
        </w:rPr>
        <w:t>履行地点：</w:t>
      </w:r>
      <w:r>
        <w:rPr>
          <w:rFonts w:hint="eastAsia" w:ascii="仿宋" w:hAnsi="仿宋" w:eastAsia="仿宋"/>
          <w:sz w:val="28"/>
          <w:szCs w:val="28"/>
          <w:lang w:val="en-US" w:eastAsia="zh-CN"/>
        </w:rPr>
        <w:t>南宁</w:t>
      </w:r>
      <w:r>
        <w:rPr>
          <w:rFonts w:hint="eastAsia" w:ascii="仿宋" w:hAnsi="仿宋" w:eastAsia="仿宋"/>
          <w:sz w:val="28"/>
          <w:szCs w:val="28"/>
        </w:rPr>
        <w:t>市。</w:t>
      </w:r>
    </w:p>
    <w:p w14:paraId="02102198">
      <w:pPr>
        <w:pStyle w:val="13"/>
        <w:spacing w:before="0" w:beforeAutospacing="0" w:after="0" w:afterAutospacing="0" w:line="560" w:lineRule="exact"/>
        <w:ind w:firstLine="560" w:firstLineChars="200"/>
        <w:outlineLvl w:val="2"/>
        <w:rPr>
          <w:rFonts w:ascii="仿宋" w:hAnsi="仿宋" w:eastAsia="仿宋"/>
          <w:sz w:val="28"/>
          <w:szCs w:val="28"/>
        </w:rPr>
      </w:pPr>
      <w:bookmarkStart w:id="213" w:name="_Toc21791"/>
      <w:r>
        <w:rPr>
          <w:rFonts w:hint="eastAsia" w:ascii="仿宋" w:hAnsi="仿宋" w:eastAsia="仿宋"/>
          <w:sz w:val="28"/>
          <w:szCs w:val="28"/>
        </w:rPr>
        <w:t>四</w:t>
      </w:r>
      <w:r>
        <w:rPr>
          <w:rFonts w:ascii="仿宋" w:hAnsi="仿宋" w:eastAsia="仿宋"/>
          <w:sz w:val="28"/>
          <w:szCs w:val="28"/>
        </w:rPr>
        <w:t>、报酬及其支付方式</w:t>
      </w:r>
      <w:bookmarkEnd w:id="213"/>
    </w:p>
    <w:p w14:paraId="1B184DA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4.1</w:t>
      </w:r>
      <w:r>
        <w:rPr>
          <w:rFonts w:ascii="仿宋" w:hAnsi="仿宋" w:eastAsia="仿宋"/>
          <w:sz w:val="28"/>
          <w:szCs w:val="28"/>
        </w:rPr>
        <w:t>本项目</w:t>
      </w:r>
      <w:r>
        <w:rPr>
          <w:rFonts w:hint="eastAsia" w:ascii="仿宋" w:hAnsi="仿宋" w:eastAsia="仿宋"/>
          <w:sz w:val="28"/>
          <w:szCs w:val="28"/>
        </w:rPr>
        <w:t>投资总额（包括技术服务经费和报酬，含税）</w:t>
      </w:r>
      <w:r>
        <w:rPr>
          <w:rFonts w:ascii="仿宋" w:hAnsi="仿宋" w:eastAsia="仿宋"/>
          <w:sz w:val="28"/>
          <w:szCs w:val="28"/>
        </w:rPr>
        <w:t>：</w:t>
      </w:r>
    </w:p>
    <w:p w14:paraId="26E07A82">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人民币（小写）：</w:t>
      </w:r>
      <w:r>
        <w:rPr>
          <w:rFonts w:hint="eastAsia" w:ascii="仿宋" w:hAnsi="仿宋" w:eastAsia="仿宋"/>
          <w:sz w:val="28"/>
          <w:szCs w:val="28"/>
          <w:u w:val="single"/>
        </w:rPr>
        <w:t xml:space="preserve"> </w:t>
      </w:r>
      <w:r>
        <w:rPr>
          <w:rFonts w:ascii="Arial" w:hAnsi="Arial" w:eastAsia="仿宋" w:cs="Arial"/>
          <w:sz w:val="28"/>
          <w:szCs w:val="28"/>
          <w:u w:val="single"/>
        </w:rPr>
        <w:t>¥</w:t>
      </w:r>
      <w:r>
        <w:rPr>
          <w:rFonts w:hint="eastAsia" w:ascii="仿宋" w:hAnsi="仿宋" w:eastAsia="仿宋"/>
          <w:sz w:val="28"/>
          <w:szCs w:val="28"/>
          <w:u w:val="single"/>
          <w:lang w:val="en-US" w:eastAsia="zh-CN"/>
        </w:rPr>
        <w:t xml:space="preserve">      </w:t>
      </w:r>
      <w:r>
        <w:rPr>
          <w:rFonts w:ascii="仿宋" w:hAnsi="仿宋" w:eastAsia="仿宋"/>
          <w:sz w:val="28"/>
          <w:szCs w:val="28"/>
        </w:rPr>
        <w:t>元。</w:t>
      </w:r>
      <w:r>
        <w:rPr>
          <w:rFonts w:hint="eastAsia" w:ascii="仿宋" w:hAnsi="仿宋" w:eastAsia="仿宋"/>
          <w:sz w:val="28"/>
          <w:szCs w:val="28"/>
        </w:rPr>
        <w:t>（人民币大写：</w:t>
      </w:r>
      <w:r>
        <w:rPr>
          <w:rFonts w:hint="eastAsia" w:ascii="仿宋" w:hAnsi="仿宋" w:eastAsia="仿宋"/>
          <w:sz w:val="28"/>
          <w:szCs w:val="28"/>
          <w:u w:val="single"/>
          <w:lang w:val="en-US" w:eastAsia="zh-CN"/>
        </w:rPr>
        <w:t xml:space="preserve">     万元整</w:t>
      </w:r>
      <w:r>
        <w:rPr>
          <w:rFonts w:hint="eastAsia" w:ascii="仿宋" w:hAnsi="仿宋" w:eastAsia="仿宋"/>
          <w:sz w:val="28"/>
          <w:szCs w:val="28"/>
        </w:rPr>
        <w:t>，以下简称“</w:t>
      </w:r>
      <w:r>
        <w:rPr>
          <w:rFonts w:hint="eastAsia" w:ascii="仿宋" w:hAnsi="仿宋" w:eastAsia="仿宋"/>
          <w:sz w:val="28"/>
          <w:szCs w:val="28"/>
          <w:lang w:eastAsia="zh-CN"/>
        </w:rPr>
        <w:t>合同</w:t>
      </w:r>
      <w:r>
        <w:rPr>
          <w:rFonts w:hint="eastAsia" w:ascii="仿宋" w:hAnsi="仿宋" w:eastAsia="仿宋"/>
          <w:sz w:val="28"/>
          <w:szCs w:val="28"/>
        </w:rPr>
        <w:t>总价”）</w:t>
      </w:r>
    </w:p>
    <w:p w14:paraId="0BCDB25A">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上述</w:t>
      </w:r>
      <w:r>
        <w:rPr>
          <w:rFonts w:hint="eastAsia" w:ascii="仿宋" w:hAnsi="仿宋" w:eastAsia="仿宋"/>
          <w:sz w:val="28"/>
          <w:szCs w:val="28"/>
          <w:lang w:eastAsia="zh-CN"/>
        </w:rPr>
        <w:t>合同</w:t>
      </w:r>
      <w:r>
        <w:rPr>
          <w:rFonts w:hint="eastAsia" w:ascii="仿宋" w:hAnsi="仿宋" w:eastAsia="仿宋"/>
          <w:sz w:val="28"/>
          <w:szCs w:val="28"/>
        </w:rPr>
        <w:t>总价包括了乙方全面完整地履行完成本</w:t>
      </w:r>
      <w:r>
        <w:rPr>
          <w:rFonts w:hint="eastAsia" w:ascii="仿宋" w:hAnsi="仿宋" w:eastAsia="仿宋"/>
          <w:sz w:val="28"/>
          <w:szCs w:val="28"/>
          <w:lang w:eastAsia="zh-CN"/>
        </w:rPr>
        <w:t>合同</w:t>
      </w:r>
      <w:r>
        <w:rPr>
          <w:rFonts w:hint="eastAsia" w:ascii="仿宋" w:hAnsi="仿宋" w:eastAsia="仿宋"/>
          <w:sz w:val="28"/>
          <w:szCs w:val="28"/>
        </w:rPr>
        <w:t>约定，甲方需支付给乙方的全部款项。乙方为全面完整地履行完成本</w:t>
      </w:r>
      <w:r>
        <w:rPr>
          <w:rFonts w:hint="eastAsia" w:ascii="仿宋" w:hAnsi="仿宋" w:eastAsia="仿宋"/>
          <w:sz w:val="28"/>
          <w:szCs w:val="28"/>
          <w:lang w:eastAsia="zh-CN"/>
        </w:rPr>
        <w:t>合同</w:t>
      </w:r>
      <w:r>
        <w:rPr>
          <w:rFonts w:hint="eastAsia" w:ascii="仿宋" w:hAnsi="仿宋" w:eastAsia="仿宋"/>
          <w:sz w:val="28"/>
          <w:szCs w:val="28"/>
        </w:rPr>
        <w:t>之约定所花费的其他款项全部由乙方承担。</w:t>
      </w:r>
    </w:p>
    <w:p w14:paraId="1602EC4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4.2付款进度：</w:t>
      </w:r>
    </w:p>
    <w:p w14:paraId="72B7A6AC">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4.2.</w:t>
      </w:r>
      <w:r>
        <w:rPr>
          <w:rFonts w:ascii="仿宋" w:hAnsi="仿宋" w:eastAsia="仿宋"/>
          <w:sz w:val="28"/>
          <w:szCs w:val="28"/>
        </w:rPr>
        <w:t>1</w:t>
      </w:r>
      <w:r>
        <w:rPr>
          <w:rFonts w:hint="eastAsia" w:ascii="仿宋" w:hAnsi="仿宋" w:eastAsia="仿宋"/>
          <w:sz w:val="28"/>
          <w:szCs w:val="28"/>
        </w:rPr>
        <w:t>本合同签订后</w:t>
      </w:r>
      <w:r>
        <w:rPr>
          <w:rFonts w:hint="eastAsia" w:ascii="仿宋" w:hAnsi="仿宋" w:eastAsia="仿宋"/>
          <w:sz w:val="28"/>
          <w:szCs w:val="28"/>
          <w:lang w:val="en-US" w:eastAsia="zh-CN"/>
        </w:rPr>
        <w:t>1</w:t>
      </w:r>
      <w:r>
        <w:rPr>
          <w:rFonts w:hint="eastAsia" w:ascii="仿宋" w:hAnsi="仿宋" w:eastAsia="仿宋"/>
          <w:sz w:val="28"/>
          <w:szCs w:val="28"/>
        </w:rPr>
        <w:t>0个工作日内，甲方向乙方支付合同总价款的30%，即￥</w:t>
      </w:r>
      <w:r>
        <w:rPr>
          <w:rFonts w:hint="eastAsia" w:ascii="仿宋" w:hAnsi="仿宋" w:eastAsia="仿宋"/>
          <w:sz w:val="28"/>
          <w:szCs w:val="28"/>
          <w:lang w:val="en-US" w:eastAsia="zh-CN"/>
        </w:rPr>
        <w:t xml:space="preserve">  </w:t>
      </w:r>
      <w:r>
        <w:rPr>
          <w:rFonts w:hint="eastAsia" w:ascii="仿宋" w:hAnsi="仿宋" w:eastAsia="仿宋"/>
          <w:sz w:val="28"/>
          <w:szCs w:val="28"/>
        </w:rPr>
        <w:t>.00（大写：人民币</w:t>
      </w:r>
      <w:r>
        <w:rPr>
          <w:rFonts w:hint="eastAsia" w:ascii="仿宋" w:hAnsi="仿宋" w:eastAsia="仿宋"/>
          <w:sz w:val="28"/>
          <w:szCs w:val="28"/>
          <w:lang w:val="en-US" w:eastAsia="zh-CN"/>
        </w:rPr>
        <w:t xml:space="preserve">   </w:t>
      </w:r>
      <w:r>
        <w:rPr>
          <w:rFonts w:hint="eastAsia" w:ascii="仿宋" w:hAnsi="仿宋" w:eastAsia="仿宋"/>
          <w:sz w:val="28"/>
          <w:szCs w:val="28"/>
        </w:rPr>
        <w:t>元整）</w:t>
      </w:r>
    </w:p>
    <w:p w14:paraId="4FED9FF2">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4.2.2</w:t>
      </w:r>
      <w:r>
        <w:rPr>
          <w:rFonts w:hint="eastAsia" w:ascii="仿宋" w:hAnsi="仿宋" w:eastAsia="仿宋"/>
          <w:sz w:val="28"/>
          <w:szCs w:val="28"/>
        </w:rPr>
        <w:t>本项目系统上线后30个工作日内，甲方向乙方支付合同总价款的30%，即￥</w:t>
      </w:r>
      <w:r>
        <w:rPr>
          <w:rFonts w:hint="eastAsia" w:ascii="仿宋" w:hAnsi="仿宋" w:eastAsia="仿宋"/>
          <w:sz w:val="28"/>
          <w:szCs w:val="28"/>
          <w:lang w:val="en-US" w:eastAsia="zh-CN"/>
        </w:rPr>
        <w:t xml:space="preserve"> </w:t>
      </w:r>
      <w:r>
        <w:rPr>
          <w:rFonts w:hint="eastAsia" w:ascii="仿宋" w:hAnsi="仿宋" w:eastAsia="仿宋"/>
          <w:sz w:val="28"/>
          <w:szCs w:val="28"/>
        </w:rPr>
        <w:t>00.00（大写：人民币</w:t>
      </w:r>
      <w:r>
        <w:rPr>
          <w:rFonts w:hint="eastAsia" w:ascii="仿宋" w:hAnsi="仿宋" w:eastAsia="仿宋"/>
          <w:sz w:val="28"/>
          <w:szCs w:val="28"/>
          <w:lang w:val="en-US" w:eastAsia="zh-CN"/>
        </w:rPr>
        <w:t xml:space="preserve">   </w:t>
      </w:r>
      <w:r>
        <w:rPr>
          <w:rFonts w:hint="eastAsia" w:ascii="仿宋" w:hAnsi="仿宋" w:eastAsia="仿宋"/>
          <w:sz w:val="28"/>
          <w:szCs w:val="28"/>
        </w:rPr>
        <w:t>元整）</w:t>
      </w:r>
    </w:p>
    <w:p w14:paraId="1A8AF89F">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4.2.3</w:t>
      </w:r>
      <w:r>
        <w:rPr>
          <w:rFonts w:hint="eastAsia" w:ascii="仿宋" w:hAnsi="仿宋" w:eastAsia="仿宋"/>
          <w:sz w:val="28"/>
          <w:szCs w:val="28"/>
        </w:rPr>
        <w:t>本项目系统</w:t>
      </w:r>
      <w:r>
        <w:rPr>
          <w:rFonts w:hint="eastAsia" w:ascii="仿宋" w:hAnsi="仿宋" w:eastAsia="仿宋"/>
          <w:sz w:val="28"/>
          <w:szCs w:val="28"/>
          <w:lang w:val="en-US" w:eastAsia="zh-CN"/>
        </w:rPr>
        <w:t>试运行</w:t>
      </w:r>
      <w:r>
        <w:rPr>
          <w:rFonts w:hint="eastAsia" w:ascii="仿宋" w:hAnsi="仿宋" w:eastAsia="仿宋"/>
          <w:sz w:val="28"/>
          <w:szCs w:val="28"/>
        </w:rPr>
        <w:t>后30个工作日内，甲方向乙方支付合同总价款的30%，即￥</w:t>
      </w:r>
      <w:r>
        <w:rPr>
          <w:rFonts w:hint="eastAsia" w:ascii="仿宋" w:hAnsi="仿宋" w:eastAsia="仿宋"/>
          <w:sz w:val="28"/>
          <w:szCs w:val="28"/>
          <w:lang w:val="en-US" w:eastAsia="zh-CN"/>
        </w:rPr>
        <w:t xml:space="preserve"> </w:t>
      </w:r>
      <w:r>
        <w:rPr>
          <w:rFonts w:hint="eastAsia" w:ascii="仿宋" w:hAnsi="仿宋" w:eastAsia="仿宋"/>
          <w:sz w:val="28"/>
          <w:szCs w:val="28"/>
        </w:rPr>
        <w:t>00.00（大写：人民币</w:t>
      </w:r>
      <w:r>
        <w:rPr>
          <w:rFonts w:hint="eastAsia" w:ascii="仿宋" w:hAnsi="仿宋" w:eastAsia="仿宋"/>
          <w:sz w:val="28"/>
          <w:szCs w:val="28"/>
          <w:lang w:val="en-US" w:eastAsia="zh-CN"/>
        </w:rPr>
        <w:t xml:space="preserve">   </w:t>
      </w:r>
      <w:r>
        <w:rPr>
          <w:rFonts w:hint="eastAsia" w:ascii="仿宋" w:hAnsi="仿宋" w:eastAsia="仿宋"/>
          <w:sz w:val="28"/>
          <w:szCs w:val="28"/>
        </w:rPr>
        <w:t>元整）</w:t>
      </w:r>
    </w:p>
    <w:p w14:paraId="1D205E86">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lang w:val="en-US" w:eastAsia="zh-CN"/>
        </w:rPr>
        <w:t>4.2.4</w:t>
      </w:r>
      <w:r>
        <w:rPr>
          <w:rFonts w:hint="eastAsia" w:ascii="仿宋" w:hAnsi="仿宋" w:eastAsia="仿宋"/>
          <w:sz w:val="28"/>
          <w:szCs w:val="28"/>
        </w:rPr>
        <w:t>在完成系统验收后满6个月30个工作日内，甲方向乙方支付合同总价款的10%，即 ￥</w:t>
      </w:r>
      <w:r>
        <w:rPr>
          <w:rFonts w:hint="eastAsia" w:ascii="仿宋" w:hAnsi="仿宋" w:eastAsia="仿宋"/>
          <w:sz w:val="28"/>
          <w:szCs w:val="28"/>
          <w:lang w:val="en-US" w:eastAsia="zh-CN"/>
        </w:rPr>
        <w:t xml:space="preserve"> </w:t>
      </w:r>
      <w:r>
        <w:rPr>
          <w:rFonts w:hint="eastAsia" w:ascii="仿宋" w:hAnsi="仿宋" w:eastAsia="仿宋"/>
          <w:sz w:val="28"/>
          <w:szCs w:val="28"/>
        </w:rPr>
        <w:t>00.00（大写：人民币</w:t>
      </w:r>
      <w:r>
        <w:rPr>
          <w:rFonts w:hint="eastAsia" w:ascii="仿宋" w:hAnsi="仿宋" w:eastAsia="仿宋"/>
          <w:sz w:val="28"/>
          <w:szCs w:val="28"/>
          <w:lang w:val="en-US" w:eastAsia="zh-CN"/>
        </w:rPr>
        <w:t xml:space="preserve">   </w:t>
      </w:r>
      <w:r>
        <w:rPr>
          <w:rFonts w:hint="eastAsia" w:ascii="仿宋" w:hAnsi="仿宋" w:eastAsia="仿宋"/>
          <w:sz w:val="28"/>
          <w:szCs w:val="28"/>
        </w:rPr>
        <w:t>元整）</w:t>
      </w:r>
    </w:p>
    <w:p w14:paraId="2B30DD3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4.2.</w:t>
      </w:r>
      <w:r>
        <w:rPr>
          <w:rFonts w:hint="eastAsia" w:ascii="仿宋" w:hAnsi="仿宋" w:eastAsia="仿宋"/>
          <w:sz w:val="28"/>
          <w:szCs w:val="28"/>
          <w:lang w:val="en-US" w:eastAsia="zh-CN"/>
        </w:rPr>
        <w:t>5</w:t>
      </w:r>
      <w:r>
        <w:rPr>
          <w:rFonts w:hint="eastAsia" w:ascii="仿宋" w:hAnsi="仿宋" w:eastAsia="仿宋"/>
          <w:sz w:val="28"/>
          <w:szCs w:val="28"/>
        </w:rPr>
        <w:t>乙方须在甲方付款前10个工作日内向甲方提供税率为6%的增值税专用发票。</w:t>
      </w:r>
    </w:p>
    <w:p w14:paraId="5503D3BB">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4.2.</w:t>
      </w:r>
      <w:r>
        <w:rPr>
          <w:rFonts w:hint="eastAsia" w:ascii="仿宋" w:hAnsi="仿宋" w:eastAsia="仿宋"/>
          <w:sz w:val="28"/>
          <w:szCs w:val="28"/>
          <w:lang w:val="en-US" w:eastAsia="zh-CN"/>
        </w:rPr>
        <w:t>6</w:t>
      </w:r>
      <w:r>
        <w:rPr>
          <w:rFonts w:hint="eastAsia" w:ascii="仿宋" w:hAnsi="仿宋" w:eastAsia="仿宋"/>
          <w:sz w:val="28"/>
          <w:szCs w:val="28"/>
        </w:rPr>
        <w:t>支付方式为</w:t>
      </w:r>
      <w:r>
        <w:rPr>
          <w:rFonts w:hint="eastAsia" w:ascii="仿宋" w:hAnsi="仿宋" w:eastAsia="仿宋"/>
          <w:sz w:val="28"/>
          <w:szCs w:val="28"/>
          <w:u w:val="single"/>
        </w:rPr>
        <w:t xml:space="preserve"> 银行转账 </w:t>
      </w:r>
      <w:r>
        <w:rPr>
          <w:rFonts w:hint="eastAsia" w:ascii="仿宋" w:hAnsi="仿宋" w:eastAsia="仿宋"/>
          <w:sz w:val="28"/>
          <w:szCs w:val="28"/>
        </w:rPr>
        <w:t>。</w:t>
      </w:r>
    </w:p>
    <w:p w14:paraId="06FF6D1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.2.</w:t>
      </w:r>
      <w:r>
        <w:rPr>
          <w:rFonts w:hint="eastAsia" w:ascii="仿宋" w:hAnsi="仿宋" w:eastAsia="仿宋"/>
          <w:sz w:val="28"/>
          <w:szCs w:val="28"/>
          <w:lang w:val="en-US" w:eastAsia="zh-CN"/>
        </w:rPr>
        <w:t>7</w:t>
      </w:r>
      <w:r>
        <w:rPr>
          <w:rFonts w:hint="eastAsia" w:ascii="仿宋" w:hAnsi="仿宋" w:eastAsia="仿宋"/>
          <w:sz w:val="28"/>
          <w:szCs w:val="28"/>
        </w:rPr>
        <w:t>甲方开票信息：</w:t>
      </w:r>
    </w:p>
    <w:p w14:paraId="25E2DA7B">
      <w:pPr>
        <w:pStyle w:val="13"/>
        <w:spacing w:before="0" w:beforeAutospacing="0" w:after="0" w:afterAutospacing="0" w:line="56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 xml:space="preserve">名   </w:t>
      </w:r>
      <w:r>
        <w:rPr>
          <w:rFonts w:ascii="仿宋" w:hAnsi="仿宋" w:eastAsia="仿宋"/>
          <w:sz w:val="28"/>
          <w:szCs w:val="28"/>
        </w:rPr>
        <w:t xml:space="preserve">    </w:t>
      </w:r>
      <w:r>
        <w:rPr>
          <w:rFonts w:hint="eastAsia" w:ascii="仿宋" w:hAnsi="仿宋" w:eastAsia="仿宋"/>
          <w:sz w:val="28"/>
          <w:szCs w:val="28"/>
        </w:rPr>
        <w:t xml:space="preserve"> 称：</w:t>
      </w:r>
      <w:bookmarkStart w:id="214" w:name="OLE_LINK2"/>
      <w:r>
        <w:rPr>
          <w:rFonts w:hint="eastAsia" w:ascii="仿宋" w:hAnsi="仿宋" w:eastAsia="仿宋"/>
          <w:sz w:val="28"/>
          <w:szCs w:val="28"/>
          <w:lang w:eastAsia="zh-CN"/>
        </w:rPr>
        <w:t>南宁轨道数智科技有限公司</w:t>
      </w:r>
      <w:bookmarkEnd w:id="214"/>
    </w:p>
    <w:p w14:paraId="16EE609F">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纳税人识别号：91450100068868391G</w:t>
      </w:r>
    </w:p>
    <w:p w14:paraId="51E1A1AE">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开户银行：中国工商银行股份有限公司南宁市</w:t>
      </w:r>
      <w:r>
        <w:rPr>
          <w:rFonts w:hint="eastAsia" w:ascii="仿宋" w:hAnsi="仿宋" w:eastAsia="仿宋"/>
          <w:sz w:val="28"/>
          <w:szCs w:val="28"/>
          <w:lang w:val="en-US" w:eastAsia="zh-CN"/>
        </w:rPr>
        <w:t>共和</w:t>
      </w:r>
      <w:r>
        <w:rPr>
          <w:rFonts w:hint="eastAsia" w:ascii="仿宋" w:hAnsi="仿宋" w:eastAsia="仿宋"/>
          <w:sz w:val="28"/>
          <w:szCs w:val="28"/>
        </w:rPr>
        <w:t>支行 </w:t>
      </w:r>
    </w:p>
    <w:p w14:paraId="00441CE6">
      <w:pPr>
        <w:pStyle w:val="13"/>
        <w:spacing w:before="0" w:beforeAutospacing="0" w:after="0" w:afterAutospacing="0" w:line="56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 xml:space="preserve">账号： </w:t>
      </w:r>
      <w:r>
        <w:rPr>
          <w:rFonts w:hint="eastAsia" w:ascii="仿宋" w:hAnsi="仿宋" w:eastAsia="仿宋"/>
          <w:sz w:val="28"/>
          <w:szCs w:val="28"/>
          <w:lang w:val="en-US" w:eastAsia="zh-CN"/>
        </w:rPr>
        <w:t>2102101009300800668</w:t>
      </w:r>
    </w:p>
    <w:p w14:paraId="75FEB69D">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地址：南宁市青秀区凤岭北路111号南宁国际旅游中心3号楼19层1901-1903、1905-1913、1915-1916办公室</w:t>
      </w:r>
    </w:p>
    <w:p w14:paraId="181DF2AB">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电话：0771-2277888</w:t>
      </w:r>
    </w:p>
    <w:p w14:paraId="6FE2DF3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.2.</w:t>
      </w:r>
      <w:r>
        <w:rPr>
          <w:rFonts w:hint="eastAsia" w:ascii="仿宋" w:hAnsi="仿宋" w:eastAsia="仿宋"/>
          <w:sz w:val="28"/>
          <w:szCs w:val="28"/>
          <w:lang w:val="en-US" w:eastAsia="zh-CN"/>
        </w:rPr>
        <w:t>8</w:t>
      </w:r>
      <w:r>
        <w:rPr>
          <w:rFonts w:hint="eastAsia" w:ascii="仿宋" w:hAnsi="仿宋" w:eastAsia="仿宋"/>
          <w:sz w:val="28"/>
          <w:szCs w:val="28"/>
        </w:rPr>
        <w:t>乙方账户信息：</w:t>
      </w:r>
    </w:p>
    <w:p w14:paraId="11102793">
      <w:pPr>
        <w:spacing w:line="560" w:lineRule="exact"/>
        <w:ind w:firstLine="560" w:firstLineChars="200"/>
        <w:rPr>
          <w:rFonts w:hint="eastAsia" w:ascii="仿宋" w:hAnsi="仿宋" w:eastAsia="仿宋"/>
          <w:kern w:val="0"/>
          <w:sz w:val="28"/>
          <w:szCs w:val="28"/>
          <w:lang w:eastAsia="zh-CN"/>
        </w:rPr>
      </w:pPr>
      <w:r>
        <w:rPr>
          <w:rFonts w:hint="eastAsia" w:ascii="仿宋" w:hAnsi="仿宋" w:eastAsia="仿宋"/>
          <w:kern w:val="0"/>
          <w:sz w:val="28"/>
          <w:szCs w:val="28"/>
        </w:rPr>
        <w:t>名        称：</w:t>
      </w:r>
    </w:p>
    <w:p w14:paraId="479BDC6D">
      <w:pPr>
        <w:spacing w:line="560" w:lineRule="exact"/>
        <w:ind w:left="559" w:leftChars="266" w:firstLine="0" w:firstLineChars="0"/>
        <w:rPr>
          <w:rFonts w:hint="eastAsia" w:ascii="仿宋" w:hAnsi="仿宋" w:eastAsia="仿宋"/>
          <w:kern w:val="0"/>
          <w:sz w:val="28"/>
          <w:szCs w:val="28"/>
          <w:lang w:val="en-US" w:eastAsia="zh-CN"/>
        </w:rPr>
      </w:pPr>
      <w:r>
        <w:rPr>
          <w:rFonts w:hint="eastAsia" w:ascii="仿宋" w:hAnsi="仿宋" w:eastAsia="仿宋"/>
          <w:kern w:val="0"/>
          <w:sz w:val="28"/>
          <w:szCs w:val="28"/>
        </w:rPr>
        <w:t>开户行及账号：</w:t>
      </w:r>
    </w:p>
    <w:p w14:paraId="099873C7">
      <w:pPr>
        <w:pStyle w:val="13"/>
        <w:spacing w:before="0" w:beforeAutospacing="0" w:after="0" w:afterAutospacing="0" w:line="560" w:lineRule="exact"/>
        <w:ind w:firstLine="560" w:firstLineChars="200"/>
        <w:rPr>
          <w:rFonts w:hint="eastAsia" w:ascii="仿宋" w:hAnsi="仿宋" w:eastAsia="仿宋"/>
          <w:sz w:val="28"/>
          <w:szCs w:val="28"/>
        </w:rPr>
      </w:pPr>
    </w:p>
    <w:p w14:paraId="511A501E">
      <w:pPr>
        <w:pStyle w:val="13"/>
        <w:spacing w:before="0" w:beforeAutospacing="0" w:after="0" w:afterAutospacing="0" w:line="560" w:lineRule="exact"/>
        <w:ind w:firstLine="560" w:firstLineChars="200"/>
        <w:outlineLvl w:val="2"/>
        <w:rPr>
          <w:rFonts w:ascii="仿宋" w:hAnsi="仿宋" w:eastAsia="仿宋"/>
          <w:sz w:val="28"/>
          <w:szCs w:val="28"/>
        </w:rPr>
      </w:pPr>
      <w:bookmarkStart w:id="215" w:name="_Toc19490"/>
      <w:r>
        <w:rPr>
          <w:rFonts w:hint="eastAsia" w:ascii="仿宋" w:hAnsi="仿宋" w:eastAsia="仿宋"/>
          <w:sz w:val="28"/>
          <w:szCs w:val="28"/>
        </w:rPr>
        <w:t>五</w:t>
      </w:r>
      <w:r>
        <w:rPr>
          <w:rFonts w:ascii="仿宋" w:hAnsi="仿宋" w:eastAsia="仿宋"/>
          <w:sz w:val="28"/>
          <w:szCs w:val="28"/>
        </w:rPr>
        <w:t>、</w:t>
      </w:r>
      <w:r>
        <w:rPr>
          <w:rFonts w:hint="eastAsia" w:ascii="仿宋" w:hAnsi="仿宋" w:eastAsia="仿宋"/>
          <w:sz w:val="28"/>
          <w:szCs w:val="28"/>
        </w:rPr>
        <w:t>双方职责</w:t>
      </w:r>
      <w:bookmarkEnd w:id="215"/>
    </w:p>
    <w:p w14:paraId="395CA50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5.1甲方职责：</w:t>
      </w:r>
    </w:p>
    <w:p w14:paraId="2C49664D">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5.1.1甲方为乙方在</w:t>
      </w:r>
      <w:r>
        <w:rPr>
          <w:rFonts w:hint="eastAsia" w:ascii="仿宋" w:hAnsi="仿宋" w:eastAsia="仿宋"/>
          <w:sz w:val="28"/>
          <w:szCs w:val="28"/>
          <w:u w:val="single"/>
        </w:rPr>
        <w:t xml:space="preserve">   10天  </w:t>
      </w:r>
      <w:r>
        <w:rPr>
          <w:rFonts w:hint="eastAsia" w:ascii="仿宋" w:hAnsi="仿宋" w:eastAsia="仿宋"/>
          <w:sz w:val="28"/>
          <w:szCs w:val="28"/>
        </w:rPr>
        <w:t>内(时间)提供必要的开发条件，如与开发相关的文件、测试现场和软硬件环境等。</w:t>
      </w:r>
    </w:p>
    <w:p w14:paraId="1F8A2217">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5.1.2甲方应指定专人对本次项目全权负责与甲方履行</w:t>
      </w:r>
      <w:r>
        <w:rPr>
          <w:rFonts w:hint="eastAsia" w:ascii="仿宋" w:hAnsi="仿宋" w:eastAsia="仿宋"/>
          <w:sz w:val="28"/>
          <w:szCs w:val="28"/>
          <w:lang w:eastAsia="zh-CN"/>
        </w:rPr>
        <w:t>合同</w:t>
      </w:r>
      <w:r>
        <w:rPr>
          <w:rFonts w:hint="eastAsia" w:ascii="仿宋" w:hAnsi="仿宋" w:eastAsia="仿宋"/>
          <w:sz w:val="28"/>
          <w:szCs w:val="28"/>
        </w:rPr>
        <w:t>有关的事宜处理。</w:t>
      </w:r>
    </w:p>
    <w:p w14:paraId="7044CDF0">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5.1.3甲方应书面提供与本项目相关系统的详细资料。</w:t>
      </w:r>
    </w:p>
    <w:p w14:paraId="03B42326">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5.1.4甲方按</w:t>
      </w:r>
      <w:r>
        <w:rPr>
          <w:rFonts w:hint="eastAsia" w:ascii="仿宋" w:hAnsi="仿宋" w:eastAsia="仿宋"/>
          <w:sz w:val="28"/>
          <w:szCs w:val="28"/>
          <w:lang w:eastAsia="zh-CN"/>
        </w:rPr>
        <w:t>合同</w:t>
      </w:r>
      <w:r>
        <w:rPr>
          <w:rFonts w:hint="eastAsia" w:ascii="仿宋" w:hAnsi="仿宋" w:eastAsia="仿宋"/>
          <w:sz w:val="28"/>
          <w:szCs w:val="28"/>
        </w:rPr>
        <w:t>要求负责及时组织对本项目的验收工作。</w:t>
      </w:r>
    </w:p>
    <w:p w14:paraId="205E4E4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5.1.5甲方应按本</w:t>
      </w:r>
      <w:r>
        <w:rPr>
          <w:rFonts w:hint="eastAsia" w:ascii="仿宋" w:hAnsi="仿宋" w:eastAsia="仿宋"/>
          <w:sz w:val="28"/>
          <w:szCs w:val="28"/>
          <w:lang w:eastAsia="zh-CN"/>
        </w:rPr>
        <w:t>合同</w:t>
      </w:r>
      <w:r>
        <w:rPr>
          <w:rFonts w:hint="eastAsia" w:ascii="仿宋" w:hAnsi="仿宋" w:eastAsia="仿宋"/>
          <w:sz w:val="28"/>
          <w:szCs w:val="28"/>
        </w:rPr>
        <w:t>约定及时付款。</w:t>
      </w:r>
    </w:p>
    <w:p w14:paraId="16EE207B">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5.1.6甲方应积极配合乙方，按</w:t>
      </w:r>
      <w:r>
        <w:rPr>
          <w:rFonts w:hint="eastAsia" w:ascii="仿宋" w:hAnsi="仿宋" w:eastAsia="仿宋"/>
          <w:sz w:val="28"/>
          <w:szCs w:val="28"/>
          <w:lang w:eastAsia="zh-CN"/>
        </w:rPr>
        <w:t>合同</w:t>
      </w:r>
      <w:r>
        <w:rPr>
          <w:rFonts w:hint="eastAsia" w:ascii="仿宋" w:hAnsi="仿宋" w:eastAsia="仿宋"/>
          <w:sz w:val="28"/>
          <w:szCs w:val="28"/>
        </w:rPr>
        <w:t>要求进行相关培训。</w:t>
      </w:r>
    </w:p>
    <w:p w14:paraId="46F6C8AF">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5.1.7其他约定的甲方职责：</w:t>
      </w:r>
      <w:r>
        <w:rPr>
          <w:rFonts w:hint="eastAsia" w:ascii="仿宋" w:hAnsi="仿宋" w:eastAsia="仿宋"/>
          <w:sz w:val="28"/>
          <w:szCs w:val="28"/>
          <w:u w:val="single"/>
        </w:rPr>
        <w:t xml:space="preserve">  无    </w:t>
      </w:r>
      <w:r>
        <w:rPr>
          <w:rFonts w:hint="eastAsia" w:ascii="仿宋" w:hAnsi="仿宋" w:eastAsia="仿宋"/>
          <w:sz w:val="28"/>
          <w:szCs w:val="28"/>
        </w:rPr>
        <w:t>。</w:t>
      </w:r>
    </w:p>
    <w:p w14:paraId="62860240">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5.2乙方职责：</w:t>
      </w:r>
    </w:p>
    <w:p w14:paraId="7700EB4F">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5.2.1乙方必须严格按照</w:t>
      </w:r>
      <w:r>
        <w:rPr>
          <w:rFonts w:hint="eastAsia" w:ascii="仿宋" w:hAnsi="仿宋" w:eastAsia="仿宋"/>
          <w:sz w:val="28"/>
          <w:szCs w:val="28"/>
          <w:lang w:eastAsia="zh-CN"/>
        </w:rPr>
        <w:t>合同</w:t>
      </w:r>
      <w:r>
        <w:rPr>
          <w:rFonts w:hint="eastAsia" w:ascii="仿宋" w:hAnsi="仿宋" w:eastAsia="仿宋"/>
          <w:sz w:val="28"/>
          <w:szCs w:val="28"/>
        </w:rPr>
        <w:t xml:space="preserve">要求本项目技术指标和参数，按约定制定和实施开发计划。 </w:t>
      </w:r>
    </w:p>
    <w:p w14:paraId="0A1E8164">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5.2.2乙方应按</w:t>
      </w:r>
      <w:r>
        <w:rPr>
          <w:rFonts w:hint="eastAsia" w:ascii="仿宋" w:hAnsi="仿宋" w:eastAsia="仿宋"/>
          <w:sz w:val="28"/>
          <w:szCs w:val="28"/>
          <w:lang w:eastAsia="zh-CN"/>
        </w:rPr>
        <w:t>合同</w:t>
      </w:r>
      <w:r>
        <w:rPr>
          <w:rFonts w:hint="eastAsia" w:ascii="仿宋" w:hAnsi="仿宋" w:eastAsia="仿宋"/>
          <w:sz w:val="28"/>
          <w:szCs w:val="28"/>
        </w:rPr>
        <w:t>要求向甲方提供为开发本项目所必须了解的资料的书面清单。</w:t>
      </w:r>
    </w:p>
    <w:p w14:paraId="0C47A4D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5.2.3乙方负责甲方相关人员对本项目的使用培训。</w:t>
      </w:r>
    </w:p>
    <w:p w14:paraId="2B4EB2B6">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5.2.4乙方负责配合甲方对提交的技术成果进行验收并负责处理出现的问题。</w:t>
      </w:r>
    </w:p>
    <w:p w14:paraId="46EC7729">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5.2.</w:t>
      </w:r>
      <w:r>
        <w:rPr>
          <w:rFonts w:ascii="仿宋" w:hAnsi="仿宋" w:eastAsia="仿宋"/>
          <w:sz w:val="28"/>
          <w:szCs w:val="28"/>
        </w:rPr>
        <w:t>5</w:t>
      </w:r>
      <w:r>
        <w:rPr>
          <w:rFonts w:hint="eastAsia" w:ascii="仿宋" w:hAnsi="仿宋" w:eastAsia="仿宋"/>
          <w:sz w:val="28"/>
          <w:szCs w:val="28"/>
        </w:rPr>
        <w:t>其他约定的乙方职责：</w:t>
      </w:r>
      <w:r>
        <w:rPr>
          <w:rFonts w:hint="eastAsia" w:ascii="仿宋" w:hAnsi="仿宋" w:eastAsia="仿宋"/>
          <w:sz w:val="28"/>
          <w:szCs w:val="28"/>
          <w:u w:val="single"/>
        </w:rPr>
        <w:t xml:space="preserve">  无  </w:t>
      </w:r>
      <w:r>
        <w:rPr>
          <w:rFonts w:hint="eastAsia" w:ascii="仿宋" w:hAnsi="仿宋" w:eastAsia="仿宋"/>
          <w:sz w:val="28"/>
          <w:szCs w:val="28"/>
        </w:rPr>
        <w:t>。</w:t>
      </w:r>
    </w:p>
    <w:p w14:paraId="7411610D">
      <w:pPr>
        <w:pStyle w:val="13"/>
        <w:spacing w:before="0" w:beforeAutospacing="0" w:after="0" w:afterAutospacing="0" w:line="560" w:lineRule="exact"/>
        <w:ind w:firstLine="560" w:firstLineChars="200"/>
        <w:outlineLvl w:val="2"/>
        <w:rPr>
          <w:rFonts w:ascii="仿宋" w:hAnsi="仿宋" w:eastAsia="仿宋"/>
          <w:sz w:val="28"/>
          <w:szCs w:val="28"/>
        </w:rPr>
      </w:pPr>
      <w:bookmarkStart w:id="216" w:name="_Toc347"/>
      <w:r>
        <w:rPr>
          <w:rFonts w:hint="eastAsia" w:ascii="仿宋" w:hAnsi="仿宋" w:eastAsia="仿宋"/>
          <w:sz w:val="28"/>
          <w:szCs w:val="28"/>
        </w:rPr>
        <w:t>六、项目的实施及</w:t>
      </w:r>
      <w:r>
        <w:rPr>
          <w:rFonts w:ascii="仿宋" w:hAnsi="仿宋" w:eastAsia="仿宋"/>
          <w:sz w:val="28"/>
          <w:szCs w:val="28"/>
        </w:rPr>
        <w:t>验收</w:t>
      </w:r>
      <w:bookmarkEnd w:id="216"/>
    </w:p>
    <w:p w14:paraId="2E0B3192">
      <w:pPr>
        <w:pStyle w:val="13"/>
        <w:spacing w:before="0" w:beforeAutospacing="0" w:after="0" w:afterAutospacing="0" w:line="560" w:lineRule="exact"/>
        <w:ind w:left="46" w:leftChars="22" w:firstLine="560" w:firstLineChars="200"/>
        <w:rPr>
          <w:rFonts w:ascii="仿宋" w:hAnsi="仿宋" w:eastAsia="仿宋"/>
          <w:sz w:val="28"/>
          <w:szCs w:val="28"/>
        </w:rPr>
      </w:pPr>
      <w:r>
        <w:rPr>
          <w:rFonts w:hint="eastAsia" w:ascii="仿宋" w:hAnsi="仿宋" w:eastAsia="仿宋"/>
          <w:sz w:val="28"/>
          <w:szCs w:val="28"/>
        </w:rPr>
        <w:t>6.1本</w:t>
      </w:r>
      <w:r>
        <w:rPr>
          <w:rFonts w:hint="eastAsia" w:ascii="仿宋" w:hAnsi="仿宋" w:eastAsia="仿宋"/>
          <w:sz w:val="28"/>
          <w:szCs w:val="28"/>
          <w:lang w:eastAsia="zh-CN"/>
        </w:rPr>
        <w:t>合同</w:t>
      </w:r>
      <w:r>
        <w:rPr>
          <w:rFonts w:hint="eastAsia" w:ascii="仿宋" w:hAnsi="仿宋" w:eastAsia="仿宋"/>
          <w:sz w:val="28"/>
          <w:szCs w:val="28"/>
        </w:rPr>
        <w:t>的执行如因甲方原因影响开发进度，由甲方承担责任，如因乙方原因影响开发进度，由乙方承担责任。</w:t>
      </w:r>
    </w:p>
    <w:p w14:paraId="7A39FF3C">
      <w:pPr>
        <w:pStyle w:val="13"/>
        <w:spacing w:before="0" w:beforeAutospacing="0" w:after="0" w:afterAutospacing="0" w:line="560" w:lineRule="exact"/>
        <w:ind w:left="46" w:leftChars="22" w:firstLine="560" w:firstLineChars="200"/>
        <w:rPr>
          <w:rFonts w:ascii="仿宋" w:hAnsi="仿宋" w:eastAsia="仿宋"/>
          <w:sz w:val="28"/>
          <w:szCs w:val="28"/>
        </w:rPr>
      </w:pPr>
      <w:r>
        <w:rPr>
          <w:rFonts w:hint="eastAsia" w:ascii="仿宋" w:hAnsi="仿宋" w:eastAsia="仿宋"/>
          <w:sz w:val="28"/>
          <w:szCs w:val="28"/>
        </w:rPr>
        <w:t>6.2甲乙双方在</w:t>
      </w:r>
      <w:r>
        <w:rPr>
          <w:rFonts w:hint="eastAsia" w:ascii="仿宋" w:hAnsi="仿宋" w:eastAsia="仿宋"/>
          <w:sz w:val="28"/>
          <w:szCs w:val="28"/>
          <w:lang w:eastAsia="zh-CN"/>
        </w:rPr>
        <w:t>合同</w:t>
      </w:r>
      <w:r>
        <w:rPr>
          <w:rFonts w:hint="eastAsia" w:ascii="仿宋" w:hAnsi="仿宋" w:eastAsia="仿宋"/>
          <w:sz w:val="28"/>
          <w:szCs w:val="28"/>
        </w:rPr>
        <w:t>生效后各指派一名代表全权负责协调有关</w:t>
      </w:r>
      <w:r>
        <w:rPr>
          <w:rFonts w:hint="eastAsia" w:ascii="仿宋" w:hAnsi="仿宋" w:eastAsia="仿宋"/>
          <w:sz w:val="28"/>
          <w:szCs w:val="28"/>
          <w:lang w:eastAsia="zh-CN"/>
        </w:rPr>
        <w:t>合同</w:t>
      </w:r>
      <w:r>
        <w:rPr>
          <w:rFonts w:hint="eastAsia" w:ascii="仿宋" w:hAnsi="仿宋" w:eastAsia="仿宋"/>
          <w:sz w:val="28"/>
          <w:szCs w:val="28"/>
        </w:rPr>
        <w:t>履行的一切事宜。所有对甲乙双方相关</w:t>
      </w:r>
      <w:r>
        <w:rPr>
          <w:rFonts w:hint="eastAsia" w:ascii="仿宋" w:hAnsi="仿宋" w:eastAsia="仿宋"/>
          <w:sz w:val="28"/>
          <w:szCs w:val="28"/>
          <w:lang w:eastAsia="zh-CN"/>
        </w:rPr>
        <w:t>合同</w:t>
      </w:r>
      <w:r>
        <w:rPr>
          <w:rFonts w:hint="eastAsia" w:ascii="仿宋" w:hAnsi="仿宋" w:eastAsia="仿宋"/>
          <w:sz w:val="28"/>
          <w:szCs w:val="28"/>
        </w:rPr>
        <w:t>未尽事宜的处理，都应由双方全权代表通过正式书面形式并签字同意后，方能生效。甲乙双方皆不对未经签字的</w:t>
      </w:r>
      <w:r>
        <w:rPr>
          <w:rFonts w:hint="eastAsia" w:ascii="仿宋" w:hAnsi="仿宋" w:eastAsia="仿宋"/>
          <w:sz w:val="28"/>
          <w:szCs w:val="28"/>
          <w:lang w:eastAsia="zh-CN"/>
        </w:rPr>
        <w:t>事项</w:t>
      </w:r>
      <w:r>
        <w:rPr>
          <w:rFonts w:hint="eastAsia" w:ascii="仿宋" w:hAnsi="仿宋" w:eastAsia="仿宋"/>
          <w:sz w:val="28"/>
          <w:szCs w:val="28"/>
        </w:rPr>
        <w:t>负责。双方在更换全权代表时，须以正式书面形式并经主管负责人签字后通知对方。开发进度的详细安排应通过友好协商后决定。对于甲方提出的问题，乙方应给予明确的书面答复。</w:t>
      </w:r>
    </w:p>
    <w:p w14:paraId="2409A517">
      <w:pPr>
        <w:pStyle w:val="13"/>
        <w:spacing w:before="0" w:beforeAutospacing="0" w:after="0" w:afterAutospacing="0" w:line="560" w:lineRule="exact"/>
        <w:ind w:left="46" w:leftChars="22" w:firstLine="560" w:firstLineChars="200"/>
        <w:rPr>
          <w:rFonts w:ascii="仿宋" w:hAnsi="仿宋" w:eastAsia="仿宋"/>
          <w:sz w:val="28"/>
          <w:szCs w:val="28"/>
        </w:rPr>
      </w:pPr>
      <w:r>
        <w:rPr>
          <w:rFonts w:hint="eastAsia" w:ascii="仿宋" w:hAnsi="仿宋" w:eastAsia="仿宋"/>
          <w:sz w:val="28"/>
          <w:szCs w:val="28"/>
        </w:rPr>
        <w:t>6.3在乙方交付本项目技术成果后一周内，双方按本</w:t>
      </w:r>
      <w:r>
        <w:rPr>
          <w:rFonts w:hint="eastAsia" w:ascii="仿宋" w:hAnsi="仿宋" w:eastAsia="仿宋"/>
          <w:sz w:val="28"/>
          <w:szCs w:val="28"/>
          <w:lang w:eastAsia="zh-CN"/>
        </w:rPr>
        <w:t>合同</w:t>
      </w:r>
      <w:r>
        <w:rPr>
          <w:rFonts w:hint="eastAsia" w:ascii="仿宋" w:hAnsi="仿宋" w:eastAsia="仿宋"/>
          <w:sz w:val="28"/>
          <w:szCs w:val="28"/>
        </w:rPr>
        <w:t>第二条确定的项目开发要求及技术指标共同对项目成果进行验收，各项功能及指标符合要求的，由双方签署验收合格报告</w:t>
      </w:r>
      <w:r>
        <w:rPr>
          <w:rFonts w:hint="eastAsia" w:ascii="仿宋" w:hAnsi="仿宋" w:eastAsia="仿宋"/>
          <w:sz w:val="28"/>
          <w:szCs w:val="28"/>
          <w:lang w:eastAsia="zh-Hans"/>
        </w:rPr>
        <w:t>，如验收不合格的，乙方应按甲方要求进行整改；甲方未在验收期限内提出书面异议亦未签署验收合格报告的，视为甲方验收合格</w:t>
      </w:r>
      <w:r>
        <w:rPr>
          <w:rFonts w:hint="eastAsia" w:ascii="仿宋" w:hAnsi="仿宋" w:eastAsia="仿宋"/>
          <w:sz w:val="28"/>
          <w:szCs w:val="28"/>
        </w:rPr>
        <w:t>。</w:t>
      </w:r>
    </w:p>
    <w:p w14:paraId="74D34220">
      <w:pPr>
        <w:pStyle w:val="13"/>
        <w:spacing w:before="0" w:beforeAutospacing="0" w:after="0" w:afterAutospacing="0" w:line="560" w:lineRule="exact"/>
        <w:ind w:left="46" w:leftChars="22" w:firstLine="560" w:firstLineChars="200"/>
        <w:rPr>
          <w:rFonts w:ascii="仿宋" w:hAnsi="仿宋" w:eastAsia="仿宋"/>
          <w:sz w:val="28"/>
          <w:szCs w:val="28"/>
        </w:rPr>
      </w:pPr>
      <w:r>
        <w:rPr>
          <w:rFonts w:hint="eastAsia" w:ascii="仿宋" w:hAnsi="仿宋" w:eastAsia="仿宋"/>
          <w:sz w:val="28"/>
          <w:szCs w:val="28"/>
        </w:rPr>
        <w:t>6.4</w:t>
      </w:r>
      <w:r>
        <w:rPr>
          <w:rFonts w:hint="eastAsia" w:ascii="仿宋" w:hAnsi="仿宋" w:eastAsia="仿宋"/>
          <w:sz w:val="28"/>
          <w:szCs w:val="28"/>
          <w:lang w:eastAsia="zh-Hans"/>
        </w:rPr>
        <w:t>甲方提出变更需求的时间不得晚于项目启动后【</w:t>
      </w:r>
      <w:r>
        <w:rPr>
          <w:rFonts w:ascii="仿宋" w:hAnsi="仿宋" w:eastAsia="仿宋"/>
          <w:sz w:val="28"/>
          <w:szCs w:val="28"/>
          <w:lang w:eastAsia="zh-Hans"/>
        </w:rPr>
        <w:t>7</w:t>
      </w:r>
      <w:r>
        <w:rPr>
          <w:rFonts w:hint="eastAsia" w:ascii="仿宋" w:hAnsi="仿宋" w:eastAsia="仿宋"/>
          <w:sz w:val="28"/>
          <w:szCs w:val="28"/>
          <w:lang w:eastAsia="zh-Hans"/>
        </w:rPr>
        <w:t>】个工作日，否则乙方有权拒绝。</w:t>
      </w:r>
      <w:r>
        <w:rPr>
          <w:rFonts w:hint="eastAsia" w:ascii="仿宋" w:hAnsi="仿宋" w:eastAsia="仿宋"/>
          <w:sz w:val="28"/>
          <w:szCs w:val="28"/>
        </w:rPr>
        <w:t>当甲方有业务需求的变更时，应由甲方</w:t>
      </w:r>
      <w:r>
        <w:rPr>
          <w:rFonts w:hint="eastAsia" w:ascii="仿宋" w:hAnsi="仿宋" w:eastAsia="仿宋"/>
          <w:sz w:val="28"/>
          <w:szCs w:val="28"/>
          <w:lang w:eastAsia="zh-Hans"/>
        </w:rPr>
        <w:t>填写附件</w:t>
      </w:r>
      <w:r>
        <w:rPr>
          <w:rFonts w:hint="eastAsia" w:ascii="仿宋" w:hAnsi="仿宋" w:eastAsia="仿宋"/>
          <w:sz w:val="28"/>
          <w:szCs w:val="28"/>
          <w:lang w:val="en-US" w:eastAsia="zh-CN"/>
        </w:rPr>
        <w:t>三</w:t>
      </w:r>
      <w:r>
        <w:rPr>
          <w:rFonts w:hint="eastAsia" w:ascii="仿宋" w:hAnsi="仿宋" w:eastAsia="仿宋"/>
          <w:sz w:val="28"/>
          <w:szCs w:val="28"/>
        </w:rPr>
        <w:t>的业务需求变更要求给乙方，乙方应在</w:t>
      </w:r>
      <w:r>
        <w:rPr>
          <w:rFonts w:hint="eastAsia" w:ascii="仿宋" w:hAnsi="仿宋" w:eastAsia="仿宋"/>
          <w:sz w:val="28"/>
          <w:szCs w:val="28"/>
          <w:lang w:eastAsia="zh-Hans"/>
        </w:rPr>
        <w:t>附件</w:t>
      </w:r>
      <w:r>
        <w:rPr>
          <w:rFonts w:hint="eastAsia" w:ascii="仿宋" w:hAnsi="仿宋" w:eastAsia="仿宋"/>
          <w:sz w:val="28"/>
          <w:szCs w:val="28"/>
          <w:lang w:val="en-US" w:eastAsia="zh-CN"/>
        </w:rPr>
        <w:t>三</w:t>
      </w:r>
      <w:r>
        <w:rPr>
          <w:rFonts w:hint="eastAsia" w:ascii="仿宋" w:hAnsi="仿宋" w:eastAsia="仿宋"/>
          <w:sz w:val="28"/>
          <w:szCs w:val="28"/>
          <w:lang w:eastAsia="zh-Hans"/>
        </w:rPr>
        <w:t>中</w:t>
      </w:r>
      <w:r>
        <w:rPr>
          <w:rFonts w:hint="eastAsia" w:ascii="仿宋" w:hAnsi="仿宋" w:eastAsia="仿宋"/>
          <w:sz w:val="28"/>
          <w:szCs w:val="28"/>
        </w:rPr>
        <w:t>约定的时间内完成项目的修改工作，并经双方签字认可。变更应支付给乙方的费用由甲乙双方另行协商确定。</w:t>
      </w:r>
    </w:p>
    <w:p w14:paraId="40965BE9">
      <w:pPr>
        <w:pStyle w:val="13"/>
        <w:spacing w:before="0" w:beforeAutospacing="0" w:after="0" w:afterAutospacing="0" w:line="560" w:lineRule="exact"/>
        <w:ind w:firstLine="560" w:firstLineChars="200"/>
        <w:outlineLvl w:val="2"/>
        <w:rPr>
          <w:rFonts w:ascii="仿宋" w:hAnsi="仿宋" w:eastAsia="仿宋"/>
          <w:sz w:val="28"/>
          <w:szCs w:val="28"/>
        </w:rPr>
      </w:pPr>
      <w:bookmarkStart w:id="217" w:name="_Toc6231"/>
      <w:r>
        <w:rPr>
          <w:rFonts w:hint="eastAsia" w:ascii="仿宋" w:hAnsi="仿宋" w:eastAsia="仿宋"/>
          <w:sz w:val="28"/>
          <w:szCs w:val="28"/>
        </w:rPr>
        <w:t>七、技术培训</w:t>
      </w:r>
      <w:bookmarkEnd w:id="217"/>
    </w:p>
    <w:p w14:paraId="2D4CFE3D">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7.1乙方应向甲方人员提供项目的使用、管理、维护培训。</w:t>
      </w:r>
    </w:p>
    <w:p w14:paraId="6330CF9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7.</w:t>
      </w:r>
      <w:r>
        <w:rPr>
          <w:rFonts w:ascii="仿宋" w:hAnsi="仿宋" w:eastAsia="仿宋"/>
          <w:sz w:val="28"/>
          <w:szCs w:val="28"/>
        </w:rPr>
        <w:t>2</w:t>
      </w:r>
      <w:r>
        <w:rPr>
          <w:rFonts w:hint="eastAsia" w:ascii="仿宋" w:hAnsi="仿宋" w:eastAsia="仿宋"/>
          <w:sz w:val="28"/>
          <w:szCs w:val="28"/>
        </w:rPr>
        <w:t>培训内容包括：</w:t>
      </w:r>
      <w:r>
        <w:rPr>
          <w:rFonts w:hint="eastAsia" w:ascii="仿宋" w:hAnsi="仿宋" w:eastAsia="仿宋"/>
          <w:sz w:val="28"/>
          <w:szCs w:val="28"/>
          <w:u w:val="single"/>
        </w:rPr>
        <w:t xml:space="preserve">  平台使用说明，平台安全注意事项，平台操作说明</w:t>
      </w:r>
      <w:r>
        <w:rPr>
          <w:rFonts w:hint="eastAsia" w:ascii="仿宋" w:hAnsi="仿宋" w:eastAsia="仿宋"/>
          <w:sz w:val="28"/>
          <w:szCs w:val="28"/>
        </w:rPr>
        <w:t>。</w:t>
      </w:r>
    </w:p>
    <w:p w14:paraId="2D2B9777">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7.</w:t>
      </w:r>
      <w:r>
        <w:rPr>
          <w:rFonts w:ascii="仿宋" w:hAnsi="仿宋" w:eastAsia="仿宋"/>
          <w:sz w:val="28"/>
          <w:szCs w:val="28"/>
        </w:rPr>
        <w:t>3</w:t>
      </w:r>
      <w:r>
        <w:rPr>
          <w:rFonts w:hint="eastAsia" w:ascii="仿宋" w:hAnsi="仿宋" w:eastAsia="仿宋"/>
          <w:sz w:val="28"/>
          <w:szCs w:val="28"/>
        </w:rPr>
        <w:t>培训方式采用：</w:t>
      </w:r>
      <w:r>
        <w:rPr>
          <w:rFonts w:hint="eastAsia" w:ascii="仿宋" w:hAnsi="仿宋" w:eastAsia="仿宋"/>
          <w:sz w:val="28"/>
          <w:szCs w:val="28"/>
          <w:u w:val="single"/>
        </w:rPr>
        <w:t xml:space="preserve">  视频会议</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方式，培训地点、设备以及培训人员食宿费用均由甲方</w:t>
      </w:r>
      <w:r>
        <w:rPr>
          <w:rFonts w:hint="eastAsia" w:ascii="仿宋" w:hAnsi="仿宋" w:eastAsia="仿宋"/>
          <w:sz w:val="28"/>
          <w:szCs w:val="28"/>
          <w:lang w:eastAsia="zh-Hans"/>
        </w:rPr>
        <w:t>负责</w:t>
      </w:r>
      <w:r>
        <w:rPr>
          <w:rFonts w:hint="eastAsia" w:ascii="仿宋" w:hAnsi="仿宋" w:eastAsia="仿宋"/>
          <w:sz w:val="28"/>
          <w:szCs w:val="28"/>
        </w:rPr>
        <w:t>，培训资料及其他费用由乙方负责。</w:t>
      </w:r>
    </w:p>
    <w:p w14:paraId="7CB8EB01">
      <w:pPr>
        <w:pStyle w:val="13"/>
        <w:spacing w:before="0" w:beforeAutospacing="0" w:after="0" w:afterAutospacing="0" w:line="560" w:lineRule="exact"/>
        <w:ind w:firstLine="560" w:firstLineChars="200"/>
        <w:outlineLvl w:val="2"/>
        <w:rPr>
          <w:rFonts w:ascii="仿宋" w:hAnsi="仿宋" w:eastAsia="仿宋"/>
          <w:sz w:val="28"/>
          <w:szCs w:val="28"/>
        </w:rPr>
      </w:pPr>
      <w:bookmarkStart w:id="218" w:name="_Toc24346"/>
      <w:r>
        <w:rPr>
          <w:rFonts w:hint="eastAsia" w:ascii="仿宋" w:hAnsi="仿宋" w:eastAsia="仿宋"/>
          <w:sz w:val="28"/>
          <w:szCs w:val="28"/>
        </w:rPr>
        <w:t>八、售后服务</w:t>
      </w:r>
      <w:bookmarkEnd w:id="218"/>
    </w:p>
    <w:p w14:paraId="3B69FEB1">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8.1乙方提供的软件系统免费质量保证期为从系统验收合格之日起</w:t>
      </w:r>
      <w:r>
        <w:rPr>
          <w:rFonts w:hint="eastAsia" w:ascii="仿宋" w:hAnsi="仿宋" w:eastAsia="仿宋"/>
          <w:sz w:val="28"/>
          <w:szCs w:val="28"/>
          <w:u w:val="single"/>
        </w:rPr>
        <w:t xml:space="preserve">  1 </w:t>
      </w:r>
      <w:r>
        <w:rPr>
          <w:rFonts w:hint="eastAsia" w:ascii="仿宋" w:hAnsi="仿宋" w:eastAsia="仿宋"/>
          <w:sz w:val="28"/>
          <w:szCs w:val="28"/>
        </w:rPr>
        <w:t>年。</w:t>
      </w:r>
    </w:p>
    <w:p w14:paraId="4701149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8.2乙方在质量保证期内免费为甲方提供技术支持和服务。质量保证期过后乙方提供相应的技术支持可酌收技术支持费，收费标准由双方协商确定。</w:t>
      </w:r>
    </w:p>
    <w:p w14:paraId="45FFCD3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8.3乙方承诺在质量保证期内提供的服务支持及响应时间：</w:t>
      </w:r>
      <w:r>
        <w:rPr>
          <w:rFonts w:hint="eastAsia" w:ascii="仿宋" w:hAnsi="仿宋" w:eastAsia="仿宋"/>
          <w:sz w:val="28"/>
          <w:szCs w:val="28"/>
          <w:u w:val="single"/>
        </w:rPr>
        <w:t xml:space="preserve"> 12小时内   </w:t>
      </w:r>
      <w:r>
        <w:rPr>
          <w:rFonts w:hint="eastAsia" w:ascii="仿宋" w:hAnsi="仿宋" w:eastAsia="仿宋"/>
          <w:sz w:val="28"/>
          <w:szCs w:val="28"/>
        </w:rPr>
        <w:t>。</w:t>
      </w:r>
    </w:p>
    <w:p w14:paraId="7D600BE0">
      <w:pPr>
        <w:pStyle w:val="13"/>
        <w:spacing w:before="0" w:beforeAutospacing="0" w:after="0" w:afterAutospacing="0" w:line="560" w:lineRule="exact"/>
        <w:ind w:firstLine="560" w:firstLineChars="200"/>
        <w:outlineLvl w:val="2"/>
        <w:rPr>
          <w:rFonts w:ascii="仿宋" w:hAnsi="仿宋" w:eastAsia="仿宋"/>
          <w:sz w:val="28"/>
          <w:szCs w:val="28"/>
        </w:rPr>
      </w:pPr>
      <w:bookmarkStart w:id="219" w:name="_Toc6299"/>
      <w:r>
        <w:rPr>
          <w:rFonts w:hint="eastAsia" w:ascii="仿宋" w:hAnsi="仿宋" w:eastAsia="仿宋"/>
          <w:sz w:val="28"/>
          <w:szCs w:val="28"/>
        </w:rPr>
        <w:t>九、技术情报和资料的保密</w:t>
      </w:r>
      <w:bookmarkEnd w:id="219"/>
    </w:p>
    <w:p w14:paraId="24A753C6">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.1</w:t>
      </w:r>
      <w:r>
        <w:rPr>
          <w:rFonts w:hint="eastAsia" w:ascii="仿宋" w:hAnsi="仿宋" w:eastAsia="仿宋"/>
          <w:sz w:val="28"/>
          <w:szCs w:val="28"/>
          <w:lang w:eastAsia="zh-Hans"/>
        </w:rPr>
        <w:t>甲</w:t>
      </w:r>
      <w:r>
        <w:rPr>
          <w:rFonts w:hint="eastAsia" w:ascii="仿宋" w:hAnsi="仿宋" w:eastAsia="仿宋"/>
          <w:sz w:val="28"/>
          <w:szCs w:val="28"/>
        </w:rPr>
        <w:t>乙</w:t>
      </w:r>
      <w:r>
        <w:rPr>
          <w:rFonts w:hint="eastAsia" w:ascii="仿宋" w:hAnsi="仿宋" w:eastAsia="仿宋"/>
          <w:sz w:val="28"/>
          <w:szCs w:val="28"/>
          <w:lang w:eastAsia="zh-Hans"/>
        </w:rPr>
        <w:t>双</w:t>
      </w:r>
      <w:r>
        <w:rPr>
          <w:rFonts w:hint="eastAsia" w:ascii="仿宋" w:hAnsi="仿宋" w:eastAsia="仿宋"/>
          <w:sz w:val="28"/>
          <w:szCs w:val="28"/>
        </w:rPr>
        <w:t>方在履行本</w:t>
      </w:r>
      <w:r>
        <w:rPr>
          <w:rFonts w:hint="eastAsia" w:ascii="仿宋" w:hAnsi="仿宋" w:eastAsia="仿宋"/>
          <w:sz w:val="28"/>
          <w:szCs w:val="28"/>
          <w:lang w:eastAsia="zh-CN"/>
        </w:rPr>
        <w:t>合同</w:t>
      </w:r>
      <w:r>
        <w:rPr>
          <w:rFonts w:hint="eastAsia" w:ascii="仿宋" w:hAnsi="仿宋" w:eastAsia="仿宋"/>
          <w:sz w:val="28"/>
          <w:szCs w:val="28"/>
        </w:rPr>
        <w:t>过程中触及和知晓的有关</w:t>
      </w:r>
      <w:r>
        <w:rPr>
          <w:rFonts w:hint="eastAsia" w:ascii="仿宋" w:hAnsi="仿宋" w:eastAsia="仿宋"/>
          <w:sz w:val="28"/>
          <w:szCs w:val="28"/>
          <w:lang w:eastAsia="zh-Hans"/>
        </w:rPr>
        <w:t>双</w:t>
      </w:r>
      <w:r>
        <w:rPr>
          <w:rFonts w:hint="eastAsia" w:ascii="仿宋" w:hAnsi="仿宋" w:eastAsia="仿宋"/>
          <w:sz w:val="28"/>
          <w:szCs w:val="28"/>
        </w:rPr>
        <w:t>方的设备、网络情况、业务程序及方式、管理的方法制度和专有技术等，无论此种信息的形式和目的为何，均为</w:t>
      </w:r>
      <w:r>
        <w:rPr>
          <w:rFonts w:hint="eastAsia" w:ascii="仿宋" w:hAnsi="仿宋" w:eastAsia="仿宋"/>
          <w:sz w:val="28"/>
          <w:szCs w:val="28"/>
          <w:lang w:eastAsia="zh-Hans"/>
        </w:rPr>
        <w:t>双</w:t>
      </w:r>
      <w:r>
        <w:rPr>
          <w:rFonts w:hint="eastAsia" w:ascii="仿宋" w:hAnsi="仿宋" w:eastAsia="仿宋"/>
          <w:sz w:val="28"/>
          <w:szCs w:val="28"/>
        </w:rPr>
        <w:t>方的保密信息。</w:t>
      </w:r>
    </w:p>
    <w:p w14:paraId="461CB50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.2</w:t>
      </w:r>
      <w:r>
        <w:rPr>
          <w:rFonts w:hint="eastAsia" w:ascii="仿宋" w:hAnsi="仿宋" w:eastAsia="仿宋"/>
          <w:sz w:val="28"/>
          <w:szCs w:val="28"/>
        </w:rPr>
        <w:t>未经</w:t>
      </w:r>
      <w:r>
        <w:rPr>
          <w:rFonts w:hint="eastAsia" w:ascii="仿宋" w:hAnsi="仿宋" w:eastAsia="仿宋"/>
          <w:sz w:val="28"/>
          <w:szCs w:val="28"/>
          <w:lang w:eastAsia="zh-Hans"/>
        </w:rPr>
        <w:t>对</w:t>
      </w:r>
      <w:r>
        <w:rPr>
          <w:rFonts w:hint="eastAsia" w:ascii="仿宋" w:hAnsi="仿宋" w:eastAsia="仿宋"/>
          <w:sz w:val="28"/>
          <w:szCs w:val="28"/>
        </w:rPr>
        <w:t>方书面同意，</w:t>
      </w:r>
      <w:r>
        <w:rPr>
          <w:rFonts w:hint="eastAsia" w:ascii="仿宋" w:hAnsi="仿宋" w:eastAsia="仿宋"/>
          <w:sz w:val="28"/>
          <w:szCs w:val="28"/>
          <w:lang w:eastAsia="zh-Hans"/>
        </w:rPr>
        <w:t>任何一方</w:t>
      </w:r>
      <w:r>
        <w:rPr>
          <w:rFonts w:hint="eastAsia" w:ascii="仿宋" w:hAnsi="仿宋" w:eastAsia="仿宋"/>
          <w:sz w:val="28"/>
          <w:szCs w:val="28"/>
        </w:rPr>
        <w:t>不得复制、记录或以其他方式泄露上述信息。</w:t>
      </w:r>
      <w:r>
        <w:rPr>
          <w:rFonts w:hint="eastAsia" w:ascii="仿宋" w:hAnsi="仿宋" w:eastAsia="仿宋"/>
          <w:sz w:val="28"/>
          <w:szCs w:val="28"/>
          <w:lang w:eastAsia="zh-Hans"/>
        </w:rPr>
        <w:t>双</w:t>
      </w:r>
      <w:r>
        <w:rPr>
          <w:rFonts w:hint="eastAsia" w:ascii="仿宋" w:hAnsi="仿宋" w:eastAsia="仿宋"/>
          <w:sz w:val="28"/>
          <w:szCs w:val="28"/>
        </w:rPr>
        <w:t>方承诺在</w:t>
      </w:r>
      <w:r>
        <w:rPr>
          <w:rFonts w:hint="eastAsia" w:ascii="仿宋" w:hAnsi="仿宋" w:eastAsia="仿宋"/>
          <w:sz w:val="28"/>
          <w:szCs w:val="28"/>
          <w:lang w:eastAsia="zh-CN"/>
        </w:rPr>
        <w:t>合同</w:t>
      </w:r>
      <w:r>
        <w:rPr>
          <w:rFonts w:hint="eastAsia" w:ascii="仿宋" w:hAnsi="仿宋" w:eastAsia="仿宋"/>
          <w:sz w:val="28"/>
          <w:szCs w:val="28"/>
        </w:rPr>
        <w:t>期内及</w:t>
      </w:r>
      <w:r>
        <w:rPr>
          <w:rFonts w:hint="eastAsia" w:ascii="仿宋" w:hAnsi="仿宋" w:eastAsia="仿宋"/>
          <w:sz w:val="28"/>
          <w:szCs w:val="28"/>
          <w:lang w:eastAsia="zh-CN"/>
        </w:rPr>
        <w:t>合同</w:t>
      </w:r>
      <w:r>
        <w:rPr>
          <w:rFonts w:hint="eastAsia" w:ascii="仿宋" w:hAnsi="仿宋" w:eastAsia="仿宋"/>
          <w:sz w:val="28"/>
          <w:szCs w:val="28"/>
        </w:rPr>
        <w:t>期满后4年内，不向任何个人、组织和公司透露。</w:t>
      </w:r>
    </w:p>
    <w:p w14:paraId="5B2023DE">
      <w:pPr>
        <w:pStyle w:val="13"/>
        <w:numPr>
          <w:ilvl w:val="0"/>
          <w:numId w:val="1"/>
        </w:numPr>
        <w:spacing w:before="0" w:beforeAutospacing="0" w:after="0" w:afterAutospacing="0" w:line="560" w:lineRule="exact"/>
        <w:ind w:firstLine="560" w:firstLineChars="200"/>
        <w:outlineLvl w:val="2"/>
        <w:rPr>
          <w:rFonts w:hint="eastAsia" w:ascii="仿宋" w:hAnsi="仿宋" w:eastAsia="仿宋"/>
          <w:sz w:val="28"/>
          <w:szCs w:val="28"/>
        </w:rPr>
      </w:pPr>
      <w:bookmarkStart w:id="220" w:name="_Toc5871"/>
      <w:r>
        <w:rPr>
          <w:rFonts w:hint="eastAsia" w:ascii="仿宋" w:hAnsi="仿宋" w:eastAsia="仿宋"/>
          <w:sz w:val="28"/>
          <w:szCs w:val="28"/>
        </w:rPr>
        <w:t>知识产权</w:t>
      </w:r>
      <w:bookmarkEnd w:id="220"/>
    </w:p>
    <w:p w14:paraId="110B9EE9">
      <w:pPr>
        <w:pStyle w:val="13"/>
        <w:numPr>
          <w:ilvl w:val="0"/>
          <w:numId w:val="0"/>
        </w:numPr>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10.1</w:t>
      </w:r>
      <w:r>
        <w:rPr>
          <w:rFonts w:hint="eastAsia" w:ascii="仿宋" w:hAnsi="仿宋" w:eastAsia="仿宋"/>
          <w:sz w:val="28"/>
          <w:szCs w:val="28"/>
          <w:lang w:eastAsia="zh-Hans"/>
        </w:rPr>
        <w:t>本</w:t>
      </w:r>
      <w:r>
        <w:rPr>
          <w:rFonts w:hint="eastAsia" w:ascii="仿宋" w:hAnsi="仿宋" w:eastAsia="仿宋"/>
          <w:sz w:val="28"/>
          <w:szCs w:val="28"/>
          <w:lang w:eastAsia="zh-CN"/>
        </w:rPr>
        <w:t>合同</w:t>
      </w:r>
      <w:r>
        <w:rPr>
          <w:rFonts w:hint="eastAsia" w:ascii="仿宋" w:hAnsi="仿宋" w:eastAsia="仿宋"/>
          <w:sz w:val="28"/>
          <w:szCs w:val="28"/>
          <w:lang w:eastAsia="zh-Hans"/>
        </w:rPr>
        <w:t>签署前乙方已有的知识产权归乙方所有。在</w:t>
      </w:r>
      <w:r>
        <w:rPr>
          <w:rFonts w:hint="eastAsia" w:ascii="仿宋" w:hAnsi="仿宋" w:eastAsia="仿宋"/>
          <w:sz w:val="28"/>
          <w:szCs w:val="28"/>
          <w:lang w:eastAsia="zh-CN"/>
        </w:rPr>
        <w:t>合同</w:t>
      </w:r>
      <w:r>
        <w:rPr>
          <w:rFonts w:hint="eastAsia" w:ascii="仿宋" w:hAnsi="仿宋" w:eastAsia="仿宋"/>
          <w:sz w:val="28"/>
          <w:szCs w:val="28"/>
          <w:lang w:eastAsia="zh-Hans"/>
        </w:rPr>
        <w:t>项目进行中新产生技术成果的知识产权</w:t>
      </w:r>
      <w:r>
        <w:rPr>
          <w:rFonts w:hint="eastAsia" w:ascii="仿宋" w:hAnsi="仿宋" w:eastAsia="仿宋"/>
          <w:sz w:val="28"/>
          <w:szCs w:val="28"/>
        </w:rPr>
        <w:t>归</w:t>
      </w:r>
      <w:r>
        <w:rPr>
          <w:rFonts w:hint="eastAsia" w:ascii="仿宋" w:hAnsi="仿宋" w:eastAsia="仿宋"/>
          <w:sz w:val="28"/>
          <w:szCs w:val="28"/>
          <w:lang w:eastAsia="zh-Hans"/>
        </w:rPr>
        <w:t>乙方所有，在本</w:t>
      </w:r>
      <w:r>
        <w:rPr>
          <w:rFonts w:hint="eastAsia" w:ascii="仿宋" w:hAnsi="仿宋" w:eastAsia="仿宋"/>
          <w:sz w:val="28"/>
          <w:szCs w:val="28"/>
          <w:lang w:eastAsia="zh-CN"/>
        </w:rPr>
        <w:t>合同</w:t>
      </w:r>
      <w:r>
        <w:rPr>
          <w:rFonts w:hint="eastAsia" w:ascii="仿宋" w:hAnsi="仿宋" w:eastAsia="仿宋"/>
          <w:sz w:val="28"/>
          <w:szCs w:val="28"/>
          <w:lang w:eastAsia="zh-Hans"/>
        </w:rPr>
        <w:t>费用全部结算完成后归甲方所有。</w:t>
      </w:r>
    </w:p>
    <w:p w14:paraId="1C6E6C84">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10.2在本</w:t>
      </w:r>
      <w:r>
        <w:rPr>
          <w:rFonts w:hint="eastAsia" w:ascii="仿宋" w:hAnsi="仿宋" w:eastAsia="仿宋"/>
          <w:sz w:val="28"/>
          <w:szCs w:val="28"/>
          <w:lang w:eastAsia="zh-CN"/>
        </w:rPr>
        <w:t>合同</w:t>
      </w:r>
      <w:r>
        <w:rPr>
          <w:rFonts w:hint="eastAsia" w:ascii="仿宋" w:hAnsi="仿宋" w:eastAsia="仿宋"/>
          <w:sz w:val="28"/>
          <w:szCs w:val="28"/>
        </w:rPr>
        <w:t>的有效期内，任何一方或者双方对</w:t>
      </w:r>
      <w:r>
        <w:rPr>
          <w:rFonts w:hint="eastAsia" w:ascii="仿宋" w:hAnsi="仿宋" w:eastAsia="仿宋"/>
          <w:sz w:val="28"/>
          <w:szCs w:val="28"/>
          <w:lang w:eastAsia="zh-CN"/>
        </w:rPr>
        <w:t>合同</w:t>
      </w:r>
      <w:r>
        <w:rPr>
          <w:rFonts w:hint="eastAsia" w:ascii="仿宋" w:hAnsi="仿宋" w:eastAsia="仿宋"/>
          <w:sz w:val="28"/>
          <w:szCs w:val="28"/>
        </w:rPr>
        <w:t>标的的技术成果所作的革新和改进，双方约定，本</w:t>
      </w:r>
      <w:r>
        <w:rPr>
          <w:rFonts w:hint="eastAsia" w:ascii="仿宋" w:hAnsi="仿宋" w:eastAsia="仿宋"/>
          <w:sz w:val="28"/>
          <w:szCs w:val="28"/>
          <w:lang w:eastAsia="zh-CN"/>
        </w:rPr>
        <w:t>合同</w:t>
      </w:r>
      <w:r>
        <w:rPr>
          <w:rFonts w:hint="eastAsia" w:ascii="仿宋" w:hAnsi="仿宋" w:eastAsia="仿宋"/>
          <w:sz w:val="28"/>
          <w:szCs w:val="28"/>
        </w:rPr>
        <w:t>标的的技术成果后续改进的成果归改进方享有。</w:t>
      </w:r>
    </w:p>
    <w:p w14:paraId="5F0616C6">
      <w:pPr>
        <w:pStyle w:val="13"/>
        <w:spacing w:before="0" w:beforeAutospacing="0" w:after="0" w:afterAutospacing="0" w:line="560" w:lineRule="exact"/>
        <w:ind w:firstLine="560" w:firstLineChars="200"/>
        <w:outlineLvl w:val="2"/>
        <w:rPr>
          <w:rFonts w:ascii="仿宋" w:hAnsi="仿宋" w:eastAsia="仿宋"/>
          <w:sz w:val="28"/>
          <w:szCs w:val="28"/>
        </w:rPr>
      </w:pPr>
      <w:bookmarkStart w:id="221" w:name="_Toc12725"/>
      <w:r>
        <w:rPr>
          <w:rFonts w:hint="eastAsia" w:ascii="仿宋" w:hAnsi="仿宋" w:eastAsia="仿宋"/>
          <w:sz w:val="28"/>
          <w:szCs w:val="28"/>
        </w:rPr>
        <w:t>十一</w:t>
      </w:r>
      <w:r>
        <w:rPr>
          <w:rFonts w:ascii="仿宋" w:hAnsi="仿宋" w:eastAsia="仿宋"/>
          <w:sz w:val="28"/>
          <w:szCs w:val="28"/>
        </w:rPr>
        <w:t>、违约金或者损失赔偿额的计算方法</w:t>
      </w:r>
      <w:bookmarkEnd w:id="221"/>
    </w:p>
    <w:p w14:paraId="3BCCEB88">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11.1若甲方因故未能按期支付</w:t>
      </w:r>
      <w:r>
        <w:rPr>
          <w:rFonts w:hint="eastAsia" w:ascii="仿宋" w:hAnsi="仿宋" w:eastAsia="仿宋"/>
          <w:sz w:val="28"/>
          <w:szCs w:val="28"/>
          <w:lang w:eastAsia="zh-CN"/>
        </w:rPr>
        <w:t>合同</w:t>
      </w:r>
      <w:r>
        <w:rPr>
          <w:rFonts w:hint="eastAsia" w:ascii="仿宋" w:hAnsi="仿宋" w:eastAsia="仿宋"/>
          <w:sz w:val="28"/>
          <w:szCs w:val="28"/>
        </w:rPr>
        <w:t>款项，每延误一周应向乙方支付相当于</w:t>
      </w:r>
      <w:r>
        <w:rPr>
          <w:rFonts w:hint="eastAsia" w:ascii="仿宋" w:hAnsi="仿宋" w:eastAsia="仿宋"/>
          <w:sz w:val="28"/>
          <w:szCs w:val="28"/>
          <w:lang w:eastAsia="zh-CN"/>
        </w:rPr>
        <w:t>合同</w:t>
      </w:r>
      <w:r>
        <w:rPr>
          <w:rFonts w:hint="eastAsia" w:ascii="仿宋" w:hAnsi="仿宋" w:eastAsia="仿宋"/>
          <w:sz w:val="28"/>
          <w:szCs w:val="28"/>
        </w:rPr>
        <w:t>总额</w:t>
      </w:r>
      <w:r>
        <w:rPr>
          <w:rFonts w:hint="eastAsia" w:ascii="仿宋" w:hAnsi="仿宋" w:eastAsia="仿宋"/>
          <w:sz w:val="28"/>
          <w:szCs w:val="28"/>
          <w:u w:val="single"/>
        </w:rPr>
        <w:t xml:space="preserve">  0.1  </w:t>
      </w:r>
      <w:r>
        <w:rPr>
          <w:rFonts w:hint="eastAsia" w:ascii="仿宋" w:hAnsi="仿宋" w:eastAsia="仿宋"/>
          <w:sz w:val="28"/>
          <w:szCs w:val="28"/>
        </w:rPr>
        <w:t>%的逾期违约金。如逾期超过三</w:t>
      </w:r>
      <w:r>
        <w:rPr>
          <w:rFonts w:ascii="仿宋" w:hAnsi="仿宋" w:eastAsia="仿宋"/>
          <w:sz w:val="28"/>
          <w:szCs w:val="28"/>
        </w:rPr>
        <w:t>十天</w:t>
      </w:r>
      <w:r>
        <w:rPr>
          <w:rFonts w:hint="eastAsia" w:ascii="仿宋" w:hAnsi="仿宋" w:eastAsia="仿宋"/>
          <w:sz w:val="28"/>
          <w:szCs w:val="28"/>
        </w:rPr>
        <w:t>，乙方有权单方终止</w:t>
      </w:r>
      <w:r>
        <w:rPr>
          <w:rFonts w:hint="eastAsia" w:ascii="仿宋" w:hAnsi="仿宋" w:eastAsia="仿宋"/>
          <w:sz w:val="28"/>
          <w:szCs w:val="28"/>
          <w:lang w:eastAsia="zh-CN"/>
        </w:rPr>
        <w:t>合同</w:t>
      </w:r>
      <w:r>
        <w:rPr>
          <w:rFonts w:hint="eastAsia" w:ascii="仿宋" w:hAnsi="仿宋" w:eastAsia="仿宋"/>
          <w:sz w:val="28"/>
          <w:szCs w:val="28"/>
        </w:rPr>
        <w:t>，</w:t>
      </w:r>
      <w:r>
        <w:rPr>
          <w:rFonts w:hint="eastAsia" w:ascii="仿宋" w:hAnsi="仿宋" w:eastAsia="仿宋"/>
          <w:sz w:val="28"/>
          <w:szCs w:val="28"/>
          <w:lang w:eastAsia="zh-Hans"/>
        </w:rPr>
        <w:t>并</w:t>
      </w:r>
      <w:r>
        <w:rPr>
          <w:rFonts w:hint="eastAsia" w:ascii="仿宋" w:hAnsi="仿宋" w:eastAsia="仿宋"/>
          <w:sz w:val="28"/>
          <w:szCs w:val="28"/>
        </w:rPr>
        <w:t>要求乙方赔偿给甲方造成的一切直接经济损失。上述费用可在甲方已付费用中优先扣除。</w:t>
      </w:r>
    </w:p>
    <w:p w14:paraId="56F0860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11.2若乙方未能按期执行</w:t>
      </w:r>
      <w:r>
        <w:rPr>
          <w:rFonts w:hint="eastAsia" w:ascii="仿宋" w:hAnsi="仿宋" w:eastAsia="仿宋"/>
          <w:sz w:val="28"/>
          <w:szCs w:val="28"/>
          <w:lang w:eastAsia="zh-CN"/>
        </w:rPr>
        <w:t>合同</w:t>
      </w:r>
      <w:r>
        <w:rPr>
          <w:rFonts w:hint="eastAsia" w:ascii="仿宋" w:hAnsi="仿宋" w:eastAsia="仿宋"/>
          <w:sz w:val="28"/>
          <w:szCs w:val="28"/>
        </w:rPr>
        <w:t>，每延误一周应向甲方支付相当于</w:t>
      </w:r>
      <w:r>
        <w:rPr>
          <w:rFonts w:hint="eastAsia" w:ascii="仿宋" w:hAnsi="仿宋" w:eastAsia="仿宋"/>
          <w:sz w:val="28"/>
          <w:szCs w:val="28"/>
          <w:lang w:eastAsia="zh-CN"/>
        </w:rPr>
        <w:t>合同</w:t>
      </w:r>
      <w:r>
        <w:rPr>
          <w:rFonts w:hint="eastAsia" w:ascii="仿宋" w:hAnsi="仿宋" w:eastAsia="仿宋"/>
          <w:sz w:val="28"/>
          <w:szCs w:val="28"/>
        </w:rPr>
        <w:t>总额</w:t>
      </w:r>
      <w:r>
        <w:rPr>
          <w:rFonts w:hint="eastAsia" w:ascii="仿宋" w:hAnsi="仿宋" w:eastAsia="仿宋"/>
          <w:sz w:val="28"/>
          <w:szCs w:val="28"/>
          <w:u w:val="single"/>
        </w:rPr>
        <w:t xml:space="preserve">  0.1  </w:t>
      </w:r>
      <w:r>
        <w:rPr>
          <w:rFonts w:hint="eastAsia" w:ascii="仿宋" w:hAnsi="仿宋" w:eastAsia="仿宋"/>
          <w:sz w:val="28"/>
          <w:szCs w:val="28"/>
        </w:rPr>
        <w:t>%的逾期违约金。若延误时间达三个月，则视为乙方不能执行本</w:t>
      </w:r>
      <w:r>
        <w:rPr>
          <w:rFonts w:hint="eastAsia" w:ascii="仿宋" w:hAnsi="仿宋" w:eastAsia="仿宋"/>
          <w:sz w:val="28"/>
          <w:szCs w:val="28"/>
          <w:lang w:eastAsia="zh-CN"/>
        </w:rPr>
        <w:t>合同</w:t>
      </w:r>
      <w:r>
        <w:rPr>
          <w:rFonts w:hint="eastAsia" w:ascii="仿宋" w:hAnsi="仿宋" w:eastAsia="仿宋"/>
          <w:sz w:val="28"/>
          <w:szCs w:val="28"/>
        </w:rPr>
        <w:t>。甲方有权单方终止</w:t>
      </w:r>
      <w:r>
        <w:rPr>
          <w:rFonts w:hint="eastAsia" w:ascii="仿宋" w:hAnsi="仿宋" w:eastAsia="仿宋"/>
          <w:sz w:val="28"/>
          <w:szCs w:val="28"/>
          <w:lang w:eastAsia="zh-CN"/>
        </w:rPr>
        <w:t>合同</w:t>
      </w:r>
      <w:r>
        <w:rPr>
          <w:rFonts w:hint="eastAsia" w:ascii="仿宋" w:hAnsi="仿宋" w:eastAsia="仿宋"/>
          <w:sz w:val="28"/>
          <w:szCs w:val="28"/>
        </w:rPr>
        <w:t>，</w:t>
      </w:r>
      <w:r>
        <w:rPr>
          <w:rFonts w:hint="eastAsia" w:ascii="仿宋" w:hAnsi="仿宋" w:eastAsia="仿宋"/>
          <w:sz w:val="28"/>
          <w:szCs w:val="28"/>
          <w:lang w:eastAsia="zh-Hans"/>
        </w:rPr>
        <w:t>并</w:t>
      </w:r>
      <w:r>
        <w:rPr>
          <w:rFonts w:hint="eastAsia" w:ascii="仿宋" w:hAnsi="仿宋" w:eastAsia="仿宋"/>
          <w:sz w:val="28"/>
          <w:szCs w:val="28"/>
        </w:rPr>
        <w:t>要求乙方赔偿给甲方造成的一切直接经济损失。</w:t>
      </w:r>
    </w:p>
    <w:p w14:paraId="0FD9330B">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11.3在使用过程中，由于乙方设计上的缺陷或隐患给甲方造成经济损失的，乙方应当予以赔偿。</w:t>
      </w:r>
    </w:p>
    <w:p w14:paraId="605909F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11.4如确因现有水平和条件下难以克服的技术困难，导致开发项目部分或全部失败，所造成的损失由乙方承担，乙方应</w:t>
      </w:r>
      <w:r>
        <w:rPr>
          <w:rFonts w:hint="eastAsia" w:ascii="仿宋" w:hAnsi="仿宋" w:eastAsia="仿宋"/>
          <w:sz w:val="28"/>
          <w:szCs w:val="28"/>
          <w:lang w:eastAsia="zh-Hans"/>
        </w:rPr>
        <w:t>扣除已产生的开发成本费用后退还甲方剩余费用</w:t>
      </w:r>
      <w:r>
        <w:rPr>
          <w:rFonts w:hint="eastAsia" w:ascii="仿宋" w:hAnsi="仿宋" w:eastAsia="仿宋"/>
          <w:sz w:val="28"/>
          <w:szCs w:val="28"/>
        </w:rPr>
        <w:t>。</w:t>
      </w:r>
    </w:p>
    <w:p w14:paraId="1615EF59">
      <w:pPr>
        <w:pStyle w:val="13"/>
        <w:spacing w:before="0" w:beforeAutospacing="0" w:after="0" w:afterAutospacing="0" w:line="560" w:lineRule="exact"/>
        <w:ind w:firstLine="560" w:firstLineChars="200"/>
        <w:rPr>
          <w:rFonts w:ascii="仿宋" w:hAnsi="仿宋" w:eastAsia="仿宋"/>
          <w:sz w:val="28"/>
          <w:szCs w:val="28"/>
        </w:rPr>
      </w:pPr>
      <w:r>
        <w:rPr>
          <w:rFonts w:ascii="仿宋" w:hAnsi="仿宋" w:eastAsia="仿宋"/>
          <w:sz w:val="28"/>
          <w:szCs w:val="28"/>
        </w:rPr>
        <w:t>11.5</w:t>
      </w:r>
      <w:r>
        <w:rPr>
          <w:rFonts w:hint="eastAsia" w:ascii="仿宋" w:hAnsi="仿宋" w:eastAsia="仿宋"/>
          <w:sz w:val="28"/>
          <w:szCs w:val="28"/>
        </w:rPr>
        <w:t>非因不可抗力或乙方原因，导致本</w:t>
      </w:r>
      <w:r>
        <w:rPr>
          <w:rFonts w:hint="eastAsia" w:ascii="仿宋" w:hAnsi="仿宋" w:eastAsia="仿宋"/>
          <w:sz w:val="28"/>
          <w:szCs w:val="28"/>
          <w:lang w:eastAsia="zh-CN"/>
        </w:rPr>
        <w:t>合同</w:t>
      </w:r>
      <w:r>
        <w:rPr>
          <w:rFonts w:hint="eastAsia" w:ascii="仿宋" w:hAnsi="仿宋" w:eastAsia="仿宋"/>
          <w:sz w:val="28"/>
          <w:szCs w:val="28"/>
        </w:rPr>
        <w:t>提前终止的，甲方除了应向乙方支付已产生的服务费外还应向乙方支付本</w:t>
      </w:r>
      <w:r>
        <w:rPr>
          <w:rFonts w:hint="eastAsia" w:ascii="仿宋" w:hAnsi="仿宋" w:eastAsia="仿宋"/>
          <w:sz w:val="28"/>
          <w:szCs w:val="28"/>
          <w:lang w:eastAsia="zh-CN"/>
        </w:rPr>
        <w:t>合同</w:t>
      </w:r>
      <w:r>
        <w:rPr>
          <w:rFonts w:hint="eastAsia" w:ascii="仿宋" w:hAnsi="仿宋" w:eastAsia="仿宋"/>
          <w:sz w:val="28"/>
          <w:szCs w:val="28"/>
        </w:rPr>
        <w:t>总金额20%的违约金。</w:t>
      </w:r>
    </w:p>
    <w:p w14:paraId="781D9958">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w:t>
      </w:r>
      <w:r>
        <w:rPr>
          <w:rFonts w:ascii="仿宋" w:hAnsi="仿宋" w:eastAsia="仿宋"/>
          <w:sz w:val="28"/>
          <w:szCs w:val="28"/>
        </w:rPr>
        <w:t>6</w:t>
      </w:r>
      <w:r>
        <w:rPr>
          <w:rFonts w:hint="eastAsia" w:ascii="仿宋" w:hAnsi="仿宋" w:eastAsia="仿宋"/>
          <w:sz w:val="28"/>
          <w:szCs w:val="28"/>
          <w:lang w:eastAsia="zh-CN"/>
        </w:rPr>
        <w:t>合同</w:t>
      </w:r>
      <w:r>
        <w:rPr>
          <w:rFonts w:hint="eastAsia" w:ascii="仿宋" w:hAnsi="仿宋" w:eastAsia="仿宋"/>
          <w:sz w:val="28"/>
          <w:szCs w:val="28"/>
        </w:rPr>
        <w:t>违约方应将索赔金额及事由书面通知违约方，若违约方有异议，应在收到通知一周内以书面形式回复守约方，再由双方协商确定。若违约方收到通知后一周内未予答复守约方，即视为认可。</w:t>
      </w:r>
    </w:p>
    <w:p w14:paraId="0EC1D750">
      <w:pPr>
        <w:pStyle w:val="13"/>
        <w:spacing w:before="0" w:beforeAutospacing="0" w:after="0" w:afterAutospacing="0" w:line="560" w:lineRule="exact"/>
        <w:ind w:firstLine="560" w:firstLineChars="200"/>
        <w:outlineLvl w:val="2"/>
        <w:rPr>
          <w:rFonts w:ascii="仿宋" w:hAnsi="仿宋" w:eastAsia="仿宋"/>
          <w:sz w:val="28"/>
          <w:szCs w:val="28"/>
        </w:rPr>
      </w:pPr>
      <w:bookmarkStart w:id="222" w:name="_Toc11752"/>
      <w:r>
        <w:rPr>
          <w:rFonts w:hint="eastAsia" w:ascii="仿宋" w:hAnsi="仿宋" w:eastAsia="仿宋"/>
          <w:sz w:val="28"/>
          <w:szCs w:val="28"/>
        </w:rPr>
        <w:t>十二</w:t>
      </w:r>
      <w:r>
        <w:rPr>
          <w:rFonts w:ascii="仿宋" w:hAnsi="仿宋" w:eastAsia="仿宋"/>
          <w:sz w:val="28"/>
          <w:szCs w:val="28"/>
        </w:rPr>
        <w:t>、</w:t>
      </w:r>
      <w:r>
        <w:rPr>
          <w:rFonts w:hint="eastAsia" w:ascii="仿宋" w:hAnsi="仿宋" w:eastAsia="仿宋"/>
          <w:sz w:val="28"/>
          <w:szCs w:val="28"/>
        </w:rPr>
        <w:t>不可抗力</w:t>
      </w:r>
      <w:bookmarkEnd w:id="222"/>
    </w:p>
    <w:p w14:paraId="20EECFAF">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12.1</w:t>
      </w:r>
      <w:r>
        <w:rPr>
          <w:rFonts w:hint="eastAsia" w:ascii="仿宋" w:hAnsi="仿宋" w:eastAsia="仿宋"/>
          <w:sz w:val="28"/>
          <w:szCs w:val="28"/>
          <w:lang w:eastAsia="zh-CN"/>
        </w:rPr>
        <w:t>合同</w:t>
      </w:r>
      <w:r>
        <w:rPr>
          <w:rFonts w:hint="eastAsia" w:ascii="仿宋" w:hAnsi="仿宋" w:eastAsia="仿宋"/>
          <w:sz w:val="28"/>
          <w:szCs w:val="28"/>
        </w:rPr>
        <w:t>订立后双方或一方由于不可抗力而影响</w:t>
      </w:r>
      <w:r>
        <w:rPr>
          <w:rFonts w:hint="eastAsia" w:ascii="仿宋" w:hAnsi="仿宋" w:eastAsia="仿宋"/>
          <w:sz w:val="28"/>
          <w:szCs w:val="28"/>
          <w:lang w:eastAsia="zh-CN"/>
        </w:rPr>
        <w:t>合同</w:t>
      </w:r>
      <w:r>
        <w:rPr>
          <w:rFonts w:hint="eastAsia" w:ascii="仿宋" w:hAnsi="仿宋" w:eastAsia="仿宋"/>
          <w:sz w:val="28"/>
          <w:szCs w:val="28"/>
        </w:rPr>
        <w:t>履行时，则延长履行</w:t>
      </w:r>
      <w:r>
        <w:rPr>
          <w:rFonts w:hint="eastAsia" w:ascii="仿宋" w:hAnsi="仿宋" w:eastAsia="仿宋"/>
          <w:sz w:val="28"/>
          <w:szCs w:val="28"/>
          <w:lang w:eastAsia="zh-CN"/>
        </w:rPr>
        <w:t>合同</w:t>
      </w:r>
      <w:r>
        <w:rPr>
          <w:rFonts w:hint="eastAsia" w:ascii="仿宋" w:hAnsi="仿宋" w:eastAsia="仿宋"/>
          <w:sz w:val="28"/>
          <w:szCs w:val="28"/>
        </w:rPr>
        <w:t>的期限，这一期限相当于该不可抗力所影响的时间，并可根据实际情况部分或全部免予承担违约责任；</w:t>
      </w:r>
    </w:p>
    <w:p w14:paraId="639A64A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12.2 受不可抗力影响方应在双方或一方不可抗力事件发生之日起</w:t>
      </w:r>
      <w:r>
        <w:rPr>
          <w:rFonts w:hint="eastAsia" w:ascii="仿宋" w:hAnsi="仿宋" w:eastAsia="仿宋"/>
          <w:sz w:val="28"/>
          <w:szCs w:val="28"/>
          <w:u w:val="single"/>
        </w:rPr>
        <w:t xml:space="preserve"> 5 </w:t>
      </w:r>
      <w:r>
        <w:rPr>
          <w:rFonts w:hint="eastAsia" w:ascii="仿宋" w:hAnsi="仿宋" w:eastAsia="仿宋"/>
          <w:sz w:val="28"/>
          <w:szCs w:val="28"/>
        </w:rPr>
        <w:t>日（时间）内以</w:t>
      </w:r>
      <w:r>
        <w:rPr>
          <w:rFonts w:hint="eastAsia" w:ascii="仿宋" w:hAnsi="仿宋" w:eastAsia="仿宋"/>
          <w:sz w:val="28"/>
          <w:szCs w:val="28"/>
          <w:u w:val="single"/>
        </w:rPr>
        <w:t xml:space="preserve"> 书面   </w:t>
      </w:r>
      <w:r>
        <w:rPr>
          <w:rFonts w:hint="eastAsia" w:ascii="仿宋" w:hAnsi="仿宋" w:eastAsia="仿宋"/>
          <w:sz w:val="28"/>
          <w:szCs w:val="28"/>
        </w:rPr>
        <w:t>形式告</w:t>
      </w:r>
      <w:r>
        <w:rPr>
          <w:rFonts w:hint="eastAsia" w:ascii="仿宋" w:hAnsi="仿宋" w:eastAsia="仿宋"/>
          <w:sz w:val="28"/>
          <w:szCs w:val="28"/>
          <w:lang w:val="en-US" w:eastAsia="zh-CN"/>
        </w:rPr>
        <w:t>知</w:t>
      </w:r>
      <w:r>
        <w:rPr>
          <w:rFonts w:hint="eastAsia" w:ascii="仿宋" w:hAnsi="仿宋" w:eastAsia="仿宋"/>
          <w:sz w:val="28"/>
          <w:szCs w:val="28"/>
        </w:rPr>
        <w:t>对方，并出具有关部门的证明文件交对方确认。</w:t>
      </w:r>
    </w:p>
    <w:p w14:paraId="6851F918">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12.3受不可抗力影响方应在双方或一方不可抗力事件消除后</w:t>
      </w:r>
      <w:r>
        <w:rPr>
          <w:rFonts w:hint="eastAsia" w:ascii="仿宋" w:hAnsi="仿宋" w:eastAsia="仿宋"/>
          <w:sz w:val="28"/>
          <w:szCs w:val="28"/>
          <w:u w:val="single"/>
        </w:rPr>
        <w:t xml:space="preserve">  5 </w:t>
      </w:r>
      <w:r>
        <w:rPr>
          <w:rFonts w:hint="eastAsia" w:ascii="仿宋" w:hAnsi="仿宋" w:eastAsia="仿宋"/>
          <w:sz w:val="28"/>
          <w:szCs w:val="28"/>
        </w:rPr>
        <w:t>日（时间）内以</w:t>
      </w:r>
      <w:r>
        <w:rPr>
          <w:rFonts w:hint="eastAsia" w:ascii="仿宋" w:hAnsi="仿宋" w:eastAsia="仿宋"/>
          <w:sz w:val="28"/>
          <w:szCs w:val="28"/>
          <w:u w:val="single"/>
        </w:rPr>
        <w:t xml:space="preserve">  书面   </w:t>
      </w:r>
      <w:r>
        <w:rPr>
          <w:rFonts w:hint="eastAsia" w:ascii="仿宋" w:hAnsi="仿宋" w:eastAsia="仿宋"/>
          <w:sz w:val="28"/>
          <w:szCs w:val="28"/>
        </w:rPr>
        <w:t>形式告</w:t>
      </w:r>
      <w:r>
        <w:rPr>
          <w:rFonts w:hint="eastAsia" w:ascii="仿宋" w:hAnsi="仿宋" w:eastAsia="仿宋"/>
          <w:sz w:val="28"/>
          <w:szCs w:val="28"/>
          <w:lang w:val="en-US" w:eastAsia="zh-CN"/>
        </w:rPr>
        <w:t>知</w:t>
      </w:r>
      <w:r>
        <w:rPr>
          <w:rFonts w:hint="eastAsia" w:ascii="仿宋" w:hAnsi="仿宋" w:eastAsia="仿宋"/>
          <w:sz w:val="28"/>
          <w:szCs w:val="28"/>
        </w:rPr>
        <w:t>对方，如不可抗力事件影响超过三个月以上时，双方应重新协商</w:t>
      </w:r>
      <w:r>
        <w:rPr>
          <w:rFonts w:hint="eastAsia" w:ascii="仿宋" w:hAnsi="仿宋" w:eastAsia="仿宋"/>
          <w:sz w:val="28"/>
          <w:szCs w:val="28"/>
          <w:lang w:eastAsia="zh-CN"/>
        </w:rPr>
        <w:t>合同</w:t>
      </w:r>
      <w:r>
        <w:rPr>
          <w:rFonts w:hint="eastAsia" w:ascii="仿宋" w:hAnsi="仿宋" w:eastAsia="仿宋"/>
          <w:sz w:val="28"/>
          <w:szCs w:val="28"/>
        </w:rPr>
        <w:t>的履行问题，并尽快达成</w:t>
      </w:r>
      <w:r>
        <w:rPr>
          <w:rFonts w:hint="eastAsia" w:ascii="仿宋" w:hAnsi="仿宋" w:eastAsia="仿宋"/>
          <w:sz w:val="28"/>
          <w:szCs w:val="28"/>
          <w:lang w:eastAsia="zh-CN"/>
        </w:rPr>
        <w:t>合同</w:t>
      </w:r>
      <w:r>
        <w:rPr>
          <w:rFonts w:hint="eastAsia" w:ascii="仿宋" w:hAnsi="仿宋" w:eastAsia="仿宋"/>
          <w:sz w:val="28"/>
          <w:szCs w:val="28"/>
        </w:rPr>
        <w:t>。</w:t>
      </w:r>
    </w:p>
    <w:p w14:paraId="15065E28">
      <w:pPr>
        <w:pStyle w:val="13"/>
        <w:spacing w:before="0" w:beforeAutospacing="0" w:after="0" w:afterAutospacing="0" w:line="560" w:lineRule="exact"/>
        <w:ind w:firstLine="560" w:firstLineChars="200"/>
        <w:outlineLvl w:val="2"/>
        <w:rPr>
          <w:rFonts w:ascii="仿宋" w:hAnsi="仿宋" w:eastAsia="仿宋"/>
          <w:sz w:val="28"/>
          <w:szCs w:val="28"/>
        </w:rPr>
      </w:pPr>
      <w:bookmarkStart w:id="223" w:name="_Toc8174"/>
      <w:r>
        <w:rPr>
          <w:rFonts w:hint="eastAsia" w:ascii="仿宋" w:hAnsi="仿宋" w:eastAsia="仿宋"/>
          <w:sz w:val="28"/>
          <w:szCs w:val="28"/>
        </w:rPr>
        <w:t>十三、</w:t>
      </w:r>
      <w:r>
        <w:rPr>
          <w:rFonts w:ascii="仿宋" w:hAnsi="仿宋" w:eastAsia="仿宋"/>
          <w:sz w:val="28"/>
          <w:szCs w:val="28"/>
        </w:rPr>
        <w:t>争议的解决</w:t>
      </w:r>
      <w:bookmarkEnd w:id="223"/>
      <w:r>
        <w:rPr>
          <w:rFonts w:hint="eastAsia" w:ascii="仿宋" w:hAnsi="仿宋" w:eastAsia="仿宋"/>
          <w:sz w:val="28"/>
          <w:szCs w:val="28"/>
        </w:rPr>
        <w:t xml:space="preserve"> </w:t>
      </w:r>
    </w:p>
    <w:p w14:paraId="04A5073D">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13.1所有与</w:t>
      </w:r>
      <w:r>
        <w:rPr>
          <w:rFonts w:hint="eastAsia" w:ascii="仿宋" w:hAnsi="仿宋" w:eastAsia="仿宋"/>
          <w:sz w:val="28"/>
          <w:szCs w:val="28"/>
          <w:lang w:eastAsia="zh-CN"/>
        </w:rPr>
        <w:t>合同</w:t>
      </w:r>
      <w:r>
        <w:rPr>
          <w:rFonts w:ascii="仿宋" w:hAnsi="仿宋" w:eastAsia="仿宋"/>
          <w:sz w:val="28"/>
          <w:szCs w:val="28"/>
        </w:rPr>
        <w:t>履行</w:t>
      </w:r>
      <w:r>
        <w:rPr>
          <w:rFonts w:hint="eastAsia" w:ascii="仿宋" w:hAnsi="仿宋" w:eastAsia="仿宋"/>
          <w:sz w:val="28"/>
          <w:szCs w:val="28"/>
        </w:rPr>
        <w:t>有关的</w:t>
      </w:r>
      <w:r>
        <w:rPr>
          <w:rFonts w:ascii="仿宋" w:hAnsi="仿宋" w:eastAsia="仿宋"/>
          <w:sz w:val="28"/>
          <w:szCs w:val="28"/>
        </w:rPr>
        <w:t>争议</w:t>
      </w:r>
      <w:r>
        <w:rPr>
          <w:rFonts w:hint="eastAsia" w:ascii="仿宋" w:hAnsi="仿宋" w:eastAsia="仿宋"/>
          <w:sz w:val="28"/>
          <w:szCs w:val="28"/>
        </w:rPr>
        <w:t>均需由</w:t>
      </w:r>
      <w:r>
        <w:rPr>
          <w:rFonts w:ascii="仿宋" w:hAnsi="仿宋" w:eastAsia="仿宋"/>
          <w:sz w:val="28"/>
          <w:szCs w:val="28"/>
        </w:rPr>
        <w:t>双方</w:t>
      </w:r>
      <w:r>
        <w:rPr>
          <w:rFonts w:hint="eastAsia" w:ascii="仿宋" w:hAnsi="仿宋" w:eastAsia="仿宋"/>
          <w:sz w:val="28"/>
          <w:szCs w:val="28"/>
        </w:rPr>
        <w:t>友好协商或提交调解</w:t>
      </w:r>
      <w:r>
        <w:rPr>
          <w:rFonts w:ascii="仿宋" w:hAnsi="仿宋" w:eastAsia="仿宋"/>
          <w:sz w:val="28"/>
          <w:szCs w:val="28"/>
        </w:rPr>
        <w:t>解决</w:t>
      </w:r>
      <w:r>
        <w:rPr>
          <w:rFonts w:hint="eastAsia" w:ascii="仿宋" w:hAnsi="仿宋" w:eastAsia="仿宋"/>
          <w:sz w:val="28"/>
          <w:szCs w:val="28"/>
        </w:rPr>
        <w:t>。</w:t>
      </w:r>
    </w:p>
    <w:p w14:paraId="2F89C51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13.2 如果双方</w:t>
      </w:r>
      <w:r>
        <w:rPr>
          <w:rFonts w:ascii="仿宋" w:hAnsi="仿宋" w:eastAsia="仿宋"/>
          <w:sz w:val="28"/>
          <w:szCs w:val="28"/>
        </w:rPr>
        <w:t>协商</w:t>
      </w:r>
      <w:r>
        <w:rPr>
          <w:rFonts w:hint="eastAsia" w:ascii="仿宋" w:hAnsi="仿宋" w:eastAsia="仿宋"/>
          <w:sz w:val="28"/>
          <w:szCs w:val="28"/>
        </w:rPr>
        <w:t>不成或</w:t>
      </w:r>
      <w:r>
        <w:rPr>
          <w:rFonts w:ascii="仿宋" w:hAnsi="仿宋" w:eastAsia="仿宋"/>
          <w:sz w:val="28"/>
          <w:szCs w:val="28"/>
        </w:rPr>
        <w:t>调解</w:t>
      </w:r>
      <w:r>
        <w:rPr>
          <w:rFonts w:hint="eastAsia" w:ascii="仿宋" w:hAnsi="仿宋" w:eastAsia="仿宋"/>
          <w:sz w:val="28"/>
          <w:szCs w:val="28"/>
        </w:rPr>
        <w:t>无效，则通过</w:t>
      </w:r>
      <w:r>
        <w:rPr>
          <w:rFonts w:hint="eastAsia" w:ascii="仿宋" w:hAnsi="仿宋" w:eastAsia="仿宋"/>
          <w:sz w:val="28"/>
          <w:szCs w:val="28"/>
          <w:u w:val="single"/>
        </w:rPr>
        <w:t xml:space="preserve"> </w:t>
      </w:r>
      <w:r>
        <w:rPr>
          <w:rFonts w:hint="eastAsia" w:ascii="仿宋" w:hAnsi="仿宋" w:eastAsia="仿宋"/>
          <w:sz w:val="28"/>
          <w:szCs w:val="28"/>
          <w:u w:val="single"/>
          <w:lang w:eastAsia="zh-Hans"/>
        </w:rPr>
        <w:t>（</w:t>
      </w:r>
      <w:r>
        <w:rPr>
          <w:rFonts w:ascii="仿宋" w:hAnsi="仿宋" w:eastAsia="仿宋"/>
          <w:sz w:val="28"/>
          <w:szCs w:val="28"/>
          <w:u w:val="single"/>
          <w:lang w:eastAsia="zh-Hans"/>
        </w:rPr>
        <w:t>2</w:t>
      </w:r>
      <w:r>
        <w:rPr>
          <w:rFonts w:hint="eastAsia" w:ascii="仿宋" w:hAnsi="仿宋" w:eastAsia="仿宋"/>
          <w:sz w:val="28"/>
          <w:szCs w:val="28"/>
          <w:u w:val="single"/>
          <w:lang w:eastAsia="zh-Hans"/>
        </w:rPr>
        <w:t>）</w:t>
      </w:r>
      <w:r>
        <w:rPr>
          <w:rFonts w:hint="eastAsia" w:ascii="仿宋" w:hAnsi="仿宋" w:eastAsia="仿宋"/>
          <w:sz w:val="28"/>
          <w:szCs w:val="28"/>
          <w:u w:val="single"/>
        </w:rPr>
        <w:t xml:space="preserve">  </w:t>
      </w:r>
      <w:r>
        <w:rPr>
          <w:rFonts w:ascii="仿宋" w:hAnsi="仿宋" w:eastAsia="仿宋"/>
          <w:sz w:val="28"/>
          <w:szCs w:val="28"/>
        </w:rPr>
        <w:t>方式解决。</w:t>
      </w:r>
    </w:p>
    <w:p w14:paraId="6FCF82C3">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（1）提交</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 xml:space="preserve">  </w:t>
      </w:r>
      <w:r>
        <w:rPr>
          <w:rFonts w:ascii="仿宋" w:hAnsi="仿宋" w:eastAsia="仿宋"/>
          <w:sz w:val="28"/>
          <w:szCs w:val="28"/>
        </w:rPr>
        <w:t>仲裁委员会</w:t>
      </w:r>
      <w:r>
        <w:rPr>
          <w:rFonts w:hint="eastAsia" w:ascii="仿宋" w:hAnsi="仿宋" w:eastAsia="仿宋"/>
          <w:sz w:val="28"/>
          <w:szCs w:val="28"/>
        </w:rPr>
        <w:t>按照其仲裁程序和规则进行</w:t>
      </w:r>
      <w:r>
        <w:rPr>
          <w:rFonts w:ascii="仿宋" w:hAnsi="仿宋" w:eastAsia="仿宋"/>
          <w:sz w:val="28"/>
          <w:szCs w:val="28"/>
        </w:rPr>
        <w:t>仲裁</w:t>
      </w:r>
      <w:r>
        <w:rPr>
          <w:rFonts w:hint="eastAsia" w:ascii="仿宋" w:hAnsi="仿宋" w:eastAsia="仿宋"/>
          <w:sz w:val="28"/>
          <w:szCs w:val="28"/>
        </w:rPr>
        <w:t>。</w:t>
      </w:r>
      <w:r>
        <w:rPr>
          <w:rFonts w:ascii="仿宋" w:hAnsi="仿宋" w:eastAsia="仿宋"/>
          <w:sz w:val="28"/>
          <w:szCs w:val="28"/>
        </w:rPr>
        <w:t xml:space="preserve"> </w:t>
      </w:r>
    </w:p>
    <w:p w14:paraId="7C386CC8">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（2）在</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甲方住所</w:t>
      </w:r>
      <w:r>
        <w:rPr>
          <w:rFonts w:hint="eastAsia" w:ascii="仿宋" w:hAnsi="仿宋" w:eastAsia="仿宋"/>
          <w:sz w:val="28"/>
          <w:szCs w:val="28"/>
          <w:u w:val="single"/>
        </w:rPr>
        <w:t xml:space="preserve">地  </w:t>
      </w:r>
      <w:r>
        <w:rPr>
          <w:rFonts w:ascii="仿宋" w:hAnsi="仿宋" w:eastAsia="仿宋"/>
          <w:sz w:val="28"/>
          <w:szCs w:val="28"/>
        </w:rPr>
        <w:t>人民法院</w:t>
      </w:r>
      <w:r>
        <w:rPr>
          <w:rFonts w:hint="eastAsia" w:ascii="仿宋" w:hAnsi="仿宋" w:eastAsia="仿宋"/>
          <w:sz w:val="28"/>
          <w:szCs w:val="28"/>
        </w:rPr>
        <w:t>提</w:t>
      </w:r>
      <w:r>
        <w:rPr>
          <w:rFonts w:ascii="仿宋" w:hAnsi="仿宋" w:eastAsia="仿宋"/>
          <w:sz w:val="28"/>
          <w:szCs w:val="28"/>
        </w:rPr>
        <w:t>起诉</w:t>
      </w:r>
      <w:r>
        <w:rPr>
          <w:rFonts w:hint="eastAsia" w:ascii="仿宋" w:hAnsi="仿宋" w:eastAsia="仿宋"/>
          <w:sz w:val="28"/>
          <w:szCs w:val="28"/>
        </w:rPr>
        <w:t>讼。</w:t>
      </w:r>
    </w:p>
    <w:p w14:paraId="64563CC4">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13.3纠纷处理期间，除双方有争议的部分外，</w:t>
      </w:r>
      <w:r>
        <w:rPr>
          <w:rFonts w:hint="eastAsia" w:ascii="仿宋" w:hAnsi="仿宋" w:eastAsia="仿宋"/>
          <w:sz w:val="28"/>
          <w:szCs w:val="28"/>
          <w:lang w:eastAsia="zh-CN"/>
        </w:rPr>
        <w:t>合同</w:t>
      </w:r>
      <w:r>
        <w:rPr>
          <w:rFonts w:hint="eastAsia" w:ascii="仿宋" w:hAnsi="仿宋" w:eastAsia="仿宋"/>
          <w:sz w:val="28"/>
          <w:szCs w:val="28"/>
        </w:rPr>
        <w:t>其他部分应当继续有效。</w:t>
      </w:r>
    </w:p>
    <w:p w14:paraId="7CDA9CDB">
      <w:pPr>
        <w:pStyle w:val="13"/>
        <w:spacing w:before="0" w:beforeAutospacing="0" w:after="0" w:afterAutospacing="0" w:line="560" w:lineRule="exact"/>
        <w:ind w:firstLine="560" w:firstLineChars="200"/>
        <w:outlineLvl w:val="2"/>
        <w:rPr>
          <w:rFonts w:ascii="仿宋" w:hAnsi="仿宋" w:eastAsia="仿宋"/>
          <w:sz w:val="28"/>
          <w:szCs w:val="28"/>
        </w:rPr>
      </w:pPr>
      <w:bookmarkStart w:id="224" w:name="_Toc29037"/>
      <w:r>
        <w:rPr>
          <w:rFonts w:hint="eastAsia" w:ascii="仿宋" w:hAnsi="仿宋" w:eastAsia="仿宋"/>
          <w:sz w:val="28"/>
          <w:szCs w:val="28"/>
        </w:rPr>
        <w:t>十四</w:t>
      </w:r>
      <w:r>
        <w:rPr>
          <w:rFonts w:ascii="仿宋" w:hAnsi="仿宋" w:eastAsia="仿宋"/>
          <w:sz w:val="28"/>
          <w:szCs w:val="28"/>
        </w:rPr>
        <w:t>、其他</w:t>
      </w:r>
      <w:bookmarkEnd w:id="224"/>
    </w:p>
    <w:p w14:paraId="1E24E64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14.</w:t>
      </w:r>
      <w:r>
        <w:rPr>
          <w:rFonts w:ascii="仿宋" w:hAnsi="仿宋" w:eastAsia="仿宋"/>
          <w:sz w:val="28"/>
          <w:szCs w:val="28"/>
        </w:rPr>
        <w:t>1</w:t>
      </w:r>
      <w:r>
        <w:rPr>
          <w:rFonts w:hint="eastAsia" w:ascii="仿宋" w:hAnsi="仿宋" w:eastAsia="仿宋"/>
          <w:sz w:val="28"/>
          <w:szCs w:val="28"/>
        </w:rPr>
        <w:t>对本</w:t>
      </w:r>
      <w:r>
        <w:rPr>
          <w:rFonts w:hint="eastAsia" w:ascii="仿宋" w:hAnsi="仿宋" w:eastAsia="仿宋"/>
          <w:sz w:val="28"/>
          <w:szCs w:val="28"/>
          <w:lang w:eastAsia="zh-CN"/>
        </w:rPr>
        <w:t>合同</w:t>
      </w:r>
      <w:r>
        <w:rPr>
          <w:rFonts w:hint="eastAsia" w:ascii="仿宋" w:hAnsi="仿宋" w:eastAsia="仿宋"/>
          <w:sz w:val="28"/>
          <w:szCs w:val="28"/>
        </w:rPr>
        <w:t>的任何修改、变更或增减，需另行签订补充</w:t>
      </w:r>
      <w:r>
        <w:rPr>
          <w:rFonts w:hint="eastAsia" w:ascii="仿宋" w:hAnsi="仿宋" w:eastAsia="仿宋"/>
          <w:sz w:val="28"/>
          <w:szCs w:val="28"/>
          <w:lang w:eastAsia="zh-CN"/>
        </w:rPr>
        <w:t>合同</w:t>
      </w:r>
      <w:r>
        <w:rPr>
          <w:rFonts w:hint="eastAsia" w:ascii="仿宋" w:hAnsi="仿宋" w:eastAsia="仿宋"/>
          <w:sz w:val="28"/>
          <w:szCs w:val="28"/>
        </w:rPr>
        <w:t>，该书面文件及其他附件均为本</w:t>
      </w:r>
      <w:r>
        <w:rPr>
          <w:rFonts w:hint="eastAsia" w:ascii="仿宋" w:hAnsi="仿宋" w:eastAsia="仿宋"/>
          <w:sz w:val="28"/>
          <w:szCs w:val="28"/>
          <w:lang w:eastAsia="zh-CN"/>
        </w:rPr>
        <w:t>合同</w:t>
      </w:r>
      <w:r>
        <w:rPr>
          <w:rFonts w:hint="eastAsia" w:ascii="仿宋" w:hAnsi="仿宋" w:eastAsia="仿宋"/>
          <w:sz w:val="28"/>
          <w:szCs w:val="28"/>
        </w:rPr>
        <w:t>的组成部分，与本</w:t>
      </w:r>
      <w:r>
        <w:rPr>
          <w:rFonts w:hint="eastAsia" w:ascii="仿宋" w:hAnsi="仿宋" w:eastAsia="仿宋"/>
          <w:sz w:val="28"/>
          <w:szCs w:val="28"/>
          <w:lang w:eastAsia="zh-CN"/>
        </w:rPr>
        <w:t>合同</w:t>
      </w:r>
      <w:r>
        <w:rPr>
          <w:rFonts w:hint="eastAsia" w:ascii="仿宋" w:hAnsi="仿宋" w:eastAsia="仿宋"/>
          <w:sz w:val="28"/>
          <w:szCs w:val="28"/>
        </w:rPr>
        <w:t>具有同等法律效力。</w:t>
      </w:r>
    </w:p>
    <w:p w14:paraId="34D7541B">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14.2与履行本</w:t>
      </w:r>
      <w:r>
        <w:rPr>
          <w:rFonts w:hint="eastAsia" w:ascii="仿宋" w:hAnsi="仿宋" w:eastAsia="仿宋"/>
          <w:sz w:val="28"/>
          <w:szCs w:val="28"/>
          <w:lang w:eastAsia="zh-CN"/>
        </w:rPr>
        <w:t>合同</w:t>
      </w:r>
      <w:r>
        <w:rPr>
          <w:rFonts w:hint="eastAsia" w:ascii="仿宋" w:hAnsi="仿宋" w:eastAsia="仿宋"/>
          <w:sz w:val="28"/>
          <w:szCs w:val="28"/>
        </w:rPr>
        <w:t>有关的技术文件，经双方盖章确认后，作为本</w:t>
      </w:r>
      <w:r>
        <w:rPr>
          <w:rFonts w:hint="eastAsia" w:ascii="仿宋" w:hAnsi="仿宋" w:eastAsia="仿宋"/>
          <w:sz w:val="28"/>
          <w:szCs w:val="28"/>
          <w:lang w:eastAsia="zh-CN"/>
        </w:rPr>
        <w:t>合同</w:t>
      </w:r>
      <w:r>
        <w:rPr>
          <w:rFonts w:hint="eastAsia" w:ascii="仿宋" w:hAnsi="仿宋" w:eastAsia="仿宋"/>
          <w:sz w:val="28"/>
          <w:szCs w:val="28"/>
        </w:rPr>
        <w:t>的组成部分。</w:t>
      </w:r>
    </w:p>
    <w:p w14:paraId="751D6912">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14.3本</w:t>
      </w:r>
      <w:r>
        <w:rPr>
          <w:rFonts w:hint="eastAsia" w:ascii="仿宋" w:hAnsi="仿宋" w:eastAsia="仿宋"/>
          <w:sz w:val="28"/>
          <w:szCs w:val="28"/>
          <w:lang w:eastAsia="zh-CN"/>
        </w:rPr>
        <w:t>合同</w:t>
      </w:r>
      <w:r>
        <w:rPr>
          <w:rFonts w:hint="eastAsia" w:ascii="仿宋" w:hAnsi="仿宋" w:eastAsia="仿宋"/>
          <w:sz w:val="28"/>
          <w:szCs w:val="28"/>
        </w:rPr>
        <w:t>自双方法定代表人（负责人）或授权代表签字并加盖印章之日起生效，本</w:t>
      </w:r>
      <w:r>
        <w:rPr>
          <w:rFonts w:hint="eastAsia" w:ascii="仿宋" w:hAnsi="仿宋" w:eastAsia="仿宋"/>
          <w:sz w:val="28"/>
          <w:szCs w:val="28"/>
          <w:lang w:eastAsia="zh-CN"/>
        </w:rPr>
        <w:t>合同</w:t>
      </w:r>
      <w:r>
        <w:rPr>
          <w:rFonts w:hint="eastAsia" w:ascii="仿宋" w:hAnsi="仿宋" w:eastAsia="仿宋"/>
          <w:sz w:val="28"/>
          <w:szCs w:val="28"/>
        </w:rPr>
        <w:t>附件与本</w:t>
      </w:r>
      <w:r>
        <w:rPr>
          <w:rFonts w:hint="eastAsia" w:ascii="仿宋" w:hAnsi="仿宋" w:eastAsia="仿宋"/>
          <w:sz w:val="28"/>
          <w:szCs w:val="28"/>
          <w:lang w:eastAsia="zh-CN"/>
        </w:rPr>
        <w:t>合同</w:t>
      </w:r>
      <w:r>
        <w:rPr>
          <w:rFonts w:hint="eastAsia" w:ascii="仿宋" w:hAnsi="仿宋" w:eastAsia="仿宋"/>
          <w:sz w:val="28"/>
          <w:szCs w:val="28"/>
        </w:rPr>
        <w:t>具有同等法律效力。</w:t>
      </w:r>
    </w:p>
    <w:p w14:paraId="029C6BFD">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14.4本</w:t>
      </w:r>
      <w:r>
        <w:rPr>
          <w:rFonts w:hint="eastAsia" w:ascii="仿宋" w:hAnsi="仿宋" w:eastAsia="仿宋"/>
          <w:sz w:val="28"/>
          <w:szCs w:val="28"/>
          <w:lang w:eastAsia="zh-CN"/>
        </w:rPr>
        <w:t>合同</w:t>
      </w:r>
      <w:r>
        <w:rPr>
          <w:rFonts w:hint="eastAsia" w:ascii="仿宋" w:hAnsi="仿宋" w:eastAsia="仿宋"/>
          <w:sz w:val="28"/>
          <w:szCs w:val="28"/>
        </w:rPr>
        <w:t xml:space="preserve">一式 </w:t>
      </w:r>
      <w:r>
        <w:rPr>
          <w:rFonts w:hint="eastAsia" w:ascii="仿宋" w:hAnsi="仿宋" w:eastAsia="仿宋"/>
          <w:sz w:val="28"/>
          <w:szCs w:val="28"/>
          <w:u w:val="single"/>
        </w:rPr>
        <w:t>贰</w:t>
      </w:r>
      <w:r>
        <w:rPr>
          <w:rFonts w:hint="eastAsia" w:ascii="仿宋" w:hAnsi="仿宋" w:eastAsia="仿宋"/>
          <w:sz w:val="28"/>
          <w:szCs w:val="28"/>
        </w:rPr>
        <w:t xml:space="preserve"> 份，甲、乙双方各执 </w:t>
      </w:r>
      <w:r>
        <w:rPr>
          <w:rFonts w:hint="eastAsia" w:ascii="仿宋" w:hAnsi="仿宋" w:eastAsia="仿宋"/>
          <w:sz w:val="28"/>
          <w:szCs w:val="28"/>
          <w:u w:val="single"/>
        </w:rPr>
        <w:t>壹</w:t>
      </w:r>
      <w:r>
        <w:rPr>
          <w:rFonts w:hint="eastAsia" w:ascii="仿宋" w:hAnsi="仿宋" w:eastAsia="仿宋"/>
          <w:sz w:val="28"/>
          <w:szCs w:val="28"/>
        </w:rPr>
        <w:t xml:space="preserve"> 份，具有同等法律效力。</w:t>
      </w:r>
    </w:p>
    <w:p w14:paraId="4B6E3F10">
      <w:pPr>
        <w:pStyle w:val="13"/>
        <w:spacing w:before="0" w:beforeAutospacing="0" w:after="0" w:afterAutospacing="0" w:line="560" w:lineRule="exact"/>
        <w:ind w:firstLine="560" w:firstLineChars="200"/>
        <w:jc w:val="center"/>
        <w:rPr>
          <w:rFonts w:hint="eastAsia" w:ascii="仿宋" w:hAnsi="仿宋" w:eastAsia="仿宋"/>
          <w:sz w:val="28"/>
          <w:szCs w:val="28"/>
        </w:rPr>
      </w:pPr>
      <w:r>
        <w:rPr>
          <w:rFonts w:hint="eastAsia" w:ascii="仿宋" w:hAnsi="仿宋" w:eastAsia="仿宋"/>
          <w:sz w:val="28"/>
          <w:szCs w:val="28"/>
        </w:rPr>
        <w:t>（以下无正文）</w:t>
      </w:r>
    </w:p>
    <w:p w14:paraId="7A966BA3">
      <w:pPr>
        <w:pStyle w:val="13"/>
        <w:spacing w:before="0" w:beforeAutospacing="0" w:after="0" w:afterAutospacing="0" w:line="560" w:lineRule="exact"/>
        <w:ind w:firstLine="560" w:firstLineChars="200"/>
        <w:jc w:val="center"/>
        <w:rPr>
          <w:rFonts w:hint="eastAsia" w:ascii="仿宋" w:hAnsi="仿宋" w:eastAsia="仿宋"/>
          <w:sz w:val="28"/>
          <w:szCs w:val="28"/>
        </w:rPr>
      </w:pPr>
    </w:p>
    <w:p w14:paraId="32660AF1">
      <w:pPr>
        <w:pStyle w:val="13"/>
        <w:spacing w:before="0" w:beforeAutospacing="0" w:after="0" w:afterAutospacing="0" w:line="560" w:lineRule="exact"/>
        <w:ind w:firstLine="560" w:firstLineChars="200"/>
        <w:jc w:val="center"/>
        <w:rPr>
          <w:rFonts w:hint="eastAsia" w:ascii="仿宋" w:hAnsi="仿宋" w:eastAsia="仿宋"/>
          <w:sz w:val="28"/>
          <w:szCs w:val="28"/>
        </w:rPr>
      </w:pPr>
    </w:p>
    <w:p w14:paraId="53E1E323">
      <w:pPr>
        <w:pStyle w:val="13"/>
        <w:spacing w:before="0" w:beforeAutospacing="0" w:after="0" w:afterAutospacing="0" w:line="560" w:lineRule="exact"/>
        <w:jc w:val="both"/>
        <w:rPr>
          <w:rFonts w:hint="eastAsia" w:ascii="仿宋" w:hAnsi="仿宋" w:eastAsia="仿宋"/>
          <w:sz w:val="28"/>
          <w:szCs w:val="28"/>
        </w:rPr>
      </w:pPr>
    </w:p>
    <w:p w14:paraId="57C5915E">
      <w:pPr>
        <w:pStyle w:val="13"/>
        <w:spacing w:before="0" w:beforeAutospacing="0" w:after="0" w:afterAutospacing="0" w:line="560" w:lineRule="exact"/>
        <w:jc w:val="both"/>
        <w:rPr>
          <w:rFonts w:hint="eastAsia" w:ascii="仿宋" w:hAnsi="仿宋" w:eastAsia="仿宋"/>
          <w:sz w:val="28"/>
          <w:szCs w:val="28"/>
        </w:rPr>
      </w:pPr>
    </w:p>
    <w:p w14:paraId="7B68AEE4">
      <w:pPr>
        <w:pStyle w:val="13"/>
        <w:spacing w:before="0" w:beforeAutospacing="0" w:after="0" w:afterAutospacing="0" w:line="560" w:lineRule="exact"/>
        <w:ind w:firstLine="560" w:firstLineChars="200"/>
        <w:jc w:val="center"/>
        <w:rPr>
          <w:rFonts w:hint="eastAsia" w:ascii="仿宋" w:hAnsi="仿宋" w:eastAsia="仿宋"/>
          <w:sz w:val="28"/>
          <w:szCs w:val="28"/>
        </w:rPr>
      </w:pPr>
    </w:p>
    <w:p w14:paraId="704BCBF3">
      <w:pPr>
        <w:pStyle w:val="13"/>
        <w:spacing w:before="0" w:beforeAutospacing="0" w:after="0" w:afterAutospacing="0" w:line="560" w:lineRule="exact"/>
        <w:rPr>
          <w:rFonts w:ascii="仿宋" w:hAnsi="仿宋" w:eastAsia="仿宋"/>
          <w:sz w:val="28"/>
          <w:szCs w:val="28"/>
        </w:rPr>
      </w:pPr>
      <w:r>
        <w:rPr>
          <w:rFonts w:ascii="仿宋" w:hAnsi="仿宋" w:eastAsia="仿宋"/>
          <w:sz w:val="28"/>
          <w:szCs w:val="28"/>
        </w:rPr>
        <w:t>甲</w:t>
      </w:r>
      <w:r>
        <w:rPr>
          <w:rFonts w:hint="eastAsia" w:ascii="仿宋" w:hAnsi="仿宋" w:eastAsia="仿宋"/>
          <w:sz w:val="28"/>
          <w:szCs w:val="28"/>
        </w:rPr>
        <w:t xml:space="preserve"> </w:t>
      </w:r>
      <w:r>
        <w:rPr>
          <w:rFonts w:ascii="仿宋" w:hAnsi="仿宋" w:eastAsia="仿宋"/>
          <w:sz w:val="28"/>
          <w:szCs w:val="28"/>
        </w:rPr>
        <w:t>方</w:t>
      </w:r>
      <w:r>
        <w:rPr>
          <w:rFonts w:hint="eastAsia" w:ascii="仿宋" w:hAnsi="仿宋" w:eastAsia="仿宋"/>
          <w:sz w:val="28"/>
          <w:szCs w:val="28"/>
        </w:rPr>
        <w:t>：</w:t>
      </w:r>
      <w:r>
        <w:rPr>
          <w:rFonts w:hint="eastAsia" w:ascii="仿宋" w:hAnsi="仿宋" w:eastAsia="仿宋"/>
          <w:sz w:val="28"/>
          <w:szCs w:val="28"/>
          <w:lang w:eastAsia="zh-CN"/>
        </w:rPr>
        <w:t>南宁轨道数智科技有限公司</w:t>
      </w:r>
      <w:r>
        <w:rPr>
          <w:rFonts w:hint="eastAsia" w:ascii="仿宋" w:hAnsi="仿宋" w:eastAsia="仿宋"/>
          <w:sz w:val="28"/>
          <w:szCs w:val="28"/>
        </w:rPr>
        <w:t xml:space="preserve"> </w:t>
      </w:r>
    </w:p>
    <w:p w14:paraId="12272452">
      <w:pPr>
        <w:pStyle w:val="13"/>
        <w:spacing w:before="0" w:beforeAutospacing="0" w:after="0" w:afterAutospacing="0" w:line="560" w:lineRule="exact"/>
        <w:rPr>
          <w:rFonts w:ascii="仿宋" w:hAnsi="仿宋" w:eastAsia="仿宋"/>
          <w:sz w:val="28"/>
          <w:szCs w:val="28"/>
        </w:rPr>
      </w:pPr>
      <w:r>
        <w:rPr>
          <w:rFonts w:hint="eastAsia" w:ascii="仿宋" w:hAnsi="仿宋" w:eastAsia="仿宋"/>
          <w:sz w:val="28"/>
          <w:szCs w:val="28"/>
        </w:rPr>
        <w:t>法定代表</w:t>
      </w:r>
      <w:r>
        <w:rPr>
          <w:rFonts w:ascii="仿宋" w:hAnsi="仿宋" w:eastAsia="仿宋"/>
          <w:sz w:val="28"/>
          <w:szCs w:val="28"/>
        </w:rPr>
        <w:t>人</w:t>
      </w:r>
      <w:r>
        <w:rPr>
          <w:rFonts w:hint="eastAsia" w:ascii="仿宋" w:hAnsi="仿宋" w:eastAsia="仿宋"/>
          <w:sz w:val="28"/>
          <w:szCs w:val="28"/>
        </w:rPr>
        <w:t>（或授权代表）</w:t>
      </w:r>
      <w:r>
        <w:rPr>
          <w:rFonts w:ascii="仿宋" w:hAnsi="仿宋" w:eastAsia="仿宋"/>
          <w:sz w:val="28"/>
          <w:szCs w:val="28"/>
        </w:rPr>
        <w:t>：</w:t>
      </w:r>
      <w:r>
        <w:rPr>
          <w:rFonts w:hint="eastAsia" w:ascii="仿宋" w:hAnsi="仿宋" w:eastAsia="仿宋"/>
          <w:sz w:val="28"/>
          <w:szCs w:val="28"/>
        </w:rPr>
        <w:t xml:space="preserve">         </w:t>
      </w:r>
      <w:r>
        <w:rPr>
          <w:rFonts w:ascii="仿宋" w:hAnsi="仿宋" w:eastAsia="仿宋"/>
          <w:sz w:val="28"/>
          <w:szCs w:val="28"/>
        </w:rPr>
        <w:t xml:space="preserve">   </w:t>
      </w:r>
    </w:p>
    <w:p w14:paraId="46B2C55B">
      <w:pPr>
        <w:pStyle w:val="13"/>
        <w:spacing w:before="0" w:beforeAutospacing="0" w:after="0" w:afterAutospacing="0" w:line="560" w:lineRule="exact"/>
        <w:ind w:right="26" w:firstLine="2520" w:firstLineChars="900"/>
        <w:jc w:val="both"/>
        <w:rPr>
          <w:rFonts w:ascii="仿宋" w:hAnsi="仿宋" w:eastAsia="仿宋"/>
          <w:sz w:val="28"/>
          <w:szCs w:val="28"/>
        </w:rPr>
      </w:pPr>
      <w:r>
        <w:rPr>
          <w:rFonts w:ascii="仿宋" w:hAnsi="仿宋" w:eastAsia="仿宋"/>
          <w:sz w:val="28"/>
          <w:szCs w:val="28"/>
        </w:rPr>
        <w:t>年</w:t>
      </w:r>
      <w:r>
        <w:rPr>
          <w:rFonts w:hint="eastAsia" w:ascii="仿宋" w:hAnsi="仿宋" w:eastAsia="仿宋"/>
          <w:sz w:val="28"/>
          <w:szCs w:val="28"/>
        </w:rPr>
        <w:t xml:space="preserve"> </w:t>
      </w:r>
      <w:r>
        <w:rPr>
          <w:rFonts w:ascii="仿宋" w:hAnsi="仿宋" w:eastAsia="仿宋"/>
          <w:sz w:val="28"/>
          <w:szCs w:val="28"/>
        </w:rPr>
        <w:t xml:space="preserve">  月</w:t>
      </w:r>
      <w:r>
        <w:rPr>
          <w:rFonts w:hint="eastAsia" w:ascii="仿宋" w:hAnsi="仿宋" w:eastAsia="仿宋"/>
          <w:sz w:val="28"/>
          <w:szCs w:val="28"/>
        </w:rPr>
        <w:t xml:space="preserve"> </w:t>
      </w:r>
      <w:r>
        <w:rPr>
          <w:rFonts w:ascii="仿宋" w:hAnsi="仿宋" w:eastAsia="仿宋"/>
          <w:sz w:val="28"/>
          <w:szCs w:val="28"/>
        </w:rPr>
        <w:t xml:space="preserve">  日</w:t>
      </w:r>
      <w:r>
        <w:rPr>
          <w:rFonts w:hint="eastAsia" w:ascii="仿宋" w:hAnsi="仿宋" w:eastAsia="仿宋"/>
          <w:sz w:val="28"/>
          <w:szCs w:val="28"/>
        </w:rPr>
        <w:t xml:space="preserve">    </w:t>
      </w:r>
    </w:p>
    <w:p w14:paraId="40816AE7">
      <w:pPr>
        <w:pStyle w:val="13"/>
        <w:spacing w:before="0" w:beforeAutospacing="0" w:after="0" w:afterAutospacing="0" w:line="560" w:lineRule="exact"/>
        <w:ind w:right="26" w:firstLine="560" w:firstLineChars="200"/>
        <w:jc w:val="both"/>
        <w:rPr>
          <w:rFonts w:hint="eastAsia" w:ascii="仿宋" w:hAnsi="仿宋" w:eastAsia="仿宋"/>
          <w:sz w:val="28"/>
          <w:szCs w:val="28"/>
        </w:rPr>
      </w:pPr>
      <w:r>
        <w:rPr>
          <w:rFonts w:hint="eastAsia" w:ascii="仿宋" w:hAnsi="仿宋" w:eastAsia="仿宋"/>
          <w:sz w:val="28"/>
          <w:szCs w:val="28"/>
        </w:rPr>
        <w:t xml:space="preserve">               </w:t>
      </w:r>
    </w:p>
    <w:p w14:paraId="7AEBC516">
      <w:pPr>
        <w:pStyle w:val="13"/>
        <w:spacing w:before="0" w:beforeAutospacing="0" w:after="0" w:afterAutospacing="0" w:line="560" w:lineRule="exact"/>
        <w:ind w:right="26" w:firstLine="560" w:firstLineChars="200"/>
        <w:jc w:val="both"/>
        <w:rPr>
          <w:rFonts w:hint="eastAsia" w:ascii="仿宋" w:hAnsi="仿宋" w:eastAsia="仿宋"/>
          <w:sz w:val="28"/>
          <w:szCs w:val="28"/>
        </w:rPr>
      </w:pPr>
    </w:p>
    <w:p w14:paraId="4A546483">
      <w:pPr>
        <w:pStyle w:val="13"/>
        <w:spacing w:before="0" w:beforeAutospacing="0" w:after="0" w:afterAutospacing="0" w:line="560" w:lineRule="exact"/>
        <w:ind w:right="26" w:firstLine="560" w:firstLineChars="200"/>
        <w:jc w:val="both"/>
        <w:rPr>
          <w:rFonts w:hint="eastAsia" w:ascii="仿宋" w:hAnsi="仿宋" w:eastAsia="仿宋"/>
          <w:sz w:val="28"/>
          <w:szCs w:val="28"/>
        </w:rPr>
      </w:pPr>
    </w:p>
    <w:p w14:paraId="3A3118CE">
      <w:pPr>
        <w:pStyle w:val="13"/>
        <w:spacing w:before="0" w:beforeAutospacing="0" w:after="0" w:afterAutospacing="0" w:line="560" w:lineRule="exact"/>
        <w:ind w:right="26" w:firstLine="560" w:firstLineChars="200"/>
        <w:jc w:val="both"/>
        <w:rPr>
          <w:rFonts w:hint="eastAsia" w:ascii="仿宋" w:hAnsi="仿宋" w:eastAsia="仿宋"/>
          <w:sz w:val="28"/>
          <w:szCs w:val="28"/>
        </w:rPr>
      </w:pPr>
    </w:p>
    <w:p w14:paraId="25797D57">
      <w:pPr>
        <w:pStyle w:val="13"/>
        <w:spacing w:before="0" w:beforeAutospacing="0" w:after="0" w:afterAutospacing="0" w:line="560" w:lineRule="exact"/>
        <w:ind w:right="26"/>
        <w:jc w:val="both"/>
        <w:rPr>
          <w:rFonts w:hint="eastAsia" w:ascii="仿宋" w:hAnsi="仿宋" w:eastAsia="仿宋"/>
          <w:sz w:val="28"/>
          <w:szCs w:val="28"/>
          <w:lang w:eastAsia="zh-CN"/>
        </w:rPr>
      </w:pPr>
      <w:r>
        <w:rPr>
          <w:rFonts w:hint="eastAsia" w:ascii="仿宋" w:hAnsi="仿宋" w:eastAsia="仿宋"/>
          <w:sz w:val="28"/>
          <w:szCs w:val="28"/>
        </w:rPr>
        <w:t xml:space="preserve">乙 方： </w:t>
      </w:r>
      <w:r>
        <w:rPr>
          <w:rFonts w:hint="eastAsia" w:ascii="仿宋" w:hAnsi="仿宋" w:eastAsia="仿宋"/>
          <w:sz w:val="28"/>
          <w:szCs w:val="28"/>
          <w:lang w:val="en-US" w:eastAsia="zh-CN"/>
        </w:rPr>
        <w:t xml:space="preserve"> </w:t>
      </w:r>
    </w:p>
    <w:p w14:paraId="1A698E81">
      <w:pPr>
        <w:pStyle w:val="13"/>
        <w:spacing w:before="0" w:beforeAutospacing="0" w:after="0" w:afterAutospacing="0" w:line="560" w:lineRule="exact"/>
        <w:ind w:right="26"/>
        <w:jc w:val="both"/>
        <w:rPr>
          <w:rFonts w:hint="eastAsia" w:ascii="仿宋" w:hAnsi="仿宋" w:eastAsia="仿宋"/>
          <w:sz w:val="28"/>
          <w:szCs w:val="28"/>
        </w:rPr>
      </w:pPr>
      <w:r>
        <w:rPr>
          <w:rFonts w:hint="eastAsia" w:ascii="仿宋" w:hAnsi="仿宋" w:eastAsia="仿宋"/>
          <w:sz w:val="28"/>
          <w:szCs w:val="28"/>
        </w:rPr>
        <w:t>法定代表人（或授权代表）：</w:t>
      </w:r>
    </w:p>
    <w:p w14:paraId="5D73DA9A">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2520" w:firstLineChars="900"/>
        <w:jc w:val="both"/>
        <w:textAlignment w:val="auto"/>
        <w:rPr>
          <w:rFonts w:ascii="仿宋" w:hAnsi="仿宋" w:eastAsia="仿宋"/>
          <w:sz w:val="28"/>
          <w:szCs w:val="28"/>
        </w:rPr>
      </w:pPr>
      <w:r>
        <w:rPr>
          <w:rFonts w:hint="eastAsia" w:ascii="仿宋" w:hAnsi="仿宋" w:eastAsia="仿宋"/>
          <w:sz w:val="28"/>
          <w:szCs w:val="28"/>
        </w:rPr>
        <w:t xml:space="preserve">年   月   日    </w:t>
      </w:r>
    </w:p>
    <w:p w14:paraId="603440A6">
      <w:pPr>
        <w:pStyle w:val="13"/>
        <w:ind w:right="26" w:firstLine="480" w:firstLineChars="200"/>
        <w:jc w:val="both"/>
        <w:rPr>
          <w:rFonts w:ascii="仿宋" w:hAnsi="仿宋" w:eastAsia="仿宋"/>
        </w:rPr>
      </w:pPr>
    </w:p>
    <w:p w14:paraId="5A39CF8A">
      <w:pPr>
        <w:widowControl/>
        <w:spacing w:line="0" w:lineRule="atLeast"/>
        <w:rPr>
          <w:rFonts w:hint="eastAsia" w:ascii="黑体" w:hAnsi="黑体" w:eastAsia="黑体" w:cs="黑体"/>
          <w:b/>
          <w:sz w:val="28"/>
          <w:szCs w:val="28"/>
          <w:lang w:val="en-US" w:eastAsia="zh-CN"/>
        </w:rPr>
      </w:pPr>
      <w:r>
        <w:rPr>
          <w:rFonts w:hint="eastAsia"/>
        </w:rPr>
        <w:br w:type="page"/>
      </w:r>
      <w:r>
        <w:rPr>
          <w:rFonts w:hint="eastAsia" w:ascii="黑体" w:hAnsi="黑体" w:eastAsia="黑体" w:cs="黑体"/>
          <w:b/>
          <w:sz w:val="28"/>
          <w:szCs w:val="28"/>
          <w:lang w:val="en-US" w:eastAsia="zh-CN"/>
        </w:rPr>
        <w:t>附件一：</w:t>
      </w:r>
    </w:p>
    <w:p w14:paraId="2366CAE1">
      <w:pPr>
        <w:rPr>
          <w:rFonts w:hint="default"/>
          <w:lang w:val="en-US" w:eastAsia="zh-CN"/>
        </w:rPr>
      </w:pPr>
    </w:p>
    <w:p w14:paraId="60D8578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 w:hAnsi="仿宋" w:eastAsia="仿宋" w:cs="Times New Roman"/>
          <w:kern w:val="2"/>
          <w:sz w:val="28"/>
          <w:szCs w:val="28"/>
          <w:lang w:val="en-US" w:eastAsia="zh-CN" w:bidi="ar-SA"/>
        </w:rPr>
        <w:t>服务内容详见第三章项目需求。</w:t>
      </w:r>
      <w:r>
        <w:rPr>
          <w:rFonts w:hint="default"/>
          <w:lang w:val="en-US" w:eastAsia="zh-CN"/>
        </w:rPr>
        <w:br w:type="page"/>
      </w:r>
    </w:p>
    <w:p w14:paraId="58449C34">
      <w:pPr>
        <w:widowControl/>
        <w:spacing w:line="0" w:lineRule="atLeast"/>
        <w:rPr>
          <w:rFonts w:hint="eastAsia" w:ascii="黑体" w:hAnsi="黑体" w:eastAsia="黑体" w:cs="黑体"/>
          <w:b/>
          <w:bCs/>
          <w:sz w:val="28"/>
          <w:szCs w:val="28"/>
          <w:lang w:eastAsia="zh-CN"/>
        </w:rPr>
      </w:pPr>
      <w:r>
        <w:rPr>
          <w:rFonts w:hint="eastAsia" w:ascii="黑体" w:hAnsi="黑体" w:eastAsia="黑体" w:cs="黑体"/>
          <w:b/>
          <w:sz w:val="28"/>
          <w:szCs w:val="28"/>
          <w:lang w:eastAsia="zh-Hans"/>
        </w:rPr>
        <w:t>附件二</w:t>
      </w:r>
      <w:r>
        <w:rPr>
          <w:rFonts w:hint="eastAsia" w:ascii="黑体" w:hAnsi="黑体" w:eastAsia="黑体" w:cs="黑体"/>
          <w:b/>
          <w:sz w:val="28"/>
          <w:szCs w:val="28"/>
          <w:lang w:eastAsia="zh-CN"/>
        </w:rPr>
        <w:t>：</w:t>
      </w:r>
    </w:p>
    <w:p w14:paraId="69E345EF">
      <w:pPr>
        <w:jc w:val="center"/>
        <w:rPr>
          <w:b/>
          <w:bCs/>
          <w:sz w:val="44"/>
          <w:szCs w:val="44"/>
        </w:rPr>
      </w:pPr>
      <w:r>
        <w:rPr>
          <w:rFonts w:hint="eastAsia"/>
          <w:b/>
          <w:bCs/>
          <w:sz w:val="44"/>
          <w:szCs w:val="44"/>
        </w:rPr>
        <w:t>验收报告</w:t>
      </w:r>
    </w:p>
    <w:p w14:paraId="12C10097"/>
    <w:tbl>
      <w:tblPr>
        <w:tblStyle w:val="16"/>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2126"/>
        <w:gridCol w:w="4678"/>
      </w:tblGrid>
      <w:tr w14:paraId="59DB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noWrap w:val="0"/>
            <w:vAlign w:val="top"/>
          </w:tcPr>
          <w:p w14:paraId="542D4C35">
            <w:pPr>
              <w:jc w:val="center"/>
              <w:rPr>
                <w:sz w:val="28"/>
                <w:szCs w:val="28"/>
              </w:rPr>
            </w:pPr>
            <w:r>
              <w:rPr>
                <w:rFonts w:hint="eastAsia"/>
                <w:sz w:val="28"/>
                <w:szCs w:val="28"/>
              </w:rPr>
              <w:t>项目名称</w:t>
            </w:r>
          </w:p>
        </w:tc>
        <w:tc>
          <w:tcPr>
            <w:tcW w:w="6804" w:type="dxa"/>
            <w:gridSpan w:val="2"/>
            <w:noWrap w:val="0"/>
            <w:vAlign w:val="center"/>
          </w:tcPr>
          <w:p w14:paraId="472C2E1C">
            <w:pPr>
              <w:rPr>
                <w:rFonts w:hint="eastAsia" w:eastAsia="宋体"/>
                <w:sz w:val="24"/>
                <w:lang w:val="en-US" w:eastAsia="zh-CN"/>
              </w:rPr>
            </w:pPr>
          </w:p>
        </w:tc>
      </w:tr>
      <w:tr w14:paraId="4D59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noWrap w:val="0"/>
            <w:vAlign w:val="top"/>
          </w:tcPr>
          <w:p w14:paraId="5DB9186A">
            <w:pPr>
              <w:jc w:val="center"/>
              <w:rPr>
                <w:sz w:val="28"/>
                <w:szCs w:val="28"/>
              </w:rPr>
            </w:pPr>
            <w:r>
              <w:rPr>
                <w:rFonts w:hint="eastAsia"/>
                <w:sz w:val="28"/>
                <w:szCs w:val="28"/>
              </w:rPr>
              <w:t>项目金额</w:t>
            </w:r>
          </w:p>
        </w:tc>
        <w:tc>
          <w:tcPr>
            <w:tcW w:w="6804" w:type="dxa"/>
            <w:gridSpan w:val="2"/>
            <w:noWrap w:val="0"/>
            <w:vAlign w:val="center"/>
          </w:tcPr>
          <w:p w14:paraId="57DB58B4">
            <w:pPr>
              <w:rPr>
                <w:sz w:val="24"/>
              </w:rPr>
            </w:pPr>
          </w:p>
        </w:tc>
      </w:tr>
      <w:tr w14:paraId="65C2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69" w:type="dxa"/>
            <w:vMerge w:val="restart"/>
            <w:noWrap w:val="0"/>
            <w:vAlign w:val="center"/>
          </w:tcPr>
          <w:p w14:paraId="4BC51073">
            <w:pPr>
              <w:jc w:val="center"/>
              <w:rPr>
                <w:sz w:val="28"/>
                <w:szCs w:val="28"/>
              </w:rPr>
            </w:pPr>
            <w:r>
              <w:rPr>
                <w:rFonts w:hint="eastAsia"/>
                <w:sz w:val="28"/>
                <w:szCs w:val="28"/>
              </w:rPr>
              <w:t>验收单位</w:t>
            </w:r>
          </w:p>
        </w:tc>
        <w:tc>
          <w:tcPr>
            <w:tcW w:w="2126" w:type="dxa"/>
            <w:noWrap w:val="0"/>
            <w:vAlign w:val="center"/>
          </w:tcPr>
          <w:p w14:paraId="3F367486">
            <w:pPr>
              <w:jc w:val="center"/>
              <w:rPr>
                <w:rFonts w:hint="eastAsia" w:eastAsia="宋体"/>
                <w:sz w:val="28"/>
                <w:szCs w:val="28"/>
                <w:lang w:val="en-US" w:eastAsia="zh-CN"/>
              </w:rPr>
            </w:pPr>
            <w:r>
              <w:rPr>
                <w:rFonts w:hint="eastAsia"/>
                <w:sz w:val="28"/>
                <w:szCs w:val="28"/>
              </w:rPr>
              <w:t>项目实施</w:t>
            </w:r>
            <w:r>
              <w:rPr>
                <w:rFonts w:hint="eastAsia"/>
                <w:sz w:val="28"/>
                <w:szCs w:val="28"/>
                <w:lang w:val="en-US" w:eastAsia="zh-CN"/>
              </w:rPr>
              <w:t>方</w:t>
            </w:r>
          </w:p>
        </w:tc>
        <w:tc>
          <w:tcPr>
            <w:tcW w:w="4678" w:type="dxa"/>
            <w:noWrap w:val="0"/>
            <w:vAlign w:val="center"/>
          </w:tcPr>
          <w:p w14:paraId="5F7299C2">
            <w:pPr>
              <w:jc w:val="center"/>
              <w:rPr>
                <w:rFonts w:hint="eastAsia" w:ascii="宋体" w:hAnsi="宋体" w:eastAsia="宋体" w:cs="宋体"/>
                <w:sz w:val="24"/>
                <w:szCs w:val="24"/>
              </w:rPr>
            </w:pPr>
          </w:p>
        </w:tc>
      </w:tr>
      <w:tr w14:paraId="00BC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69" w:type="dxa"/>
            <w:vMerge w:val="continue"/>
            <w:noWrap w:val="0"/>
            <w:vAlign w:val="top"/>
          </w:tcPr>
          <w:p w14:paraId="027C7CEF">
            <w:pPr>
              <w:jc w:val="center"/>
              <w:rPr>
                <w:sz w:val="28"/>
                <w:szCs w:val="28"/>
              </w:rPr>
            </w:pPr>
          </w:p>
        </w:tc>
        <w:tc>
          <w:tcPr>
            <w:tcW w:w="2126" w:type="dxa"/>
            <w:noWrap w:val="0"/>
            <w:vAlign w:val="center"/>
          </w:tcPr>
          <w:p w14:paraId="67AF3EC5">
            <w:pPr>
              <w:jc w:val="center"/>
              <w:rPr>
                <w:sz w:val="28"/>
                <w:szCs w:val="28"/>
              </w:rPr>
            </w:pPr>
            <w:r>
              <w:rPr>
                <w:rFonts w:hint="eastAsia"/>
                <w:sz w:val="28"/>
                <w:szCs w:val="28"/>
                <w:lang w:val="en-US" w:eastAsia="zh-CN"/>
              </w:rPr>
              <w:t>项目委托方</w:t>
            </w:r>
          </w:p>
        </w:tc>
        <w:tc>
          <w:tcPr>
            <w:tcW w:w="4678" w:type="dxa"/>
            <w:noWrap w:val="0"/>
            <w:vAlign w:val="center"/>
          </w:tcPr>
          <w:p w14:paraId="19A50806">
            <w:pPr>
              <w:jc w:val="center"/>
              <w:rPr>
                <w:rFonts w:hint="eastAsia" w:ascii="宋体" w:hAnsi="宋体" w:eastAsia="宋体" w:cs="宋体"/>
                <w:sz w:val="24"/>
                <w:szCs w:val="24"/>
              </w:rPr>
            </w:pPr>
          </w:p>
        </w:tc>
      </w:tr>
      <w:tr w14:paraId="4C9D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4" w:hRule="exact"/>
          <w:jc w:val="center"/>
        </w:trPr>
        <w:tc>
          <w:tcPr>
            <w:tcW w:w="2269" w:type="dxa"/>
            <w:noWrap w:val="0"/>
            <w:vAlign w:val="center"/>
          </w:tcPr>
          <w:p w14:paraId="7444A5B6">
            <w:pPr>
              <w:jc w:val="center"/>
              <w:rPr>
                <w:rFonts w:hint="default" w:eastAsia="宋体"/>
                <w:sz w:val="28"/>
                <w:szCs w:val="28"/>
                <w:lang w:val="en-US" w:eastAsia="zh-CN"/>
              </w:rPr>
            </w:pPr>
            <w:r>
              <w:rPr>
                <w:rFonts w:hint="eastAsia"/>
                <w:sz w:val="28"/>
                <w:szCs w:val="28"/>
              </w:rPr>
              <w:t>验收</w:t>
            </w:r>
            <w:r>
              <w:rPr>
                <w:rFonts w:hint="eastAsia"/>
                <w:sz w:val="28"/>
                <w:szCs w:val="28"/>
                <w:lang w:val="en-US" w:eastAsia="zh-CN"/>
              </w:rPr>
              <w:t>结论</w:t>
            </w:r>
          </w:p>
        </w:tc>
        <w:tc>
          <w:tcPr>
            <w:tcW w:w="6804" w:type="dxa"/>
            <w:gridSpan w:val="2"/>
            <w:noWrap w:val="0"/>
            <w:vAlign w:val="center"/>
          </w:tcPr>
          <w:p w14:paraId="59A83719">
            <w:pPr>
              <w:spacing w:line="360" w:lineRule="auto"/>
              <w:ind w:firstLine="480" w:firstLineChars="200"/>
              <w:jc w:val="left"/>
              <w:rPr>
                <w:sz w:val="24"/>
              </w:rPr>
            </w:pPr>
          </w:p>
        </w:tc>
      </w:tr>
      <w:tr w14:paraId="38DC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2269" w:type="dxa"/>
            <w:noWrap w:val="0"/>
            <w:vAlign w:val="center"/>
          </w:tcPr>
          <w:p w14:paraId="21C9EED5">
            <w:pPr>
              <w:jc w:val="center"/>
              <w:rPr>
                <w:rFonts w:hint="eastAsia" w:eastAsia="宋体"/>
                <w:sz w:val="28"/>
                <w:szCs w:val="28"/>
                <w:lang w:eastAsia="zh-CN"/>
              </w:rPr>
            </w:pPr>
            <w:r>
              <w:rPr>
                <w:rFonts w:hint="eastAsia"/>
                <w:sz w:val="28"/>
                <w:szCs w:val="28"/>
              </w:rPr>
              <w:t>项目实施</w:t>
            </w:r>
            <w:r>
              <w:rPr>
                <w:rFonts w:hint="eastAsia"/>
                <w:sz w:val="28"/>
                <w:szCs w:val="28"/>
                <w:lang w:val="en-US" w:eastAsia="zh-CN"/>
              </w:rPr>
              <w:t>方</w:t>
            </w:r>
          </w:p>
        </w:tc>
        <w:tc>
          <w:tcPr>
            <w:tcW w:w="6804" w:type="dxa"/>
            <w:gridSpan w:val="2"/>
            <w:noWrap w:val="0"/>
            <w:vAlign w:val="top"/>
          </w:tcPr>
          <w:p w14:paraId="4ECFF610">
            <w:pPr>
              <w:rPr>
                <w:sz w:val="24"/>
              </w:rPr>
            </w:pPr>
            <w:r>
              <w:rPr>
                <w:rFonts w:hint="eastAsia"/>
                <w:sz w:val="24"/>
              </w:rPr>
              <w:t>代表</w:t>
            </w:r>
            <w:r>
              <w:rPr>
                <w:sz w:val="24"/>
              </w:rPr>
              <w:t>签字：</w:t>
            </w:r>
          </w:p>
          <w:p w14:paraId="13985B03">
            <w:pPr>
              <w:rPr>
                <w:sz w:val="24"/>
              </w:rPr>
            </w:pPr>
          </w:p>
          <w:p w14:paraId="17578C7E">
            <w:pPr>
              <w:rPr>
                <w:sz w:val="24"/>
              </w:rPr>
            </w:pPr>
          </w:p>
          <w:p w14:paraId="74653413">
            <w:pPr>
              <w:rPr>
                <w:sz w:val="24"/>
              </w:rPr>
            </w:pPr>
            <w:r>
              <w:rPr>
                <w:rFonts w:hint="eastAsia"/>
                <w:sz w:val="24"/>
              </w:rPr>
              <w:t xml:space="preserve">                                    </w:t>
            </w:r>
            <w:r>
              <w:rPr>
                <w:sz w:val="24"/>
              </w:rPr>
              <w:t xml:space="preserve"> </w:t>
            </w:r>
            <w:r>
              <w:rPr>
                <w:rFonts w:hint="eastAsia"/>
                <w:sz w:val="24"/>
              </w:rPr>
              <w:t>（章）</w:t>
            </w:r>
          </w:p>
          <w:p w14:paraId="43987503">
            <w:pPr>
              <w:rPr>
                <w:sz w:val="24"/>
              </w:rPr>
            </w:pPr>
          </w:p>
          <w:p w14:paraId="7A02E734">
            <w:pPr>
              <w:rPr>
                <w:sz w:val="24"/>
              </w:rPr>
            </w:pPr>
          </w:p>
          <w:p w14:paraId="17DBF971">
            <w:pPr>
              <w:rPr>
                <w:sz w:val="24"/>
              </w:rPr>
            </w:pPr>
            <w:r>
              <w:rPr>
                <w:rFonts w:hint="eastAsia"/>
                <w:sz w:val="24"/>
              </w:rPr>
              <w:t>日期</w:t>
            </w:r>
            <w:r>
              <w:rPr>
                <w:sz w:val="24"/>
              </w:rPr>
              <w:t>：</w:t>
            </w:r>
            <w:r>
              <w:rPr>
                <w:rFonts w:hint="eastAsia"/>
                <w:sz w:val="24"/>
              </w:rPr>
              <w:t xml:space="preserve">    年   </w:t>
            </w:r>
            <w:r>
              <w:rPr>
                <w:sz w:val="24"/>
              </w:rPr>
              <w:t xml:space="preserve"> </w:t>
            </w:r>
            <w:r>
              <w:rPr>
                <w:rFonts w:hint="eastAsia"/>
                <w:sz w:val="24"/>
              </w:rPr>
              <w:t xml:space="preserve"> 月  </w:t>
            </w:r>
            <w:r>
              <w:rPr>
                <w:sz w:val="24"/>
              </w:rPr>
              <w:t xml:space="preserve"> </w:t>
            </w:r>
            <w:r>
              <w:rPr>
                <w:rFonts w:hint="eastAsia"/>
                <w:sz w:val="24"/>
              </w:rPr>
              <w:t xml:space="preserve">  日</w:t>
            </w:r>
          </w:p>
        </w:tc>
      </w:tr>
      <w:tr w14:paraId="1A87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2269" w:type="dxa"/>
            <w:noWrap w:val="0"/>
            <w:vAlign w:val="center"/>
          </w:tcPr>
          <w:p w14:paraId="6E24B93F">
            <w:pPr>
              <w:jc w:val="center"/>
              <w:rPr>
                <w:rFonts w:hint="eastAsia" w:eastAsia="宋体"/>
                <w:sz w:val="28"/>
                <w:szCs w:val="28"/>
                <w:lang w:eastAsia="zh-CN"/>
              </w:rPr>
            </w:pPr>
            <w:r>
              <w:rPr>
                <w:rFonts w:hint="eastAsia"/>
                <w:sz w:val="28"/>
                <w:szCs w:val="28"/>
                <w:lang w:val="en-US" w:eastAsia="zh-CN"/>
              </w:rPr>
              <w:t>项目委托方</w:t>
            </w:r>
          </w:p>
        </w:tc>
        <w:tc>
          <w:tcPr>
            <w:tcW w:w="6804" w:type="dxa"/>
            <w:gridSpan w:val="2"/>
            <w:noWrap w:val="0"/>
            <w:vAlign w:val="top"/>
          </w:tcPr>
          <w:p w14:paraId="458FBE4E">
            <w:pPr>
              <w:rPr>
                <w:sz w:val="24"/>
              </w:rPr>
            </w:pPr>
            <w:r>
              <w:rPr>
                <w:rFonts w:hint="eastAsia"/>
                <w:sz w:val="24"/>
              </w:rPr>
              <w:t>代表签字</w:t>
            </w:r>
            <w:r>
              <w:rPr>
                <w:sz w:val="24"/>
              </w:rPr>
              <w:t>：</w:t>
            </w:r>
          </w:p>
          <w:p w14:paraId="37D5D648">
            <w:pPr>
              <w:rPr>
                <w:sz w:val="24"/>
              </w:rPr>
            </w:pPr>
          </w:p>
          <w:p w14:paraId="5157F8E2">
            <w:pPr>
              <w:rPr>
                <w:sz w:val="24"/>
              </w:rPr>
            </w:pPr>
          </w:p>
          <w:p w14:paraId="599CF20F">
            <w:pPr>
              <w:rPr>
                <w:sz w:val="24"/>
              </w:rPr>
            </w:pPr>
            <w:r>
              <w:rPr>
                <w:rFonts w:hint="eastAsia"/>
                <w:sz w:val="24"/>
              </w:rPr>
              <w:t xml:space="preserve">                                     （章）</w:t>
            </w:r>
          </w:p>
          <w:p w14:paraId="3ECEDDF5">
            <w:pPr>
              <w:rPr>
                <w:sz w:val="24"/>
              </w:rPr>
            </w:pPr>
          </w:p>
          <w:p w14:paraId="1E7B0CA2">
            <w:pPr>
              <w:rPr>
                <w:sz w:val="24"/>
              </w:rPr>
            </w:pPr>
          </w:p>
          <w:p w14:paraId="4DC743A1">
            <w:pPr>
              <w:rPr>
                <w:sz w:val="24"/>
              </w:rPr>
            </w:pPr>
            <w:r>
              <w:rPr>
                <w:rFonts w:hint="eastAsia"/>
                <w:sz w:val="24"/>
              </w:rPr>
              <w:t>日期</w:t>
            </w:r>
            <w:r>
              <w:rPr>
                <w:sz w:val="24"/>
              </w:rPr>
              <w:t>：</w:t>
            </w:r>
            <w:r>
              <w:rPr>
                <w:rFonts w:hint="eastAsia"/>
                <w:sz w:val="24"/>
              </w:rPr>
              <w:t xml:space="preserve">   </w:t>
            </w:r>
            <w:r>
              <w:rPr>
                <w:sz w:val="24"/>
              </w:rPr>
              <w:t xml:space="preserve"> </w:t>
            </w:r>
            <w:r>
              <w:rPr>
                <w:rFonts w:hint="eastAsia"/>
                <w:sz w:val="24"/>
              </w:rPr>
              <w:t xml:space="preserve"> 年 </w:t>
            </w:r>
            <w:r>
              <w:rPr>
                <w:sz w:val="24"/>
              </w:rPr>
              <w:t xml:space="preserve"> </w:t>
            </w:r>
            <w:r>
              <w:rPr>
                <w:rFonts w:hint="eastAsia"/>
                <w:sz w:val="24"/>
              </w:rPr>
              <w:t xml:space="preserve">   月   </w:t>
            </w:r>
            <w:r>
              <w:rPr>
                <w:sz w:val="24"/>
              </w:rPr>
              <w:t xml:space="preserve"> </w:t>
            </w:r>
            <w:r>
              <w:rPr>
                <w:rFonts w:hint="eastAsia"/>
                <w:sz w:val="24"/>
              </w:rPr>
              <w:t xml:space="preserve"> 日</w:t>
            </w:r>
          </w:p>
        </w:tc>
      </w:tr>
    </w:tbl>
    <w:p w14:paraId="43AFD96E">
      <w:pPr>
        <w:rPr>
          <w:rFonts w:ascii="仿宋" w:hAnsi="仿宋" w:eastAsia="仿宋"/>
        </w:rPr>
      </w:pPr>
      <w:r>
        <w:rPr>
          <w:rFonts w:hint="eastAsia"/>
        </w:rPr>
        <w:t>本</w:t>
      </w:r>
      <w:r>
        <w:t>报告</w:t>
      </w:r>
      <w:r>
        <w:rPr>
          <w:rFonts w:hint="eastAsia"/>
        </w:rPr>
        <w:t>一式</w:t>
      </w:r>
      <w:r>
        <w:t>二份，双方各执一份。</w:t>
      </w:r>
    </w:p>
    <w:p w14:paraId="6B92332D">
      <w:pPr>
        <w:widowControl/>
        <w:spacing w:line="0" w:lineRule="atLeast"/>
        <w:rPr>
          <w:rFonts w:hint="eastAsia" w:ascii="黑体" w:hAnsi="黑体" w:eastAsia="黑体" w:cs="黑体"/>
          <w:b/>
          <w:sz w:val="28"/>
          <w:szCs w:val="28"/>
          <w:lang w:eastAsia="zh-Hans"/>
        </w:rPr>
      </w:pPr>
      <w:r>
        <w:rPr>
          <w:rFonts w:hint="eastAsia" w:ascii="黑体" w:hAnsi="黑体" w:eastAsia="黑体" w:cs="黑体"/>
          <w:b/>
          <w:sz w:val="28"/>
          <w:szCs w:val="28"/>
          <w:lang w:eastAsia="zh-Hans"/>
        </w:rPr>
        <w:t>附件</w:t>
      </w:r>
      <w:r>
        <w:rPr>
          <w:rFonts w:hint="eastAsia" w:ascii="黑体" w:hAnsi="黑体" w:eastAsia="黑体" w:cs="黑体"/>
          <w:b/>
          <w:sz w:val="28"/>
          <w:szCs w:val="28"/>
          <w:lang w:val="en-US" w:eastAsia="zh-CN"/>
        </w:rPr>
        <w:t>三</w:t>
      </w:r>
      <w:r>
        <w:rPr>
          <w:rFonts w:hint="eastAsia" w:ascii="黑体" w:hAnsi="黑体" w:eastAsia="黑体" w:cs="黑体"/>
          <w:b/>
          <w:sz w:val="28"/>
          <w:szCs w:val="28"/>
          <w:lang w:eastAsia="zh-Hans"/>
        </w:rPr>
        <w:t>：</w:t>
      </w:r>
    </w:p>
    <w:p w14:paraId="36A38AD8">
      <w:pPr>
        <w:jc w:val="center"/>
        <w:rPr>
          <w:rFonts w:hint="eastAsia"/>
          <w:b/>
          <w:bCs/>
          <w:sz w:val="44"/>
          <w:szCs w:val="44"/>
        </w:rPr>
      </w:pPr>
      <w:r>
        <w:rPr>
          <w:rFonts w:hint="eastAsia"/>
          <w:b/>
          <w:bCs/>
          <w:sz w:val="44"/>
          <w:szCs w:val="44"/>
        </w:rPr>
        <w:t>需求变更确认书</w:t>
      </w:r>
    </w:p>
    <w:p w14:paraId="6CBA563B">
      <w:pPr>
        <w:jc w:val="center"/>
        <w:rPr>
          <w:rFonts w:hint="eastAsia"/>
          <w:b/>
          <w:bCs/>
          <w:sz w:val="21"/>
          <w:szCs w:val="21"/>
        </w:rPr>
      </w:pPr>
    </w:p>
    <w:tbl>
      <w:tblPr>
        <w:tblStyle w:val="16"/>
        <w:tblW w:w="8475" w:type="dxa"/>
        <w:tblInd w:w="93" w:type="dxa"/>
        <w:tblLayout w:type="fixed"/>
        <w:tblCellMar>
          <w:top w:w="0" w:type="dxa"/>
          <w:left w:w="108" w:type="dxa"/>
          <w:bottom w:w="0" w:type="dxa"/>
          <w:right w:w="108" w:type="dxa"/>
        </w:tblCellMar>
      </w:tblPr>
      <w:tblGrid>
        <w:gridCol w:w="1786"/>
        <w:gridCol w:w="2430"/>
        <w:gridCol w:w="375"/>
        <w:gridCol w:w="1830"/>
        <w:gridCol w:w="2054"/>
      </w:tblGrid>
      <w:tr w14:paraId="4C139291">
        <w:tblPrEx>
          <w:tblCellMar>
            <w:top w:w="0" w:type="dxa"/>
            <w:left w:w="108" w:type="dxa"/>
            <w:bottom w:w="0" w:type="dxa"/>
            <w:right w:w="108" w:type="dxa"/>
          </w:tblCellMar>
        </w:tblPrEx>
        <w:trPr>
          <w:trHeight w:val="807" w:hRule="atLeast"/>
        </w:trPr>
        <w:tc>
          <w:tcPr>
            <w:tcW w:w="1786" w:type="dxa"/>
            <w:tcBorders>
              <w:top w:val="single" w:color="auto" w:sz="4" w:space="0"/>
              <w:left w:val="single" w:color="auto" w:sz="4" w:space="0"/>
              <w:bottom w:val="single" w:color="auto" w:sz="4" w:space="0"/>
              <w:right w:val="single" w:color="auto" w:sz="4" w:space="0"/>
            </w:tcBorders>
            <w:vAlign w:val="center"/>
          </w:tcPr>
          <w:p w14:paraId="52AC4EAC">
            <w:pPr>
              <w:widowControl/>
              <w:jc w:val="left"/>
              <w:rPr>
                <w:rFonts w:ascii="宋体" w:hAnsi="宋体" w:cs="宋体"/>
                <w:kern w:val="0"/>
                <w:szCs w:val="21"/>
              </w:rPr>
            </w:pPr>
            <w:r>
              <w:rPr>
                <w:rFonts w:hint="eastAsia" w:ascii="宋体" w:hAnsi="宋体" w:cs="宋体"/>
                <w:kern w:val="0"/>
                <w:szCs w:val="21"/>
              </w:rPr>
              <w:t>原合同名称</w:t>
            </w:r>
          </w:p>
        </w:tc>
        <w:tc>
          <w:tcPr>
            <w:tcW w:w="6689" w:type="dxa"/>
            <w:gridSpan w:val="4"/>
            <w:tcBorders>
              <w:top w:val="single" w:color="auto" w:sz="4" w:space="0"/>
              <w:left w:val="nil"/>
              <w:bottom w:val="single" w:color="auto" w:sz="4" w:space="0"/>
              <w:right w:val="single" w:color="auto" w:sz="4" w:space="0"/>
            </w:tcBorders>
            <w:vAlign w:val="center"/>
          </w:tcPr>
          <w:p w14:paraId="565BD01C">
            <w:pPr>
              <w:widowControl/>
              <w:jc w:val="left"/>
              <w:rPr>
                <w:rFonts w:ascii="宋体" w:hAnsi="宋体" w:cs="宋体"/>
                <w:kern w:val="0"/>
                <w:szCs w:val="21"/>
              </w:rPr>
            </w:pPr>
          </w:p>
          <w:p w14:paraId="34D47724">
            <w:pPr>
              <w:widowControl/>
              <w:jc w:val="left"/>
              <w:rPr>
                <w:rFonts w:ascii="宋体" w:hAnsi="宋体" w:cs="宋体"/>
                <w:kern w:val="0"/>
                <w:szCs w:val="21"/>
              </w:rPr>
            </w:pPr>
          </w:p>
          <w:p w14:paraId="65E0254B">
            <w:pPr>
              <w:widowControl/>
              <w:jc w:val="left"/>
              <w:rPr>
                <w:rFonts w:ascii="宋体" w:hAnsi="宋体" w:cs="宋体"/>
                <w:kern w:val="0"/>
                <w:szCs w:val="21"/>
              </w:rPr>
            </w:pPr>
          </w:p>
        </w:tc>
      </w:tr>
      <w:tr w14:paraId="05D57216">
        <w:tblPrEx>
          <w:tblCellMar>
            <w:top w:w="0" w:type="dxa"/>
            <w:left w:w="108" w:type="dxa"/>
            <w:bottom w:w="0" w:type="dxa"/>
            <w:right w:w="108" w:type="dxa"/>
          </w:tblCellMar>
        </w:tblPrEx>
        <w:trPr>
          <w:trHeight w:val="736" w:hRule="atLeast"/>
        </w:trPr>
        <w:tc>
          <w:tcPr>
            <w:tcW w:w="1786" w:type="dxa"/>
            <w:tcBorders>
              <w:top w:val="nil"/>
              <w:left w:val="single" w:color="auto" w:sz="4" w:space="0"/>
              <w:bottom w:val="single" w:color="auto" w:sz="4" w:space="0"/>
              <w:right w:val="single" w:color="auto" w:sz="4" w:space="0"/>
            </w:tcBorders>
            <w:vAlign w:val="center"/>
          </w:tcPr>
          <w:p w14:paraId="28ADCB62">
            <w:pPr>
              <w:widowControl/>
              <w:jc w:val="left"/>
              <w:rPr>
                <w:rFonts w:ascii="宋体" w:hAnsi="宋体" w:cs="宋体"/>
                <w:kern w:val="0"/>
                <w:szCs w:val="21"/>
              </w:rPr>
            </w:pPr>
            <w:r>
              <w:rPr>
                <w:rFonts w:hint="eastAsia" w:ascii="宋体" w:hAnsi="宋体" w:cs="宋体"/>
                <w:kern w:val="0"/>
                <w:szCs w:val="21"/>
              </w:rPr>
              <w:t>甲方名称</w:t>
            </w:r>
          </w:p>
        </w:tc>
        <w:tc>
          <w:tcPr>
            <w:tcW w:w="2805" w:type="dxa"/>
            <w:gridSpan w:val="2"/>
            <w:tcBorders>
              <w:top w:val="nil"/>
              <w:left w:val="nil"/>
              <w:bottom w:val="single" w:color="auto" w:sz="4" w:space="0"/>
              <w:right w:val="single" w:color="auto" w:sz="4" w:space="0"/>
            </w:tcBorders>
            <w:vAlign w:val="center"/>
          </w:tcPr>
          <w:p w14:paraId="43496839">
            <w:pPr>
              <w:widowControl/>
              <w:jc w:val="left"/>
              <w:rPr>
                <w:rFonts w:ascii="宋体" w:hAnsi="宋体" w:cs="宋体"/>
                <w:kern w:val="0"/>
                <w:szCs w:val="21"/>
              </w:rPr>
            </w:pPr>
          </w:p>
        </w:tc>
        <w:tc>
          <w:tcPr>
            <w:tcW w:w="1830" w:type="dxa"/>
            <w:tcBorders>
              <w:top w:val="nil"/>
              <w:left w:val="nil"/>
              <w:bottom w:val="single" w:color="auto" w:sz="4" w:space="0"/>
              <w:right w:val="single" w:color="auto" w:sz="4" w:space="0"/>
            </w:tcBorders>
            <w:vAlign w:val="center"/>
          </w:tcPr>
          <w:p w14:paraId="655E81D0">
            <w:pPr>
              <w:widowControl/>
              <w:jc w:val="left"/>
              <w:rPr>
                <w:rFonts w:ascii="宋体" w:hAnsi="宋体" w:cs="宋体"/>
                <w:kern w:val="0"/>
                <w:szCs w:val="21"/>
              </w:rPr>
            </w:pPr>
            <w:r>
              <w:rPr>
                <w:rFonts w:hint="eastAsia" w:ascii="宋体" w:hAnsi="宋体" w:cs="宋体"/>
                <w:kern w:val="0"/>
                <w:szCs w:val="21"/>
              </w:rPr>
              <w:t>乙方名称</w:t>
            </w:r>
          </w:p>
        </w:tc>
        <w:tc>
          <w:tcPr>
            <w:tcW w:w="2054" w:type="dxa"/>
            <w:tcBorders>
              <w:top w:val="nil"/>
              <w:left w:val="nil"/>
              <w:bottom w:val="single" w:color="auto" w:sz="4" w:space="0"/>
              <w:right w:val="single" w:color="auto" w:sz="4" w:space="0"/>
            </w:tcBorders>
            <w:vAlign w:val="center"/>
          </w:tcPr>
          <w:p w14:paraId="0BFAAC09">
            <w:pPr>
              <w:widowControl/>
              <w:jc w:val="left"/>
              <w:rPr>
                <w:rFonts w:ascii="宋体" w:hAnsi="宋体" w:cs="宋体"/>
                <w:kern w:val="0"/>
                <w:szCs w:val="21"/>
              </w:rPr>
            </w:pPr>
          </w:p>
        </w:tc>
      </w:tr>
      <w:tr w14:paraId="29C2332B">
        <w:tblPrEx>
          <w:tblCellMar>
            <w:top w:w="0" w:type="dxa"/>
            <w:left w:w="108" w:type="dxa"/>
            <w:bottom w:w="0" w:type="dxa"/>
            <w:right w:w="108" w:type="dxa"/>
          </w:tblCellMar>
        </w:tblPrEx>
        <w:trPr>
          <w:trHeight w:val="760" w:hRule="atLeast"/>
        </w:trPr>
        <w:tc>
          <w:tcPr>
            <w:tcW w:w="1786" w:type="dxa"/>
            <w:tcBorders>
              <w:top w:val="nil"/>
              <w:left w:val="single" w:color="auto" w:sz="4" w:space="0"/>
              <w:bottom w:val="single" w:color="auto" w:sz="4" w:space="0"/>
              <w:right w:val="single" w:color="auto" w:sz="4" w:space="0"/>
            </w:tcBorders>
            <w:vAlign w:val="center"/>
          </w:tcPr>
          <w:p w14:paraId="0424EBF0">
            <w:pPr>
              <w:widowControl/>
              <w:jc w:val="left"/>
              <w:rPr>
                <w:rFonts w:ascii="宋体" w:hAnsi="宋体" w:cs="宋体"/>
                <w:kern w:val="0"/>
                <w:szCs w:val="21"/>
              </w:rPr>
            </w:pPr>
            <w:r>
              <w:rPr>
                <w:rFonts w:hint="eastAsia" w:ascii="宋体" w:hAnsi="宋体" w:cs="宋体"/>
                <w:kern w:val="0"/>
                <w:szCs w:val="21"/>
              </w:rPr>
              <w:t>甲方项目负责人</w:t>
            </w:r>
          </w:p>
        </w:tc>
        <w:tc>
          <w:tcPr>
            <w:tcW w:w="2805" w:type="dxa"/>
            <w:gridSpan w:val="2"/>
            <w:tcBorders>
              <w:top w:val="nil"/>
              <w:left w:val="nil"/>
              <w:bottom w:val="single" w:color="auto" w:sz="4" w:space="0"/>
              <w:right w:val="single" w:color="auto" w:sz="4" w:space="0"/>
            </w:tcBorders>
            <w:vAlign w:val="center"/>
          </w:tcPr>
          <w:p w14:paraId="7EFDAFA6">
            <w:pPr>
              <w:widowControl/>
              <w:jc w:val="left"/>
              <w:rPr>
                <w:rFonts w:ascii="宋体" w:hAnsi="宋体" w:cs="宋体"/>
                <w:kern w:val="0"/>
                <w:szCs w:val="21"/>
              </w:rPr>
            </w:pPr>
          </w:p>
        </w:tc>
        <w:tc>
          <w:tcPr>
            <w:tcW w:w="1830" w:type="dxa"/>
            <w:tcBorders>
              <w:top w:val="nil"/>
              <w:left w:val="nil"/>
              <w:bottom w:val="single" w:color="auto" w:sz="4" w:space="0"/>
              <w:right w:val="single" w:color="auto" w:sz="4" w:space="0"/>
            </w:tcBorders>
            <w:vAlign w:val="center"/>
          </w:tcPr>
          <w:p w14:paraId="1CF7DD83">
            <w:pPr>
              <w:widowControl/>
              <w:jc w:val="left"/>
              <w:rPr>
                <w:rFonts w:ascii="宋体" w:hAnsi="宋体" w:cs="宋体"/>
                <w:kern w:val="0"/>
                <w:szCs w:val="21"/>
              </w:rPr>
            </w:pPr>
            <w:r>
              <w:rPr>
                <w:rFonts w:hint="eastAsia" w:ascii="宋体" w:hAnsi="宋体" w:cs="宋体"/>
                <w:kern w:val="0"/>
                <w:szCs w:val="21"/>
              </w:rPr>
              <w:t>乙方项目负责人</w:t>
            </w:r>
          </w:p>
        </w:tc>
        <w:tc>
          <w:tcPr>
            <w:tcW w:w="2054" w:type="dxa"/>
            <w:tcBorders>
              <w:top w:val="nil"/>
              <w:left w:val="nil"/>
              <w:bottom w:val="single" w:color="auto" w:sz="4" w:space="0"/>
              <w:right w:val="single" w:color="auto" w:sz="4" w:space="0"/>
            </w:tcBorders>
            <w:vAlign w:val="center"/>
          </w:tcPr>
          <w:p w14:paraId="50B6C2A5">
            <w:pPr>
              <w:widowControl/>
              <w:jc w:val="left"/>
              <w:rPr>
                <w:rFonts w:ascii="宋体" w:hAnsi="宋体" w:cs="宋体"/>
                <w:kern w:val="0"/>
                <w:szCs w:val="21"/>
              </w:rPr>
            </w:pPr>
          </w:p>
        </w:tc>
      </w:tr>
      <w:tr w14:paraId="39CABBD5">
        <w:tblPrEx>
          <w:tblCellMar>
            <w:top w:w="0" w:type="dxa"/>
            <w:left w:w="108" w:type="dxa"/>
            <w:bottom w:w="0" w:type="dxa"/>
            <w:right w:w="108" w:type="dxa"/>
          </w:tblCellMar>
        </w:tblPrEx>
        <w:trPr>
          <w:trHeight w:val="990" w:hRule="atLeast"/>
        </w:trPr>
        <w:tc>
          <w:tcPr>
            <w:tcW w:w="1786" w:type="dxa"/>
            <w:tcBorders>
              <w:top w:val="nil"/>
              <w:left w:val="single" w:color="auto" w:sz="4" w:space="0"/>
              <w:bottom w:val="single" w:color="auto" w:sz="4" w:space="0"/>
              <w:right w:val="single" w:color="auto" w:sz="4" w:space="0"/>
            </w:tcBorders>
            <w:vAlign w:val="center"/>
          </w:tcPr>
          <w:p w14:paraId="4846774E">
            <w:pPr>
              <w:widowControl/>
              <w:jc w:val="left"/>
              <w:rPr>
                <w:rFonts w:ascii="宋体" w:hAnsi="宋体" w:cs="宋体"/>
                <w:kern w:val="0"/>
                <w:szCs w:val="21"/>
              </w:rPr>
            </w:pPr>
            <w:r>
              <w:rPr>
                <w:rFonts w:hint="eastAsia" w:ascii="宋体" w:hAnsi="宋体" w:cs="宋体"/>
                <w:kern w:val="0"/>
                <w:szCs w:val="21"/>
              </w:rPr>
              <w:t>需求变更内容</w:t>
            </w:r>
          </w:p>
        </w:tc>
        <w:tc>
          <w:tcPr>
            <w:tcW w:w="6689" w:type="dxa"/>
            <w:gridSpan w:val="4"/>
            <w:tcBorders>
              <w:top w:val="single" w:color="auto" w:sz="4" w:space="0"/>
              <w:left w:val="nil"/>
              <w:bottom w:val="single" w:color="auto" w:sz="4" w:space="0"/>
              <w:right w:val="single" w:color="auto" w:sz="4" w:space="0"/>
            </w:tcBorders>
            <w:vAlign w:val="center"/>
          </w:tcPr>
          <w:p w14:paraId="51803679">
            <w:pPr>
              <w:widowControl/>
              <w:jc w:val="left"/>
              <w:rPr>
                <w:rFonts w:ascii="宋体" w:hAnsi="宋体" w:cs="宋体"/>
                <w:kern w:val="0"/>
                <w:szCs w:val="21"/>
              </w:rPr>
            </w:pPr>
          </w:p>
        </w:tc>
      </w:tr>
      <w:tr w14:paraId="23D0C36C">
        <w:tblPrEx>
          <w:tblCellMar>
            <w:top w:w="0" w:type="dxa"/>
            <w:left w:w="108" w:type="dxa"/>
            <w:bottom w:w="0" w:type="dxa"/>
            <w:right w:w="108" w:type="dxa"/>
          </w:tblCellMar>
        </w:tblPrEx>
        <w:trPr>
          <w:trHeight w:val="705" w:hRule="atLeast"/>
        </w:trPr>
        <w:tc>
          <w:tcPr>
            <w:tcW w:w="1786" w:type="dxa"/>
            <w:tcBorders>
              <w:top w:val="nil"/>
              <w:left w:val="single" w:color="auto" w:sz="4" w:space="0"/>
              <w:bottom w:val="single" w:color="auto" w:sz="4" w:space="0"/>
              <w:right w:val="single" w:color="auto" w:sz="4" w:space="0"/>
            </w:tcBorders>
            <w:vAlign w:val="center"/>
          </w:tcPr>
          <w:p w14:paraId="77286434">
            <w:pPr>
              <w:widowControl/>
              <w:jc w:val="left"/>
              <w:rPr>
                <w:rFonts w:ascii="宋体" w:hAnsi="宋体" w:cs="宋体"/>
                <w:kern w:val="0"/>
                <w:szCs w:val="21"/>
              </w:rPr>
            </w:pPr>
            <w:r>
              <w:rPr>
                <w:rFonts w:hint="eastAsia" w:ascii="宋体" w:hAnsi="宋体" w:cs="宋体"/>
                <w:kern w:val="0"/>
                <w:szCs w:val="21"/>
              </w:rPr>
              <w:t>工期变更</w:t>
            </w:r>
          </w:p>
        </w:tc>
        <w:tc>
          <w:tcPr>
            <w:tcW w:w="6689" w:type="dxa"/>
            <w:gridSpan w:val="4"/>
            <w:tcBorders>
              <w:top w:val="single" w:color="auto" w:sz="4" w:space="0"/>
              <w:left w:val="nil"/>
              <w:bottom w:val="single" w:color="auto" w:sz="4" w:space="0"/>
              <w:right w:val="single" w:color="auto" w:sz="4" w:space="0"/>
            </w:tcBorders>
            <w:vAlign w:val="center"/>
          </w:tcPr>
          <w:p w14:paraId="34852578">
            <w:pPr>
              <w:widowControl/>
              <w:numPr>
                <w:ilvl w:val="255"/>
                <w:numId w:val="0"/>
              </w:numPr>
              <w:jc w:val="left"/>
              <w:rPr>
                <w:rFonts w:ascii="宋体" w:hAnsi="宋体" w:cs="宋体"/>
                <w:kern w:val="0"/>
                <w:szCs w:val="21"/>
              </w:rPr>
            </w:pPr>
          </w:p>
          <w:p w14:paraId="2D57DE50">
            <w:pPr>
              <w:widowControl/>
              <w:numPr>
                <w:ilvl w:val="255"/>
                <w:numId w:val="0"/>
              </w:numPr>
              <w:jc w:val="left"/>
              <w:rPr>
                <w:rFonts w:ascii="宋体" w:hAnsi="宋体" w:cs="宋体"/>
                <w:kern w:val="0"/>
                <w:szCs w:val="21"/>
              </w:rPr>
            </w:pPr>
          </w:p>
          <w:p w14:paraId="1F53513D">
            <w:pPr>
              <w:widowControl/>
              <w:numPr>
                <w:ilvl w:val="255"/>
                <w:numId w:val="0"/>
              </w:numPr>
              <w:jc w:val="left"/>
              <w:rPr>
                <w:rFonts w:ascii="宋体" w:hAnsi="宋体" w:cs="宋体"/>
                <w:kern w:val="0"/>
                <w:szCs w:val="21"/>
              </w:rPr>
            </w:pPr>
          </w:p>
        </w:tc>
      </w:tr>
      <w:tr w14:paraId="7D580A3A">
        <w:tblPrEx>
          <w:tblCellMar>
            <w:top w:w="0" w:type="dxa"/>
            <w:left w:w="108" w:type="dxa"/>
            <w:bottom w:w="0" w:type="dxa"/>
            <w:right w:w="108" w:type="dxa"/>
          </w:tblCellMar>
        </w:tblPrEx>
        <w:trPr>
          <w:trHeight w:val="1005" w:hRule="atLeast"/>
        </w:trPr>
        <w:tc>
          <w:tcPr>
            <w:tcW w:w="1786" w:type="dxa"/>
            <w:tcBorders>
              <w:top w:val="nil"/>
              <w:left w:val="single" w:color="auto" w:sz="4" w:space="0"/>
              <w:bottom w:val="single" w:color="auto" w:sz="4" w:space="0"/>
              <w:right w:val="single" w:color="auto" w:sz="4" w:space="0"/>
            </w:tcBorders>
            <w:vAlign w:val="center"/>
          </w:tcPr>
          <w:p w14:paraId="04EA58C1">
            <w:pPr>
              <w:widowControl/>
              <w:jc w:val="left"/>
              <w:rPr>
                <w:rFonts w:ascii="宋体" w:hAnsi="宋体" w:cs="宋体"/>
                <w:kern w:val="0"/>
                <w:szCs w:val="21"/>
              </w:rPr>
            </w:pPr>
            <w:r>
              <w:rPr>
                <w:rFonts w:hint="eastAsia" w:ascii="宋体" w:hAnsi="宋体" w:cs="宋体"/>
                <w:kern w:val="0"/>
                <w:szCs w:val="21"/>
              </w:rPr>
              <w:t>费用变更</w:t>
            </w:r>
          </w:p>
        </w:tc>
        <w:tc>
          <w:tcPr>
            <w:tcW w:w="6689" w:type="dxa"/>
            <w:gridSpan w:val="4"/>
            <w:tcBorders>
              <w:top w:val="single" w:color="auto" w:sz="4" w:space="0"/>
              <w:left w:val="nil"/>
              <w:bottom w:val="single" w:color="auto" w:sz="4" w:space="0"/>
              <w:right w:val="single" w:color="auto" w:sz="4" w:space="0"/>
            </w:tcBorders>
            <w:vAlign w:val="center"/>
          </w:tcPr>
          <w:p w14:paraId="4E6156C0">
            <w:pPr>
              <w:widowControl/>
              <w:numPr>
                <w:ilvl w:val="255"/>
                <w:numId w:val="0"/>
              </w:numPr>
              <w:jc w:val="left"/>
              <w:rPr>
                <w:rFonts w:ascii="宋体" w:hAnsi="宋体" w:cs="宋体"/>
                <w:kern w:val="0"/>
                <w:szCs w:val="21"/>
              </w:rPr>
            </w:pPr>
          </w:p>
        </w:tc>
      </w:tr>
      <w:tr w14:paraId="15820F4C">
        <w:tblPrEx>
          <w:tblCellMar>
            <w:top w:w="0" w:type="dxa"/>
            <w:left w:w="108" w:type="dxa"/>
            <w:bottom w:w="0" w:type="dxa"/>
            <w:right w:w="108" w:type="dxa"/>
          </w:tblCellMar>
        </w:tblPrEx>
        <w:trPr>
          <w:trHeight w:val="2374" w:hRule="atLeast"/>
        </w:trPr>
        <w:tc>
          <w:tcPr>
            <w:tcW w:w="4216" w:type="dxa"/>
            <w:gridSpan w:val="2"/>
            <w:tcBorders>
              <w:top w:val="nil"/>
              <w:left w:val="single" w:color="auto" w:sz="4" w:space="0"/>
              <w:bottom w:val="single" w:color="auto" w:sz="4" w:space="0"/>
              <w:right w:val="single" w:color="auto" w:sz="4" w:space="0"/>
            </w:tcBorders>
            <w:vAlign w:val="center"/>
          </w:tcPr>
          <w:p w14:paraId="4CE0CDCE">
            <w:pPr>
              <w:rPr>
                <w:rFonts w:ascii="宋体" w:hAnsi="宋体" w:cs="宋体"/>
                <w:szCs w:val="21"/>
              </w:rPr>
            </w:pPr>
            <w:r>
              <w:rPr>
                <w:rFonts w:hint="eastAsia" w:ascii="宋体" w:hAnsi="宋体" w:cs="宋体"/>
                <w:szCs w:val="21"/>
              </w:rPr>
              <w:t>甲方（章）：</w:t>
            </w:r>
          </w:p>
          <w:p w14:paraId="4834E41B">
            <w:pPr>
              <w:rPr>
                <w:rFonts w:ascii="宋体" w:hAnsi="宋体" w:cs="宋体"/>
                <w:szCs w:val="21"/>
              </w:rPr>
            </w:pPr>
          </w:p>
          <w:p w14:paraId="15AC8EE5">
            <w:pPr>
              <w:rPr>
                <w:rFonts w:ascii="宋体" w:hAnsi="宋体" w:cs="宋体"/>
                <w:szCs w:val="21"/>
              </w:rPr>
            </w:pPr>
          </w:p>
          <w:p w14:paraId="53A9EE62">
            <w:pPr>
              <w:rPr>
                <w:rFonts w:ascii="宋体" w:hAnsi="宋体" w:cs="宋体"/>
                <w:szCs w:val="21"/>
              </w:rPr>
            </w:pPr>
            <w:r>
              <w:rPr>
                <w:rFonts w:hint="eastAsia" w:ascii="宋体" w:hAnsi="宋体" w:cs="宋体"/>
                <w:szCs w:val="21"/>
              </w:rPr>
              <w:t>负责人（签字）：</w:t>
            </w:r>
          </w:p>
          <w:p w14:paraId="3BA54C10">
            <w:pPr>
              <w:rPr>
                <w:rFonts w:ascii="宋体" w:hAnsi="宋体" w:cs="宋体"/>
                <w:szCs w:val="21"/>
              </w:rPr>
            </w:pPr>
          </w:p>
          <w:p w14:paraId="4C5CDB0C">
            <w:pPr>
              <w:rPr>
                <w:rFonts w:ascii="宋体" w:hAnsi="宋体" w:cs="宋体"/>
                <w:szCs w:val="21"/>
              </w:rPr>
            </w:pPr>
          </w:p>
          <w:p w14:paraId="2BDDD9C8">
            <w:pPr>
              <w:rPr>
                <w:rFonts w:ascii="宋体" w:hAnsi="宋体" w:cs="宋体"/>
                <w:kern w:val="0"/>
                <w:szCs w:val="21"/>
              </w:rPr>
            </w:pPr>
            <w:r>
              <w:rPr>
                <w:rFonts w:hint="eastAsia" w:ascii="宋体" w:hAnsi="宋体" w:cs="宋体"/>
                <w:szCs w:val="21"/>
              </w:rPr>
              <w:t>日期：</w:t>
            </w:r>
          </w:p>
        </w:tc>
        <w:tc>
          <w:tcPr>
            <w:tcW w:w="4259" w:type="dxa"/>
            <w:gridSpan w:val="3"/>
            <w:tcBorders>
              <w:top w:val="single" w:color="auto" w:sz="4" w:space="0"/>
              <w:left w:val="nil"/>
              <w:bottom w:val="single" w:color="auto" w:sz="4" w:space="0"/>
              <w:right w:val="single" w:color="auto" w:sz="4" w:space="0"/>
            </w:tcBorders>
            <w:vAlign w:val="center"/>
          </w:tcPr>
          <w:p w14:paraId="7017D953">
            <w:pPr>
              <w:widowControl/>
              <w:jc w:val="left"/>
              <w:rPr>
                <w:rFonts w:ascii="宋体" w:hAnsi="宋体" w:cs="宋体"/>
                <w:szCs w:val="21"/>
              </w:rPr>
            </w:pPr>
            <w:r>
              <w:rPr>
                <w:rFonts w:hint="eastAsia" w:ascii="宋体" w:hAnsi="宋体" w:cs="宋体"/>
                <w:szCs w:val="21"/>
              </w:rPr>
              <w:t>乙方（章）：</w:t>
            </w:r>
          </w:p>
          <w:p w14:paraId="6D843180">
            <w:pPr>
              <w:widowControl/>
              <w:jc w:val="left"/>
              <w:rPr>
                <w:rFonts w:ascii="宋体" w:hAnsi="宋体" w:cs="宋体"/>
                <w:szCs w:val="21"/>
              </w:rPr>
            </w:pPr>
          </w:p>
          <w:p w14:paraId="3A08F0D9">
            <w:pPr>
              <w:widowControl/>
              <w:jc w:val="left"/>
              <w:rPr>
                <w:rFonts w:ascii="宋体" w:hAnsi="宋体" w:cs="宋体"/>
                <w:szCs w:val="21"/>
              </w:rPr>
            </w:pPr>
          </w:p>
          <w:p w14:paraId="040C1884">
            <w:pPr>
              <w:rPr>
                <w:rFonts w:ascii="宋体" w:hAnsi="宋体" w:cs="宋体"/>
                <w:szCs w:val="21"/>
              </w:rPr>
            </w:pPr>
            <w:r>
              <w:rPr>
                <w:rFonts w:hint="eastAsia" w:ascii="宋体" w:hAnsi="宋体" w:cs="宋体"/>
                <w:szCs w:val="21"/>
              </w:rPr>
              <w:t>负责人（签字）：</w:t>
            </w:r>
          </w:p>
          <w:p w14:paraId="00613A39">
            <w:pPr>
              <w:widowControl/>
              <w:jc w:val="left"/>
              <w:rPr>
                <w:rFonts w:ascii="宋体" w:hAnsi="宋体" w:cs="宋体"/>
                <w:szCs w:val="21"/>
              </w:rPr>
            </w:pPr>
          </w:p>
          <w:p w14:paraId="48642B59">
            <w:pPr>
              <w:widowControl/>
              <w:jc w:val="left"/>
              <w:rPr>
                <w:rFonts w:ascii="宋体" w:hAnsi="宋体" w:cs="宋体"/>
                <w:szCs w:val="21"/>
              </w:rPr>
            </w:pPr>
          </w:p>
          <w:p w14:paraId="42075BF9">
            <w:pPr>
              <w:widowControl/>
              <w:jc w:val="left"/>
              <w:rPr>
                <w:rFonts w:ascii="宋体" w:hAnsi="宋体" w:cs="宋体"/>
                <w:kern w:val="0"/>
                <w:szCs w:val="21"/>
              </w:rPr>
            </w:pPr>
            <w:r>
              <w:rPr>
                <w:rFonts w:hint="eastAsia" w:ascii="宋体" w:hAnsi="宋体" w:cs="宋体"/>
                <w:szCs w:val="21"/>
              </w:rPr>
              <w:t>日期：</w:t>
            </w:r>
          </w:p>
        </w:tc>
      </w:tr>
    </w:tbl>
    <w:p w14:paraId="0A29ACD2">
      <w:pPr>
        <w:pStyle w:val="13"/>
        <w:ind w:right="26"/>
        <w:jc w:val="both"/>
        <w:rPr>
          <w:rFonts w:ascii="仿宋" w:hAnsi="仿宋" w:eastAsia="仿宋"/>
        </w:rPr>
      </w:pPr>
    </w:p>
    <w:p w14:paraId="4F106DBB">
      <w:pPr>
        <w:rPr>
          <w:rFonts w:hint="eastAsia"/>
        </w:rPr>
      </w:pPr>
      <w:r>
        <w:rPr>
          <w:rFonts w:hint="default"/>
          <w:lang w:val="en-US" w:eastAsia="zh-CN"/>
        </w:rPr>
        <w:br w:type="page"/>
      </w:r>
    </w:p>
    <w:p w14:paraId="74B60275">
      <w:pPr>
        <w:pStyle w:val="8"/>
        <w:jc w:val="center"/>
        <w:outlineLvl w:val="0"/>
        <w:rPr>
          <w:rFonts w:ascii="黑体" w:hAnsi="黑体" w:eastAsia="黑体" w:cs="黑体"/>
          <w:b/>
          <w:bCs/>
          <w:sz w:val="32"/>
          <w:szCs w:val="32"/>
        </w:rPr>
      </w:pPr>
      <w:bookmarkStart w:id="225" w:name="_Toc4067"/>
      <w:bookmarkStart w:id="226" w:name="_Toc13296"/>
      <w:r>
        <w:rPr>
          <w:rFonts w:hint="eastAsia" w:ascii="黑体" w:hAnsi="黑体" w:eastAsia="黑体" w:cs="黑体"/>
          <w:b/>
          <w:bCs/>
          <w:sz w:val="32"/>
          <w:szCs w:val="32"/>
        </w:rPr>
        <w:t>第三章 项目需求</w:t>
      </w:r>
      <w:bookmarkEnd w:id="225"/>
      <w:bookmarkEnd w:id="226"/>
    </w:p>
    <w:p w14:paraId="10F3C7E0">
      <w:pPr>
        <w:rPr>
          <w:rFonts w:hint="eastAsia"/>
        </w:rPr>
      </w:pPr>
    </w:p>
    <w:p w14:paraId="005245B5">
      <w:pPr>
        <w:jc w:val="center"/>
        <w:outlineLvl w:val="1"/>
        <w:rPr>
          <w:rFonts w:hint="eastAsia"/>
          <w:b/>
          <w:bCs/>
          <w:sz w:val="32"/>
          <w:szCs w:val="32"/>
          <w:lang w:eastAsia="zh-CN"/>
        </w:rPr>
      </w:pPr>
      <w:bookmarkStart w:id="227" w:name="_Toc32341"/>
      <w:r>
        <w:rPr>
          <w:rFonts w:hint="eastAsia"/>
          <w:b/>
          <w:bCs/>
          <w:sz w:val="32"/>
          <w:szCs w:val="32"/>
          <w:lang w:eastAsia="zh-CN"/>
        </w:rPr>
        <w:t>技术需求</w:t>
      </w:r>
      <w:bookmarkEnd w:id="227"/>
    </w:p>
    <w:p w14:paraId="7A502AF1">
      <w:pPr>
        <w:keepNext/>
        <w:keepLines/>
        <w:pageBreakBefore w:val="0"/>
        <w:widowControl w:val="0"/>
        <w:numPr>
          <w:ilvl w:val="0"/>
          <w:numId w:val="2"/>
        </w:numPr>
        <w:pBdr>
          <w:bottom w:val="none" w:color="auto" w:sz="0" w:space="0"/>
        </w:pBdr>
        <w:tabs>
          <w:tab w:val="left" w:pos="432"/>
        </w:tabs>
        <w:spacing w:before="100" w:after="100" w:line="360" w:lineRule="auto"/>
        <w:ind w:left="720" w:hanging="720"/>
        <w:jc w:val="both"/>
        <w:outlineLvl w:val="1"/>
        <w:rPr>
          <w:rFonts w:ascii="宋体" w:hAnsi="宋体" w:eastAsia="宋体" w:cs="Times New Roman"/>
          <w:b/>
          <w:bCs/>
          <w:kern w:val="44"/>
          <w:sz w:val="28"/>
          <w:szCs w:val="28"/>
          <w:lang w:val="en-US" w:eastAsia="zh-CN" w:bidi="ar-SA"/>
        </w:rPr>
      </w:pPr>
      <w:bookmarkStart w:id="228" w:name="_Toc1166"/>
      <w:r>
        <w:rPr>
          <w:rFonts w:hint="eastAsia" w:ascii="宋体" w:hAnsi="宋体" w:eastAsia="宋体" w:cs="Times New Roman"/>
          <w:b/>
          <w:bCs/>
          <w:kern w:val="44"/>
          <w:sz w:val="28"/>
          <w:szCs w:val="28"/>
          <w:lang w:val="en-US" w:eastAsia="zh-CN" w:bidi="ar-SA"/>
        </w:rPr>
        <w:t>编写目的</w:t>
      </w:r>
      <w:bookmarkEnd w:id="228"/>
    </w:p>
    <w:p w14:paraId="443766FF">
      <w:pPr>
        <w:spacing w:before="120" w:line="360" w:lineRule="auto"/>
        <w:ind w:firstLine="420"/>
        <w:rPr>
          <w:rFonts w:ascii="宋体" w:hAnsi="宋体" w:eastAsia="宋体" w:cs="Times New Roman"/>
          <w:sz w:val="24"/>
        </w:rPr>
      </w:pPr>
      <w:r>
        <w:rPr>
          <w:rFonts w:hint="eastAsia" w:ascii="宋体" w:hAnsi="宋体" w:eastAsia="宋体" w:cs="Times New Roman"/>
          <w:sz w:val="24"/>
        </w:rPr>
        <w:t>软件概要设计报告根据需求规格对程序系统的高层设计考虑，包括程序系统的基本处理流程，程序系统的组织结构、模块划分、功能分配、接口设计、运行设计、数据结构设计和安全性设计等设计，为详细设计和开发实现提供指导。</w:t>
      </w:r>
    </w:p>
    <w:p w14:paraId="1500544F">
      <w:pPr>
        <w:keepNext/>
        <w:keepLines/>
        <w:pageBreakBefore w:val="0"/>
        <w:widowControl w:val="0"/>
        <w:numPr>
          <w:ilvl w:val="0"/>
          <w:numId w:val="2"/>
        </w:numPr>
        <w:pBdr>
          <w:bottom w:val="none" w:color="auto" w:sz="0" w:space="0"/>
        </w:pBdr>
        <w:tabs>
          <w:tab w:val="left" w:pos="432"/>
        </w:tabs>
        <w:spacing w:before="100" w:after="100" w:line="360" w:lineRule="auto"/>
        <w:ind w:left="720" w:hanging="720"/>
        <w:jc w:val="both"/>
        <w:outlineLvl w:val="1"/>
        <w:rPr>
          <w:rFonts w:ascii="宋体" w:hAnsi="宋体" w:eastAsia="宋体" w:cs="Times New Roman"/>
          <w:b/>
          <w:bCs/>
          <w:kern w:val="44"/>
          <w:sz w:val="28"/>
          <w:szCs w:val="28"/>
          <w:lang w:val="en-US" w:eastAsia="zh-CN" w:bidi="ar-SA"/>
        </w:rPr>
      </w:pPr>
      <w:bookmarkStart w:id="229" w:name="_Toc12312"/>
      <w:bookmarkStart w:id="230" w:name="_Toc10227"/>
      <w:r>
        <w:rPr>
          <w:rFonts w:hint="eastAsia" w:ascii="宋体" w:hAnsi="宋体" w:eastAsia="宋体" w:cs="Times New Roman"/>
          <w:b/>
          <w:bCs/>
          <w:kern w:val="44"/>
          <w:sz w:val="28"/>
          <w:szCs w:val="28"/>
          <w:lang w:val="en-US" w:eastAsia="zh-CN" w:bidi="ar-SA"/>
        </w:rPr>
        <w:t>概述</w:t>
      </w:r>
      <w:bookmarkEnd w:id="229"/>
      <w:bookmarkEnd w:id="230"/>
    </w:p>
    <w:p w14:paraId="4C62C0FB">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31" w:name="_Toc3847"/>
      <w:bookmarkStart w:id="232" w:name="_Toc12379"/>
      <w:r>
        <w:rPr>
          <w:rFonts w:hint="eastAsia" w:ascii="宋体" w:hAnsi="宋体" w:eastAsia="宋体" w:cs="宋体"/>
          <w:b/>
          <w:bCs/>
          <w:snapToGrid/>
          <w:kern w:val="2"/>
          <w:sz w:val="24"/>
          <w:szCs w:val="24"/>
          <w:lang w:val="en-US" w:eastAsia="zh-CN" w:bidi="ar-SA"/>
        </w:rPr>
        <w:t>项目背景</w:t>
      </w:r>
      <w:bookmarkEnd w:id="231"/>
      <w:bookmarkEnd w:id="232"/>
    </w:p>
    <w:p w14:paraId="196EFA80">
      <w:pPr>
        <w:keepNext/>
        <w:keepLines/>
        <w:widowControl w:val="0"/>
        <w:numPr>
          <w:ilvl w:val="0"/>
          <w:numId w:val="0"/>
        </w:numPr>
        <w:tabs>
          <w:tab w:val="left" w:pos="432"/>
        </w:tabs>
        <w:spacing w:before="100" w:after="100" w:line="360" w:lineRule="auto"/>
        <w:ind w:left="210" w:leftChars="0" w:firstLine="480" w:firstLineChars="200"/>
        <w:jc w:val="both"/>
        <w:outlineLvl w:val="9"/>
        <w:rPr>
          <w:rFonts w:ascii="宋体" w:hAnsi="宋体" w:eastAsia="宋体" w:cs="宋体"/>
          <w:b/>
          <w:bCs/>
          <w:snapToGrid/>
          <w:kern w:val="2"/>
          <w:sz w:val="24"/>
          <w:szCs w:val="24"/>
          <w:lang w:val="en-US" w:eastAsia="zh-CN" w:bidi="ar-SA"/>
        </w:rPr>
      </w:pPr>
      <w:r>
        <w:rPr>
          <w:rFonts w:hint="eastAsia" w:ascii="宋体" w:hAnsi="宋体" w:eastAsia="新宋体" w:cs="宋体"/>
          <w:color w:val="222222"/>
          <w:sz w:val="24"/>
          <w:shd w:val="clear" w:color="auto" w:fill="FFFFFF"/>
        </w:rPr>
        <w:t>轨道交通行业绩效指标管理平台是一套辅助管理系统，对各类指标进行统筹管理，减轻目前现存繁琐的线下数据收集、人为输出报表报告等指标管理方式，提高线网、中心、部门及车间班组等指标管理人员对指标数据获取、指标分配、报告输出和数据分析的效率，实现数据清晰、真实、一致。</w:t>
      </w:r>
    </w:p>
    <w:p w14:paraId="6359D067">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33" w:name="_Toc23835"/>
      <w:bookmarkStart w:id="234" w:name="_Toc13248"/>
      <w:bookmarkStart w:id="235" w:name="_Toc28504835"/>
      <w:r>
        <w:rPr>
          <w:rFonts w:hint="eastAsia" w:ascii="宋体" w:hAnsi="宋体" w:eastAsia="宋体" w:cs="宋体"/>
          <w:b/>
          <w:bCs/>
          <w:snapToGrid/>
          <w:kern w:val="2"/>
          <w:sz w:val="24"/>
          <w:szCs w:val="24"/>
          <w:lang w:val="en-US" w:eastAsia="zh-CN" w:bidi="ar-SA"/>
        </w:rPr>
        <w:t>产品范围</w:t>
      </w:r>
      <w:bookmarkEnd w:id="233"/>
      <w:bookmarkEnd w:id="234"/>
    </w:p>
    <w:p w14:paraId="46AACD52">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本系统项目的功能需求主要包括七个方面：指标配置管理、指标查询、预警与考核管理、数据分析管理、报表报告管理、用户管理、接口需求。主要实现运营公司管理与生产指标的上报、审核、汇总与统计、预警分析、展示等功能，以达到对公司指标全过程管理的目的。</w:t>
      </w:r>
    </w:p>
    <w:p w14:paraId="0FC5A379">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36" w:name="_Toc17908"/>
      <w:bookmarkStart w:id="237" w:name="_Toc20511"/>
      <w:r>
        <w:rPr>
          <w:rFonts w:hint="eastAsia" w:ascii="宋体" w:hAnsi="宋体" w:eastAsia="宋体" w:cs="宋体"/>
          <w:b/>
          <w:bCs/>
          <w:snapToGrid/>
          <w:kern w:val="2"/>
          <w:sz w:val="24"/>
          <w:szCs w:val="24"/>
          <w:lang w:val="en-US" w:eastAsia="zh-CN" w:bidi="ar-SA"/>
        </w:rPr>
        <w:t>术语</w:t>
      </w:r>
      <w:bookmarkEnd w:id="235"/>
      <w:r>
        <w:rPr>
          <w:rFonts w:hint="eastAsia" w:ascii="宋体" w:hAnsi="宋体" w:eastAsia="宋体" w:cs="宋体"/>
          <w:b/>
          <w:bCs/>
          <w:snapToGrid/>
          <w:kern w:val="2"/>
          <w:sz w:val="24"/>
          <w:szCs w:val="24"/>
          <w:lang w:val="en-US" w:eastAsia="zh-CN" w:bidi="ar-SA"/>
        </w:rPr>
        <w:t>定义</w:t>
      </w:r>
      <w:bookmarkEnd w:id="236"/>
      <w:bookmarkEnd w:id="237"/>
    </w:p>
    <w:p w14:paraId="1F35584F">
      <w:pPr>
        <w:widowControl w:val="0"/>
        <w:tabs>
          <w:tab w:val="left" w:pos="420"/>
        </w:tabs>
        <w:spacing w:before="120" w:line="360" w:lineRule="auto"/>
        <w:ind w:firstLine="480" w:firstLineChars="200"/>
        <w:jc w:val="both"/>
        <w:outlineLvl w:val="9"/>
        <w:rPr>
          <w:rFonts w:ascii="宋体" w:hAnsi="宋体" w:eastAsia="新宋体" w:cs="宋体"/>
          <w:i w:val="0"/>
          <w:color w:val="222222"/>
          <w:kern w:val="2"/>
          <w:sz w:val="24"/>
          <w:szCs w:val="24"/>
          <w:shd w:val="clear" w:color="auto" w:fill="FFFFFF"/>
          <w:lang w:val="en-US" w:eastAsia="zh-CN" w:bidi="ar-SA"/>
        </w:rPr>
      </w:pPr>
      <w:r>
        <w:rPr>
          <w:rFonts w:hint="eastAsia" w:ascii="宋体" w:hAnsi="宋体" w:eastAsia="新宋体" w:cs="宋体"/>
          <w:i w:val="0"/>
          <w:color w:val="222222"/>
          <w:kern w:val="2"/>
          <w:sz w:val="24"/>
          <w:szCs w:val="24"/>
          <w:shd w:val="clear" w:color="auto" w:fill="FFFFFF"/>
          <w:lang w:val="en-US" w:eastAsia="zh-CN" w:bidi="ar-SA"/>
        </w:rPr>
        <w:t>暂无。</w:t>
      </w:r>
    </w:p>
    <w:p w14:paraId="64BF066C">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38" w:name="_Toc27062"/>
      <w:bookmarkStart w:id="239" w:name="_Toc28504836"/>
      <w:bookmarkStart w:id="240" w:name="_Toc9642"/>
      <w:r>
        <w:rPr>
          <w:rFonts w:hint="eastAsia" w:ascii="宋体" w:hAnsi="宋体" w:eastAsia="宋体" w:cs="宋体"/>
          <w:b/>
          <w:bCs/>
          <w:snapToGrid/>
          <w:kern w:val="2"/>
          <w:sz w:val="24"/>
          <w:szCs w:val="24"/>
          <w:lang w:val="en-US" w:eastAsia="zh-CN" w:bidi="ar-SA"/>
        </w:rPr>
        <w:t>参考资料</w:t>
      </w:r>
      <w:bookmarkEnd w:id="238"/>
      <w:bookmarkEnd w:id="239"/>
      <w:bookmarkEnd w:id="240"/>
    </w:p>
    <w:p w14:paraId="37B7BA98">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列出本文档的参考文档和相关文档，列出有关资料的作者、标题、编号、发表日期、出版单位或资料来源。</w:t>
      </w:r>
    </w:p>
    <w:p w14:paraId="143D089D">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《运营公司指标管理系统用户需求说明书》（项目组根据调研结果编制，2022.10）</w:t>
      </w:r>
    </w:p>
    <w:p w14:paraId="126BF7C4">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《城市轨道交通运营企业运营数据报告（2022年第1季度）》（中国城市轨道交通协会、上海申通地铁集团有限公司2022.06）</w:t>
      </w:r>
    </w:p>
    <w:p w14:paraId="2EA9E1CD">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《运营生产月报2022年3月》（线网管控部2022.04）</w:t>
      </w:r>
    </w:p>
    <w:p w14:paraId="3CE2ADDE">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《运营生产月报2022年4月》（线网管控部2022.05）</w:t>
      </w:r>
    </w:p>
    <w:p w14:paraId="784B17E5">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《运营生产月报2022年5月》（线网管控部2022.06）</w:t>
      </w:r>
    </w:p>
    <w:p w14:paraId="280CA084">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《运营生产月报2022年6月》（线网管控部2022.07）</w:t>
      </w:r>
    </w:p>
    <w:p w14:paraId="1C551A0D">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《运营生产月报2022年6月》（运营一中心2022.07）</w:t>
      </w:r>
    </w:p>
    <w:p w14:paraId="2BA899BF">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《运营生产月报2022年6月》（运营二中心2022.07）</w:t>
      </w:r>
    </w:p>
    <w:p w14:paraId="0FEF5933">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《运营生产月报2022年6月》（运营三中心2022.07）</w:t>
      </w:r>
    </w:p>
    <w:p w14:paraId="28237481">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《线网管控部生产调控室生产统计岗位工作手册》（青岛地铁集团有限公司Q/QD-YZ-GW-CZ-Z221-2019）</w:t>
      </w:r>
    </w:p>
    <w:p w14:paraId="3F4221E3">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《运营生产指标管理办法》（青岛地铁集团有限公司Q/QD-YZ-FB-SC-G47-2020）</w:t>
      </w:r>
    </w:p>
    <w:p w14:paraId="380AE9C4">
      <w:pPr>
        <w:spacing w:before="67" w:line="360" w:lineRule="auto"/>
        <w:ind w:firstLine="480" w:firstLineChars="200"/>
        <w:jc w:val="left"/>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《城市轨道交通运营指标体系》（国家市场监督管理总局、国家标准化管理委员会GB/T38374-2019）</w:t>
      </w:r>
    </w:p>
    <w:p w14:paraId="7750AF40">
      <w:pPr>
        <w:keepNext/>
        <w:keepLines/>
        <w:pageBreakBefore w:val="0"/>
        <w:widowControl w:val="0"/>
        <w:numPr>
          <w:ilvl w:val="0"/>
          <w:numId w:val="2"/>
        </w:numPr>
        <w:pBdr>
          <w:bottom w:val="none" w:color="auto" w:sz="0" w:space="0"/>
        </w:pBdr>
        <w:tabs>
          <w:tab w:val="left" w:pos="432"/>
        </w:tabs>
        <w:spacing w:before="100" w:after="100" w:line="360" w:lineRule="auto"/>
        <w:ind w:left="720" w:hanging="720"/>
        <w:jc w:val="both"/>
        <w:outlineLvl w:val="1"/>
        <w:rPr>
          <w:rFonts w:ascii="宋体" w:hAnsi="宋体" w:eastAsia="宋体" w:cs="Times New Roman"/>
          <w:b/>
          <w:bCs/>
          <w:kern w:val="44"/>
          <w:sz w:val="28"/>
          <w:szCs w:val="28"/>
          <w:lang w:val="en-US" w:eastAsia="zh-CN" w:bidi="ar-SA"/>
        </w:rPr>
      </w:pPr>
      <w:bookmarkStart w:id="241" w:name="_Toc15681"/>
      <w:bookmarkStart w:id="242" w:name="_Toc26507"/>
      <w:bookmarkStart w:id="243" w:name="_Toc27069"/>
      <w:r>
        <w:rPr>
          <w:rFonts w:hint="eastAsia" w:ascii="宋体" w:hAnsi="宋体" w:eastAsia="宋体" w:cs="Times New Roman"/>
          <w:b/>
          <w:bCs/>
          <w:kern w:val="44"/>
          <w:sz w:val="28"/>
          <w:szCs w:val="28"/>
          <w:lang w:val="en-US" w:eastAsia="zh-CN" w:bidi="ar-SA"/>
        </w:rPr>
        <w:t>总体设计方案</w:t>
      </w:r>
      <w:bookmarkEnd w:id="241"/>
      <w:bookmarkEnd w:id="242"/>
      <w:bookmarkEnd w:id="243"/>
    </w:p>
    <w:p w14:paraId="7F3A13E4">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44" w:name="_Toc5571"/>
      <w:bookmarkStart w:id="245" w:name="_Toc31213"/>
      <w:r>
        <w:rPr>
          <w:rFonts w:hint="eastAsia" w:ascii="宋体" w:hAnsi="宋体" w:eastAsia="宋体" w:cs="宋体"/>
          <w:b/>
          <w:bCs/>
          <w:snapToGrid/>
          <w:kern w:val="2"/>
          <w:sz w:val="24"/>
          <w:szCs w:val="24"/>
          <w:lang w:val="en-US" w:eastAsia="zh-CN" w:bidi="ar-SA"/>
        </w:rPr>
        <w:t>总体业务流程设计</w:t>
      </w:r>
      <w:bookmarkEnd w:id="244"/>
      <w:bookmarkEnd w:id="245"/>
    </w:p>
    <w:p w14:paraId="15B2EBC2">
      <w:pPr>
        <w:spacing w:before="120"/>
        <w:ind w:firstLine="480" w:firstLineChars="200"/>
        <w:rPr>
          <w:rFonts w:ascii="宋体" w:hAnsi="宋体" w:eastAsia="宋体" w:cs="Times New Roman"/>
          <w:iCs/>
          <w:kern w:val="0"/>
          <w:sz w:val="24"/>
        </w:rPr>
      </w:pPr>
      <w:r>
        <w:rPr>
          <w:rFonts w:hint="eastAsia" w:ascii="宋体" w:hAnsi="宋体" w:eastAsia="宋体" w:cs="Times New Roman"/>
          <w:iCs/>
          <w:kern w:val="0"/>
          <w:sz w:val="24"/>
        </w:rPr>
        <w:t>指标分配、填报、审批、考核整体流程如下图：</w:t>
      </w:r>
    </w:p>
    <w:p w14:paraId="248E543F">
      <w:pPr>
        <w:widowControl w:val="0"/>
        <w:tabs>
          <w:tab w:val="left" w:pos="420"/>
        </w:tabs>
        <w:spacing w:before="120" w:line="360" w:lineRule="auto"/>
        <w:ind w:firstLine="0" w:firstLineChars="0"/>
        <w:jc w:val="both"/>
        <w:rPr>
          <w:rFonts w:ascii="宋体" w:hAnsi="宋体" w:eastAsia="宋体" w:cs="Times New Roman"/>
          <w:i/>
          <w:color w:val="2E74B5"/>
          <w:kern w:val="0"/>
          <w:sz w:val="24"/>
          <w:szCs w:val="24"/>
          <w:lang w:val="en-US" w:eastAsia="zh-CN" w:bidi="ar-SA"/>
        </w:rPr>
      </w:pPr>
      <w:r>
        <w:rPr>
          <w:rFonts w:ascii="宋体" w:hAnsi="宋体" w:eastAsia="宋体" w:cs="Times New Roman"/>
          <w:i/>
          <w:color w:val="2E74B5"/>
          <w:kern w:val="0"/>
          <w:sz w:val="24"/>
          <w:szCs w:val="24"/>
          <w:lang w:val="en-US" w:eastAsia="zh-CN" w:bidi="ar-SA"/>
        </w:rPr>
        <w:drawing>
          <wp:inline distT="0" distB="0" distL="114300" distR="114300">
            <wp:extent cx="5272405" cy="3498850"/>
            <wp:effectExtent l="0" t="0" r="4445" b="635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5"/>
                    <a:stretch>
                      <a:fillRect/>
                    </a:stretch>
                  </pic:blipFill>
                  <pic:spPr>
                    <a:xfrm>
                      <a:off x="0" y="0"/>
                      <a:ext cx="5272405" cy="3498850"/>
                    </a:xfrm>
                    <a:prstGeom prst="rect">
                      <a:avLst/>
                    </a:prstGeom>
                    <a:noFill/>
                    <a:ln>
                      <a:noFill/>
                    </a:ln>
                  </pic:spPr>
                </pic:pic>
              </a:graphicData>
            </a:graphic>
          </wp:inline>
        </w:drawing>
      </w:r>
    </w:p>
    <w:p w14:paraId="01197061">
      <w:pPr>
        <w:widowControl w:val="0"/>
        <w:tabs>
          <w:tab w:val="left" w:pos="420"/>
        </w:tabs>
        <w:spacing w:before="120" w:line="360" w:lineRule="auto"/>
        <w:ind w:firstLine="480" w:firstLineChars="200"/>
        <w:jc w:val="both"/>
        <w:rPr>
          <w:rFonts w:ascii="宋体" w:hAnsi="宋体" w:eastAsia="宋体" w:cs="Times New Roman"/>
          <w:i/>
          <w:color w:val="2E74B5"/>
          <w:kern w:val="0"/>
          <w:sz w:val="24"/>
          <w:szCs w:val="24"/>
          <w:lang w:val="en-US" w:eastAsia="zh-CN" w:bidi="ar-SA"/>
        </w:rPr>
      </w:pPr>
    </w:p>
    <w:p w14:paraId="048EE624">
      <w:pPr>
        <w:spacing w:before="120" w:line="360" w:lineRule="auto"/>
        <w:ind w:firstLine="482" w:firstLineChars="200"/>
        <w:rPr>
          <w:rFonts w:ascii="宋体" w:hAnsi="宋体" w:eastAsia="新宋体" w:cs="宋体"/>
          <w:color w:val="222222"/>
          <w:sz w:val="24"/>
          <w:shd w:val="clear" w:color="auto" w:fill="FFFFFF"/>
        </w:rPr>
      </w:pPr>
      <w:r>
        <w:rPr>
          <w:rFonts w:hint="eastAsia" w:ascii="宋体" w:hAnsi="宋体" w:eastAsia="新宋体" w:cs="宋体"/>
          <w:b/>
          <w:color w:val="222222"/>
          <w:sz w:val="24"/>
          <w:shd w:val="clear" w:color="auto" w:fill="FFFFFF"/>
        </w:rPr>
        <w:t>管理层级：</w:t>
      </w:r>
      <w:r>
        <w:rPr>
          <w:rFonts w:hint="eastAsia" w:ascii="宋体" w:hAnsi="宋体" w:eastAsia="新宋体" w:cs="宋体"/>
          <w:color w:val="222222"/>
          <w:sz w:val="24"/>
          <w:shd w:val="clear" w:color="auto" w:fill="FFFFFF"/>
        </w:rPr>
        <w:t>线网管控部牵头运营公司內生产指标管理。中心层级由生产调度部牵头中心内生产指标管理，由生产管理岗兼职负责。一、二中心分为五层：中心、线路、部门、车间、班组。三中心大致可分为四层：中心、部门、车间、班组。部门层级由各生产部门技术安全室牵头部门内生产指标管理。车间、班组层级主要以与指标相对应的故障管理为主。</w:t>
      </w:r>
    </w:p>
    <w:p w14:paraId="3F243207">
      <w:pPr>
        <w:spacing w:before="120" w:line="360" w:lineRule="auto"/>
        <w:ind w:firstLine="482" w:firstLineChars="200"/>
        <w:rPr>
          <w:rFonts w:ascii="宋体" w:hAnsi="宋体" w:eastAsia="新宋体" w:cs="宋体"/>
          <w:color w:val="222222"/>
          <w:sz w:val="24"/>
          <w:shd w:val="clear" w:color="auto" w:fill="FFFFFF"/>
        </w:rPr>
      </w:pPr>
      <w:r>
        <w:rPr>
          <w:rFonts w:hint="eastAsia" w:ascii="宋体" w:hAnsi="宋体" w:eastAsia="新宋体" w:cs="宋体"/>
          <w:b/>
          <w:color w:val="222222"/>
          <w:sz w:val="24"/>
          <w:shd w:val="clear" w:color="auto" w:fill="FFFFFF"/>
        </w:rPr>
        <w:t>指标分配：</w:t>
      </w:r>
      <w:r>
        <w:rPr>
          <w:rFonts w:hint="eastAsia" w:ascii="宋体" w:hAnsi="宋体" w:eastAsia="新宋体" w:cs="宋体"/>
          <w:color w:val="222222"/>
          <w:sz w:val="24"/>
          <w:shd w:val="clear" w:color="auto" w:fill="FFFFFF"/>
        </w:rPr>
        <w:t>各层级通过在系统中制定指标分配方案的方式自上至下将指标分配至下属层级，即：线网将指标分配至中心，中心分配至部门，依次类推。各层级最终在系统中对指标分配方案进行接收以完成整个指标分配流程。</w:t>
      </w:r>
    </w:p>
    <w:p w14:paraId="6C65353A">
      <w:pPr>
        <w:spacing w:before="120" w:line="360" w:lineRule="auto"/>
        <w:ind w:firstLine="482" w:firstLineChars="200"/>
        <w:rPr>
          <w:rFonts w:ascii="宋体" w:hAnsi="宋体" w:eastAsia="新宋体" w:cs="宋体"/>
          <w:color w:val="222222"/>
          <w:sz w:val="24"/>
          <w:shd w:val="clear" w:color="auto" w:fill="FFFFFF"/>
        </w:rPr>
      </w:pPr>
      <w:r>
        <w:rPr>
          <w:rFonts w:hint="eastAsia" w:ascii="宋体" w:hAnsi="宋体" w:eastAsia="新宋体" w:cs="宋体"/>
          <w:b/>
          <w:color w:val="222222"/>
          <w:sz w:val="24"/>
          <w:shd w:val="clear" w:color="auto" w:fill="FFFFFF"/>
        </w:rPr>
        <w:t>指标填报：</w:t>
      </w:r>
      <w:r>
        <w:rPr>
          <w:rFonts w:hint="eastAsia" w:ascii="宋体" w:hAnsi="宋体" w:eastAsia="新宋体" w:cs="宋体"/>
          <w:color w:val="222222"/>
          <w:sz w:val="24"/>
          <w:shd w:val="clear" w:color="auto" w:fill="FFFFFF"/>
        </w:rPr>
        <w:t>各层级以指标分配为依据，将被分配至自身的指标通过系统中的数据提报功能汇总至上一管理层级，经过填报审批流程后最终形成</w:t>
      </w:r>
      <w:r>
        <w:rPr>
          <w:rFonts w:hint="eastAsia" w:ascii="宋体" w:hAnsi="宋体" w:eastAsia="新宋体" w:cs="宋体"/>
          <w:b/>
          <w:color w:val="222222"/>
          <w:sz w:val="24"/>
          <w:shd w:val="clear" w:color="auto" w:fill="FFFFFF"/>
        </w:rPr>
        <w:t>指标体系数据</w:t>
      </w:r>
      <w:r>
        <w:rPr>
          <w:rFonts w:hint="eastAsia" w:ascii="宋体" w:hAnsi="宋体" w:eastAsia="新宋体" w:cs="宋体"/>
          <w:color w:val="222222"/>
          <w:sz w:val="24"/>
          <w:shd w:val="clear" w:color="auto" w:fill="FFFFFF"/>
        </w:rPr>
        <w:t>。</w:t>
      </w:r>
    </w:p>
    <w:p w14:paraId="529C16E3">
      <w:pPr>
        <w:widowControl w:val="0"/>
        <w:tabs>
          <w:tab w:val="left" w:pos="420"/>
        </w:tabs>
        <w:spacing w:before="120" w:line="360" w:lineRule="auto"/>
        <w:ind w:firstLine="480" w:firstLineChars="200"/>
        <w:jc w:val="both"/>
        <w:rPr>
          <w:rFonts w:ascii="宋体" w:hAnsi="宋体" w:eastAsia="新宋体" w:cs="宋体"/>
          <w:i w:val="0"/>
          <w:color w:val="222222"/>
          <w:kern w:val="2"/>
          <w:sz w:val="24"/>
          <w:szCs w:val="24"/>
          <w:shd w:val="clear" w:color="auto" w:fill="FFFFFF"/>
          <w:lang w:val="en-US" w:eastAsia="zh-CN" w:bidi="ar-SA"/>
        </w:rPr>
      </w:pPr>
      <w:r>
        <w:rPr>
          <w:rFonts w:hint="eastAsia" w:ascii="宋体" w:hAnsi="宋体" w:eastAsia="新宋体" w:cs="宋体"/>
          <w:i w:val="0"/>
          <w:color w:val="222222"/>
          <w:kern w:val="2"/>
          <w:sz w:val="24"/>
          <w:szCs w:val="24"/>
          <w:shd w:val="clear" w:color="auto" w:fill="FFFFFF"/>
          <w:lang w:val="en-US" w:eastAsia="zh-CN" w:bidi="ar-SA"/>
        </w:rPr>
        <w:t>指标填报审批流程如下图：</w:t>
      </w:r>
    </w:p>
    <w:p w14:paraId="36D3EAB0">
      <w:pPr>
        <w:spacing w:before="120"/>
        <w:rPr>
          <w:rFonts w:ascii="Times New Roman" w:hAnsi="Times New Roman" w:eastAsia="新宋体" w:cs="Times New Roman"/>
          <w:sz w:val="24"/>
        </w:rPr>
      </w:pPr>
      <w:r>
        <w:rPr>
          <w:rFonts w:ascii="Times New Roman" w:hAnsi="Times New Roman" w:eastAsia="新宋体" w:cs="Times New Roman"/>
          <w:sz w:val="24"/>
        </w:rPr>
        <w:object>
          <v:shape id="_x0000_i1025" o:spt="75" type="#_x0000_t75" style="height:288pt;width:414.5pt;" o:ole="t" filled="f" o:preferrelative="t" stroked="f" coordsize="21600,21600">
            <v:path/>
            <v:fill on="f" focussize="0,0"/>
            <v:stroke on="f" joinstyle="miter"/>
            <v:imagedata r:id="rId7" o:title=""/>
            <o:lock v:ext="edit" aspectratio="f"/>
            <w10:wrap type="none"/>
            <w10:anchorlock/>
          </v:shape>
          <o:OLEObject Type="Embed" ProgID="Visio.Drawing.15" ShapeID="_x0000_i1025" DrawAspect="Content" ObjectID="_1468075725" r:id="rId6">
            <o:LockedField>false</o:LockedField>
          </o:OLEObject>
        </w:object>
      </w:r>
    </w:p>
    <w:p w14:paraId="213400D0">
      <w:pPr>
        <w:spacing w:before="120" w:line="360" w:lineRule="auto"/>
        <w:ind w:firstLine="480" w:firstLineChars="200"/>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指标数据填报完成提交后，可发起审核。相同层级横向进行一次审批，如某中心级指标由中心级填报员A填报，则需除A以外的中心级审核员审核；不同层级纵向进行一次审批，如某公司级指标由车间填报员填报，则该指标需经部门、中心、公司级指标审核员逐级审核。在流程引擎模块，进行配置指标数据审批流，制定流程进行流转、选择角色进行审批，流程变更后需更改流程版本号并进行发布生效。关于公司级指标，由车间/部门技术岗提报，部门领导进行审批；部门领导审批通过后再由车间/部门指标填报人上报给中心层级，由中心指标管理人员进行审批；中心审批通过后提报给线网。</w:t>
      </w:r>
    </w:p>
    <w:p w14:paraId="0133D476">
      <w:pPr>
        <w:spacing w:before="120" w:line="360" w:lineRule="auto"/>
        <w:ind w:firstLine="482" w:firstLineChars="200"/>
        <w:rPr>
          <w:rFonts w:ascii="宋体" w:hAnsi="宋体" w:eastAsia="新宋体" w:cs="宋体"/>
          <w:color w:val="222222"/>
          <w:sz w:val="24"/>
          <w:shd w:val="clear" w:color="auto" w:fill="FFFFFF"/>
        </w:rPr>
      </w:pPr>
      <w:r>
        <w:rPr>
          <w:rFonts w:hint="eastAsia" w:ascii="宋体" w:hAnsi="宋体" w:eastAsia="新宋体" w:cs="宋体"/>
          <w:b/>
          <w:color w:val="222222"/>
          <w:sz w:val="24"/>
          <w:shd w:val="clear" w:color="auto" w:fill="FFFFFF"/>
        </w:rPr>
        <w:t>指标预警：</w:t>
      </w:r>
      <w:r>
        <w:rPr>
          <w:rFonts w:hint="eastAsia" w:ascii="宋体" w:hAnsi="宋体" w:eastAsia="新宋体" w:cs="宋体"/>
          <w:color w:val="222222"/>
          <w:sz w:val="24"/>
          <w:shd w:val="clear" w:color="auto" w:fill="FFFFFF"/>
        </w:rPr>
        <w:t>各层级通过在系统中对下一管理层级制定指标预警方案的方式将指标的预警值、预警周期、预警方式、预警提醒人进行设置。在指标体系数据的基础上，系统自动根据预警方案中的设置对指标数据进行监控，当数据超过预警值范围，则会根据预警方式设置来提醒相应的用户作出处理。</w:t>
      </w:r>
    </w:p>
    <w:p w14:paraId="61EFA565">
      <w:pPr>
        <w:spacing w:before="120" w:line="360" w:lineRule="auto"/>
        <w:ind w:firstLine="482" w:firstLineChars="200"/>
        <w:rPr>
          <w:rFonts w:ascii="宋体" w:hAnsi="宋体" w:eastAsia="新宋体" w:cs="宋体"/>
          <w:color w:val="222222"/>
          <w:sz w:val="24"/>
          <w:shd w:val="clear" w:color="auto" w:fill="FFFFFF"/>
        </w:rPr>
      </w:pPr>
      <w:r>
        <w:rPr>
          <w:rFonts w:hint="eastAsia" w:ascii="宋体" w:hAnsi="宋体" w:eastAsia="新宋体" w:cs="宋体"/>
          <w:b/>
          <w:color w:val="222222"/>
          <w:sz w:val="24"/>
          <w:shd w:val="clear" w:color="auto" w:fill="FFFFFF"/>
        </w:rPr>
        <w:t>指标考核：</w:t>
      </w:r>
      <w:r>
        <w:rPr>
          <w:rFonts w:hint="eastAsia" w:ascii="宋体" w:hAnsi="宋体" w:eastAsia="新宋体" w:cs="宋体"/>
          <w:color w:val="222222"/>
          <w:sz w:val="24"/>
          <w:shd w:val="clear" w:color="auto" w:fill="FFFFFF"/>
        </w:rPr>
        <w:t>各层级通过在系统中对下一管理层级制定指标考核方案的方式将指标考核范围、考核周期、评分标准、作用对象进行设置。在指标体系数据的基础上，系统自动根据考核方案中的设置对考核结果进行计算。</w:t>
      </w:r>
    </w:p>
    <w:p w14:paraId="798A9BEA">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46" w:name="_Toc11768"/>
      <w:bookmarkStart w:id="247" w:name="_Toc25877"/>
      <w:r>
        <w:rPr>
          <w:rFonts w:hint="eastAsia" w:ascii="宋体" w:hAnsi="宋体" w:eastAsia="宋体" w:cs="宋体"/>
          <w:b/>
          <w:bCs/>
          <w:snapToGrid/>
          <w:kern w:val="2"/>
          <w:sz w:val="24"/>
          <w:szCs w:val="24"/>
          <w:lang w:val="en-US" w:eastAsia="zh-CN" w:bidi="ar-SA"/>
        </w:rPr>
        <w:t>设计限制及约束</w:t>
      </w:r>
      <w:bookmarkEnd w:id="246"/>
      <w:bookmarkEnd w:id="247"/>
    </w:p>
    <w:p w14:paraId="058C7C48">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48" w:name="_Toc11917"/>
      <w:bookmarkStart w:id="249" w:name="_Toc19258"/>
      <w:r>
        <w:rPr>
          <w:rFonts w:hint="eastAsia" w:ascii="宋体" w:hAnsi="宋体" w:eastAsia="宋体" w:cs="宋体"/>
          <w:b/>
          <w:bCs/>
          <w:kern w:val="2"/>
          <w:sz w:val="24"/>
          <w:szCs w:val="24"/>
          <w:lang w:val="en-US" w:eastAsia="zh-CN" w:bidi="ar-SA"/>
        </w:rPr>
        <w:t>开发平台、开发语言、开发环境等</w:t>
      </w:r>
      <w:bookmarkEnd w:id="248"/>
      <w:bookmarkEnd w:id="249"/>
    </w:p>
    <w:p w14:paraId="69343346">
      <w:pPr>
        <w:widowControl w:val="0"/>
        <w:spacing w:before="120" w:line="360" w:lineRule="auto"/>
        <w:ind w:left="420" w:leftChars="200" w:firstLine="480" w:firstLineChars="200"/>
        <w:jc w:val="left"/>
        <w:rPr>
          <w:rFonts w:ascii="宋体" w:hAnsi="宋体" w:eastAsia="新宋体" w:cs="宋体"/>
          <w:color w:val="222222"/>
          <w:kern w:val="2"/>
          <w:sz w:val="24"/>
          <w:szCs w:val="24"/>
          <w:shd w:val="clear" w:color="auto" w:fill="FFFFFF"/>
          <w:lang w:val="en-US" w:eastAsia="zh-CN" w:bidi="ar-SA"/>
        </w:rPr>
      </w:pPr>
      <w:r>
        <w:rPr>
          <w:rFonts w:hint="eastAsia" w:ascii="宋体" w:hAnsi="宋体" w:eastAsia="新宋体" w:cs="宋体"/>
          <w:color w:val="222222"/>
          <w:kern w:val="2"/>
          <w:sz w:val="24"/>
          <w:szCs w:val="24"/>
          <w:shd w:val="clear" w:color="auto" w:fill="FFFFFF"/>
          <w:lang w:val="en-US" w:eastAsia="zh-CN" w:bidi="ar-SA"/>
        </w:rPr>
        <w:t>本系统使用JBuidler、Eclipse作为研发工具，JAVA、Javascript、H5作为研发语言，开发环境基于专网搭建，需要与互联网连通进行企业微信相关功能研发。</w:t>
      </w:r>
    </w:p>
    <w:p w14:paraId="74BDEA2D">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50" w:name="_Toc2078"/>
      <w:bookmarkStart w:id="251" w:name="_Toc11344"/>
      <w:r>
        <w:rPr>
          <w:rFonts w:hint="eastAsia" w:ascii="宋体" w:hAnsi="宋体" w:eastAsia="宋体" w:cs="宋体"/>
          <w:b/>
          <w:bCs/>
          <w:kern w:val="2"/>
          <w:sz w:val="24"/>
          <w:szCs w:val="24"/>
          <w:lang w:val="en-US" w:eastAsia="zh-CN" w:bidi="ar-SA"/>
        </w:rPr>
        <w:t>数据库、中间件版本</w:t>
      </w:r>
      <w:bookmarkEnd w:id="250"/>
      <w:bookmarkEnd w:id="251"/>
    </w:p>
    <w:tbl>
      <w:tblPr>
        <w:tblStyle w:val="17"/>
        <w:tblW w:w="4455" w:type="pct"/>
        <w:tblInd w:w="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3017"/>
        <w:gridCol w:w="2569"/>
      </w:tblGrid>
      <w:tr w14:paraId="52C0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pct"/>
          </w:tcPr>
          <w:p w14:paraId="2E675101">
            <w:pPr>
              <w:widowControl w:val="0"/>
              <w:tabs>
                <w:tab w:val="left" w:pos="420"/>
              </w:tabs>
              <w:spacing w:before="120" w:line="360" w:lineRule="auto"/>
              <w:ind w:firstLine="482" w:firstLineChars="200"/>
              <w:jc w:val="center"/>
              <w:rPr>
                <w:rFonts w:ascii="宋体" w:hAnsi="宋体" w:eastAsia="宋体" w:cs="宋体"/>
                <w:b/>
                <w:i w:val="0"/>
                <w:color w:val="222222"/>
                <w:kern w:val="2"/>
                <w:sz w:val="24"/>
                <w:szCs w:val="24"/>
                <w:shd w:val="clear" w:color="auto" w:fill="FFFFFF"/>
                <w:lang w:val="en-US" w:eastAsia="zh-CN" w:bidi="ar-SA"/>
              </w:rPr>
            </w:pPr>
            <w:r>
              <w:rPr>
                <w:rFonts w:ascii="宋体" w:hAnsi="宋体" w:eastAsia="宋体" w:cs="宋体"/>
                <w:b/>
                <w:i w:val="0"/>
                <w:color w:val="222222"/>
                <w:kern w:val="2"/>
                <w:sz w:val="24"/>
                <w:szCs w:val="24"/>
                <w:shd w:val="clear" w:color="auto" w:fill="FFFFFF"/>
                <w:lang w:val="en-US" w:eastAsia="zh-CN" w:bidi="ar-SA"/>
              </w:rPr>
              <w:t>数据库、中间件</w:t>
            </w:r>
          </w:p>
        </w:tc>
        <w:tc>
          <w:tcPr>
            <w:tcW w:w="1868" w:type="pct"/>
          </w:tcPr>
          <w:p w14:paraId="3BFE7584">
            <w:pPr>
              <w:widowControl w:val="0"/>
              <w:tabs>
                <w:tab w:val="left" w:pos="420"/>
              </w:tabs>
              <w:spacing w:before="120" w:line="360" w:lineRule="auto"/>
              <w:ind w:firstLine="482" w:firstLineChars="200"/>
              <w:jc w:val="center"/>
              <w:rPr>
                <w:rFonts w:ascii="宋体" w:hAnsi="宋体" w:eastAsia="宋体" w:cs="宋体"/>
                <w:b/>
                <w:i w:val="0"/>
                <w:color w:val="222222"/>
                <w:kern w:val="2"/>
                <w:sz w:val="24"/>
                <w:szCs w:val="24"/>
                <w:shd w:val="clear" w:color="auto" w:fill="FFFFFF"/>
                <w:lang w:val="en-US" w:eastAsia="zh-CN" w:bidi="ar-SA"/>
              </w:rPr>
            </w:pPr>
            <w:r>
              <w:rPr>
                <w:rFonts w:ascii="宋体" w:hAnsi="宋体" w:eastAsia="宋体" w:cs="宋体"/>
                <w:b/>
                <w:i w:val="0"/>
                <w:color w:val="222222"/>
                <w:kern w:val="2"/>
                <w:sz w:val="24"/>
                <w:szCs w:val="24"/>
                <w:shd w:val="clear" w:color="auto" w:fill="FFFFFF"/>
                <w:lang w:val="en-US" w:eastAsia="zh-CN" w:bidi="ar-SA"/>
              </w:rPr>
              <w:t>版本</w:t>
            </w:r>
          </w:p>
        </w:tc>
        <w:tc>
          <w:tcPr>
            <w:tcW w:w="1590" w:type="pct"/>
          </w:tcPr>
          <w:p w14:paraId="77D57632">
            <w:pPr>
              <w:widowControl w:val="0"/>
              <w:tabs>
                <w:tab w:val="left" w:pos="420"/>
              </w:tabs>
              <w:spacing w:before="120" w:line="360" w:lineRule="auto"/>
              <w:ind w:firstLine="482" w:firstLineChars="200"/>
              <w:jc w:val="center"/>
              <w:rPr>
                <w:rFonts w:ascii="宋体" w:hAnsi="宋体" w:eastAsia="宋体" w:cs="宋体"/>
                <w:b/>
                <w:i w:val="0"/>
                <w:color w:val="222222"/>
                <w:kern w:val="2"/>
                <w:sz w:val="24"/>
                <w:szCs w:val="24"/>
                <w:shd w:val="clear" w:color="auto" w:fill="FFFFFF"/>
                <w:lang w:val="en-US" w:eastAsia="zh-CN" w:bidi="ar-SA"/>
              </w:rPr>
            </w:pPr>
            <w:r>
              <w:rPr>
                <w:rFonts w:ascii="宋体" w:hAnsi="宋体" w:eastAsia="宋体" w:cs="宋体"/>
                <w:b/>
                <w:i w:val="0"/>
                <w:color w:val="222222"/>
                <w:kern w:val="2"/>
                <w:sz w:val="24"/>
                <w:szCs w:val="24"/>
                <w:shd w:val="clear" w:color="auto" w:fill="FFFFFF"/>
                <w:lang w:val="en-US" w:eastAsia="zh-CN" w:bidi="ar-SA"/>
              </w:rPr>
              <w:t>补充</w:t>
            </w:r>
          </w:p>
        </w:tc>
      </w:tr>
      <w:tr w14:paraId="3098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pct"/>
          </w:tcPr>
          <w:p w14:paraId="67BFB4B2">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Mysql</w:t>
            </w:r>
          </w:p>
        </w:tc>
        <w:tc>
          <w:tcPr>
            <w:tcW w:w="1868" w:type="pct"/>
          </w:tcPr>
          <w:p w14:paraId="4C330416">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5.7</w:t>
            </w:r>
          </w:p>
        </w:tc>
        <w:tc>
          <w:tcPr>
            <w:tcW w:w="1590" w:type="pct"/>
          </w:tcPr>
          <w:p w14:paraId="319320B0">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无</w:t>
            </w:r>
          </w:p>
        </w:tc>
      </w:tr>
      <w:tr w14:paraId="4D34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pct"/>
            <w:shd w:val="clear" w:color="auto" w:fill="auto"/>
          </w:tcPr>
          <w:p w14:paraId="0769B73A">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MongoDB</w:t>
            </w:r>
          </w:p>
        </w:tc>
        <w:tc>
          <w:tcPr>
            <w:tcW w:w="1868" w:type="pct"/>
            <w:shd w:val="clear" w:color="auto" w:fill="auto"/>
          </w:tcPr>
          <w:p w14:paraId="02353664">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5.0</w:t>
            </w:r>
          </w:p>
        </w:tc>
        <w:tc>
          <w:tcPr>
            <w:tcW w:w="1590" w:type="pct"/>
          </w:tcPr>
          <w:p w14:paraId="2176D398">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无</w:t>
            </w:r>
          </w:p>
        </w:tc>
      </w:tr>
      <w:tr w14:paraId="4186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pct"/>
            <w:shd w:val="clear" w:color="auto" w:fill="auto"/>
          </w:tcPr>
          <w:p w14:paraId="493732E6">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Elasticsearch</w:t>
            </w:r>
          </w:p>
        </w:tc>
        <w:tc>
          <w:tcPr>
            <w:tcW w:w="1868" w:type="pct"/>
            <w:shd w:val="clear" w:color="auto" w:fill="auto"/>
          </w:tcPr>
          <w:p w14:paraId="74826AA0">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7.12</w:t>
            </w:r>
          </w:p>
        </w:tc>
        <w:tc>
          <w:tcPr>
            <w:tcW w:w="1590" w:type="pct"/>
          </w:tcPr>
          <w:p w14:paraId="3A050A89">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无</w:t>
            </w:r>
          </w:p>
        </w:tc>
      </w:tr>
      <w:tr w14:paraId="3AE6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0" w:type="pct"/>
            <w:shd w:val="clear" w:color="auto" w:fill="auto"/>
          </w:tcPr>
          <w:p w14:paraId="519BFC6C">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Hbase</w:t>
            </w:r>
          </w:p>
        </w:tc>
        <w:tc>
          <w:tcPr>
            <w:tcW w:w="1868" w:type="pct"/>
            <w:shd w:val="clear" w:color="auto" w:fill="auto"/>
          </w:tcPr>
          <w:p w14:paraId="0EA44C0E">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2.1.3</w:t>
            </w:r>
          </w:p>
        </w:tc>
        <w:tc>
          <w:tcPr>
            <w:tcW w:w="1590" w:type="pct"/>
          </w:tcPr>
          <w:p w14:paraId="0719AB5E">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无</w:t>
            </w:r>
          </w:p>
        </w:tc>
      </w:tr>
    </w:tbl>
    <w:p w14:paraId="5A2C8C4B">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52" w:name="_Toc23338"/>
      <w:bookmarkStart w:id="253" w:name="_Toc13854"/>
      <w:r>
        <w:rPr>
          <w:rFonts w:hint="eastAsia" w:ascii="宋体" w:hAnsi="宋体" w:eastAsia="宋体" w:cs="宋体"/>
          <w:b/>
          <w:bCs/>
          <w:kern w:val="2"/>
          <w:sz w:val="24"/>
          <w:szCs w:val="24"/>
          <w:lang w:val="en-US" w:eastAsia="zh-CN" w:bidi="ar-SA"/>
        </w:rPr>
        <w:t>接口集成使用的技术</w:t>
      </w:r>
      <w:bookmarkEnd w:id="252"/>
      <w:bookmarkEnd w:id="253"/>
    </w:p>
    <w:p w14:paraId="7F7DE8F1">
      <w:pPr>
        <w:widowControl w:val="0"/>
        <w:spacing w:before="120" w:line="360" w:lineRule="auto"/>
        <w:ind w:firstLine="480" w:firstLineChars="200"/>
        <w:jc w:val="left"/>
        <w:rPr>
          <w:rFonts w:ascii="宋体" w:hAnsi="宋体" w:eastAsia="新宋体" w:cs="宋体"/>
          <w:color w:val="222222"/>
          <w:kern w:val="2"/>
          <w:sz w:val="24"/>
          <w:szCs w:val="24"/>
          <w:shd w:val="clear" w:color="auto" w:fill="FFFFFF"/>
          <w:lang w:val="en-US" w:eastAsia="zh-CN" w:bidi="ar-SA"/>
        </w:rPr>
      </w:pPr>
      <w:r>
        <w:rPr>
          <w:rFonts w:hint="eastAsia" w:ascii="宋体" w:hAnsi="宋体" w:eastAsia="新宋体" w:cs="宋体"/>
          <w:color w:val="222222"/>
          <w:kern w:val="2"/>
          <w:sz w:val="24"/>
          <w:szCs w:val="24"/>
          <w:shd w:val="clear" w:color="auto" w:fill="FFFFFF"/>
          <w:lang w:val="en-US" w:eastAsia="zh-CN" w:bidi="ar-SA"/>
        </w:rPr>
        <w:t>应用集成采用HTTPRESTFUL接口方式，以JSON字符串进行交互;数据集成使用Kettle工具，或向其他系统开放数据库账号，定向操作数据表。</w:t>
      </w:r>
    </w:p>
    <w:p w14:paraId="5AB09B4A">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54" w:name="_Toc29158"/>
      <w:bookmarkStart w:id="255" w:name="_Toc11707"/>
      <w:r>
        <w:rPr>
          <w:rFonts w:hint="eastAsia" w:ascii="宋体" w:hAnsi="宋体" w:eastAsia="宋体" w:cs="宋体"/>
          <w:b/>
          <w:bCs/>
          <w:snapToGrid/>
          <w:kern w:val="2"/>
          <w:sz w:val="24"/>
          <w:szCs w:val="24"/>
          <w:lang w:val="en-US" w:eastAsia="zh-CN" w:bidi="ar-SA"/>
        </w:rPr>
        <w:t>系统总体页面及导航设计</w:t>
      </w:r>
      <w:bookmarkEnd w:id="254"/>
      <w:bookmarkEnd w:id="255"/>
    </w:p>
    <w:p w14:paraId="429AC637">
      <w:pPr>
        <w:widowControl w:val="0"/>
        <w:tabs>
          <w:tab w:val="left" w:pos="420"/>
        </w:tabs>
        <w:spacing w:before="120" w:line="360" w:lineRule="auto"/>
        <w:ind w:firstLine="480" w:firstLineChars="200"/>
        <w:jc w:val="both"/>
        <w:rPr>
          <w:rFonts w:ascii="宋体" w:hAnsi="宋体" w:eastAsia="宋体" w:cs="Times New Roman"/>
          <w:i/>
          <w:color w:val="2E74B5"/>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PC端系统总体页面布局采用左侧顶部标题栏，左侧导航菜单结构，顶部标题栏中包含待办提醒、个人信息，退出按钮；左侧菜单导航栏中包含系统全部应用功能的菜单链接；页面中部显示功能主体内容，采用多tab页并行打开方式。</w:t>
      </w:r>
    </w:p>
    <w:p w14:paraId="14104A54">
      <w:pPr>
        <w:spacing w:before="120"/>
        <w:rPr>
          <w:rFonts w:ascii="Times New Roman" w:hAnsi="Times New Roman" w:eastAsia="新宋体" w:cs="Times New Roman"/>
          <w:sz w:val="24"/>
        </w:rPr>
      </w:pPr>
      <w:r>
        <w:rPr>
          <w:rFonts w:ascii="Times New Roman" w:hAnsi="Times New Roman" w:eastAsia="新宋体" w:cs="Times New Roman"/>
          <w:sz w:val="24"/>
        </w:rPr>
        <w:drawing>
          <wp:inline distT="0" distB="0" distL="114300" distR="114300">
            <wp:extent cx="6005830" cy="2963545"/>
            <wp:effectExtent l="0" t="0" r="1397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6005830" cy="2963545"/>
                    </a:xfrm>
                    <a:prstGeom prst="rect">
                      <a:avLst/>
                    </a:prstGeom>
                    <a:noFill/>
                    <a:ln>
                      <a:noFill/>
                    </a:ln>
                  </pic:spPr>
                </pic:pic>
              </a:graphicData>
            </a:graphic>
          </wp:inline>
        </w:drawing>
      </w:r>
    </w:p>
    <w:p w14:paraId="37DC720F">
      <w:pPr>
        <w:widowControl w:val="0"/>
        <w:spacing w:before="120"/>
        <w:ind w:firstLine="480" w:firstLineChars="200"/>
        <w:jc w:val="both"/>
        <w:rPr>
          <w:rFonts w:ascii="Arial" w:hAnsi="Arial" w:eastAsia="新宋体" w:cs="Times New Roman"/>
          <w:kern w:val="2"/>
          <w:sz w:val="24"/>
          <w:szCs w:val="24"/>
          <w:lang w:val="en-US" w:eastAsia="zh-CN" w:bidi="ar-SA"/>
        </w:rPr>
      </w:pPr>
      <w:r>
        <w:rPr>
          <w:rFonts w:hint="eastAsia" w:ascii="Arial" w:hAnsi="Arial" w:eastAsia="新宋体" w:cs="Times New Roman"/>
          <w:kern w:val="2"/>
          <w:sz w:val="24"/>
          <w:szCs w:val="24"/>
          <w:lang w:val="en-US" w:eastAsia="zh-CN" w:bidi="ar-SA"/>
        </w:rPr>
        <w:t>移动端页面遵从企业微信整体布局，主要页面展示如下：</w:t>
      </w:r>
    </w:p>
    <w:p w14:paraId="17831AC2">
      <w:pPr>
        <w:spacing w:before="120"/>
        <w:rPr>
          <w:rFonts w:ascii="Times New Roman" w:hAnsi="Times New Roman" w:eastAsia="新宋体" w:cs="Times New Roman"/>
          <w:sz w:val="24"/>
        </w:rPr>
      </w:pPr>
      <w:r>
        <w:rPr>
          <w:rFonts w:ascii="Times New Roman" w:hAnsi="Times New Roman" w:eastAsia="新宋体" w:cs="Times New Roman"/>
          <w:sz w:val="24"/>
        </w:rPr>
        <w:drawing>
          <wp:inline distT="0" distB="0" distL="114300" distR="114300">
            <wp:extent cx="2622550" cy="4866005"/>
            <wp:effectExtent l="0" t="0" r="635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2622550" cy="4866005"/>
                    </a:xfrm>
                    <a:prstGeom prst="rect">
                      <a:avLst/>
                    </a:prstGeom>
                    <a:noFill/>
                    <a:ln>
                      <a:noFill/>
                    </a:ln>
                  </pic:spPr>
                </pic:pic>
              </a:graphicData>
            </a:graphic>
          </wp:inline>
        </w:drawing>
      </w:r>
      <w:r>
        <w:rPr>
          <w:rFonts w:ascii="Times New Roman" w:hAnsi="Times New Roman" w:eastAsia="新宋体" w:cs="Times New Roman"/>
          <w:sz w:val="24"/>
        </w:rPr>
        <w:drawing>
          <wp:inline distT="0" distB="0" distL="114300" distR="114300">
            <wp:extent cx="2883535" cy="4867275"/>
            <wp:effectExtent l="0" t="0" r="12065"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2883535" cy="4867275"/>
                    </a:xfrm>
                    <a:prstGeom prst="rect">
                      <a:avLst/>
                    </a:prstGeom>
                    <a:noFill/>
                    <a:ln>
                      <a:noFill/>
                    </a:ln>
                  </pic:spPr>
                </pic:pic>
              </a:graphicData>
            </a:graphic>
          </wp:inline>
        </w:drawing>
      </w:r>
    </w:p>
    <w:p w14:paraId="5B17A775">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56" w:name="_Toc21015"/>
      <w:bookmarkStart w:id="257" w:name="_Toc4721"/>
      <w:r>
        <w:rPr>
          <w:rFonts w:hint="eastAsia" w:ascii="宋体" w:hAnsi="宋体" w:eastAsia="宋体" w:cs="宋体"/>
          <w:b/>
          <w:bCs/>
          <w:snapToGrid/>
          <w:kern w:val="2"/>
          <w:sz w:val="24"/>
          <w:szCs w:val="24"/>
          <w:lang w:val="en-US" w:eastAsia="zh-CN" w:bidi="ar-SA"/>
        </w:rPr>
        <w:t>数据存储整体设计</w:t>
      </w:r>
      <w:bookmarkEnd w:id="256"/>
      <w:bookmarkEnd w:id="257"/>
    </w:p>
    <w:p w14:paraId="631D1A7A">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58" w:name="_Toc21321"/>
      <w:bookmarkStart w:id="259" w:name="_Toc20224"/>
      <w:r>
        <w:rPr>
          <w:rFonts w:hint="eastAsia" w:ascii="宋体" w:hAnsi="宋体" w:eastAsia="宋体" w:cs="宋体"/>
          <w:b/>
          <w:bCs/>
          <w:kern w:val="2"/>
          <w:sz w:val="24"/>
          <w:szCs w:val="24"/>
          <w:lang w:val="en-US" w:eastAsia="zh-CN" w:bidi="ar-SA"/>
        </w:rPr>
        <w:t>逻辑架构</w:t>
      </w:r>
      <w:bookmarkEnd w:id="258"/>
      <w:bookmarkEnd w:id="259"/>
    </w:p>
    <w:p w14:paraId="19D26124">
      <w:pPr>
        <w:spacing w:before="120"/>
        <w:ind w:firstLine="480" w:firstLineChars="200"/>
        <w:rPr>
          <w:rFonts w:ascii="Arial" w:hAnsi="Arial" w:eastAsia="新宋体" w:cs="Times New Roman"/>
          <w:sz w:val="24"/>
        </w:rPr>
      </w:pPr>
      <w:r>
        <w:rPr>
          <w:rFonts w:hint="eastAsia" w:ascii="Arial" w:hAnsi="Arial" w:eastAsia="新宋体" w:cs="Times New Roman"/>
          <w:sz w:val="24"/>
        </w:rPr>
        <w:t>本系统数据的逻辑模型不进行数据域拆分，各数据实体之间逻辑关系见下图：</w:t>
      </w:r>
    </w:p>
    <w:p w14:paraId="6A4B857A">
      <w:pPr>
        <w:spacing w:before="120"/>
        <w:rPr>
          <w:rFonts w:ascii="宋体" w:hAnsi="宋体" w:eastAsia="宋体" w:cs="Times New Roman"/>
          <w:sz w:val="24"/>
        </w:rPr>
      </w:pPr>
      <w:r>
        <w:rPr>
          <w:rFonts w:ascii="Times New Roman" w:hAnsi="Times New Roman" w:eastAsia="新宋体" w:cs="Times New Roman"/>
          <w:sz w:val="24"/>
        </w:rPr>
        <w:drawing>
          <wp:inline distT="0" distB="0" distL="114300" distR="114300">
            <wp:extent cx="6006465" cy="2613025"/>
            <wp:effectExtent l="0" t="0" r="13335" b="1587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1"/>
                    <a:stretch>
                      <a:fillRect/>
                    </a:stretch>
                  </pic:blipFill>
                  <pic:spPr>
                    <a:xfrm>
                      <a:off x="0" y="0"/>
                      <a:ext cx="6006465" cy="2613025"/>
                    </a:xfrm>
                    <a:prstGeom prst="rect">
                      <a:avLst/>
                    </a:prstGeom>
                    <a:noFill/>
                    <a:ln>
                      <a:noFill/>
                    </a:ln>
                  </pic:spPr>
                </pic:pic>
              </a:graphicData>
            </a:graphic>
          </wp:inline>
        </w:drawing>
      </w:r>
    </w:p>
    <w:p w14:paraId="2B936E8A">
      <w:pPr>
        <w:spacing w:before="120"/>
        <w:rPr>
          <w:rFonts w:ascii="宋体" w:hAnsi="宋体" w:eastAsia="宋体" w:cs="Times New Roman"/>
          <w:sz w:val="24"/>
        </w:rPr>
      </w:pPr>
    </w:p>
    <w:p w14:paraId="7C08391F">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60" w:name="_Toc16739"/>
      <w:bookmarkStart w:id="261" w:name="_Toc32144"/>
      <w:r>
        <w:rPr>
          <w:rFonts w:hint="eastAsia" w:ascii="宋体" w:hAnsi="宋体" w:eastAsia="宋体" w:cs="宋体"/>
          <w:b/>
          <w:bCs/>
          <w:kern w:val="2"/>
          <w:sz w:val="24"/>
          <w:szCs w:val="24"/>
          <w:lang w:val="en-US" w:eastAsia="zh-CN" w:bidi="ar-SA"/>
        </w:rPr>
        <w:t>数据架构</w:t>
      </w:r>
      <w:bookmarkEnd w:id="260"/>
      <w:bookmarkEnd w:id="261"/>
    </w:p>
    <w:p w14:paraId="732C6017">
      <w:pPr>
        <w:spacing w:before="120"/>
        <w:ind w:firstLine="480" w:firstLineChars="200"/>
        <w:jc w:val="left"/>
        <w:rPr>
          <w:rFonts w:ascii="Arial" w:hAnsi="Arial" w:eastAsia="新宋体" w:cs="Times New Roman"/>
          <w:sz w:val="24"/>
        </w:rPr>
      </w:pPr>
      <w:r>
        <w:rPr>
          <w:rFonts w:hint="eastAsia" w:ascii="Arial" w:hAnsi="Arial" w:eastAsia="新宋体" w:cs="Times New Roman"/>
          <w:sz w:val="24"/>
        </w:rPr>
        <w:t>本系统数据存储采用多实例并存方式，数据层面实现隔离和切分，提高容错能力，提高扩展性和安全性。数据库存储区域划分及相互之间的关系见下图：</w:t>
      </w:r>
      <w:r>
        <w:rPr>
          <w:rFonts w:hint="eastAsia" w:ascii="Arial" w:hAnsi="Arial" w:eastAsia="新宋体" w:cs="Times New Roman"/>
          <w:sz w:val="24"/>
        </w:rPr>
        <w:drawing>
          <wp:inline distT="0" distB="0" distL="0" distR="0">
            <wp:extent cx="6011545" cy="2834005"/>
            <wp:effectExtent l="0" t="0" r="825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6011545" cy="2834005"/>
                    </a:xfrm>
                    <a:prstGeom prst="rect">
                      <a:avLst/>
                    </a:prstGeom>
                  </pic:spPr>
                </pic:pic>
              </a:graphicData>
            </a:graphic>
          </wp:inline>
        </w:drawing>
      </w:r>
    </w:p>
    <w:p w14:paraId="054034E7">
      <w:pPr>
        <w:spacing w:before="120"/>
        <w:rPr>
          <w:rFonts w:ascii="Arial" w:hAnsi="Arial" w:eastAsia="新宋体" w:cs="Times New Roman"/>
          <w:sz w:val="24"/>
        </w:rPr>
      </w:pPr>
      <w:r>
        <w:rPr>
          <w:rFonts w:hint="eastAsia" w:ascii="Arial" w:hAnsi="Arial" w:eastAsia="新宋体" w:cs="Times New Roman"/>
          <w:sz w:val="24"/>
        </w:rPr>
        <w:t>数据模型对象命名规则约定：</w:t>
      </w:r>
    </w:p>
    <w:p w14:paraId="7F870560">
      <w:pPr>
        <w:spacing w:before="120"/>
        <w:rPr>
          <w:rFonts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基本命名前缀规则：</w:t>
      </w:r>
    </w:p>
    <w:tbl>
      <w:tblPr>
        <w:tblStyle w:val="16"/>
        <w:tblW w:w="3920" w:type="dxa"/>
        <w:tblInd w:w="0" w:type="dxa"/>
        <w:tblLayout w:type="autofit"/>
        <w:tblCellMar>
          <w:top w:w="0" w:type="dxa"/>
          <w:left w:w="108" w:type="dxa"/>
          <w:bottom w:w="0" w:type="dxa"/>
          <w:right w:w="108" w:type="dxa"/>
        </w:tblCellMar>
      </w:tblPr>
      <w:tblGrid>
        <w:gridCol w:w="3020"/>
        <w:gridCol w:w="900"/>
      </w:tblGrid>
      <w:tr w14:paraId="68B7EEBA">
        <w:tblPrEx>
          <w:tblCellMar>
            <w:top w:w="0" w:type="dxa"/>
            <w:left w:w="108" w:type="dxa"/>
            <w:bottom w:w="0" w:type="dxa"/>
            <w:right w:w="108" w:type="dxa"/>
          </w:tblCellMar>
        </w:tblPrEx>
        <w:trPr>
          <w:trHeight w:val="290" w:hRule="atLeast"/>
        </w:trPr>
        <w:tc>
          <w:tcPr>
            <w:tcW w:w="3020" w:type="dxa"/>
            <w:tcBorders>
              <w:top w:val="single" w:color="808080" w:sz="8" w:space="0"/>
              <w:left w:val="single" w:color="808080" w:sz="8" w:space="0"/>
              <w:bottom w:val="single" w:color="808080" w:sz="8" w:space="0"/>
              <w:right w:val="single" w:color="808080" w:sz="8" w:space="0"/>
            </w:tcBorders>
            <w:shd w:val="clear" w:color="000000" w:fill="E6E6E6"/>
            <w:vAlign w:val="center"/>
          </w:tcPr>
          <w:p w14:paraId="542A922A">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数据库对象</w:t>
            </w:r>
          </w:p>
        </w:tc>
        <w:tc>
          <w:tcPr>
            <w:tcW w:w="900" w:type="dxa"/>
            <w:tcBorders>
              <w:top w:val="single" w:color="DDDDDD" w:sz="8" w:space="0"/>
              <w:left w:val="single" w:color="DDDDDD" w:sz="8" w:space="0"/>
              <w:bottom w:val="single" w:color="DDDDDD" w:sz="8" w:space="0"/>
              <w:right w:val="single" w:color="DDDDDD" w:sz="8" w:space="0"/>
            </w:tcBorders>
            <w:shd w:val="clear" w:color="000000" w:fill="E6E6E6"/>
            <w:vAlign w:val="center"/>
          </w:tcPr>
          <w:p w14:paraId="7F352E0D">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前缀</w:t>
            </w:r>
          </w:p>
        </w:tc>
      </w:tr>
      <w:tr w14:paraId="7546F83E">
        <w:tblPrEx>
          <w:tblCellMar>
            <w:top w:w="0" w:type="dxa"/>
            <w:left w:w="108" w:type="dxa"/>
            <w:bottom w:w="0" w:type="dxa"/>
            <w:right w:w="108" w:type="dxa"/>
          </w:tblCellMar>
        </w:tblPrEx>
        <w:trPr>
          <w:trHeight w:val="280" w:hRule="atLeast"/>
        </w:trPr>
        <w:tc>
          <w:tcPr>
            <w:tcW w:w="3020" w:type="dxa"/>
            <w:tcBorders>
              <w:top w:val="single" w:color="DDDDDD" w:sz="8" w:space="0"/>
              <w:left w:val="single" w:color="DDDDDD" w:sz="8" w:space="0"/>
              <w:bottom w:val="nil"/>
              <w:right w:val="single" w:color="DDDDDD" w:sz="8" w:space="0"/>
            </w:tcBorders>
            <w:shd w:val="clear" w:color="000000" w:fill="F6F8FA"/>
            <w:vAlign w:val="center"/>
          </w:tcPr>
          <w:p w14:paraId="7A715A9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表(Table)</w:t>
            </w:r>
          </w:p>
        </w:tc>
        <w:tc>
          <w:tcPr>
            <w:tcW w:w="900" w:type="dxa"/>
            <w:tcBorders>
              <w:top w:val="nil"/>
              <w:left w:val="nil"/>
              <w:bottom w:val="nil"/>
              <w:right w:val="single" w:color="DDDDDD" w:sz="8" w:space="0"/>
            </w:tcBorders>
            <w:shd w:val="clear" w:color="000000" w:fill="F6F8FA"/>
            <w:vAlign w:val="center"/>
          </w:tcPr>
          <w:p w14:paraId="480046CA">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tb_</w:t>
            </w:r>
          </w:p>
        </w:tc>
      </w:tr>
      <w:tr w14:paraId="1B46DE9F">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6D05912C">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字段(Column)</w:t>
            </w:r>
          </w:p>
        </w:tc>
        <w:tc>
          <w:tcPr>
            <w:tcW w:w="900" w:type="dxa"/>
            <w:tcBorders>
              <w:top w:val="nil"/>
              <w:left w:val="nil"/>
              <w:bottom w:val="nil"/>
              <w:right w:val="single" w:color="DDDDDD" w:sz="8" w:space="0"/>
            </w:tcBorders>
            <w:shd w:val="clear" w:color="000000" w:fill="F6F8FA"/>
            <w:vAlign w:val="center"/>
          </w:tcPr>
          <w:p w14:paraId="2DAB8C1F">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无</w:t>
            </w:r>
          </w:p>
        </w:tc>
      </w:tr>
      <w:tr w14:paraId="12D5141B">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1440D1B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视图(View)</w:t>
            </w:r>
          </w:p>
        </w:tc>
        <w:tc>
          <w:tcPr>
            <w:tcW w:w="900" w:type="dxa"/>
            <w:tcBorders>
              <w:top w:val="nil"/>
              <w:left w:val="nil"/>
              <w:bottom w:val="nil"/>
              <w:right w:val="single" w:color="DDDDDD" w:sz="8" w:space="0"/>
            </w:tcBorders>
            <w:shd w:val="clear" w:color="000000" w:fill="F6F8FA"/>
            <w:vAlign w:val="center"/>
          </w:tcPr>
          <w:p w14:paraId="5C5CDA0D">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view_</w:t>
            </w:r>
          </w:p>
        </w:tc>
      </w:tr>
      <w:tr w14:paraId="5EB16FA9">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0B67B7B4">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存储过程(Storedprocedure)</w:t>
            </w:r>
          </w:p>
        </w:tc>
        <w:tc>
          <w:tcPr>
            <w:tcW w:w="900" w:type="dxa"/>
            <w:tcBorders>
              <w:top w:val="nil"/>
              <w:left w:val="nil"/>
              <w:bottom w:val="nil"/>
              <w:right w:val="single" w:color="DDDDDD" w:sz="8" w:space="0"/>
            </w:tcBorders>
            <w:shd w:val="clear" w:color="000000" w:fill="F6F8FA"/>
            <w:vAlign w:val="center"/>
          </w:tcPr>
          <w:p w14:paraId="15C27FC7">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pr</w:t>
            </w:r>
            <w:r>
              <w:rPr>
                <w:rFonts w:ascii="微软雅黑" w:hAnsi="微软雅黑" w:eastAsia="微软雅黑" w:cs="宋体"/>
                <w:color w:val="333333"/>
                <w:kern w:val="0"/>
                <w:sz w:val="14"/>
                <w:szCs w:val="14"/>
              </w:rPr>
              <w:t>o</w:t>
            </w:r>
            <w:r>
              <w:rPr>
                <w:rFonts w:hint="eastAsia" w:ascii="微软雅黑" w:hAnsi="微软雅黑" w:eastAsia="微软雅黑" w:cs="宋体"/>
                <w:color w:val="333333"/>
                <w:kern w:val="0"/>
                <w:sz w:val="14"/>
                <w:szCs w:val="14"/>
              </w:rPr>
              <w:t>d_</w:t>
            </w:r>
          </w:p>
        </w:tc>
      </w:tr>
      <w:tr w14:paraId="2DFB170A">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70AE9515">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触发器(Trigger)</w:t>
            </w:r>
          </w:p>
        </w:tc>
        <w:tc>
          <w:tcPr>
            <w:tcW w:w="900" w:type="dxa"/>
            <w:tcBorders>
              <w:top w:val="nil"/>
              <w:left w:val="nil"/>
              <w:bottom w:val="nil"/>
              <w:right w:val="single" w:color="DDDDDD" w:sz="8" w:space="0"/>
            </w:tcBorders>
            <w:shd w:val="clear" w:color="000000" w:fill="F6F8FA"/>
            <w:vAlign w:val="center"/>
          </w:tcPr>
          <w:p w14:paraId="5E9ABAA7">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trg_</w:t>
            </w:r>
          </w:p>
        </w:tc>
      </w:tr>
      <w:tr w14:paraId="07D5B4C5">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62404C40">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索引(Index)</w:t>
            </w:r>
          </w:p>
        </w:tc>
        <w:tc>
          <w:tcPr>
            <w:tcW w:w="900" w:type="dxa"/>
            <w:tcBorders>
              <w:top w:val="nil"/>
              <w:left w:val="nil"/>
              <w:bottom w:val="nil"/>
              <w:right w:val="single" w:color="DDDDDD" w:sz="8" w:space="0"/>
            </w:tcBorders>
            <w:shd w:val="clear" w:color="000000" w:fill="F6F8FA"/>
            <w:vAlign w:val="center"/>
          </w:tcPr>
          <w:p w14:paraId="05B85D6A">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idx_</w:t>
            </w:r>
          </w:p>
        </w:tc>
      </w:tr>
      <w:tr w14:paraId="457B220A">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20C1A14C">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主键(Primarykey)</w:t>
            </w:r>
          </w:p>
        </w:tc>
        <w:tc>
          <w:tcPr>
            <w:tcW w:w="900" w:type="dxa"/>
            <w:tcBorders>
              <w:top w:val="nil"/>
              <w:left w:val="nil"/>
              <w:bottom w:val="nil"/>
              <w:right w:val="single" w:color="DDDDDD" w:sz="8" w:space="0"/>
            </w:tcBorders>
            <w:shd w:val="clear" w:color="000000" w:fill="F6F8FA"/>
            <w:vAlign w:val="center"/>
          </w:tcPr>
          <w:p w14:paraId="6AD71AA6">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pk_</w:t>
            </w:r>
          </w:p>
        </w:tc>
      </w:tr>
      <w:tr w14:paraId="6FD409E0">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1ABCE336">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外键(Foreignkey)</w:t>
            </w:r>
          </w:p>
        </w:tc>
        <w:tc>
          <w:tcPr>
            <w:tcW w:w="900" w:type="dxa"/>
            <w:tcBorders>
              <w:top w:val="nil"/>
              <w:left w:val="nil"/>
              <w:bottom w:val="nil"/>
              <w:right w:val="single" w:color="DDDDDD" w:sz="8" w:space="0"/>
            </w:tcBorders>
            <w:shd w:val="clear" w:color="000000" w:fill="F6F8FA"/>
            <w:vAlign w:val="center"/>
          </w:tcPr>
          <w:p w14:paraId="47734027">
            <w:pPr>
              <w:widowControl/>
              <w:spacing w:before="0"/>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w:t>
            </w:r>
          </w:p>
        </w:tc>
      </w:tr>
      <w:tr w14:paraId="189446F5">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70A54224">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Check约束(CheckConstraint)</w:t>
            </w:r>
          </w:p>
        </w:tc>
        <w:tc>
          <w:tcPr>
            <w:tcW w:w="900" w:type="dxa"/>
            <w:tcBorders>
              <w:top w:val="nil"/>
              <w:left w:val="nil"/>
              <w:bottom w:val="nil"/>
              <w:right w:val="single" w:color="DDDDDD" w:sz="8" w:space="0"/>
            </w:tcBorders>
            <w:shd w:val="clear" w:color="000000" w:fill="F6F8FA"/>
            <w:vAlign w:val="center"/>
          </w:tcPr>
          <w:p w14:paraId="284D35E7">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ck_</w:t>
            </w:r>
          </w:p>
        </w:tc>
      </w:tr>
      <w:tr w14:paraId="19D99049">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7E7FBC39">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Default约束(DefaultConstraint)</w:t>
            </w:r>
          </w:p>
        </w:tc>
        <w:tc>
          <w:tcPr>
            <w:tcW w:w="900" w:type="dxa"/>
            <w:tcBorders>
              <w:top w:val="nil"/>
              <w:left w:val="nil"/>
              <w:bottom w:val="nil"/>
              <w:right w:val="single" w:color="DDDDDD" w:sz="8" w:space="0"/>
            </w:tcBorders>
            <w:shd w:val="clear" w:color="000000" w:fill="F6F8FA"/>
            <w:vAlign w:val="center"/>
          </w:tcPr>
          <w:p w14:paraId="1313729C">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df_</w:t>
            </w:r>
          </w:p>
        </w:tc>
      </w:tr>
      <w:tr w14:paraId="2FA0801C">
        <w:tblPrEx>
          <w:tblCellMar>
            <w:top w:w="0" w:type="dxa"/>
            <w:left w:w="108" w:type="dxa"/>
            <w:bottom w:w="0" w:type="dxa"/>
            <w:right w:w="108" w:type="dxa"/>
          </w:tblCellMar>
        </w:tblPrEx>
        <w:trPr>
          <w:trHeight w:val="280" w:hRule="atLeast"/>
        </w:trPr>
        <w:tc>
          <w:tcPr>
            <w:tcW w:w="3020" w:type="dxa"/>
            <w:tcBorders>
              <w:top w:val="nil"/>
              <w:left w:val="single" w:color="DDDDDD" w:sz="8" w:space="0"/>
              <w:bottom w:val="nil"/>
              <w:right w:val="single" w:color="DDDDDD" w:sz="8" w:space="0"/>
            </w:tcBorders>
            <w:shd w:val="clear" w:color="000000" w:fill="F6F8FA"/>
            <w:vAlign w:val="center"/>
          </w:tcPr>
          <w:p w14:paraId="54EA71E9">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用户定义数据类型(User-defineddatatype)</w:t>
            </w:r>
          </w:p>
        </w:tc>
        <w:tc>
          <w:tcPr>
            <w:tcW w:w="900" w:type="dxa"/>
            <w:tcBorders>
              <w:top w:val="nil"/>
              <w:left w:val="nil"/>
              <w:bottom w:val="nil"/>
              <w:right w:val="single" w:color="DDDDDD" w:sz="8" w:space="0"/>
            </w:tcBorders>
            <w:shd w:val="clear" w:color="000000" w:fill="F6F8FA"/>
            <w:vAlign w:val="center"/>
          </w:tcPr>
          <w:p w14:paraId="1C29154B">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udt_</w:t>
            </w:r>
          </w:p>
        </w:tc>
      </w:tr>
      <w:tr w14:paraId="5A68AB1C">
        <w:tblPrEx>
          <w:tblCellMar>
            <w:top w:w="0" w:type="dxa"/>
            <w:left w:w="108" w:type="dxa"/>
            <w:bottom w:w="0" w:type="dxa"/>
            <w:right w:w="108" w:type="dxa"/>
          </w:tblCellMar>
        </w:tblPrEx>
        <w:trPr>
          <w:trHeight w:val="290" w:hRule="atLeast"/>
        </w:trPr>
        <w:tc>
          <w:tcPr>
            <w:tcW w:w="3020" w:type="dxa"/>
            <w:tcBorders>
              <w:top w:val="nil"/>
              <w:left w:val="single" w:color="DDDDDD" w:sz="8" w:space="0"/>
              <w:bottom w:val="single" w:color="DDDDDD" w:sz="8" w:space="0"/>
              <w:right w:val="single" w:color="DDDDDD" w:sz="8" w:space="0"/>
            </w:tcBorders>
            <w:shd w:val="clear" w:color="000000" w:fill="F6F8FA"/>
            <w:vAlign w:val="center"/>
          </w:tcPr>
          <w:p w14:paraId="1C0BA99B">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用户定义函数(User-definedfunction)</w:t>
            </w:r>
          </w:p>
        </w:tc>
        <w:tc>
          <w:tcPr>
            <w:tcW w:w="900" w:type="dxa"/>
            <w:tcBorders>
              <w:top w:val="nil"/>
              <w:left w:val="nil"/>
              <w:bottom w:val="single" w:color="DDDDDD" w:sz="8" w:space="0"/>
              <w:right w:val="single" w:color="DDDDDD" w:sz="8" w:space="0"/>
            </w:tcBorders>
            <w:shd w:val="clear" w:color="000000" w:fill="F6F8FA"/>
            <w:vAlign w:val="center"/>
          </w:tcPr>
          <w:p w14:paraId="481FE800">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fun_</w:t>
            </w:r>
          </w:p>
        </w:tc>
      </w:tr>
    </w:tbl>
    <w:p w14:paraId="1F15EED1">
      <w:pPr>
        <w:spacing w:before="120"/>
        <w:rPr>
          <w:rFonts w:ascii="Arial" w:hAnsi="Arial" w:eastAsia="新宋体" w:cs="Times New Roman"/>
          <w:sz w:val="24"/>
        </w:rPr>
      </w:pPr>
      <w:r>
        <w:rPr>
          <w:rFonts w:hint="eastAsia" w:ascii="Arial" w:hAnsi="Arial" w:eastAsia="新宋体" w:cs="Times New Roman"/>
          <w:sz w:val="24"/>
        </w:rPr>
        <w:t>2.关于命名的约定：</w:t>
      </w:r>
    </w:p>
    <w:p w14:paraId="62E7C16D">
      <w:pPr>
        <w:spacing w:before="120"/>
        <w:ind w:firstLine="420"/>
        <w:rPr>
          <w:rFonts w:ascii="Arial" w:hAnsi="Arial" w:eastAsia="新宋体" w:cs="Times New Roman"/>
          <w:sz w:val="24"/>
        </w:rPr>
      </w:pPr>
      <w:r>
        <w:rPr>
          <w:rFonts w:hint="eastAsia" w:ascii="Arial" w:hAnsi="Arial" w:eastAsia="新宋体" w:cs="Times New Roman"/>
          <w:sz w:val="24"/>
        </w:rPr>
        <w:t>变量(T-SQL编程中声明的变量)、过程(存储过程或触发器等)、实体(表、字段)应该根据他们所代表的实体意义和进程作用来命名。</w:t>
      </w:r>
    </w:p>
    <w:p w14:paraId="2477FFFF">
      <w:pPr>
        <w:widowControl/>
        <w:shd w:val="clear" w:color="auto" w:fill="FFFFFF"/>
        <w:spacing w:before="0" w:line="390" w:lineRule="atLeast"/>
        <w:jc w:val="left"/>
        <w:rPr>
          <w:rFonts w:ascii="Arial" w:hAnsi="Arial" w:eastAsia="新宋体" w:cs="Times New Roman"/>
          <w:sz w:val="24"/>
        </w:rPr>
      </w:pPr>
      <w:r>
        <w:rPr>
          <w:rFonts w:hint="eastAsia" w:ascii="Arial" w:hAnsi="Arial" w:eastAsia="新宋体" w:cs="Times New Roman"/>
          <w:sz w:val="24"/>
        </w:rPr>
        <w:t>好的命名和不好的命名范例：</w:t>
      </w:r>
    </w:p>
    <w:tbl>
      <w:tblPr>
        <w:tblStyle w:val="16"/>
        <w:tblW w:w="5000" w:type="dxa"/>
        <w:tblInd w:w="-10" w:type="dxa"/>
        <w:tblLayout w:type="autofit"/>
        <w:tblCellMar>
          <w:top w:w="0" w:type="dxa"/>
          <w:left w:w="108" w:type="dxa"/>
          <w:bottom w:w="0" w:type="dxa"/>
          <w:right w:w="108" w:type="dxa"/>
        </w:tblCellMar>
      </w:tblPr>
      <w:tblGrid>
        <w:gridCol w:w="3020"/>
        <w:gridCol w:w="1980"/>
      </w:tblGrid>
      <w:tr w14:paraId="741C7251">
        <w:tblPrEx>
          <w:tblCellMar>
            <w:top w:w="0" w:type="dxa"/>
            <w:left w:w="108" w:type="dxa"/>
            <w:bottom w:w="0" w:type="dxa"/>
            <w:right w:w="108" w:type="dxa"/>
          </w:tblCellMar>
        </w:tblPrEx>
        <w:trPr>
          <w:trHeight w:val="290" w:hRule="atLeast"/>
        </w:trPr>
        <w:tc>
          <w:tcPr>
            <w:tcW w:w="3020" w:type="dxa"/>
            <w:tcBorders>
              <w:top w:val="single" w:color="808080" w:sz="8" w:space="0"/>
              <w:left w:val="single" w:color="808080" w:sz="8" w:space="0"/>
              <w:bottom w:val="single" w:color="808080" w:sz="8" w:space="0"/>
              <w:right w:val="single" w:color="808080" w:sz="8" w:space="0"/>
            </w:tcBorders>
            <w:shd w:val="clear" w:color="000000" w:fill="E6E6E6"/>
            <w:vAlign w:val="center"/>
          </w:tcPr>
          <w:p w14:paraId="037A0428">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好的命名</w:t>
            </w:r>
          </w:p>
        </w:tc>
        <w:tc>
          <w:tcPr>
            <w:tcW w:w="1980" w:type="dxa"/>
            <w:tcBorders>
              <w:top w:val="single" w:color="808080" w:sz="8" w:space="0"/>
              <w:left w:val="nil"/>
              <w:bottom w:val="single" w:color="808080" w:sz="8" w:space="0"/>
              <w:right w:val="single" w:color="808080" w:sz="8" w:space="0"/>
            </w:tcBorders>
            <w:shd w:val="clear" w:color="000000" w:fill="E6E6E6"/>
            <w:vAlign w:val="center"/>
          </w:tcPr>
          <w:p w14:paraId="36FAB6E4">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不好的命名</w:t>
            </w:r>
          </w:p>
        </w:tc>
      </w:tr>
      <w:tr w14:paraId="2B3E60D8">
        <w:tblPrEx>
          <w:tblCellMar>
            <w:top w:w="0" w:type="dxa"/>
            <w:left w:w="108" w:type="dxa"/>
            <w:bottom w:w="0" w:type="dxa"/>
            <w:right w:w="108" w:type="dxa"/>
          </w:tblCellMar>
        </w:tblPrEx>
        <w:trPr>
          <w:trHeight w:val="290" w:hRule="atLeast"/>
        </w:trPr>
        <w:tc>
          <w:tcPr>
            <w:tcW w:w="3020" w:type="dxa"/>
            <w:tcBorders>
              <w:top w:val="single" w:color="DDDDDD" w:sz="8" w:space="0"/>
              <w:left w:val="single" w:color="DDDDDD" w:sz="8" w:space="0"/>
              <w:bottom w:val="nil"/>
              <w:right w:val="single" w:color="DDDDDD" w:sz="8" w:space="0"/>
            </w:tcBorders>
            <w:shd w:val="clear" w:color="000000" w:fill="F6F8FA"/>
            <w:vAlign w:val="center"/>
          </w:tcPr>
          <w:p w14:paraId="112EB634">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@CurrentDate</w:t>
            </w:r>
          </w:p>
        </w:tc>
        <w:tc>
          <w:tcPr>
            <w:tcW w:w="1980" w:type="dxa"/>
            <w:tcBorders>
              <w:top w:val="single" w:color="DDDDDD" w:sz="8" w:space="0"/>
              <w:left w:val="nil"/>
              <w:bottom w:val="nil"/>
              <w:right w:val="single" w:color="DDDDDD" w:sz="8" w:space="0"/>
            </w:tcBorders>
            <w:shd w:val="clear" w:color="000000" w:fill="F6F8FA"/>
            <w:vAlign w:val="center"/>
          </w:tcPr>
          <w:p w14:paraId="5FB2722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@D</w:t>
            </w:r>
          </w:p>
        </w:tc>
      </w:tr>
      <w:tr w14:paraId="600E6772">
        <w:tblPrEx>
          <w:tblCellMar>
            <w:top w:w="0" w:type="dxa"/>
            <w:left w:w="108" w:type="dxa"/>
            <w:bottom w:w="0" w:type="dxa"/>
            <w:right w:w="108" w:type="dxa"/>
          </w:tblCellMar>
        </w:tblPrEx>
        <w:trPr>
          <w:trHeight w:val="290" w:hRule="atLeast"/>
        </w:trPr>
        <w:tc>
          <w:tcPr>
            <w:tcW w:w="3020" w:type="dxa"/>
            <w:tcBorders>
              <w:top w:val="single" w:color="DDDDDD" w:sz="8" w:space="0"/>
              <w:left w:val="single" w:color="DDDDDD" w:sz="8" w:space="0"/>
              <w:bottom w:val="nil"/>
              <w:right w:val="single" w:color="DDDDDD" w:sz="8" w:space="0"/>
            </w:tcBorders>
            <w:shd w:val="clear" w:color="000000" w:fill="F6F8FA"/>
            <w:vAlign w:val="center"/>
          </w:tcPr>
          <w:p w14:paraId="5C17896C">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@ActivityCount</w:t>
            </w:r>
          </w:p>
        </w:tc>
        <w:tc>
          <w:tcPr>
            <w:tcW w:w="1980" w:type="dxa"/>
            <w:tcBorders>
              <w:top w:val="single" w:color="DDDDDD" w:sz="8" w:space="0"/>
              <w:left w:val="nil"/>
              <w:bottom w:val="nil"/>
              <w:right w:val="single" w:color="DDDDDD" w:sz="8" w:space="0"/>
            </w:tcBorders>
            <w:shd w:val="clear" w:color="000000" w:fill="F6F8FA"/>
            <w:vAlign w:val="center"/>
          </w:tcPr>
          <w:p w14:paraId="7FD29DD6">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@ActNum</w:t>
            </w:r>
          </w:p>
        </w:tc>
      </w:tr>
      <w:tr w14:paraId="79C62503">
        <w:tblPrEx>
          <w:tblCellMar>
            <w:top w:w="0" w:type="dxa"/>
            <w:left w:w="108" w:type="dxa"/>
            <w:bottom w:w="0" w:type="dxa"/>
            <w:right w:w="108" w:type="dxa"/>
          </w:tblCellMar>
        </w:tblPrEx>
        <w:trPr>
          <w:trHeight w:val="290" w:hRule="atLeast"/>
        </w:trPr>
        <w:tc>
          <w:tcPr>
            <w:tcW w:w="3020" w:type="dxa"/>
            <w:tcBorders>
              <w:top w:val="single" w:color="DDDDDD" w:sz="8" w:space="0"/>
              <w:left w:val="single" w:color="DDDDDD" w:sz="8" w:space="0"/>
              <w:bottom w:val="nil"/>
              <w:right w:val="single" w:color="DDDDDD" w:sz="8" w:space="0"/>
            </w:tcBorders>
            <w:shd w:val="clear" w:color="000000" w:fill="F6F8FA"/>
            <w:vAlign w:val="center"/>
          </w:tcPr>
          <w:p w14:paraId="24A7C25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@EquipmentType</w:t>
            </w:r>
          </w:p>
        </w:tc>
        <w:tc>
          <w:tcPr>
            <w:tcW w:w="1980" w:type="dxa"/>
            <w:tcBorders>
              <w:top w:val="single" w:color="DDDDDD" w:sz="8" w:space="0"/>
              <w:left w:val="nil"/>
              <w:bottom w:val="nil"/>
              <w:right w:val="single" w:color="DDDDDD" w:sz="8" w:space="0"/>
            </w:tcBorders>
            <w:shd w:val="clear" w:color="000000" w:fill="F6F8FA"/>
            <w:vAlign w:val="center"/>
          </w:tcPr>
          <w:p w14:paraId="4501F0D9">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@ET</w:t>
            </w:r>
          </w:p>
        </w:tc>
      </w:tr>
      <w:tr w14:paraId="0E5E5480">
        <w:tblPrEx>
          <w:tblCellMar>
            <w:top w:w="0" w:type="dxa"/>
            <w:left w:w="108" w:type="dxa"/>
            <w:bottom w:w="0" w:type="dxa"/>
            <w:right w:w="108" w:type="dxa"/>
          </w:tblCellMar>
        </w:tblPrEx>
        <w:trPr>
          <w:trHeight w:val="280" w:hRule="atLeast"/>
        </w:trPr>
        <w:tc>
          <w:tcPr>
            <w:tcW w:w="3020" w:type="dxa"/>
            <w:tcBorders>
              <w:top w:val="single" w:color="DDDDDD" w:sz="8" w:space="0"/>
              <w:left w:val="single" w:color="DDDDDD" w:sz="8" w:space="0"/>
              <w:bottom w:val="nil"/>
              <w:right w:val="single" w:color="DDDDDD" w:sz="8" w:space="0"/>
            </w:tcBorders>
            <w:shd w:val="clear" w:color="000000" w:fill="F6F8FA"/>
            <w:vAlign w:val="center"/>
          </w:tcPr>
          <w:p w14:paraId="2018FB4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prCalculateTotalPrice</w:t>
            </w:r>
          </w:p>
        </w:tc>
        <w:tc>
          <w:tcPr>
            <w:tcW w:w="1980" w:type="dxa"/>
            <w:tcBorders>
              <w:top w:val="single" w:color="DDDDDD" w:sz="8" w:space="0"/>
              <w:left w:val="nil"/>
              <w:bottom w:val="nil"/>
              <w:right w:val="single" w:color="DDDDDD" w:sz="8" w:space="0"/>
            </w:tcBorders>
            <w:shd w:val="clear" w:color="000000" w:fill="F6F8FA"/>
            <w:vAlign w:val="center"/>
          </w:tcPr>
          <w:p w14:paraId="2067015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@prRunCalc</w:t>
            </w:r>
          </w:p>
        </w:tc>
      </w:tr>
    </w:tbl>
    <w:p w14:paraId="5B8E82FD">
      <w:pPr>
        <w:spacing w:before="120"/>
        <w:ind w:left="420" w:leftChars="200"/>
        <w:rPr>
          <w:rFonts w:ascii="宋体" w:hAnsi="宋体" w:eastAsia="宋体" w:cs="Times New Roman"/>
          <w:sz w:val="24"/>
        </w:rPr>
      </w:pPr>
      <w:r>
        <w:rPr>
          <w:rFonts w:ascii="宋体" w:hAnsi="宋体" w:eastAsia="宋体" w:cs="Times New Roman"/>
          <w:sz w:val="24"/>
        </w:rPr>
        <w:t>a.动宾形式：动词放前面，名词放后面。</w:t>
      </w:r>
      <w:r>
        <w:rPr>
          <w:rFonts w:hint="eastAsia" w:ascii="宋体" w:hAnsi="宋体" w:eastAsia="宋体" w:cs="Times New Roman"/>
          <w:sz w:val="24"/>
        </w:rPr>
        <w:t>如</w:t>
      </w:r>
      <w:r>
        <w:rPr>
          <w:rFonts w:ascii="宋体" w:hAnsi="宋体" w:eastAsia="宋体" w:cs="Times New Roman"/>
          <w:sz w:val="24"/>
        </w:rPr>
        <w:t>:pr</w:t>
      </w:r>
      <w:r>
        <w:rPr>
          <w:rFonts w:hint="eastAsia" w:ascii="宋体" w:hAnsi="宋体" w:eastAsia="宋体" w:cs="Times New Roman"/>
          <w:sz w:val="24"/>
        </w:rPr>
        <w:t>o</w:t>
      </w:r>
      <w:r>
        <w:rPr>
          <w:rFonts w:ascii="宋体" w:hAnsi="宋体" w:eastAsia="宋体" w:cs="Times New Roman"/>
          <w:sz w:val="24"/>
        </w:rPr>
        <w:t>d_GetProductById</w:t>
      </w:r>
    </w:p>
    <w:p w14:paraId="7C1992E1">
      <w:pPr>
        <w:spacing w:before="120"/>
        <w:ind w:left="420" w:leftChars="200"/>
        <w:rPr>
          <w:rFonts w:ascii="宋体" w:hAnsi="宋体" w:eastAsia="宋体" w:cs="Times New Roman"/>
          <w:sz w:val="24"/>
        </w:rPr>
      </w:pPr>
      <w:r>
        <w:rPr>
          <w:rFonts w:ascii="宋体" w:hAnsi="宋体" w:eastAsia="宋体" w:cs="Times New Roman"/>
          <w:sz w:val="24"/>
        </w:rPr>
        <w:t>b.不使用计算机术语，尽量使用面向公司业务的术</w:t>
      </w:r>
      <w:r>
        <w:rPr>
          <w:rFonts w:hint="eastAsia" w:ascii="宋体" w:hAnsi="宋体" w:eastAsia="宋体" w:cs="Times New Roman"/>
          <w:sz w:val="24"/>
        </w:rPr>
        <w:t>语</w:t>
      </w:r>
      <w:r>
        <w:rPr>
          <w:rFonts w:ascii="宋体" w:hAnsi="宋体" w:eastAsia="宋体" w:cs="Times New Roman"/>
          <w:sz w:val="24"/>
        </w:rPr>
        <w:t>。</w:t>
      </w:r>
    </w:p>
    <w:p w14:paraId="21A2D6F3">
      <w:pPr>
        <w:spacing w:before="120"/>
        <w:ind w:left="420" w:leftChars="200"/>
        <w:rPr>
          <w:rFonts w:ascii="宋体" w:hAnsi="宋体" w:eastAsia="宋体" w:cs="Times New Roman"/>
          <w:sz w:val="24"/>
        </w:rPr>
      </w:pPr>
      <w:r>
        <w:rPr>
          <w:rFonts w:ascii="宋体" w:hAnsi="宋体" w:eastAsia="宋体" w:cs="Times New Roman"/>
          <w:sz w:val="24"/>
        </w:rPr>
        <w:t>c.采用缩写</w:t>
      </w:r>
      <w:r>
        <w:rPr>
          <w:rFonts w:hint="eastAsia" w:ascii="宋体" w:hAnsi="宋体" w:eastAsia="宋体" w:cs="Times New Roman"/>
          <w:sz w:val="24"/>
        </w:rPr>
        <w:t>的约定：</w:t>
      </w:r>
    </w:p>
    <w:p w14:paraId="0654C9DB">
      <w:pPr>
        <w:spacing w:before="120"/>
        <w:ind w:firstLine="420"/>
        <w:rPr>
          <w:rFonts w:ascii="宋体" w:hAnsi="宋体" w:eastAsia="宋体" w:cs="Times New Roman"/>
          <w:sz w:val="24"/>
        </w:rPr>
      </w:pPr>
      <w:r>
        <w:rPr>
          <w:rFonts w:hint="eastAsia" w:ascii="宋体" w:hAnsi="宋体" w:eastAsia="宋体" w:cs="Times New Roman"/>
          <w:sz w:val="24"/>
        </w:rPr>
        <w:t>如果完全根据“b</w:t>
      </w:r>
      <w:r>
        <w:rPr>
          <w:rFonts w:ascii="宋体" w:hAnsi="宋体" w:eastAsia="宋体" w:cs="Times New Roman"/>
          <w:sz w:val="24"/>
        </w:rPr>
        <w:t>”</w:t>
      </w:r>
      <w:r>
        <w:rPr>
          <w:rFonts w:hint="eastAsia" w:ascii="宋体" w:hAnsi="宋体" w:eastAsia="宋体" w:cs="Times New Roman"/>
          <w:sz w:val="24"/>
        </w:rPr>
        <w:t>项要求，根据业务描述的过程名可能会变得很冗长，例如：</w:t>
      </w:r>
    </w:p>
    <w:p w14:paraId="68896E92">
      <w:pPr>
        <w:spacing w:before="120"/>
        <w:ind w:firstLine="420"/>
        <w:rPr>
          <w:rFonts w:ascii="宋体" w:hAnsi="宋体" w:eastAsia="宋体" w:cs="Times New Roman"/>
          <w:sz w:val="24"/>
        </w:rPr>
      </w:pPr>
      <w:r>
        <w:rPr>
          <w:rFonts w:hint="eastAsia" w:ascii="宋体" w:hAnsi="宋体" w:eastAsia="宋体" w:cs="Times New Roman"/>
          <w:sz w:val="24"/>
        </w:rPr>
        <w:t>prCountTotalAmountOfMonthlyPayments(计算每月指标的总量)</w:t>
      </w:r>
    </w:p>
    <w:p w14:paraId="4374A3E4">
      <w:pPr>
        <w:spacing w:before="120"/>
        <w:ind w:firstLine="420"/>
        <w:rPr>
          <w:rFonts w:ascii="宋体" w:hAnsi="宋体" w:eastAsia="宋体" w:cs="Times New Roman"/>
          <w:sz w:val="24"/>
        </w:rPr>
      </w:pPr>
      <w:r>
        <w:rPr>
          <w:rFonts w:ascii="宋体" w:hAnsi="宋体" w:eastAsia="宋体" w:cs="Times New Roman"/>
          <w:sz w:val="24"/>
        </w:rPr>
        <w:t>prGetParentOrganizationalUnitName(获取上级</w:t>
      </w:r>
      <w:r>
        <w:rPr>
          <w:rFonts w:hint="eastAsia" w:ascii="宋体" w:hAnsi="宋体" w:eastAsia="宋体" w:cs="Times New Roman"/>
          <w:sz w:val="24"/>
        </w:rPr>
        <w:t>组织</w:t>
      </w:r>
      <w:r>
        <w:rPr>
          <w:rFonts w:ascii="宋体" w:hAnsi="宋体" w:eastAsia="宋体" w:cs="Times New Roman"/>
          <w:sz w:val="24"/>
        </w:rPr>
        <w:t>名称)</w:t>
      </w:r>
    </w:p>
    <w:p w14:paraId="3D651AD1">
      <w:pPr>
        <w:spacing w:before="120"/>
        <w:ind w:firstLine="420"/>
        <w:rPr>
          <w:rFonts w:ascii="宋体" w:hAnsi="宋体" w:eastAsia="宋体" w:cs="Times New Roman"/>
          <w:sz w:val="24"/>
        </w:rPr>
      </w:pPr>
      <w:r>
        <w:rPr>
          <w:rFonts w:hint="eastAsia" w:ascii="宋体" w:hAnsi="宋体" w:eastAsia="宋体" w:cs="Times New Roman"/>
          <w:sz w:val="24"/>
        </w:rPr>
        <w:t>如果可以在字典里找到一个词的缩写，就用此做为缩写，例如：Mon(Monday)、Dec(December)</w:t>
      </w:r>
    </w:p>
    <w:p w14:paraId="595EDA2F">
      <w:pPr>
        <w:spacing w:before="120"/>
        <w:ind w:left="420" w:leftChars="200"/>
        <w:rPr>
          <w:rFonts w:ascii="宋体" w:hAnsi="宋体" w:eastAsia="宋体" w:cs="Times New Roman"/>
          <w:sz w:val="24"/>
        </w:rPr>
      </w:pPr>
      <w:r>
        <w:rPr>
          <w:rFonts w:hint="eastAsia" w:ascii="宋体" w:hAnsi="宋体" w:eastAsia="宋体" w:cs="Times New Roman"/>
          <w:sz w:val="24"/>
        </w:rPr>
        <w:t>可删除单词元音(词首字母除外)和每个单词的重复字母来缩写一个单词。例如：Current=Crnt、Address=Adr、Error=Err、Average=Avg</w:t>
      </w:r>
    </w:p>
    <w:p w14:paraId="5F42A8F2">
      <w:pPr>
        <w:spacing w:before="120"/>
        <w:ind w:firstLine="420"/>
        <w:rPr>
          <w:rFonts w:ascii="宋体" w:hAnsi="宋体" w:eastAsia="宋体" w:cs="Times New Roman"/>
          <w:sz w:val="24"/>
        </w:rPr>
      </w:pPr>
      <w:r>
        <w:rPr>
          <w:rFonts w:hint="eastAsia" w:ascii="宋体" w:hAnsi="宋体" w:eastAsia="宋体" w:cs="Times New Roman"/>
          <w:sz w:val="24"/>
        </w:rPr>
        <w:t>不使用有歧异的缩写(一般是语音上的歧义)。例如：b4(before)、xqt(execute)，4tran(Fortran)</w:t>
      </w:r>
    </w:p>
    <w:p w14:paraId="0005F330">
      <w:pPr>
        <w:spacing w:before="120"/>
        <w:rPr>
          <w:rFonts w:ascii="宋体" w:hAnsi="宋体" w:eastAsia="宋体" w:cs="Times New Roman"/>
          <w:sz w:val="24"/>
        </w:rPr>
      </w:pPr>
      <w:r>
        <w:rPr>
          <w:rFonts w:ascii="宋体" w:hAnsi="宋体" w:eastAsia="宋体" w:cs="Times New Roman"/>
          <w:sz w:val="24"/>
        </w:rPr>
        <w:t>3.数据库命名</w:t>
      </w:r>
      <w:r>
        <w:rPr>
          <w:rFonts w:hint="eastAsia" w:ascii="宋体" w:hAnsi="宋体" w:eastAsia="宋体" w:cs="Times New Roman"/>
          <w:sz w:val="24"/>
        </w:rPr>
        <w:t>：</w:t>
      </w:r>
    </w:p>
    <w:p w14:paraId="22B9F153">
      <w:pPr>
        <w:spacing w:before="120"/>
        <w:rPr>
          <w:rFonts w:ascii="宋体" w:hAnsi="宋体" w:eastAsia="宋体" w:cs="Times New Roman"/>
          <w:sz w:val="24"/>
        </w:rPr>
      </w:pPr>
      <w:r>
        <w:rPr>
          <w:rFonts w:ascii="宋体" w:hAnsi="宋体" w:eastAsia="宋体" w:cs="Times New Roman"/>
          <w:sz w:val="24"/>
        </w:rPr>
        <w:t>根据项目的实际意义来命名</w:t>
      </w:r>
      <w:r>
        <w:rPr>
          <w:rFonts w:hint="eastAsia" w:ascii="宋体" w:hAnsi="宋体" w:eastAsia="宋体" w:cs="Times New Roman"/>
          <w:sz w:val="24"/>
        </w:rPr>
        <w:t>；</w:t>
      </w:r>
    </w:p>
    <w:p w14:paraId="38CAB04B">
      <w:pPr>
        <w:spacing w:before="120"/>
        <w:rPr>
          <w:rFonts w:ascii="宋体" w:hAnsi="宋体" w:eastAsia="宋体" w:cs="Times New Roman"/>
          <w:sz w:val="24"/>
        </w:rPr>
      </w:pPr>
      <w:r>
        <w:rPr>
          <w:rFonts w:ascii="宋体" w:hAnsi="宋体" w:eastAsia="宋体" w:cs="Times New Roman"/>
          <w:sz w:val="24"/>
        </w:rPr>
        <w:t>4.表命名</w:t>
      </w:r>
      <w:r>
        <w:rPr>
          <w:rFonts w:hint="eastAsia" w:ascii="宋体" w:hAnsi="宋体" w:eastAsia="宋体" w:cs="Times New Roman"/>
          <w:sz w:val="24"/>
        </w:rPr>
        <w:t>：</w:t>
      </w:r>
    </w:p>
    <w:p w14:paraId="0CA259F9">
      <w:pPr>
        <w:spacing w:before="120"/>
        <w:rPr>
          <w:rFonts w:ascii="宋体" w:hAnsi="宋体" w:eastAsia="宋体" w:cs="Times New Roman"/>
          <w:sz w:val="24"/>
        </w:rPr>
      </w:pPr>
      <w:r>
        <w:rPr>
          <w:rFonts w:ascii="宋体" w:hAnsi="宋体" w:eastAsia="宋体" w:cs="Times New Roman"/>
          <w:sz w:val="24"/>
        </w:rPr>
        <w:t>“tb_”+名称(名称尽量使用英文单词，</w:t>
      </w:r>
      <w:r>
        <w:rPr>
          <w:rFonts w:hint="eastAsia" w:ascii="宋体" w:hAnsi="宋体" w:eastAsia="宋体" w:cs="Times New Roman"/>
          <w:sz w:val="24"/>
        </w:rPr>
        <w:t>使用小写字母，单词之间使用“_</w:t>
      </w:r>
      <w:r>
        <w:rPr>
          <w:rFonts w:ascii="宋体" w:hAnsi="宋体" w:eastAsia="宋体" w:cs="Times New Roman"/>
          <w:sz w:val="24"/>
        </w:rPr>
        <w:t>”</w:t>
      </w:r>
      <w:r>
        <w:rPr>
          <w:rFonts w:hint="eastAsia" w:ascii="宋体" w:hAnsi="宋体" w:eastAsia="宋体" w:cs="Times New Roman"/>
          <w:sz w:val="24"/>
        </w:rPr>
        <w:t>分隔</w:t>
      </w:r>
      <w:r>
        <w:rPr>
          <w:rFonts w:ascii="宋体" w:hAnsi="宋体" w:eastAsia="宋体" w:cs="Times New Roman"/>
          <w:sz w:val="24"/>
        </w:rPr>
        <w:t>)</w:t>
      </w:r>
      <w:r>
        <w:rPr>
          <w:rFonts w:hint="eastAsia" w:ascii="宋体" w:hAnsi="宋体" w:eastAsia="宋体" w:cs="Times New Roman"/>
          <w:sz w:val="24"/>
        </w:rPr>
        <w:t>；</w:t>
      </w:r>
    </w:p>
    <w:p w14:paraId="30B385EC">
      <w:pPr>
        <w:spacing w:before="120"/>
        <w:rPr>
          <w:rFonts w:ascii="宋体" w:hAnsi="宋体" w:eastAsia="宋体" w:cs="Times New Roman"/>
          <w:sz w:val="24"/>
        </w:rPr>
      </w:pPr>
      <w:r>
        <w:rPr>
          <w:rFonts w:ascii="宋体" w:hAnsi="宋体" w:eastAsia="宋体" w:cs="Times New Roman"/>
          <w:sz w:val="24"/>
        </w:rPr>
        <w:t>5.字段命名</w:t>
      </w:r>
      <w:r>
        <w:rPr>
          <w:rFonts w:hint="eastAsia" w:ascii="宋体" w:hAnsi="宋体" w:eastAsia="宋体" w:cs="Times New Roman"/>
          <w:sz w:val="24"/>
        </w:rPr>
        <w:t>：</w:t>
      </w:r>
    </w:p>
    <w:p w14:paraId="2617BCD1">
      <w:pPr>
        <w:spacing w:before="120"/>
        <w:rPr>
          <w:rFonts w:ascii="宋体" w:hAnsi="宋体" w:eastAsia="宋体" w:cs="Times New Roman"/>
          <w:sz w:val="24"/>
        </w:rPr>
      </w:pPr>
      <w:r>
        <w:rPr>
          <w:rFonts w:hint="eastAsia" w:ascii="宋体" w:hAnsi="宋体" w:eastAsia="宋体" w:cs="Times New Roman"/>
          <w:sz w:val="24"/>
        </w:rPr>
        <w:t>字段</w:t>
      </w:r>
      <w:r>
        <w:rPr>
          <w:rFonts w:ascii="宋体" w:hAnsi="宋体" w:eastAsia="宋体" w:cs="Times New Roman"/>
          <w:sz w:val="24"/>
        </w:rPr>
        <w:t>名称</w:t>
      </w:r>
      <w:r>
        <w:rPr>
          <w:rFonts w:hint="eastAsia" w:ascii="宋体" w:hAnsi="宋体" w:eastAsia="宋体" w:cs="Times New Roman"/>
          <w:sz w:val="24"/>
        </w:rPr>
        <w:t>尽量使用英文单词，使用小写字母，单词之间使用“</w:t>
      </w:r>
      <w:r>
        <w:rPr>
          <w:rFonts w:ascii="宋体" w:hAnsi="宋体" w:eastAsia="宋体" w:cs="Times New Roman"/>
          <w:sz w:val="24"/>
        </w:rPr>
        <w:t>_”</w:t>
      </w:r>
      <w:r>
        <w:rPr>
          <w:rFonts w:hint="eastAsia" w:ascii="宋体" w:hAnsi="宋体" w:eastAsia="宋体" w:cs="Times New Roman"/>
          <w:sz w:val="24"/>
        </w:rPr>
        <w:t>分隔</w:t>
      </w:r>
      <w:r>
        <w:rPr>
          <w:rFonts w:ascii="宋体" w:hAnsi="宋体" w:eastAsia="宋体" w:cs="Times New Roman"/>
          <w:sz w:val="24"/>
        </w:rPr>
        <w:t>)</w:t>
      </w:r>
      <w:r>
        <w:rPr>
          <w:rFonts w:hint="eastAsia" w:ascii="宋体" w:hAnsi="宋体" w:eastAsia="宋体" w:cs="Times New Roman"/>
          <w:sz w:val="24"/>
        </w:rPr>
        <w:t>；</w:t>
      </w:r>
    </w:p>
    <w:p w14:paraId="0BFE41E5">
      <w:pPr>
        <w:spacing w:before="120"/>
        <w:rPr>
          <w:rFonts w:ascii="宋体" w:hAnsi="宋体" w:eastAsia="宋体" w:cs="Times New Roman"/>
          <w:sz w:val="24"/>
        </w:rPr>
      </w:pPr>
      <w:r>
        <w:rPr>
          <w:rFonts w:ascii="宋体" w:hAnsi="宋体" w:eastAsia="宋体" w:cs="Times New Roman"/>
          <w:sz w:val="24"/>
        </w:rPr>
        <w:t>缩写:</w:t>
      </w:r>
      <w:r>
        <w:rPr>
          <w:rFonts w:hint="eastAsia" w:ascii="宋体" w:hAnsi="宋体" w:eastAsia="宋体" w:cs="Times New Roman"/>
          <w:sz w:val="24"/>
        </w:rPr>
        <w:t>参照第2项第c条</w:t>
      </w:r>
    </w:p>
    <w:p w14:paraId="5EA6C01D">
      <w:pPr>
        <w:spacing w:before="120"/>
        <w:rPr>
          <w:rFonts w:ascii="宋体" w:hAnsi="宋体" w:eastAsia="宋体" w:cs="Times New Roman"/>
          <w:sz w:val="24"/>
        </w:rPr>
      </w:pPr>
      <w:r>
        <w:rPr>
          <w:rFonts w:ascii="宋体" w:hAnsi="宋体" w:eastAsia="宋体" w:cs="Times New Roman"/>
          <w:sz w:val="24"/>
        </w:rPr>
        <w:t>6.主键命名</w:t>
      </w:r>
      <w:r>
        <w:rPr>
          <w:rFonts w:hint="eastAsia" w:ascii="宋体" w:hAnsi="宋体" w:eastAsia="宋体" w:cs="Times New Roman"/>
          <w:sz w:val="24"/>
        </w:rPr>
        <w:t>：</w:t>
      </w:r>
    </w:p>
    <w:p w14:paraId="1C3B5888">
      <w:pPr>
        <w:spacing w:before="120"/>
        <w:rPr>
          <w:rFonts w:ascii="宋体" w:hAnsi="宋体" w:eastAsia="宋体" w:cs="Times New Roman"/>
          <w:sz w:val="24"/>
        </w:rPr>
      </w:pPr>
      <w:r>
        <w:rPr>
          <w:rFonts w:ascii="宋体" w:hAnsi="宋体" w:eastAsia="宋体" w:cs="Times New Roman"/>
          <w:sz w:val="24"/>
        </w:rPr>
        <w:t>a.一般主键命名：主键的命名为pk_TableName</w:t>
      </w:r>
      <w:r>
        <w:rPr>
          <w:rFonts w:hint="eastAsia" w:ascii="宋体" w:hAnsi="宋体" w:eastAsia="宋体" w:cs="Times New Roman"/>
          <w:sz w:val="24"/>
        </w:rPr>
        <w:t>；</w:t>
      </w:r>
    </w:p>
    <w:p w14:paraId="1D19DCB7">
      <w:pPr>
        <w:spacing w:before="120"/>
        <w:rPr>
          <w:rFonts w:ascii="宋体" w:hAnsi="宋体" w:eastAsia="宋体" w:cs="Times New Roman"/>
          <w:sz w:val="24"/>
        </w:rPr>
      </w:pPr>
      <w:r>
        <w:rPr>
          <w:rFonts w:ascii="宋体" w:hAnsi="宋体" w:eastAsia="宋体" w:cs="Times New Roman"/>
          <w:sz w:val="24"/>
        </w:rPr>
        <w:t>b.复合主键:”pk_”+“字段名”</w:t>
      </w:r>
      <w:r>
        <w:rPr>
          <w:rFonts w:hint="eastAsia" w:ascii="宋体" w:hAnsi="宋体" w:eastAsia="宋体" w:cs="Times New Roman"/>
          <w:sz w:val="24"/>
        </w:rPr>
        <w:t>；</w:t>
      </w:r>
    </w:p>
    <w:p w14:paraId="7BD376D3">
      <w:pPr>
        <w:spacing w:before="120"/>
        <w:rPr>
          <w:rFonts w:ascii="宋体" w:hAnsi="宋体" w:eastAsia="宋体" w:cs="Times New Roman"/>
          <w:sz w:val="24"/>
        </w:rPr>
      </w:pPr>
      <w:r>
        <w:rPr>
          <w:rFonts w:ascii="宋体" w:hAnsi="宋体" w:eastAsia="宋体" w:cs="Times New Roman"/>
          <w:sz w:val="24"/>
        </w:rPr>
        <w:t>7.Check约束命名</w:t>
      </w:r>
      <w:r>
        <w:rPr>
          <w:rFonts w:hint="eastAsia" w:ascii="宋体" w:hAnsi="宋体" w:eastAsia="宋体" w:cs="Times New Roman"/>
          <w:sz w:val="24"/>
        </w:rPr>
        <w:t>：</w:t>
      </w:r>
    </w:p>
    <w:p w14:paraId="365CCE42">
      <w:pPr>
        <w:spacing w:before="120"/>
        <w:rPr>
          <w:rFonts w:ascii="宋体" w:hAnsi="宋体" w:eastAsia="宋体" w:cs="Times New Roman"/>
          <w:sz w:val="24"/>
        </w:rPr>
      </w:pPr>
      <w:r>
        <w:rPr>
          <w:rFonts w:ascii="宋体" w:hAnsi="宋体" w:eastAsia="宋体" w:cs="Times New Roman"/>
          <w:sz w:val="24"/>
        </w:rPr>
        <w:t>“ck_”+“表名”“_”+“字段名”</w:t>
      </w:r>
      <w:r>
        <w:rPr>
          <w:rFonts w:hint="eastAsia" w:ascii="宋体" w:hAnsi="宋体" w:eastAsia="宋体" w:cs="Times New Roman"/>
          <w:sz w:val="24"/>
        </w:rPr>
        <w:t>；</w:t>
      </w:r>
    </w:p>
    <w:p w14:paraId="44F0FD27">
      <w:pPr>
        <w:spacing w:before="120"/>
        <w:rPr>
          <w:rFonts w:ascii="宋体" w:hAnsi="宋体" w:eastAsia="宋体" w:cs="Times New Roman"/>
          <w:sz w:val="24"/>
        </w:rPr>
      </w:pPr>
      <w:r>
        <w:rPr>
          <w:rFonts w:ascii="宋体" w:hAnsi="宋体" w:eastAsia="宋体" w:cs="Times New Roman"/>
          <w:sz w:val="24"/>
        </w:rPr>
        <w:t>8.Default约束命名</w:t>
      </w:r>
    </w:p>
    <w:p w14:paraId="16CB0C76">
      <w:pPr>
        <w:spacing w:before="120"/>
        <w:rPr>
          <w:rFonts w:ascii="宋体" w:hAnsi="宋体" w:eastAsia="宋体" w:cs="Times New Roman"/>
          <w:sz w:val="24"/>
        </w:rPr>
      </w:pPr>
      <w:r>
        <w:rPr>
          <w:rFonts w:ascii="宋体" w:hAnsi="宋体" w:eastAsia="宋体" w:cs="Times New Roman"/>
          <w:sz w:val="24"/>
        </w:rPr>
        <w:t>“df_”+“表名”“_”+“字段名”</w:t>
      </w:r>
    </w:p>
    <w:p w14:paraId="16D71CA8">
      <w:pPr>
        <w:spacing w:before="120"/>
        <w:rPr>
          <w:rFonts w:ascii="宋体" w:hAnsi="宋体" w:eastAsia="宋体" w:cs="Times New Roman"/>
          <w:sz w:val="24"/>
        </w:rPr>
      </w:pPr>
      <w:r>
        <w:rPr>
          <w:rFonts w:ascii="宋体" w:hAnsi="宋体" w:eastAsia="宋体" w:cs="Times New Roman"/>
          <w:sz w:val="24"/>
        </w:rPr>
        <w:t>9.触发器命名</w:t>
      </w:r>
    </w:p>
    <w:p w14:paraId="70777FDF">
      <w:pPr>
        <w:spacing w:before="120"/>
        <w:rPr>
          <w:rFonts w:ascii="宋体" w:hAnsi="宋体" w:eastAsia="宋体" w:cs="Times New Roman"/>
          <w:sz w:val="24"/>
        </w:rPr>
      </w:pPr>
      <w:r>
        <w:rPr>
          <w:rFonts w:ascii="宋体" w:hAnsi="宋体" w:eastAsia="宋体" w:cs="Times New Roman"/>
          <w:sz w:val="24"/>
        </w:rPr>
        <w:t>“trg_”+“表名”+“后缀”</w:t>
      </w:r>
    </w:p>
    <w:p w14:paraId="1BED9ED9">
      <w:pPr>
        <w:spacing w:before="120"/>
        <w:rPr>
          <w:rFonts w:ascii="宋体" w:hAnsi="宋体" w:eastAsia="宋体" w:cs="Times New Roman"/>
          <w:sz w:val="24"/>
        </w:rPr>
      </w:pPr>
      <w:r>
        <w:rPr>
          <w:rFonts w:hint="eastAsia" w:ascii="宋体" w:hAnsi="宋体" w:eastAsia="宋体" w:cs="Times New Roman"/>
          <w:sz w:val="24"/>
        </w:rPr>
        <w:t>a.前缀-</w:t>
      </w:r>
      <w:r>
        <w:rPr>
          <w:rFonts w:ascii="宋体" w:hAnsi="宋体" w:eastAsia="宋体" w:cs="Times New Roman"/>
          <w:sz w:val="24"/>
        </w:rPr>
        <w:t>“</w:t>
      </w:r>
      <w:r>
        <w:rPr>
          <w:rFonts w:hint="eastAsia" w:ascii="宋体" w:hAnsi="宋体" w:eastAsia="宋体" w:cs="Times New Roman"/>
          <w:sz w:val="24"/>
        </w:rPr>
        <w:t>trg_</w:t>
      </w:r>
      <w:r>
        <w:rPr>
          <w:rFonts w:ascii="宋体" w:hAnsi="宋体" w:eastAsia="宋体" w:cs="Times New Roman"/>
          <w:sz w:val="24"/>
        </w:rPr>
        <w:t>”</w:t>
      </w:r>
      <w:r>
        <w:rPr>
          <w:rFonts w:hint="eastAsia" w:ascii="宋体" w:hAnsi="宋体" w:eastAsia="宋体" w:cs="Times New Roman"/>
          <w:sz w:val="24"/>
        </w:rPr>
        <w:t>,描述了数据库对象的类型。</w:t>
      </w:r>
    </w:p>
    <w:p w14:paraId="48DE7C9C">
      <w:pPr>
        <w:spacing w:before="120"/>
        <w:rPr>
          <w:rFonts w:ascii="宋体" w:hAnsi="宋体" w:eastAsia="宋体" w:cs="Times New Roman"/>
          <w:sz w:val="24"/>
        </w:rPr>
      </w:pPr>
      <w:r>
        <w:rPr>
          <w:rFonts w:hint="eastAsia" w:ascii="宋体" w:hAnsi="宋体" w:eastAsia="宋体" w:cs="Times New Roman"/>
          <w:sz w:val="24"/>
        </w:rPr>
        <w:t>b.基本部分，描述触发器所加的表。</w:t>
      </w:r>
    </w:p>
    <w:p w14:paraId="3E96FC97">
      <w:pPr>
        <w:spacing w:before="120"/>
        <w:rPr>
          <w:rFonts w:ascii="宋体" w:hAnsi="宋体" w:eastAsia="宋体" w:cs="Times New Roman"/>
          <w:sz w:val="24"/>
        </w:rPr>
      </w:pPr>
      <w:r>
        <w:rPr>
          <w:rFonts w:hint="eastAsia" w:ascii="宋体" w:hAnsi="宋体" w:eastAsia="宋体" w:cs="Times New Roman"/>
          <w:sz w:val="24"/>
        </w:rPr>
        <w:t>c.后缀(_I、_U、_D)，显示了修改语句(Insert,Update及Delete)</w:t>
      </w:r>
    </w:p>
    <w:p w14:paraId="0F9AF5D9">
      <w:pPr>
        <w:spacing w:before="120"/>
        <w:rPr>
          <w:rFonts w:ascii="宋体" w:hAnsi="宋体" w:eastAsia="宋体" w:cs="Times New Roman"/>
          <w:sz w:val="24"/>
        </w:rPr>
      </w:pPr>
      <w:r>
        <w:rPr>
          <w:rFonts w:ascii="宋体" w:hAnsi="宋体" w:eastAsia="宋体" w:cs="Times New Roman"/>
          <w:sz w:val="24"/>
        </w:rPr>
        <w:t>10.存储过程命名</w:t>
      </w:r>
      <w:r>
        <w:rPr>
          <w:rFonts w:hint="eastAsia" w:ascii="宋体" w:hAnsi="宋体" w:eastAsia="宋体" w:cs="Times New Roman"/>
          <w:sz w:val="24"/>
        </w:rPr>
        <w:t>：</w:t>
      </w:r>
    </w:p>
    <w:p w14:paraId="0C439B1E">
      <w:pPr>
        <w:spacing w:before="120"/>
        <w:rPr>
          <w:rFonts w:ascii="宋体" w:hAnsi="宋体" w:eastAsia="宋体" w:cs="Times New Roman"/>
          <w:sz w:val="24"/>
        </w:rPr>
      </w:pPr>
      <w:r>
        <w:rPr>
          <w:rFonts w:ascii="宋体" w:hAnsi="宋体" w:eastAsia="宋体" w:cs="Times New Roman"/>
          <w:sz w:val="24"/>
        </w:rPr>
        <w:t>命名的规则:见名知意</w:t>
      </w:r>
      <w:r>
        <w:rPr>
          <w:rFonts w:hint="eastAsia" w:ascii="宋体" w:hAnsi="宋体" w:eastAsia="宋体" w:cs="Times New Roman"/>
          <w:sz w:val="24"/>
        </w:rPr>
        <w:t>。</w:t>
      </w:r>
    </w:p>
    <w:p w14:paraId="19091527">
      <w:pPr>
        <w:spacing w:before="120"/>
        <w:rPr>
          <w:rFonts w:ascii="宋体" w:hAnsi="宋体" w:eastAsia="宋体" w:cs="Times New Roman"/>
          <w:sz w:val="24"/>
        </w:rPr>
      </w:pPr>
      <w:r>
        <w:rPr>
          <w:rFonts w:ascii="宋体" w:hAnsi="宋体" w:eastAsia="宋体" w:cs="Times New Roman"/>
          <w:sz w:val="24"/>
        </w:rPr>
        <w:t>“prod_”+“说明”</w:t>
      </w:r>
    </w:p>
    <w:p w14:paraId="0CDDD2CF">
      <w:pPr>
        <w:spacing w:before="120"/>
        <w:rPr>
          <w:rFonts w:ascii="宋体" w:hAnsi="宋体" w:eastAsia="宋体" w:cs="Times New Roman"/>
          <w:sz w:val="24"/>
        </w:rPr>
      </w:pPr>
      <w:r>
        <w:rPr>
          <w:rFonts w:ascii="宋体" w:hAnsi="宋体" w:eastAsia="宋体" w:cs="Times New Roman"/>
          <w:sz w:val="24"/>
        </w:rPr>
        <w:t>说明：动宾结构(动词+名词)</w:t>
      </w:r>
      <w:r>
        <w:rPr>
          <w:rFonts w:hint="eastAsia" w:ascii="宋体" w:hAnsi="宋体" w:eastAsia="宋体" w:cs="Times New Roman"/>
          <w:sz w:val="24"/>
        </w:rPr>
        <w:t>。如：</w:t>
      </w:r>
      <w:r>
        <w:rPr>
          <w:rFonts w:ascii="宋体" w:hAnsi="宋体" w:eastAsia="宋体" w:cs="Times New Roman"/>
          <w:sz w:val="24"/>
        </w:rPr>
        <w:t>prod_GetProductById</w:t>
      </w:r>
      <w:r>
        <w:rPr>
          <w:rFonts w:hint="eastAsia" w:ascii="宋体" w:hAnsi="宋体" w:eastAsia="宋体" w:cs="Times New Roman"/>
          <w:sz w:val="24"/>
        </w:rPr>
        <w:t>。</w:t>
      </w:r>
    </w:p>
    <w:p w14:paraId="043056CD">
      <w:pPr>
        <w:spacing w:before="120"/>
        <w:rPr>
          <w:rFonts w:ascii="宋体" w:hAnsi="宋体" w:eastAsia="宋体" w:cs="Times New Roman"/>
          <w:sz w:val="24"/>
        </w:rPr>
      </w:pPr>
      <w:r>
        <w:rPr>
          <w:rFonts w:ascii="宋体" w:hAnsi="宋体" w:eastAsia="宋体" w:cs="Times New Roman"/>
          <w:sz w:val="24"/>
        </w:rPr>
        <w:t>11.存储过程中参数的命名</w:t>
      </w:r>
      <w:r>
        <w:rPr>
          <w:rFonts w:hint="eastAsia" w:ascii="宋体" w:hAnsi="宋体" w:eastAsia="宋体" w:cs="Times New Roman"/>
          <w:sz w:val="24"/>
        </w:rPr>
        <w:t>：</w:t>
      </w:r>
    </w:p>
    <w:p w14:paraId="56FBE918">
      <w:pPr>
        <w:spacing w:before="120"/>
        <w:rPr>
          <w:rFonts w:ascii="宋体" w:hAnsi="宋体" w:eastAsia="宋体" w:cs="Times New Roman"/>
          <w:sz w:val="24"/>
        </w:rPr>
      </w:pPr>
      <w:r>
        <w:rPr>
          <w:rFonts w:ascii="宋体" w:hAnsi="宋体" w:eastAsia="宋体" w:cs="Times New Roman"/>
          <w:sz w:val="24"/>
        </w:rPr>
        <w:t>与其对应的字段名相同,单词小写</w:t>
      </w:r>
      <w:r>
        <w:rPr>
          <w:rFonts w:hint="eastAsia" w:ascii="宋体" w:hAnsi="宋体" w:eastAsia="宋体" w:cs="Times New Roman"/>
          <w:sz w:val="24"/>
        </w:rPr>
        <w:t>，单词之间使用“_</w:t>
      </w:r>
      <w:r>
        <w:rPr>
          <w:rFonts w:ascii="宋体" w:hAnsi="宋体" w:eastAsia="宋体" w:cs="Times New Roman"/>
          <w:sz w:val="24"/>
        </w:rPr>
        <w:t>”</w:t>
      </w:r>
      <w:r>
        <w:rPr>
          <w:rFonts w:hint="eastAsia" w:ascii="宋体" w:hAnsi="宋体" w:eastAsia="宋体" w:cs="Times New Roman"/>
          <w:sz w:val="24"/>
        </w:rPr>
        <w:t>间隔。</w:t>
      </w:r>
    </w:p>
    <w:p w14:paraId="043BFBF1">
      <w:pPr>
        <w:widowControl w:val="0"/>
        <w:spacing w:before="120"/>
        <w:jc w:val="both"/>
        <w:rPr>
          <w:rFonts w:ascii="Arial" w:hAnsi="Arial" w:eastAsia="新宋体" w:cs="Times New Roman"/>
          <w:kern w:val="2"/>
          <w:sz w:val="24"/>
          <w:szCs w:val="24"/>
          <w:lang w:val="en-US" w:eastAsia="zh-CN" w:bidi="ar-SA"/>
        </w:rPr>
      </w:pPr>
    </w:p>
    <w:p w14:paraId="5B720074">
      <w:pPr>
        <w:spacing w:before="120"/>
        <w:rPr>
          <w:rFonts w:ascii="宋体" w:hAnsi="宋体" w:eastAsia="宋体" w:cs="Times New Roman"/>
          <w:sz w:val="24"/>
        </w:rPr>
      </w:pPr>
      <w:r>
        <w:rPr>
          <w:rFonts w:hint="eastAsia" w:ascii="宋体" w:hAnsi="宋体" w:eastAsia="宋体" w:cs="Times New Roman"/>
          <w:sz w:val="24"/>
        </w:rPr>
        <w:t>系统主要数据模型定义：</w:t>
      </w:r>
    </w:p>
    <w:tbl>
      <w:tblPr>
        <w:tblStyle w:val="16"/>
        <w:tblW w:w="7230" w:type="dxa"/>
        <w:tblInd w:w="-10" w:type="dxa"/>
        <w:tblLayout w:type="autofit"/>
        <w:tblCellMar>
          <w:top w:w="0" w:type="dxa"/>
          <w:left w:w="108" w:type="dxa"/>
          <w:bottom w:w="0" w:type="dxa"/>
          <w:right w:w="108" w:type="dxa"/>
        </w:tblCellMar>
      </w:tblPr>
      <w:tblGrid>
        <w:gridCol w:w="1213"/>
        <w:gridCol w:w="2386"/>
        <w:gridCol w:w="3631"/>
      </w:tblGrid>
      <w:tr w14:paraId="596D8454">
        <w:tblPrEx>
          <w:tblCellMar>
            <w:top w:w="0" w:type="dxa"/>
            <w:left w:w="108" w:type="dxa"/>
            <w:bottom w:w="0" w:type="dxa"/>
            <w:right w:w="108" w:type="dxa"/>
          </w:tblCellMar>
        </w:tblPrEx>
        <w:trPr>
          <w:trHeight w:val="280" w:hRule="atLeast"/>
        </w:trPr>
        <w:tc>
          <w:tcPr>
            <w:tcW w:w="1213" w:type="dxa"/>
            <w:tcBorders>
              <w:top w:val="single" w:color="808080" w:sz="8" w:space="0"/>
              <w:left w:val="single" w:color="808080" w:sz="8" w:space="0"/>
              <w:bottom w:val="nil"/>
              <w:right w:val="single" w:color="808080" w:sz="8" w:space="0"/>
            </w:tcBorders>
            <w:shd w:val="clear" w:color="000000" w:fill="E6E6E6"/>
            <w:vAlign w:val="center"/>
          </w:tcPr>
          <w:p w14:paraId="6DA5EAFA">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所属功能模块</w:t>
            </w:r>
          </w:p>
        </w:tc>
        <w:tc>
          <w:tcPr>
            <w:tcW w:w="2386" w:type="dxa"/>
            <w:tcBorders>
              <w:top w:val="single" w:color="DDDDDD" w:sz="8" w:space="0"/>
              <w:left w:val="nil"/>
              <w:bottom w:val="nil"/>
              <w:right w:val="single" w:color="DDDDDD" w:sz="8" w:space="0"/>
            </w:tcBorders>
            <w:shd w:val="clear" w:color="000000" w:fill="E6E6E6"/>
            <w:vAlign w:val="center"/>
          </w:tcPr>
          <w:p w14:paraId="565439DF">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模型名称定义</w:t>
            </w:r>
          </w:p>
        </w:tc>
        <w:tc>
          <w:tcPr>
            <w:tcW w:w="3631" w:type="dxa"/>
            <w:tcBorders>
              <w:top w:val="single" w:color="808080" w:sz="8" w:space="0"/>
              <w:left w:val="single" w:color="808080" w:sz="8" w:space="0"/>
              <w:bottom w:val="nil"/>
              <w:right w:val="single" w:color="808080" w:sz="8" w:space="0"/>
            </w:tcBorders>
            <w:shd w:val="clear" w:color="000000" w:fill="E6E6E6"/>
            <w:vAlign w:val="center"/>
          </w:tcPr>
          <w:p w14:paraId="463A57C1">
            <w:pPr>
              <w:widowControl/>
              <w:spacing w:before="0"/>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模型注释</w:t>
            </w:r>
          </w:p>
        </w:tc>
      </w:tr>
      <w:tr w14:paraId="5AFD64B7">
        <w:tblPrEx>
          <w:tblCellMar>
            <w:top w:w="0" w:type="dxa"/>
            <w:left w:w="108" w:type="dxa"/>
            <w:bottom w:w="0" w:type="dxa"/>
            <w:right w:w="108" w:type="dxa"/>
          </w:tblCellMar>
        </w:tblPrEx>
        <w:trPr>
          <w:trHeight w:val="280" w:hRule="atLeast"/>
        </w:trPr>
        <w:tc>
          <w:tcPr>
            <w:tcW w:w="1213" w:type="dxa"/>
            <w:vMerge w:val="restart"/>
            <w:tcBorders>
              <w:top w:val="single" w:color="auto" w:sz="4" w:space="0"/>
              <w:left w:val="single" w:color="auto" w:sz="4" w:space="0"/>
              <w:bottom w:val="single" w:color="auto" w:sz="4" w:space="0"/>
              <w:right w:val="single" w:color="auto" w:sz="4" w:space="0"/>
            </w:tcBorders>
            <w:shd w:val="clear" w:color="000000" w:fill="F6F8FA"/>
            <w:vAlign w:val="center"/>
          </w:tcPr>
          <w:p w14:paraId="085498D7">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基础数据管理</w:t>
            </w:r>
          </w:p>
        </w:tc>
        <w:tc>
          <w:tcPr>
            <w:tcW w:w="2386" w:type="dxa"/>
            <w:tcBorders>
              <w:top w:val="single" w:color="auto" w:sz="4" w:space="0"/>
              <w:left w:val="nil"/>
              <w:bottom w:val="single" w:color="auto" w:sz="4" w:space="0"/>
              <w:right w:val="single" w:color="auto" w:sz="4" w:space="0"/>
            </w:tcBorders>
            <w:shd w:val="clear" w:color="000000" w:fill="F6F8FA"/>
            <w:vAlign w:val="center"/>
          </w:tcPr>
          <w:p w14:paraId="248F7573">
            <w:pPr>
              <w:widowControl/>
              <w:spacing w:before="0"/>
              <w:jc w:val="left"/>
              <w:rPr>
                <w:rFonts w:ascii="微软雅黑" w:hAnsi="微软雅黑" w:eastAsia="微软雅黑" w:cs="宋体"/>
                <w:color w:val="333333"/>
                <w:kern w:val="0"/>
                <w:sz w:val="14"/>
                <w:szCs w:val="14"/>
              </w:rPr>
            </w:pPr>
            <w:bookmarkStart w:id="262" w:name="RANGE!B2"/>
            <w:r>
              <w:rPr>
                <w:rFonts w:hint="eastAsia" w:ascii="微软雅黑" w:hAnsi="微软雅黑" w:eastAsia="微软雅黑" w:cs="宋体"/>
                <w:color w:val="333333"/>
                <w:kern w:val="0"/>
                <w:sz w:val="14"/>
                <w:szCs w:val="14"/>
              </w:rPr>
              <w:t>tb_base_derive_compute</w:t>
            </w:r>
            <w:bookmarkEnd w:id="262"/>
          </w:p>
        </w:tc>
        <w:tc>
          <w:tcPr>
            <w:tcW w:w="3631" w:type="dxa"/>
            <w:tcBorders>
              <w:top w:val="single" w:color="auto" w:sz="4" w:space="0"/>
              <w:left w:val="nil"/>
              <w:bottom w:val="single" w:color="auto" w:sz="4" w:space="0"/>
              <w:right w:val="single" w:color="auto" w:sz="4" w:space="0"/>
            </w:tcBorders>
            <w:shd w:val="clear" w:color="000000" w:fill="F6F8FA"/>
            <w:vAlign w:val="center"/>
          </w:tcPr>
          <w:p w14:paraId="56D9D945">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派生指标计算逻辑</w:t>
            </w:r>
          </w:p>
        </w:tc>
      </w:tr>
      <w:tr w14:paraId="35872D0D">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40F014E3">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3736F51E">
            <w:pPr>
              <w:widowControl/>
              <w:spacing w:before="0"/>
              <w:jc w:val="left"/>
              <w:rPr>
                <w:rFonts w:ascii="微软雅黑" w:hAnsi="微软雅黑" w:eastAsia="微软雅黑" w:cs="宋体"/>
                <w:color w:val="333333"/>
                <w:kern w:val="0"/>
                <w:sz w:val="14"/>
                <w:szCs w:val="14"/>
              </w:rPr>
            </w:pPr>
            <w:bookmarkStart w:id="263" w:name="RANGE!B3"/>
            <w:r>
              <w:rPr>
                <w:rFonts w:hint="eastAsia" w:ascii="微软雅黑" w:hAnsi="微软雅黑" w:eastAsia="微软雅黑" w:cs="宋体"/>
                <w:color w:val="333333"/>
                <w:kern w:val="0"/>
                <w:sz w:val="14"/>
                <w:szCs w:val="14"/>
              </w:rPr>
              <w:t>tb_base_derive_dataitem</w:t>
            </w:r>
            <w:bookmarkEnd w:id="263"/>
          </w:p>
        </w:tc>
        <w:tc>
          <w:tcPr>
            <w:tcW w:w="3631" w:type="dxa"/>
            <w:tcBorders>
              <w:top w:val="nil"/>
              <w:left w:val="nil"/>
              <w:bottom w:val="single" w:color="auto" w:sz="4" w:space="0"/>
              <w:right w:val="single" w:color="auto" w:sz="4" w:space="0"/>
            </w:tcBorders>
            <w:shd w:val="clear" w:color="000000" w:fill="F6F8FA"/>
            <w:vAlign w:val="center"/>
          </w:tcPr>
          <w:p w14:paraId="78D2A1B9">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派生指标计算逻辑数据项设置</w:t>
            </w:r>
          </w:p>
        </w:tc>
      </w:tr>
      <w:tr w14:paraId="5BC5C40A">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3CF38106">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A52F978">
            <w:pPr>
              <w:widowControl/>
              <w:spacing w:before="0"/>
              <w:jc w:val="left"/>
              <w:rPr>
                <w:rFonts w:ascii="微软雅黑" w:hAnsi="微软雅黑" w:eastAsia="微软雅黑" w:cs="宋体"/>
                <w:color w:val="333333"/>
                <w:kern w:val="0"/>
                <w:sz w:val="14"/>
                <w:szCs w:val="14"/>
              </w:rPr>
            </w:pPr>
            <w:bookmarkStart w:id="264" w:name="RANGE!B4"/>
            <w:r>
              <w:rPr>
                <w:rFonts w:hint="eastAsia" w:ascii="微软雅黑" w:hAnsi="微软雅黑" w:eastAsia="微软雅黑" w:cs="宋体"/>
                <w:color w:val="333333"/>
                <w:kern w:val="0"/>
                <w:sz w:val="14"/>
                <w:szCs w:val="14"/>
              </w:rPr>
              <w:t>tb_base_dictionary</w:t>
            </w:r>
            <w:bookmarkEnd w:id="264"/>
          </w:p>
        </w:tc>
        <w:tc>
          <w:tcPr>
            <w:tcW w:w="3631" w:type="dxa"/>
            <w:tcBorders>
              <w:top w:val="nil"/>
              <w:left w:val="nil"/>
              <w:bottom w:val="single" w:color="auto" w:sz="4" w:space="0"/>
              <w:right w:val="single" w:color="auto" w:sz="4" w:space="0"/>
            </w:tcBorders>
            <w:shd w:val="clear" w:color="000000" w:fill="F6F8FA"/>
            <w:vAlign w:val="center"/>
          </w:tcPr>
          <w:p w14:paraId="52397579">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基础数据设置_字典管理</w:t>
            </w:r>
          </w:p>
        </w:tc>
      </w:tr>
      <w:tr w14:paraId="583727A7">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450534AF">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43712D82">
            <w:pPr>
              <w:widowControl/>
              <w:spacing w:before="0"/>
              <w:jc w:val="left"/>
              <w:rPr>
                <w:rFonts w:ascii="微软雅黑" w:hAnsi="微软雅黑" w:eastAsia="微软雅黑" w:cs="宋体"/>
                <w:color w:val="333333"/>
                <w:kern w:val="0"/>
                <w:sz w:val="14"/>
                <w:szCs w:val="14"/>
              </w:rPr>
            </w:pPr>
            <w:bookmarkStart w:id="265" w:name="RANGE!B5"/>
            <w:r>
              <w:rPr>
                <w:rFonts w:hint="eastAsia" w:ascii="微软雅黑" w:hAnsi="微软雅黑" w:eastAsia="微软雅黑" w:cs="宋体"/>
                <w:color w:val="333333"/>
                <w:kern w:val="0"/>
                <w:sz w:val="14"/>
                <w:szCs w:val="14"/>
              </w:rPr>
              <w:t>tb_base_dictionary_sub</w:t>
            </w:r>
            <w:bookmarkEnd w:id="265"/>
          </w:p>
        </w:tc>
        <w:tc>
          <w:tcPr>
            <w:tcW w:w="3631" w:type="dxa"/>
            <w:tcBorders>
              <w:top w:val="nil"/>
              <w:left w:val="nil"/>
              <w:bottom w:val="single" w:color="auto" w:sz="4" w:space="0"/>
              <w:right w:val="single" w:color="auto" w:sz="4" w:space="0"/>
            </w:tcBorders>
            <w:shd w:val="clear" w:color="000000" w:fill="F6F8FA"/>
            <w:vAlign w:val="center"/>
          </w:tcPr>
          <w:p w14:paraId="62DAB401">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基础数据设置_字典信息管理</w:t>
            </w:r>
          </w:p>
        </w:tc>
      </w:tr>
      <w:tr w14:paraId="2838D01F">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2EF17011">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319A57FE">
            <w:pPr>
              <w:widowControl/>
              <w:spacing w:before="0"/>
              <w:jc w:val="left"/>
              <w:rPr>
                <w:rFonts w:ascii="微软雅黑" w:hAnsi="微软雅黑" w:eastAsia="微软雅黑" w:cs="宋体"/>
                <w:color w:val="333333"/>
                <w:kern w:val="0"/>
                <w:sz w:val="14"/>
                <w:szCs w:val="14"/>
              </w:rPr>
            </w:pPr>
            <w:bookmarkStart w:id="266" w:name="RANGE!B6"/>
            <w:r>
              <w:rPr>
                <w:rFonts w:hint="eastAsia" w:ascii="微软雅黑" w:hAnsi="微软雅黑" w:eastAsia="微软雅黑" w:cs="宋体"/>
                <w:color w:val="333333"/>
                <w:kern w:val="0"/>
                <w:sz w:val="14"/>
                <w:szCs w:val="14"/>
              </w:rPr>
              <w:t>tb_base_metroline</w:t>
            </w:r>
            <w:bookmarkEnd w:id="266"/>
          </w:p>
        </w:tc>
        <w:tc>
          <w:tcPr>
            <w:tcW w:w="3631" w:type="dxa"/>
            <w:tcBorders>
              <w:top w:val="nil"/>
              <w:left w:val="nil"/>
              <w:bottom w:val="single" w:color="auto" w:sz="4" w:space="0"/>
              <w:right w:val="single" w:color="auto" w:sz="4" w:space="0"/>
            </w:tcBorders>
            <w:shd w:val="clear" w:color="000000" w:fill="F6F8FA"/>
            <w:vAlign w:val="center"/>
          </w:tcPr>
          <w:p w14:paraId="328C3370">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基础数据管理_线路管理</w:t>
            </w:r>
          </w:p>
        </w:tc>
      </w:tr>
      <w:tr w14:paraId="3E6F300D">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5EC3D10B">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206C06FC">
            <w:pPr>
              <w:widowControl/>
              <w:spacing w:before="0"/>
              <w:jc w:val="left"/>
              <w:rPr>
                <w:rFonts w:ascii="微软雅黑" w:hAnsi="微软雅黑" w:eastAsia="微软雅黑" w:cs="宋体"/>
                <w:color w:val="333333"/>
                <w:kern w:val="0"/>
                <w:sz w:val="14"/>
                <w:szCs w:val="14"/>
              </w:rPr>
            </w:pPr>
            <w:bookmarkStart w:id="267" w:name="RANGE!B7"/>
            <w:r>
              <w:rPr>
                <w:rFonts w:hint="eastAsia" w:ascii="微软雅黑" w:hAnsi="微软雅黑" w:eastAsia="微软雅黑" w:cs="宋体"/>
                <w:color w:val="333333"/>
                <w:kern w:val="0"/>
                <w:sz w:val="14"/>
                <w:szCs w:val="14"/>
              </w:rPr>
              <w:t>tb_base_metrostation</w:t>
            </w:r>
            <w:bookmarkEnd w:id="267"/>
          </w:p>
        </w:tc>
        <w:tc>
          <w:tcPr>
            <w:tcW w:w="3631" w:type="dxa"/>
            <w:tcBorders>
              <w:top w:val="nil"/>
              <w:left w:val="nil"/>
              <w:bottom w:val="single" w:color="auto" w:sz="4" w:space="0"/>
              <w:right w:val="single" w:color="auto" w:sz="4" w:space="0"/>
            </w:tcBorders>
            <w:shd w:val="clear" w:color="000000" w:fill="F6F8FA"/>
            <w:vAlign w:val="center"/>
          </w:tcPr>
          <w:p w14:paraId="2E4B9DF6">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基础数据管理_车站管理</w:t>
            </w:r>
          </w:p>
        </w:tc>
      </w:tr>
      <w:tr w14:paraId="03F8D950">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1DD86586">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1004EA75">
            <w:pPr>
              <w:widowControl/>
              <w:spacing w:before="0"/>
              <w:jc w:val="left"/>
              <w:rPr>
                <w:rFonts w:ascii="微软雅黑" w:hAnsi="微软雅黑" w:eastAsia="微软雅黑" w:cs="宋体"/>
                <w:color w:val="333333"/>
                <w:kern w:val="0"/>
                <w:sz w:val="14"/>
                <w:szCs w:val="14"/>
              </w:rPr>
            </w:pPr>
            <w:bookmarkStart w:id="268" w:name="RANGE!B8"/>
            <w:r>
              <w:rPr>
                <w:rFonts w:hint="eastAsia" w:ascii="微软雅黑" w:hAnsi="微软雅黑" w:eastAsia="微软雅黑" w:cs="宋体"/>
                <w:color w:val="333333"/>
                <w:kern w:val="0"/>
                <w:sz w:val="14"/>
                <w:szCs w:val="14"/>
              </w:rPr>
              <w:t>tb_base_organization</w:t>
            </w:r>
            <w:bookmarkEnd w:id="268"/>
          </w:p>
        </w:tc>
        <w:tc>
          <w:tcPr>
            <w:tcW w:w="3631" w:type="dxa"/>
            <w:tcBorders>
              <w:top w:val="nil"/>
              <w:left w:val="nil"/>
              <w:bottom w:val="single" w:color="auto" w:sz="4" w:space="0"/>
              <w:right w:val="single" w:color="auto" w:sz="4" w:space="0"/>
            </w:tcBorders>
            <w:shd w:val="clear" w:color="000000" w:fill="F6F8FA"/>
            <w:vAlign w:val="center"/>
          </w:tcPr>
          <w:p w14:paraId="682178D7">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基础数据管理_组织管理</w:t>
            </w:r>
          </w:p>
        </w:tc>
      </w:tr>
      <w:tr w14:paraId="61D006F4">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2C4C5F20">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6D2000BD">
            <w:pPr>
              <w:widowControl/>
              <w:spacing w:before="0"/>
              <w:jc w:val="left"/>
              <w:rPr>
                <w:rFonts w:ascii="微软雅黑" w:hAnsi="微软雅黑" w:eastAsia="微软雅黑" w:cs="宋体"/>
                <w:color w:val="333333"/>
                <w:kern w:val="0"/>
                <w:sz w:val="14"/>
                <w:szCs w:val="14"/>
              </w:rPr>
            </w:pPr>
            <w:bookmarkStart w:id="269" w:name="RANGE!B9"/>
            <w:r>
              <w:rPr>
                <w:rFonts w:hint="eastAsia" w:ascii="微软雅黑" w:hAnsi="微软雅黑" w:eastAsia="微软雅黑" w:cs="宋体"/>
                <w:color w:val="333333"/>
                <w:kern w:val="0"/>
                <w:sz w:val="14"/>
                <w:szCs w:val="14"/>
              </w:rPr>
              <w:t>tb_base_powersetting</w:t>
            </w:r>
            <w:bookmarkEnd w:id="269"/>
          </w:p>
        </w:tc>
        <w:tc>
          <w:tcPr>
            <w:tcW w:w="3631" w:type="dxa"/>
            <w:tcBorders>
              <w:top w:val="nil"/>
              <w:left w:val="nil"/>
              <w:bottom w:val="single" w:color="auto" w:sz="4" w:space="0"/>
              <w:right w:val="single" w:color="auto" w:sz="4" w:space="0"/>
            </w:tcBorders>
            <w:shd w:val="clear" w:color="000000" w:fill="F6F8FA"/>
            <w:vAlign w:val="center"/>
          </w:tcPr>
          <w:p w14:paraId="63B0A4B5">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角色权限管理</w:t>
            </w:r>
          </w:p>
        </w:tc>
      </w:tr>
      <w:tr w14:paraId="1EFF34D9">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38512040">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151A5957">
            <w:pPr>
              <w:widowControl/>
              <w:spacing w:before="0"/>
              <w:jc w:val="left"/>
              <w:rPr>
                <w:rFonts w:ascii="微软雅黑" w:hAnsi="微软雅黑" w:eastAsia="微软雅黑" w:cs="宋体"/>
                <w:color w:val="333333"/>
                <w:kern w:val="0"/>
                <w:sz w:val="14"/>
                <w:szCs w:val="14"/>
              </w:rPr>
            </w:pPr>
            <w:bookmarkStart w:id="270" w:name="RANGE!B10"/>
            <w:r>
              <w:rPr>
                <w:rFonts w:hint="eastAsia" w:ascii="微软雅黑" w:hAnsi="微软雅黑" w:eastAsia="微软雅黑" w:cs="宋体"/>
                <w:color w:val="333333"/>
                <w:kern w:val="0"/>
                <w:sz w:val="14"/>
                <w:szCs w:val="14"/>
              </w:rPr>
              <w:t>tb_base_role</w:t>
            </w:r>
            <w:bookmarkEnd w:id="270"/>
          </w:p>
        </w:tc>
        <w:tc>
          <w:tcPr>
            <w:tcW w:w="3631" w:type="dxa"/>
            <w:tcBorders>
              <w:top w:val="nil"/>
              <w:left w:val="nil"/>
              <w:bottom w:val="single" w:color="auto" w:sz="4" w:space="0"/>
              <w:right w:val="single" w:color="auto" w:sz="4" w:space="0"/>
            </w:tcBorders>
            <w:shd w:val="clear" w:color="000000" w:fill="F6F8FA"/>
            <w:vAlign w:val="center"/>
          </w:tcPr>
          <w:p w14:paraId="709A9EE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基础数据管理_角色管理</w:t>
            </w:r>
          </w:p>
        </w:tc>
      </w:tr>
      <w:tr w14:paraId="589E7162">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1090E5F0">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2A262042">
            <w:pPr>
              <w:widowControl/>
              <w:spacing w:before="0"/>
              <w:jc w:val="left"/>
              <w:rPr>
                <w:rFonts w:ascii="微软雅黑" w:hAnsi="微软雅黑" w:eastAsia="微软雅黑" w:cs="宋体"/>
                <w:color w:val="333333"/>
                <w:kern w:val="0"/>
                <w:sz w:val="14"/>
                <w:szCs w:val="14"/>
              </w:rPr>
            </w:pPr>
            <w:bookmarkStart w:id="271" w:name="RANGE!B11"/>
            <w:r>
              <w:rPr>
                <w:rFonts w:hint="eastAsia" w:ascii="微软雅黑" w:hAnsi="微软雅黑" w:eastAsia="微软雅黑" w:cs="宋体"/>
                <w:color w:val="333333"/>
                <w:kern w:val="0"/>
                <w:sz w:val="14"/>
                <w:szCs w:val="14"/>
              </w:rPr>
              <w:t>tb_base_submission_preexamset</w:t>
            </w:r>
            <w:bookmarkEnd w:id="271"/>
          </w:p>
        </w:tc>
        <w:tc>
          <w:tcPr>
            <w:tcW w:w="3631" w:type="dxa"/>
            <w:tcBorders>
              <w:top w:val="nil"/>
              <w:left w:val="nil"/>
              <w:bottom w:val="single" w:color="auto" w:sz="4" w:space="0"/>
              <w:right w:val="single" w:color="auto" w:sz="4" w:space="0"/>
            </w:tcBorders>
            <w:shd w:val="clear" w:color="000000" w:fill="F6F8FA"/>
            <w:vAlign w:val="center"/>
          </w:tcPr>
          <w:p w14:paraId="5B9E15F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指标填报预审设置</w:t>
            </w:r>
          </w:p>
        </w:tc>
      </w:tr>
      <w:tr w14:paraId="71F80005">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446FB7E8">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17509E7D">
            <w:pPr>
              <w:widowControl/>
              <w:spacing w:before="0"/>
              <w:jc w:val="left"/>
              <w:rPr>
                <w:rFonts w:ascii="微软雅黑" w:hAnsi="微软雅黑" w:eastAsia="微软雅黑" w:cs="宋体"/>
                <w:color w:val="333333"/>
                <w:kern w:val="0"/>
                <w:sz w:val="14"/>
                <w:szCs w:val="14"/>
              </w:rPr>
            </w:pPr>
            <w:bookmarkStart w:id="272" w:name="RANGE!B12"/>
            <w:r>
              <w:rPr>
                <w:rFonts w:hint="eastAsia" w:ascii="微软雅黑" w:hAnsi="微软雅黑" w:eastAsia="微软雅黑" w:cs="宋体"/>
                <w:color w:val="333333"/>
                <w:kern w:val="0"/>
                <w:sz w:val="14"/>
                <w:szCs w:val="14"/>
              </w:rPr>
              <w:t>tb_Base_Submission_ShenPi</w:t>
            </w:r>
            <w:bookmarkEnd w:id="272"/>
          </w:p>
        </w:tc>
        <w:tc>
          <w:tcPr>
            <w:tcW w:w="3631" w:type="dxa"/>
            <w:tcBorders>
              <w:top w:val="nil"/>
              <w:left w:val="nil"/>
              <w:bottom w:val="single" w:color="auto" w:sz="4" w:space="0"/>
              <w:right w:val="single" w:color="auto" w:sz="4" w:space="0"/>
            </w:tcBorders>
            <w:shd w:val="clear" w:color="000000" w:fill="F6F8FA"/>
            <w:vAlign w:val="center"/>
          </w:tcPr>
          <w:p w14:paraId="7A393106">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指标填报审批流表</w:t>
            </w:r>
          </w:p>
        </w:tc>
      </w:tr>
      <w:tr w14:paraId="7A3F0241">
        <w:tblPrEx>
          <w:tblCellMar>
            <w:top w:w="0" w:type="dxa"/>
            <w:left w:w="108" w:type="dxa"/>
            <w:bottom w:w="0" w:type="dxa"/>
            <w:right w:w="108" w:type="dxa"/>
          </w:tblCellMar>
        </w:tblPrEx>
        <w:trPr>
          <w:trHeight w:val="280" w:hRule="atLeast"/>
        </w:trPr>
        <w:tc>
          <w:tcPr>
            <w:tcW w:w="1213" w:type="dxa"/>
            <w:vMerge w:val="continue"/>
            <w:tcBorders>
              <w:top w:val="single" w:color="auto" w:sz="4" w:space="0"/>
              <w:left w:val="single" w:color="auto" w:sz="4" w:space="0"/>
              <w:bottom w:val="single" w:color="auto" w:sz="4" w:space="0"/>
              <w:right w:val="single" w:color="auto" w:sz="4" w:space="0"/>
            </w:tcBorders>
            <w:vAlign w:val="center"/>
          </w:tcPr>
          <w:p w14:paraId="77818783">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F3AB349">
            <w:pPr>
              <w:widowControl/>
              <w:spacing w:before="0"/>
              <w:jc w:val="left"/>
              <w:rPr>
                <w:rFonts w:ascii="微软雅黑" w:hAnsi="微软雅黑" w:eastAsia="微软雅黑" w:cs="宋体"/>
                <w:color w:val="333333"/>
                <w:kern w:val="0"/>
                <w:sz w:val="14"/>
                <w:szCs w:val="14"/>
              </w:rPr>
            </w:pPr>
            <w:bookmarkStart w:id="273" w:name="RANGE!B13"/>
            <w:r>
              <w:rPr>
                <w:rFonts w:hint="eastAsia" w:ascii="微软雅黑" w:hAnsi="微软雅黑" w:eastAsia="微软雅黑" w:cs="宋体"/>
                <w:color w:val="333333"/>
                <w:kern w:val="0"/>
                <w:sz w:val="14"/>
                <w:szCs w:val="14"/>
              </w:rPr>
              <w:t>tb_base_User</w:t>
            </w:r>
            <w:bookmarkEnd w:id="273"/>
          </w:p>
        </w:tc>
        <w:tc>
          <w:tcPr>
            <w:tcW w:w="3631" w:type="dxa"/>
            <w:tcBorders>
              <w:top w:val="nil"/>
              <w:left w:val="nil"/>
              <w:bottom w:val="single" w:color="auto" w:sz="4" w:space="0"/>
              <w:right w:val="single" w:color="auto" w:sz="4" w:space="0"/>
            </w:tcBorders>
            <w:shd w:val="clear" w:color="000000" w:fill="F6F8FA"/>
            <w:vAlign w:val="center"/>
          </w:tcPr>
          <w:p w14:paraId="01A4D7EA">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基础数据管理_用户管理</w:t>
            </w:r>
          </w:p>
        </w:tc>
      </w:tr>
      <w:tr w14:paraId="6FED0E2A">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276A8D8D">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关联关系</w:t>
            </w:r>
          </w:p>
        </w:tc>
        <w:tc>
          <w:tcPr>
            <w:tcW w:w="2386" w:type="dxa"/>
            <w:tcBorders>
              <w:top w:val="nil"/>
              <w:left w:val="nil"/>
              <w:bottom w:val="single" w:color="auto" w:sz="4" w:space="0"/>
              <w:right w:val="single" w:color="auto" w:sz="4" w:space="0"/>
            </w:tcBorders>
            <w:shd w:val="clear" w:color="000000" w:fill="F6F8FA"/>
            <w:vAlign w:val="center"/>
          </w:tcPr>
          <w:p w14:paraId="444AA419">
            <w:pPr>
              <w:widowControl/>
              <w:spacing w:before="0"/>
              <w:jc w:val="left"/>
              <w:rPr>
                <w:rFonts w:ascii="微软雅黑" w:hAnsi="微软雅黑" w:eastAsia="微软雅黑" w:cs="宋体"/>
                <w:color w:val="333333"/>
                <w:kern w:val="0"/>
                <w:sz w:val="14"/>
                <w:szCs w:val="14"/>
              </w:rPr>
            </w:pPr>
            <w:bookmarkStart w:id="274" w:name="RANGE!B14"/>
            <w:r>
              <w:rPr>
                <w:rFonts w:hint="eastAsia" w:ascii="微软雅黑" w:hAnsi="微软雅黑" w:eastAsia="微软雅黑" w:cs="宋体"/>
                <w:color w:val="333333"/>
                <w:kern w:val="0"/>
                <w:sz w:val="14"/>
                <w:szCs w:val="14"/>
              </w:rPr>
              <w:t>tb_Relation_linetostation</w:t>
            </w:r>
            <w:bookmarkEnd w:id="274"/>
          </w:p>
        </w:tc>
        <w:tc>
          <w:tcPr>
            <w:tcW w:w="3631" w:type="dxa"/>
            <w:tcBorders>
              <w:top w:val="nil"/>
              <w:left w:val="nil"/>
              <w:bottom w:val="single" w:color="auto" w:sz="4" w:space="0"/>
              <w:right w:val="single" w:color="auto" w:sz="4" w:space="0"/>
            </w:tcBorders>
            <w:shd w:val="clear" w:color="000000" w:fill="F6F8FA"/>
            <w:vAlign w:val="center"/>
          </w:tcPr>
          <w:p w14:paraId="37AAAF11">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地铁线路与车站关联关系</w:t>
            </w:r>
          </w:p>
        </w:tc>
      </w:tr>
      <w:tr w14:paraId="6DF147F7">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68DBEF3E">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713D8ECA">
            <w:pPr>
              <w:widowControl/>
              <w:spacing w:before="0"/>
              <w:jc w:val="left"/>
              <w:rPr>
                <w:rFonts w:ascii="微软雅黑" w:hAnsi="微软雅黑" w:eastAsia="微软雅黑" w:cs="宋体"/>
                <w:color w:val="333333"/>
                <w:kern w:val="0"/>
                <w:sz w:val="14"/>
                <w:szCs w:val="14"/>
              </w:rPr>
            </w:pPr>
            <w:bookmarkStart w:id="275" w:name="RANGE!B15"/>
            <w:r>
              <w:rPr>
                <w:rFonts w:hint="eastAsia" w:ascii="微软雅黑" w:hAnsi="微软雅黑" w:eastAsia="微软雅黑" w:cs="宋体"/>
                <w:color w:val="333333"/>
                <w:kern w:val="0"/>
                <w:sz w:val="14"/>
                <w:szCs w:val="14"/>
              </w:rPr>
              <w:t>tb_relation_menutobutton</w:t>
            </w:r>
            <w:bookmarkEnd w:id="275"/>
          </w:p>
        </w:tc>
        <w:tc>
          <w:tcPr>
            <w:tcW w:w="3631" w:type="dxa"/>
            <w:tcBorders>
              <w:top w:val="nil"/>
              <w:left w:val="nil"/>
              <w:bottom w:val="single" w:color="auto" w:sz="4" w:space="0"/>
              <w:right w:val="single" w:color="auto" w:sz="4" w:space="0"/>
            </w:tcBorders>
            <w:shd w:val="clear" w:color="000000" w:fill="F6F8FA"/>
            <w:vAlign w:val="center"/>
          </w:tcPr>
          <w:p w14:paraId="4133DDD6">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系统菜单与按钮的关联关系</w:t>
            </w:r>
          </w:p>
        </w:tc>
      </w:tr>
      <w:tr w14:paraId="00FBBA27">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353FC627">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0030565F">
            <w:pPr>
              <w:widowControl/>
              <w:spacing w:before="0"/>
              <w:jc w:val="left"/>
              <w:rPr>
                <w:rFonts w:ascii="微软雅黑" w:hAnsi="微软雅黑" w:eastAsia="微软雅黑" w:cs="宋体"/>
                <w:color w:val="333333"/>
                <w:kern w:val="0"/>
                <w:sz w:val="14"/>
                <w:szCs w:val="14"/>
              </w:rPr>
            </w:pPr>
            <w:bookmarkStart w:id="276" w:name="RANGE!B16"/>
            <w:r>
              <w:rPr>
                <w:rFonts w:hint="eastAsia" w:ascii="微软雅黑" w:hAnsi="微软雅黑" w:eastAsia="微软雅黑" w:cs="宋体"/>
                <w:color w:val="333333"/>
                <w:kern w:val="0"/>
                <w:sz w:val="14"/>
                <w:szCs w:val="14"/>
              </w:rPr>
              <w:t>tb_relation_usertoextsysuser</w:t>
            </w:r>
            <w:bookmarkEnd w:id="276"/>
          </w:p>
        </w:tc>
        <w:tc>
          <w:tcPr>
            <w:tcW w:w="3631" w:type="dxa"/>
            <w:tcBorders>
              <w:top w:val="nil"/>
              <w:left w:val="nil"/>
              <w:bottom w:val="single" w:color="auto" w:sz="4" w:space="0"/>
              <w:right w:val="single" w:color="auto" w:sz="4" w:space="0"/>
            </w:tcBorders>
            <w:shd w:val="clear" w:color="000000" w:fill="F6F8FA"/>
            <w:vAlign w:val="center"/>
          </w:tcPr>
          <w:p w14:paraId="7BD3D824">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用户与其它系统用户关联关系</w:t>
            </w:r>
          </w:p>
        </w:tc>
      </w:tr>
      <w:tr w14:paraId="74C66C44">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1A7AD937">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4F8D4936">
            <w:pPr>
              <w:widowControl/>
              <w:spacing w:before="0"/>
              <w:jc w:val="left"/>
              <w:rPr>
                <w:rFonts w:ascii="微软雅黑" w:hAnsi="微软雅黑" w:eastAsia="微软雅黑" w:cs="宋体"/>
                <w:color w:val="333333"/>
                <w:kern w:val="0"/>
                <w:sz w:val="14"/>
                <w:szCs w:val="14"/>
              </w:rPr>
            </w:pPr>
            <w:bookmarkStart w:id="277" w:name="RANGE!B17"/>
            <w:r>
              <w:rPr>
                <w:rFonts w:hint="eastAsia" w:ascii="微软雅黑" w:hAnsi="微软雅黑" w:eastAsia="微软雅黑" w:cs="宋体"/>
                <w:color w:val="333333"/>
                <w:kern w:val="0"/>
                <w:sz w:val="14"/>
                <w:szCs w:val="14"/>
              </w:rPr>
              <w:t>tb_relation_usertorole</w:t>
            </w:r>
            <w:bookmarkEnd w:id="277"/>
          </w:p>
        </w:tc>
        <w:tc>
          <w:tcPr>
            <w:tcW w:w="3631" w:type="dxa"/>
            <w:tcBorders>
              <w:top w:val="nil"/>
              <w:left w:val="nil"/>
              <w:bottom w:val="single" w:color="auto" w:sz="4" w:space="0"/>
              <w:right w:val="single" w:color="auto" w:sz="4" w:space="0"/>
            </w:tcBorders>
            <w:shd w:val="clear" w:color="000000" w:fill="F6F8FA"/>
            <w:vAlign w:val="center"/>
          </w:tcPr>
          <w:p w14:paraId="346B7FC1">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用户与角色关联关系</w:t>
            </w:r>
          </w:p>
        </w:tc>
      </w:tr>
      <w:tr w14:paraId="2CDCB191">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1F9749AF">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0B3A1103">
            <w:pPr>
              <w:widowControl/>
              <w:spacing w:before="0"/>
              <w:jc w:val="left"/>
              <w:rPr>
                <w:rFonts w:ascii="微软雅黑" w:hAnsi="微软雅黑" w:eastAsia="微软雅黑" w:cs="宋体"/>
                <w:color w:val="333333"/>
                <w:kern w:val="0"/>
                <w:sz w:val="14"/>
                <w:szCs w:val="14"/>
              </w:rPr>
            </w:pPr>
            <w:bookmarkStart w:id="278" w:name="RANGE!B18"/>
            <w:r>
              <w:rPr>
                <w:rFonts w:hint="eastAsia" w:ascii="微软雅黑" w:hAnsi="微软雅黑" w:eastAsia="微软雅黑" w:cs="宋体"/>
                <w:color w:val="333333"/>
                <w:kern w:val="0"/>
                <w:sz w:val="14"/>
                <w:szCs w:val="14"/>
              </w:rPr>
              <w:t>tb_relation_zhibiaodeftotree</w:t>
            </w:r>
            <w:bookmarkEnd w:id="278"/>
          </w:p>
        </w:tc>
        <w:tc>
          <w:tcPr>
            <w:tcW w:w="3631" w:type="dxa"/>
            <w:tcBorders>
              <w:top w:val="nil"/>
              <w:left w:val="nil"/>
              <w:bottom w:val="single" w:color="auto" w:sz="4" w:space="0"/>
              <w:right w:val="single" w:color="auto" w:sz="4" w:space="0"/>
            </w:tcBorders>
            <w:shd w:val="clear" w:color="000000" w:fill="F6F8FA"/>
            <w:vAlign w:val="center"/>
          </w:tcPr>
          <w:p w14:paraId="7E882B77">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指标定义与指标目录树关联关系</w:t>
            </w:r>
          </w:p>
        </w:tc>
      </w:tr>
      <w:tr w14:paraId="5510B320">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74E94E38">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315F0F8">
            <w:pPr>
              <w:widowControl/>
              <w:spacing w:before="0"/>
              <w:jc w:val="left"/>
              <w:rPr>
                <w:rFonts w:ascii="微软雅黑" w:hAnsi="微软雅黑" w:eastAsia="微软雅黑" w:cs="宋体"/>
                <w:color w:val="333333"/>
                <w:kern w:val="0"/>
                <w:sz w:val="14"/>
                <w:szCs w:val="14"/>
              </w:rPr>
            </w:pPr>
            <w:bookmarkStart w:id="279" w:name="RANGE!B19"/>
            <w:r>
              <w:rPr>
                <w:rFonts w:hint="eastAsia" w:ascii="微软雅黑" w:hAnsi="微软雅黑" w:eastAsia="微软雅黑" w:cs="宋体"/>
                <w:color w:val="333333"/>
                <w:kern w:val="0"/>
                <w:sz w:val="14"/>
                <w:szCs w:val="14"/>
              </w:rPr>
              <w:t>tb_relation_zhibiaotorole</w:t>
            </w:r>
            <w:bookmarkEnd w:id="279"/>
          </w:p>
        </w:tc>
        <w:tc>
          <w:tcPr>
            <w:tcW w:w="3631" w:type="dxa"/>
            <w:tcBorders>
              <w:top w:val="nil"/>
              <w:left w:val="nil"/>
              <w:bottom w:val="single" w:color="auto" w:sz="4" w:space="0"/>
              <w:right w:val="single" w:color="auto" w:sz="4" w:space="0"/>
            </w:tcBorders>
            <w:shd w:val="clear" w:color="000000" w:fill="F6F8FA"/>
            <w:vAlign w:val="center"/>
          </w:tcPr>
          <w:p w14:paraId="7F8992BA">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数据仓库_指标与角色当前关系</w:t>
            </w:r>
          </w:p>
        </w:tc>
      </w:tr>
      <w:tr w14:paraId="4E876145">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11EACCE0">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3034EFEB">
            <w:pPr>
              <w:widowControl/>
              <w:spacing w:before="0"/>
              <w:jc w:val="left"/>
              <w:rPr>
                <w:rFonts w:ascii="微软雅黑" w:hAnsi="微软雅黑" w:eastAsia="微软雅黑" w:cs="宋体"/>
                <w:color w:val="333333"/>
                <w:kern w:val="0"/>
                <w:sz w:val="14"/>
                <w:szCs w:val="14"/>
              </w:rPr>
            </w:pPr>
            <w:bookmarkStart w:id="280" w:name="RANGE!B20"/>
            <w:r>
              <w:rPr>
                <w:rFonts w:hint="eastAsia" w:ascii="微软雅黑" w:hAnsi="微软雅黑" w:eastAsia="微软雅黑" w:cs="宋体"/>
                <w:color w:val="333333"/>
                <w:kern w:val="0"/>
                <w:sz w:val="14"/>
                <w:szCs w:val="14"/>
              </w:rPr>
              <w:t>tb_relation_zhibiaounitconvert</w:t>
            </w:r>
            <w:bookmarkEnd w:id="280"/>
          </w:p>
        </w:tc>
        <w:tc>
          <w:tcPr>
            <w:tcW w:w="3631" w:type="dxa"/>
            <w:tcBorders>
              <w:top w:val="nil"/>
              <w:left w:val="nil"/>
              <w:bottom w:val="single" w:color="auto" w:sz="4" w:space="0"/>
              <w:right w:val="single" w:color="auto" w:sz="4" w:space="0"/>
            </w:tcBorders>
            <w:shd w:val="clear" w:color="000000" w:fill="F6F8FA"/>
            <w:vAlign w:val="center"/>
          </w:tcPr>
          <w:p w14:paraId="38BE849C">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指标计量单位换算关系管理</w:t>
            </w:r>
          </w:p>
        </w:tc>
      </w:tr>
      <w:tr w14:paraId="14189FA6">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49FED92A">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指标定义</w:t>
            </w:r>
          </w:p>
        </w:tc>
        <w:tc>
          <w:tcPr>
            <w:tcW w:w="2386" w:type="dxa"/>
            <w:tcBorders>
              <w:top w:val="nil"/>
              <w:left w:val="nil"/>
              <w:bottom w:val="single" w:color="auto" w:sz="4" w:space="0"/>
              <w:right w:val="single" w:color="auto" w:sz="4" w:space="0"/>
            </w:tcBorders>
            <w:shd w:val="clear" w:color="000000" w:fill="F6F8FA"/>
            <w:vAlign w:val="center"/>
          </w:tcPr>
          <w:p w14:paraId="53D3FCC4">
            <w:pPr>
              <w:widowControl/>
              <w:spacing w:before="0"/>
              <w:jc w:val="left"/>
              <w:rPr>
                <w:rFonts w:ascii="微软雅黑" w:hAnsi="微软雅黑" w:eastAsia="微软雅黑" w:cs="宋体"/>
                <w:color w:val="333333"/>
                <w:kern w:val="0"/>
                <w:sz w:val="14"/>
                <w:szCs w:val="14"/>
              </w:rPr>
            </w:pPr>
            <w:bookmarkStart w:id="281" w:name="RANGE!B21"/>
            <w:r>
              <w:rPr>
                <w:rFonts w:hint="eastAsia" w:ascii="微软雅黑" w:hAnsi="微软雅黑" w:eastAsia="微软雅黑" w:cs="宋体"/>
                <w:color w:val="333333"/>
                <w:kern w:val="0"/>
                <w:sz w:val="14"/>
                <w:szCs w:val="14"/>
              </w:rPr>
              <w:t>tb_base_zhibiaocustomizefield</w:t>
            </w:r>
            <w:bookmarkEnd w:id="281"/>
          </w:p>
        </w:tc>
        <w:tc>
          <w:tcPr>
            <w:tcW w:w="3631" w:type="dxa"/>
            <w:tcBorders>
              <w:top w:val="nil"/>
              <w:left w:val="nil"/>
              <w:bottom w:val="single" w:color="auto" w:sz="4" w:space="0"/>
              <w:right w:val="single" w:color="auto" w:sz="4" w:space="0"/>
            </w:tcBorders>
            <w:shd w:val="clear" w:color="000000" w:fill="F6F8FA"/>
            <w:vAlign w:val="center"/>
          </w:tcPr>
          <w:p w14:paraId="651764C6">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指标自定义字段设置</w:t>
            </w:r>
          </w:p>
        </w:tc>
      </w:tr>
      <w:tr w14:paraId="30EFDA52">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2A93DB9C">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3F24B87B">
            <w:pPr>
              <w:widowControl/>
              <w:spacing w:before="0"/>
              <w:jc w:val="left"/>
              <w:rPr>
                <w:rFonts w:ascii="微软雅黑" w:hAnsi="微软雅黑" w:eastAsia="微软雅黑" w:cs="宋体"/>
                <w:color w:val="333333"/>
                <w:kern w:val="0"/>
                <w:sz w:val="14"/>
                <w:szCs w:val="14"/>
              </w:rPr>
            </w:pPr>
            <w:bookmarkStart w:id="282" w:name="RANGE!B22"/>
            <w:r>
              <w:rPr>
                <w:rFonts w:hint="eastAsia" w:ascii="微软雅黑" w:hAnsi="微软雅黑" w:eastAsia="微软雅黑" w:cs="宋体"/>
                <w:color w:val="333333"/>
                <w:kern w:val="0"/>
                <w:sz w:val="14"/>
                <w:szCs w:val="14"/>
              </w:rPr>
              <w:t>tb_base_zhibiaodef_special</w:t>
            </w:r>
            <w:bookmarkEnd w:id="282"/>
          </w:p>
        </w:tc>
        <w:tc>
          <w:tcPr>
            <w:tcW w:w="3631" w:type="dxa"/>
            <w:tcBorders>
              <w:top w:val="nil"/>
              <w:left w:val="nil"/>
              <w:bottom w:val="single" w:color="auto" w:sz="4" w:space="0"/>
              <w:right w:val="single" w:color="auto" w:sz="4" w:space="0"/>
            </w:tcBorders>
            <w:shd w:val="clear" w:color="000000" w:fill="F6F8FA"/>
            <w:vAlign w:val="center"/>
          </w:tcPr>
          <w:p w14:paraId="4263CE10">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指标定义特殊配置项</w:t>
            </w:r>
          </w:p>
        </w:tc>
      </w:tr>
      <w:tr w14:paraId="380F1D0A">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59096FA7">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E30731A">
            <w:pPr>
              <w:widowControl/>
              <w:spacing w:before="0"/>
              <w:jc w:val="left"/>
              <w:rPr>
                <w:rFonts w:ascii="微软雅黑" w:hAnsi="微软雅黑" w:eastAsia="微软雅黑" w:cs="宋体"/>
                <w:color w:val="333333"/>
                <w:kern w:val="0"/>
                <w:sz w:val="14"/>
                <w:szCs w:val="14"/>
              </w:rPr>
            </w:pPr>
            <w:bookmarkStart w:id="283" w:name="RANGE!B23"/>
            <w:r>
              <w:rPr>
                <w:rFonts w:hint="eastAsia" w:ascii="微软雅黑" w:hAnsi="微软雅黑" w:eastAsia="微软雅黑" w:cs="宋体"/>
                <w:color w:val="333333"/>
                <w:kern w:val="0"/>
                <w:sz w:val="14"/>
                <w:szCs w:val="14"/>
              </w:rPr>
              <w:t>tb_base_zhibiaodefinition</w:t>
            </w:r>
            <w:bookmarkEnd w:id="283"/>
          </w:p>
        </w:tc>
        <w:tc>
          <w:tcPr>
            <w:tcW w:w="3631" w:type="dxa"/>
            <w:tcBorders>
              <w:top w:val="nil"/>
              <w:left w:val="nil"/>
              <w:bottom w:val="single" w:color="auto" w:sz="4" w:space="0"/>
              <w:right w:val="single" w:color="auto" w:sz="4" w:space="0"/>
            </w:tcBorders>
            <w:shd w:val="clear" w:color="000000" w:fill="F6F8FA"/>
            <w:vAlign w:val="center"/>
          </w:tcPr>
          <w:p w14:paraId="1B8210B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指标定义</w:t>
            </w:r>
          </w:p>
        </w:tc>
      </w:tr>
      <w:tr w14:paraId="193C2653">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4934558B">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787D0AA4">
            <w:pPr>
              <w:widowControl/>
              <w:spacing w:before="0"/>
              <w:jc w:val="left"/>
              <w:rPr>
                <w:rFonts w:ascii="微软雅黑" w:hAnsi="微软雅黑" w:eastAsia="微软雅黑" w:cs="宋体"/>
                <w:color w:val="333333"/>
                <w:kern w:val="0"/>
                <w:sz w:val="14"/>
                <w:szCs w:val="14"/>
              </w:rPr>
            </w:pPr>
            <w:bookmarkStart w:id="284" w:name="RANGE!B24"/>
            <w:r>
              <w:rPr>
                <w:rFonts w:hint="eastAsia" w:ascii="微软雅黑" w:hAnsi="微软雅黑" w:eastAsia="微软雅黑" w:cs="宋体"/>
                <w:color w:val="333333"/>
                <w:kern w:val="0"/>
                <w:sz w:val="14"/>
                <w:szCs w:val="14"/>
              </w:rPr>
              <w:t>tb_base_zhibiaosolidification</w:t>
            </w:r>
            <w:bookmarkEnd w:id="284"/>
          </w:p>
        </w:tc>
        <w:tc>
          <w:tcPr>
            <w:tcW w:w="3631" w:type="dxa"/>
            <w:tcBorders>
              <w:top w:val="nil"/>
              <w:left w:val="nil"/>
              <w:bottom w:val="single" w:color="auto" w:sz="4" w:space="0"/>
              <w:right w:val="single" w:color="auto" w:sz="4" w:space="0"/>
            </w:tcBorders>
            <w:shd w:val="clear" w:color="000000" w:fill="F6F8FA"/>
            <w:vAlign w:val="center"/>
          </w:tcPr>
          <w:p w14:paraId="405210A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指标固化设置</w:t>
            </w:r>
          </w:p>
        </w:tc>
      </w:tr>
      <w:tr w14:paraId="4E2760A0">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3C6994D2">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68676B3D">
            <w:pPr>
              <w:widowControl/>
              <w:spacing w:before="0"/>
              <w:jc w:val="left"/>
              <w:rPr>
                <w:rFonts w:ascii="微软雅黑" w:hAnsi="微软雅黑" w:eastAsia="微软雅黑" w:cs="宋体"/>
                <w:color w:val="333333"/>
                <w:kern w:val="0"/>
                <w:sz w:val="14"/>
                <w:szCs w:val="14"/>
              </w:rPr>
            </w:pPr>
            <w:bookmarkStart w:id="285" w:name="RANGE!B25"/>
            <w:r>
              <w:rPr>
                <w:rFonts w:hint="eastAsia" w:ascii="微软雅黑" w:hAnsi="微软雅黑" w:eastAsia="微软雅黑" w:cs="宋体"/>
                <w:color w:val="333333"/>
                <w:kern w:val="0"/>
                <w:sz w:val="14"/>
                <w:szCs w:val="14"/>
              </w:rPr>
              <w:t>tb_base_zhibiaotree</w:t>
            </w:r>
            <w:bookmarkEnd w:id="285"/>
          </w:p>
        </w:tc>
        <w:tc>
          <w:tcPr>
            <w:tcW w:w="3631" w:type="dxa"/>
            <w:tcBorders>
              <w:top w:val="nil"/>
              <w:left w:val="nil"/>
              <w:bottom w:val="single" w:color="auto" w:sz="4" w:space="0"/>
              <w:right w:val="single" w:color="auto" w:sz="4" w:space="0"/>
            </w:tcBorders>
            <w:shd w:val="clear" w:color="000000" w:fill="F6F8FA"/>
            <w:vAlign w:val="center"/>
          </w:tcPr>
          <w:p w14:paraId="1CEC0515">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指标目录树</w:t>
            </w:r>
          </w:p>
        </w:tc>
      </w:tr>
      <w:tr w14:paraId="297A104A">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5288BA17">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4BED19C1">
            <w:pPr>
              <w:widowControl/>
              <w:spacing w:before="0"/>
              <w:jc w:val="left"/>
              <w:rPr>
                <w:rFonts w:ascii="微软雅黑" w:hAnsi="微软雅黑" w:eastAsia="微软雅黑" w:cs="宋体"/>
                <w:color w:val="333333"/>
                <w:kern w:val="0"/>
                <w:sz w:val="14"/>
                <w:szCs w:val="14"/>
              </w:rPr>
            </w:pPr>
            <w:bookmarkStart w:id="286" w:name="RANGE!B26"/>
            <w:r>
              <w:rPr>
                <w:rFonts w:hint="eastAsia" w:ascii="微软雅黑" w:hAnsi="微软雅黑" w:eastAsia="微软雅黑" w:cs="宋体"/>
                <w:color w:val="333333"/>
                <w:kern w:val="0"/>
                <w:sz w:val="14"/>
                <w:szCs w:val="14"/>
              </w:rPr>
              <w:t>tb_base_zhibiaounit</w:t>
            </w:r>
            <w:bookmarkEnd w:id="286"/>
          </w:p>
        </w:tc>
        <w:tc>
          <w:tcPr>
            <w:tcW w:w="3631" w:type="dxa"/>
            <w:tcBorders>
              <w:top w:val="nil"/>
              <w:left w:val="nil"/>
              <w:bottom w:val="single" w:color="auto" w:sz="4" w:space="0"/>
              <w:right w:val="single" w:color="auto" w:sz="4" w:space="0"/>
            </w:tcBorders>
            <w:shd w:val="clear" w:color="000000" w:fill="F6F8FA"/>
            <w:vAlign w:val="center"/>
          </w:tcPr>
          <w:p w14:paraId="5C49A5F4">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指标计量单位管理</w:t>
            </w:r>
          </w:p>
        </w:tc>
      </w:tr>
      <w:tr w14:paraId="06EB6A40">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2E5C2776">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指标数据提报</w:t>
            </w:r>
          </w:p>
        </w:tc>
        <w:tc>
          <w:tcPr>
            <w:tcW w:w="2386" w:type="dxa"/>
            <w:tcBorders>
              <w:top w:val="nil"/>
              <w:left w:val="nil"/>
              <w:bottom w:val="single" w:color="auto" w:sz="4" w:space="0"/>
              <w:right w:val="single" w:color="auto" w:sz="4" w:space="0"/>
            </w:tcBorders>
            <w:shd w:val="clear" w:color="000000" w:fill="F6F8FA"/>
            <w:vAlign w:val="center"/>
          </w:tcPr>
          <w:p w14:paraId="7F900853">
            <w:pPr>
              <w:widowControl/>
              <w:spacing w:before="0"/>
              <w:jc w:val="left"/>
              <w:rPr>
                <w:rFonts w:ascii="微软雅黑" w:hAnsi="微软雅黑" w:eastAsia="微软雅黑" w:cs="宋体"/>
                <w:color w:val="333333"/>
                <w:kern w:val="0"/>
                <w:sz w:val="14"/>
                <w:szCs w:val="14"/>
              </w:rPr>
            </w:pPr>
            <w:bookmarkStart w:id="287" w:name="RANGE!B27"/>
            <w:r>
              <w:rPr>
                <w:rFonts w:hint="eastAsia" w:ascii="微软雅黑" w:hAnsi="微软雅黑" w:eastAsia="微软雅黑" w:cs="宋体"/>
                <w:color w:val="333333"/>
                <w:kern w:val="0"/>
                <w:sz w:val="14"/>
                <w:szCs w:val="14"/>
              </w:rPr>
              <w:t>tb_submission_main</w:t>
            </w:r>
            <w:bookmarkEnd w:id="287"/>
          </w:p>
        </w:tc>
        <w:tc>
          <w:tcPr>
            <w:tcW w:w="3631" w:type="dxa"/>
            <w:tcBorders>
              <w:top w:val="nil"/>
              <w:left w:val="nil"/>
              <w:bottom w:val="single" w:color="auto" w:sz="4" w:space="0"/>
              <w:right w:val="single" w:color="auto" w:sz="4" w:space="0"/>
            </w:tcBorders>
            <w:shd w:val="clear" w:color="000000" w:fill="F6F8FA"/>
            <w:vAlign w:val="center"/>
          </w:tcPr>
          <w:p w14:paraId="5BC993B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指标数据提报单主表</w:t>
            </w:r>
          </w:p>
        </w:tc>
      </w:tr>
      <w:tr w14:paraId="6C6ED895">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6781DCF4">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815DC01">
            <w:pPr>
              <w:widowControl/>
              <w:spacing w:before="0"/>
              <w:jc w:val="left"/>
              <w:rPr>
                <w:rFonts w:ascii="微软雅黑" w:hAnsi="微软雅黑" w:eastAsia="微软雅黑" w:cs="宋体"/>
                <w:color w:val="333333"/>
                <w:kern w:val="0"/>
                <w:sz w:val="14"/>
                <w:szCs w:val="14"/>
              </w:rPr>
            </w:pPr>
            <w:bookmarkStart w:id="288" w:name="RANGE!B28"/>
            <w:r>
              <w:rPr>
                <w:rFonts w:hint="eastAsia" w:ascii="微软雅黑" w:hAnsi="微软雅黑" w:eastAsia="微软雅黑" w:cs="宋体"/>
                <w:color w:val="333333"/>
                <w:kern w:val="0"/>
                <w:sz w:val="14"/>
                <w:szCs w:val="14"/>
              </w:rPr>
              <w:t>tb_submission_rejecthandling</w:t>
            </w:r>
            <w:bookmarkEnd w:id="288"/>
          </w:p>
        </w:tc>
        <w:tc>
          <w:tcPr>
            <w:tcW w:w="3631" w:type="dxa"/>
            <w:tcBorders>
              <w:top w:val="nil"/>
              <w:left w:val="nil"/>
              <w:bottom w:val="single" w:color="auto" w:sz="4" w:space="0"/>
              <w:right w:val="single" w:color="auto" w:sz="4" w:space="0"/>
            </w:tcBorders>
            <w:shd w:val="clear" w:color="000000" w:fill="F6F8FA"/>
            <w:vAlign w:val="center"/>
          </w:tcPr>
          <w:p w14:paraId="036F8C5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指标填报预单退回处理</w:t>
            </w:r>
          </w:p>
        </w:tc>
      </w:tr>
      <w:tr w14:paraId="4B9CB1B8">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3A97D421">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3F18CDDF">
            <w:pPr>
              <w:widowControl/>
              <w:spacing w:before="0"/>
              <w:jc w:val="left"/>
              <w:rPr>
                <w:rFonts w:ascii="微软雅黑" w:hAnsi="微软雅黑" w:eastAsia="微软雅黑" w:cs="宋体"/>
                <w:color w:val="333333"/>
                <w:kern w:val="0"/>
                <w:sz w:val="14"/>
                <w:szCs w:val="14"/>
              </w:rPr>
            </w:pPr>
            <w:bookmarkStart w:id="289" w:name="RANGE!B29"/>
            <w:r>
              <w:rPr>
                <w:rFonts w:hint="eastAsia" w:ascii="微软雅黑" w:hAnsi="微软雅黑" w:eastAsia="微软雅黑" w:cs="宋体"/>
                <w:color w:val="333333"/>
                <w:kern w:val="0"/>
                <w:sz w:val="14"/>
                <w:szCs w:val="14"/>
              </w:rPr>
              <w:t>tb_submission_sub</w:t>
            </w:r>
            <w:bookmarkEnd w:id="289"/>
          </w:p>
        </w:tc>
        <w:tc>
          <w:tcPr>
            <w:tcW w:w="3631" w:type="dxa"/>
            <w:tcBorders>
              <w:top w:val="nil"/>
              <w:left w:val="nil"/>
              <w:bottom w:val="single" w:color="auto" w:sz="4" w:space="0"/>
              <w:right w:val="single" w:color="auto" w:sz="4" w:space="0"/>
            </w:tcBorders>
            <w:shd w:val="clear" w:color="000000" w:fill="F6F8FA"/>
            <w:vAlign w:val="center"/>
          </w:tcPr>
          <w:p w14:paraId="15C0AB1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指标数据提报数据子表</w:t>
            </w:r>
          </w:p>
        </w:tc>
      </w:tr>
      <w:tr w14:paraId="091BFCFB">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2782FDEA">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指标数据查询</w:t>
            </w:r>
          </w:p>
        </w:tc>
        <w:tc>
          <w:tcPr>
            <w:tcW w:w="2386" w:type="dxa"/>
            <w:tcBorders>
              <w:top w:val="nil"/>
              <w:left w:val="nil"/>
              <w:bottom w:val="single" w:color="auto" w:sz="4" w:space="0"/>
              <w:right w:val="single" w:color="auto" w:sz="4" w:space="0"/>
            </w:tcBorders>
            <w:shd w:val="clear" w:color="000000" w:fill="F6F8FA"/>
            <w:vAlign w:val="center"/>
          </w:tcPr>
          <w:p w14:paraId="2902C46F">
            <w:pPr>
              <w:widowControl/>
              <w:spacing w:before="0"/>
              <w:jc w:val="left"/>
              <w:rPr>
                <w:rFonts w:ascii="微软雅黑" w:hAnsi="微软雅黑" w:eastAsia="微软雅黑" w:cs="宋体"/>
                <w:color w:val="333333"/>
                <w:kern w:val="0"/>
                <w:sz w:val="14"/>
                <w:szCs w:val="14"/>
              </w:rPr>
            </w:pPr>
            <w:bookmarkStart w:id="290" w:name="RANGE!B30"/>
            <w:r>
              <w:rPr>
                <w:rFonts w:hint="eastAsia" w:ascii="微软雅黑" w:hAnsi="微软雅黑" w:eastAsia="微软雅黑" w:cs="宋体"/>
                <w:color w:val="333333"/>
                <w:kern w:val="0"/>
                <w:sz w:val="14"/>
                <w:szCs w:val="14"/>
              </w:rPr>
              <w:t>tb_search_scheme_main</w:t>
            </w:r>
            <w:bookmarkEnd w:id="290"/>
          </w:p>
        </w:tc>
        <w:tc>
          <w:tcPr>
            <w:tcW w:w="3631" w:type="dxa"/>
            <w:tcBorders>
              <w:top w:val="nil"/>
              <w:left w:val="nil"/>
              <w:bottom w:val="single" w:color="auto" w:sz="4" w:space="0"/>
              <w:right w:val="single" w:color="auto" w:sz="4" w:space="0"/>
            </w:tcBorders>
            <w:shd w:val="clear" w:color="000000" w:fill="F6F8FA"/>
            <w:vAlign w:val="center"/>
          </w:tcPr>
          <w:p w14:paraId="44EFF38B">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指标查询方案主表</w:t>
            </w:r>
          </w:p>
        </w:tc>
      </w:tr>
      <w:tr w14:paraId="0F4C0546">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62DE9A3D">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368B790">
            <w:pPr>
              <w:widowControl/>
              <w:spacing w:before="0"/>
              <w:jc w:val="left"/>
              <w:rPr>
                <w:rFonts w:ascii="微软雅黑" w:hAnsi="微软雅黑" w:eastAsia="微软雅黑" w:cs="宋体"/>
                <w:color w:val="333333"/>
                <w:kern w:val="0"/>
                <w:sz w:val="14"/>
                <w:szCs w:val="14"/>
              </w:rPr>
            </w:pPr>
            <w:bookmarkStart w:id="291" w:name="RANGE!B31"/>
            <w:r>
              <w:rPr>
                <w:rFonts w:hint="eastAsia" w:ascii="微软雅黑" w:hAnsi="微软雅黑" w:eastAsia="微软雅黑" w:cs="宋体"/>
                <w:color w:val="333333"/>
                <w:kern w:val="0"/>
                <w:sz w:val="14"/>
                <w:szCs w:val="14"/>
              </w:rPr>
              <w:t>tb_search_scheme_share</w:t>
            </w:r>
            <w:bookmarkEnd w:id="291"/>
          </w:p>
        </w:tc>
        <w:tc>
          <w:tcPr>
            <w:tcW w:w="3631" w:type="dxa"/>
            <w:tcBorders>
              <w:top w:val="nil"/>
              <w:left w:val="nil"/>
              <w:bottom w:val="single" w:color="auto" w:sz="4" w:space="0"/>
              <w:right w:val="single" w:color="auto" w:sz="4" w:space="0"/>
            </w:tcBorders>
            <w:shd w:val="clear" w:color="000000" w:fill="F6F8FA"/>
            <w:vAlign w:val="center"/>
          </w:tcPr>
          <w:p w14:paraId="46532C7B">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指标查询方案子表_共享</w:t>
            </w:r>
          </w:p>
        </w:tc>
      </w:tr>
      <w:tr w14:paraId="550EA9A6">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41190017">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3F3144B">
            <w:pPr>
              <w:widowControl/>
              <w:spacing w:before="0"/>
              <w:jc w:val="left"/>
              <w:rPr>
                <w:rFonts w:ascii="微软雅黑" w:hAnsi="微软雅黑" w:eastAsia="微软雅黑" w:cs="宋体"/>
                <w:color w:val="333333"/>
                <w:kern w:val="0"/>
                <w:sz w:val="14"/>
                <w:szCs w:val="14"/>
              </w:rPr>
            </w:pPr>
            <w:bookmarkStart w:id="292" w:name="RANGE!B32"/>
            <w:r>
              <w:rPr>
                <w:rFonts w:hint="eastAsia" w:ascii="微软雅黑" w:hAnsi="微软雅黑" w:eastAsia="微软雅黑" w:cs="宋体"/>
                <w:color w:val="333333"/>
                <w:kern w:val="0"/>
                <w:sz w:val="14"/>
                <w:szCs w:val="14"/>
              </w:rPr>
              <w:t>tb_search_scheme_zhibiao</w:t>
            </w:r>
            <w:bookmarkEnd w:id="292"/>
          </w:p>
        </w:tc>
        <w:tc>
          <w:tcPr>
            <w:tcW w:w="3631" w:type="dxa"/>
            <w:tcBorders>
              <w:top w:val="nil"/>
              <w:left w:val="nil"/>
              <w:bottom w:val="single" w:color="auto" w:sz="4" w:space="0"/>
              <w:right w:val="single" w:color="auto" w:sz="4" w:space="0"/>
            </w:tcBorders>
            <w:shd w:val="clear" w:color="000000" w:fill="F6F8FA"/>
            <w:vAlign w:val="center"/>
          </w:tcPr>
          <w:p w14:paraId="3625D9AC">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指标查询方案子表_指标</w:t>
            </w:r>
          </w:p>
        </w:tc>
      </w:tr>
      <w:tr w14:paraId="30588806">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0FEFE56A">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指标分配</w:t>
            </w:r>
          </w:p>
        </w:tc>
        <w:tc>
          <w:tcPr>
            <w:tcW w:w="2386" w:type="dxa"/>
            <w:tcBorders>
              <w:top w:val="nil"/>
              <w:left w:val="nil"/>
              <w:bottom w:val="single" w:color="auto" w:sz="4" w:space="0"/>
              <w:right w:val="single" w:color="auto" w:sz="4" w:space="0"/>
            </w:tcBorders>
            <w:shd w:val="clear" w:color="000000" w:fill="F6F8FA"/>
            <w:vAlign w:val="center"/>
          </w:tcPr>
          <w:p w14:paraId="206ED87B">
            <w:pPr>
              <w:widowControl/>
              <w:spacing w:before="0"/>
              <w:jc w:val="left"/>
              <w:rPr>
                <w:rFonts w:ascii="微软雅黑" w:hAnsi="微软雅黑" w:eastAsia="微软雅黑" w:cs="宋体"/>
                <w:color w:val="333333"/>
                <w:kern w:val="0"/>
                <w:sz w:val="14"/>
                <w:szCs w:val="14"/>
              </w:rPr>
            </w:pPr>
            <w:bookmarkStart w:id="293" w:name="RANGE!B33"/>
            <w:r>
              <w:rPr>
                <w:rFonts w:hint="eastAsia" w:ascii="微软雅黑" w:hAnsi="微软雅黑" w:eastAsia="微软雅黑" w:cs="宋体"/>
                <w:color w:val="333333"/>
                <w:kern w:val="0"/>
                <w:sz w:val="14"/>
                <w:szCs w:val="14"/>
              </w:rPr>
              <w:t>tb_analysis_distribution_main</w:t>
            </w:r>
            <w:bookmarkEnd w:id="293"/>
          </w:p>
        </w:tc>
        <w:tc>
          <w:tcPr>
            <w:tcW w:w="3631" w:type="dxa"/>
            <w:tcBorders>
              <w:top w:val="nil"/>
              <w:left w:val="nil"/>
              <w:bottom w:val="single" w:color="auto" w:sz="4" w:space="0"/>
              <w:right w:val="single" w:color="auto" w:sz="4" w:space="0"/>
            </w:tcBorders>
            <w:shd w:val="clear" w:color="000000" w:fill="F6F8FA"/>
            <w:vAlign w:val="center"/>
          </w:tcPr>
          <w:p w14:paraId="50302CEE">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指标分配单主表</w:t>
            </w:r>
          </w:p>
        </w:tc>
      </w:tr>
      <w:tr w14:paraId="56819051">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4547CCC7">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54EEA5F">
            <w:pPr>
              <w:widowControl/>
              <w:spacing w:before="0"/>
              <w:jc w:val="left"/>
              <w:rPr>
                <w:rFonts w:ascii="微软雅黑" w:hAnsi="微软雅黑" w:eastAsia="微软雅黑" w:cs="宋体"/>
                <w:color w:val="333333"/>
                <w:kern w:val="0"/>
                <w:sz w:val="14"/>
                <w:szCs w:val="14"/>
              </w:rPr>
            </w:pPr>
            <w:bookmarkStart w:id="294" w:name="RANGE!B34"/>
            <w:r>
              <w:rPr>
                <w:rFonts w:hint="eastAsia" w:ascii="微软雅黑" w:hAnsi="微软雅黑" w:eastAsia="微软雅黑" w:cs="宋体"/>
                <w:color w:val="333333"/>
                <w:kern w:val="0"/>
                <w:sz w:val="14"/>
                <w:szCs w:val="14"/>
              </w:rPr>
              <w:t>tb_analysis_distribution_sub</w:t>
            </w:r>
            <w:bookmarkEnd w:id="294"/>
          </w:p>
        </w:tc>
        <w:tc>
          <w:tcPr>
            <w:tcW w:w="3631" w:type="dxa"/>
            <w:tcBorders>
              <w:top w:val="nil"/>
              <w:left w:val="nil"/>
              <w:bottom w:val="single" w:color="auto" w:sz="4" w:space="0"/>
              <w:right w:val="single" w:color="auto" w:sz="4" w:space="0"/>
            </w:tcBorders>
            <w:shd w:val="clear" w:color="000000" w:fill="F6F8FA"/>
            <w:vAlign w:val="center"/>
          </w:tcPr>
          <w:p w14:paraId="77259A0B">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指标分配单子表</w:t>
            </w:r>
          </w:p>
        </w:tc>
      </w:tr>
      <w:tr w14:paraId="6097B47B">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1AEB15DC">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373880A8">
            <w:pPr>
              <w:widowControl/>
              <w:spacing w:before="0"/>
              <w:jc w:val="left"/>
              <w:rPr>
                <w:rFonts w:ascii="微软雅黑" w:hAnsi="微软雅黑" w:eastAsia="微软雅黑" w:cs="宋体"/>
                <w:color w:val="333333"/>
                <w:kern w:val="0"/>
                <w:sz w:val="14"/>
                <w:szCs w:val="14"/>
              </w:rPr>
            </w:pPr>
            <w:bookmarkStart w:id="295" w:name="RANGE!B35"/>
            <w:r>
              <w:rPr>
                <w:rFonts w:hint="eastAsia" w:ascii="微软雅黑" w:hAnsi="微软雅黑" w:eastAsia="微软雅黑" w:cs="宋体"/>
                <w:color w:val="333333"/>
                <w:kern w:val="0"/>
                <w:sz w:val="14"/>
                <w:szCs w:val="14"/>
              </w:rPr>
              <w:t>tb_analysis_zhibiaoweight_main</w:t>
            </w:r>
            <w:bookmarkEnd w:id="295"/>
          </w:p>
        </w:tc>
        <w:tc>
          <w:tcPr>
            <w:tcW w:w="3631" w:type="dxa"/>
            <w:tcBorders>
              <w:top w:val="nil"/>
              <w:left w:val="nil"/>
              <w:bottom w:val="single" w:color="auto" w:sz="4" w:space="0"/>
              <w:right w:val="single" w:color="auto" w:sz="4" w:space="0"/>
            </w:tcBorders>
            <w:shd w:val="clear" w:color="000000" w:fill="F6F8FA"/>
            <w:vAlign w:val="center"/>
          </w:tcPr>
          <w:p w14:paraId="1EC9CBC1">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指标权重占比主表</w:t>
            </w:r>
          </w:p>
        </w:tc>
      </w:tr>
      <w:tr w14:paraId="3B41069B">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09E21D0E">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F33FAE9">
            <w:pPr>
              <w:widowControl/>
              <w:spacing w:before="0"/>
              <w:jc w:val="left"/>
              <w:rPr>
                <w:rFonts w:ascii="微软雅黑" w:hAnsi="微软雅黑" w:eastAsia="微软雅黑" w:cs="宋体"/>
                <w:color w:val="333333"/>
                <w:kern w:val="0"/>
                <w:sz w:val="14"/>
                <w:szCs w:val="14"/>
              </w:rPr>
            </w:pPr>
            <w:bookmarkStart w:id="296" w:name="RANGE!B36"/>
            <w:r>
              <w:rPr>
                <w:rFonts w:hint="eastAsia" w:ascii="微软雅黑" w:hAnsi="微软雅黑" w:eastAsia="微软雅黑" w:cs="宋体"/>
                <w:color w:val="333333"/>
                <w:kern w:val="0"/>
                <w:sz w:val="14"/>
                <w:szCs w:val="14"/>
              </w:rPr>
              <w:t>tb_analysis_zhibiaoweight_sub</w:t>
            </w:r>
            <w:bookmarkEnd w:id="296"/>
          </w:p>
        </w:tc>
        <w:tc>
          <w:tcPr>
            <w:tcW w:w="3631" w:type="dxa"/>
            <w:tcBorders>
              <w:top w:val="nil"/>
              <w:left w:val="nil"/>
              <w:bottom w:val="single" w:color="auto" w:sz="4" w:space="0"/>
              <w:right w:val="single" w:color="auto" w:sz="4" w:space="0"/>
            </w:tcBorders>
            <w:shd w:val="clear" w:color="000000" w:fill="F6F8FA"/>
            <w:vAlign w:val="center"/>
          </w:tcPr>
          <w:p w14:paraId="084E640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指标权重占比子表</w:t>
            </w:r>
          </w:p>
        </w:tc>
      </w:tr>
      <w:tr w14:paraId="59FE3033">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32D84452">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指标数据分析</w:t>
            </w:r>
          </w:p>
        </w:tc>
        <w:tc>
          <w:tcPr>
            <w:tcW w:w="2386" w:type="dxa"/>
            <w:tcBorders>
              <w:top w:val="nil"/>
              <w:left w:val="nil"/>
              <w:bottom w:val="single" w:color="auto" w:sz="4" w:space="0"/>
              <w:right w:val="single" w:color="auto" w:sz="4" w:space="0"/>
            </w:tcBorders>
            <w:shd w:val="clear" w:color="000000" w:fill="F6F8FA"/>
            <w:vAlign w:val="center"/>
          </w:tcPr>
          <w:p w14:paraId="6B7636B3">
            <w:pPr>
              <w:widowControl/>
              <w:spacing w:before="0"/>
              <w:jc w:val="left"/>
              <w:rPr>
                <w:rFonts w:ascii="微软雅黑" w:hAnsi="微软雅黑" w:eastAsia="微软雅黑" w:cs="宋体"/>
                <w:color w:val="333333"/>
                <w:kern w:val="0"/>
                <w:sz w:val="14"/>
                <w:szCs w:val="14"/>
              </w:rPr>
            </w:pPr>
            <w:bookmarkStart w:id="297" w:name="RANGE!B37"/>
            <w:r>
              <w:rPr>
                <w:rFonts w:hint="eastAsia" w:ascii="微软雅黑" w:hAnsi="微软雅黑" w:eastAsia="微软雅黑" w:cs="宋体"/>
                <w:color w:val="333333"/>
                <w:kern w:val="0"/>
                <w:sz w:val="14"/>
                <w:szCs w:val="14"/>
              </w:rPr>
              <w:t>tb_analysis_racescheme_main</w:t>
            </w:r>
            <w:bookmarkEnd w:id="297"/>
          </w:p>
        </w:tc>
        <w:tc>
          <w:tcPr>
            <w:tcW w:w="3631" w:type="dxa"/>
            <w:tcBorders>
              <w:top w:val="nil"/>
              <w:left w:val="nil"/>
              <w:bottom w:val="single" w:color="auto" w:sz="4" w:space="0"/>
              <w:right w:val="single" w:color="auto" w:sz="4" w:space="0"/>
            </w:tcBorders>
            <w:shd w:val="clear" w:color="000000" w:fill="F6F8FA"/>
            <w:vAlign w:val="center"/>
          </w:tcPr>
          <w:p w14:paraId="4C49F4E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指标竞赛积分方案主表</w:t>
            </w:r>
          </w:p>
        </w:tc>
      </w:tr>
      <w:tr w14:paraId="6D687D88">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3DF38017">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67421083">
            <w:pPr>
              <w:widowControl/>
              <w:spacing w:before="0"/>
              <w:jc w:val="left"/>
              <w:rPr>
                <w:rFonts w:ascii="微软雅黑" w:hAnsi="微软雅黑" w:eastAsia="微软雅黑" w:cs="宋体"/>
                <w:color w:val="333333"/>
                <w:kern w:val="0"/>
                <w:sz w:val="14"/>
                <w:szCs w:val="14"/>
              </w:rPr>
            </w:pPr>
            <w:bookmarkStart w:id="298" w:name="RANGE!B38"/>
            <w:r>
              <w:rPr>
                <w:rFonts w:hint="eastAsia" w:ascii="微软雅黑" w:hAnsi="微软雅黑" w:eastAsia="微软雅黑" w:cs="宋体"/>
                <w:color w:val="333333"/>
                <w:kern w:val="0"/>
                <w:sz w:val="14"/>
                <w:szCs w:val="14"/>
              </w:rPr>
              <w:t>tb_analysis_racescheme_sub</w:t>
            </w:r>
            <w:bookmarkEnd w:id="298"/>
          </w:p>
        </w:tc>
        <w:tc>
          <w:tcPr>
            <w:tcW w:w="3631" w:type="dxa"/>
            <w:tcBorders>
              <w:top w:val="nil"/>
              <w:left w:val="nil"/>
              <w:bottom w:val="single" w:color="auto" w:sz="4" w:space="0"/>
              <w:right w:val="single" w:color="auto" w:sz="4" w:space="0"/>
            </w:tcBorders>
            <w:shd w:val="clear" w:color="000000" w:fill="F6F8FA"/>
            <w:vAlign w:val="center"/>
          </w:tcPr>
          <w:p w14:paraId="2C3852D4">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指标竞赛积分方案子表</w:t>
            </w:r>
          </w:p>
        </w:tc>
      </w:tr>
      <w:tr w14:paraId="1BC4A5B5">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2539DA3D">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19F40548">
            <w:pPr>
              <w:widowControl/>
              <w:spacing w:before="0"/>
              <w:jc w:val="left"/>
              <w:rPr>
                <w:rFonts w:ascii="微软雅黑" w:hAnsi="微软雅黑" w:eastAsia="微软雅黑" w:cs="宋体"/>
                <w:color w:val="333333"/>
                <w:kern w:val="0"/>
                <w:sz w:val="14"/>
                <w:szCs w:val="14"/>
              </w:rPr>
            </w:pPr>
            <w:bookmarkStart w:id="299" w:name="RANGE!B39"/>
            <w:r>
              <w:rPr>
                <w:rFonts w:hint="eastAsia" w:ascii="微软雅黑" w:hAnsi="微软雅黑" w:eastAsia="微软雅黑" w:cs="宋体"/>
                <w:color w:val="333333"/>
                <w:kern w:val="0"/>
                <w:sz w:val="14"/>
                <w:szCs w:val="14"/>
              </w:rPr>
              <w:t>tb_report_publish_attachment</w:t>
            </w:r>
            <w:bookmarkEnd w:id="299"/>
          </w:p>
        </w:tc>
        <w:tc>
          <w:tcPr>
            <w:tcW w:w="3631" w:type="dxa"/>
            <w:tcBorders>
              <w:top w:val="nil"/>
              <w:left w:val="nil"/>
              <w:bottom w:val="single" w:color="auto" w:sz="4" w:space="0"/>
              <w:right w:val="single" w:color="auto" w:sz="4" w:space="0"/>
            </w:tcBorders>
            <w:shd w:val="clear" w:color="000000" w:fill="F6F8FA"/>
            <w:vAlign w:val="center"/>
          </w:tcPr>
          <w:p w14:paraId="3E5DD6E7">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数据分析报告发布-附件</w:t>
            </w:r>
          </w:p>
        </w:tc>
      </w:tr>
      <w:tr w14:paraId="18317976">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2CA1291D">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0AA2CA62">
            <w:pPr>
              <w:widowControl/>
              <w:spacing w:before="0"/>
              <w:jc w:val="left"/>
              <w:rPr>
                <w:rFonts w:ascii="微软雅黑" w:hAnsi="微软雅黑" w:eastAsia="微软雅黑" w:cs="宋体"/>
                <w:color w:val="333333"/>
                <w:kern w:val="0"/>
                <w:sz w:val="14"/>
                <w:szCs w:val="14"/>
              </w:rPr>
            </w:pPr>
            <w:bookmarkStart w:id="300" w:name="RANGE!B40"/>
            <w:r>
              <w:rPr>
                <w:rFonts w:hint="eastAsia" w:ascii="微软雅黑" w:hAnsi="微软雅黑" w:eastAsia="微软雅黑" w:cs="宋体"/>
                <w:color w:val="333333"/>
                <w:kern w:val="0"/>
                <w:sz w:val="14"/>
                <w:szCs w:val="14"/>
              </w:rPr>
              <w:t>tb_report_publish_main</w:t>
            </w:r>
            <w:bookmarkEnd w:id="300"/>
          </w:p>
        </w:tc>
        <w:tc>
          <w:tcPr>
            <w:tcW w:w="3631" w:type="dxa"/>
            <w:tcBorders>
              <w:top w:val="nil"/>
              <w:left w:val="nil"/>
              <w:bottom w:val="single" w:color="auto" w:sz="4" w:space="0"/>
              <w:right w:val="single" w:color="auto" w:sz="4" w:space="0"/>
            </w:tcBorders>
            <w:shd w:val="clear" w:color="000000" w:fill="F6F8FA"/>
            <w:vAlign w:val="center"/>
          </w:tcPr>
          <w:p w14:paraId="48B167F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数据分析报告发布主表</w:t>
            </w:r>
          </w:p>
        </w:tc>
      </w:tr>
      <w:tr w14:paraId="53C35E92">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38C8E80C">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6FE11503">
            <w:pPr>
              <w:widowControl/>
              <w:spacing w:before="0"/>
              <w:jc w:val="left"/>
              <w:rPr>
                <w:rFonts w:ascii="微软雅黑" w:hAnsi="微软雅黑" w:eastAsia="微软雅黑" w:cs="宋体"/>
                <w:color w:val="333333"/>
                <w:kern w:val="0"/>
                <w:sz w:val="14"/>
                <w:szCs w:val="14"/>
              </w:rPr>
            </w:pPr>
            <w:bookmarkStart w:id="301" w:name="RANGE!B41"/>
            <w:r>
              <w:rPr>
                <w:rFonts w:hint="eastAsia" w:ascii="微软雅黑" w:hAnsi="微软雅黑" w:eastAsia="微软雅黑" w:cs="宋体"/>
                <w:color w:val="333333"/>
                <w:kern w:val="0"/>
                <w:sz w:val="14"/>
                <w:szCs w:val="14"/>
              </w:rPr>
              <w:t>tb_report_publish_role</w:t>
            </w:r>
            <w:bookmarkEnd w:id="301"/>
          </w:p>
        </w:tc>
        <w:tc>
          <w:tcPr>
            <w:tcW w:w="3631" w:type="dxa"/>
            <w:tcBorders>
              <w:top w:val="nil"/>
              <w:left w:val="nil"/>
              <w:bottom w:val="single" w:color="auto" w:sz="4" w:space="0"/>
              <w:right w:val="single" w:color="auto" w:sz="4" w:space="0"/>
            </w:tcBorders>
            <w:shd w:val="clear" w:color="000000" w:fill="F6F8FA"/>
            <w:vAlign w:val="center"/>
          </w:tcPr>
          <w:p w14:paraId="7FE1EDCA">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数据分析报告发布-角色查看权限</w:t>
            </w:r>
          </w:p>
        </w:tc>
      </w:tr>
      <w:tr w14:paraId="6C655924">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23BC9424">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指标考核与预警</w:t>
            </w:r>
          </w:p>
        </w:tc>
        <w:tc>
          <w:tcPr>
            <w:tcW w:w="2386" w:type="dxa"/>
            <w:tcBorders>
              <w:top w:val="nil"/>
              <w:left w:val="nil"/>
              <w:bottom w:val="single" w:color="auto" w:sz="4" w:space="0"/>
              <w:right w:val="single" w:color="auto" w:sz="4" w:space="0"/>
            </w:tcBorders>
            <w:shd w:val="clear" w:color="000000" w:fill="F6F8FA"/>
            <w:vAlign w:val="center"/>
          </w:tcPr>
          <w:p w14:paraId="79FBC666">
            <w:pPr>
              <w:widowControl/>
              <w:spacing w:before="0"/>
              <w:jc w:val="left"/>
              <w:rPr>
                <w:rFonts w:ascii="微软雅黑" w:hAnsi="微软雅黑" w:eastAsia="微软雅黑" w:cs="宋体"/>
                <w:color w:val="333333"/>
                <w:kern w:val="0"/>
                <w:sz w:val="14"/>
                <w:szCs w:val="14"/>
              </w:rPr>
            </w:pPr>
            <w:bookmarkStart w:id="302" w:name="RANGE!B42"/>
            <w:r>
              <w:rPr>
                <w:rFonts w:hint="eastAsia" w:ascii="微软雅黑" w:hAnsi="微软雅黑" w:eastAsia="微软雅黑" w:cs="宋体"/>
                <w:color w:val="333333"/>
                <w:kern w:val="0"/>
                <w:sz w:val="14"/>
                <w:szCs w:val="14"/>
              </w:rPr>
              <w:t>tb_examine_scheme_main</w:t>
            </w:r>
            <w:bookmarkEnd w:id="302"/>
          </w:p>
        </w:tc>
        <w:tc>
          <w:tcPr>
            <w:tcW w:w="3631" w:type="dxa"/>
            <w:tcBorders>
              <w:top w:val="nil"/>
              <w:left w:val="nil"/>
              <w:bottom w:val="single" w:color="auto" w:sz="4" w:space="0"/>
              <w:right w:val="single" w:color="auto" w:sz="4" w:space="0"/>
            </w:tcBorders>
            <w:shd w:val="clear" w:color="000000" w:fill="F6F8FA"/>
            <w:vAlign w:val="center"/>
          </w:tcPr>
          <w:p w14:paraId="31F714C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考核方案主表</w:t>
            </w:r>
          </w:p>
        </w:tc>
      </w:tr>
      <w:tr w14:paraId="769EF8A6">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5B7737D7">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19A7EEA6">
            <w:pPr>
              <w:widowControl/>
              <w:spacing w:before="0"/>
              <w:jc w:val="left"/>
              <w:rPr>
                <w:rFonts w:ascii="微软雅黑" w:hAnsi="微软雅黑" w:eastAsia="微软雅黑" w:cs="宋体"/>
                <w:color w:val="333333"/>
                <w:kern w:val="0"/>
                <w:sz w:val="14"/>
                <w:szCs w:val="14"/>
              </w:rPr>
            </w:pPr>
            <w:bookmarkStart w:id="303" w:name="RANGE!B43"/>
            <w:r>
              <w:rPr>
                <w:rFonts w:hint="eastAsia" w:ascii="微软雅黑" w:hAnsi="微软雅黑" w:eastAsia="微软雅黑" w:cs="宋体"/>
                <w:color w:val="333333"/>
                <w:kern w:val="0"/>
                <w:sz w:val="14"/>
                <w:szCs w:val="14"/>
              </w:rPr>
              <w:t>tb_examine_scheme_sub</w:t>
            </w:r>
            <w:bookmarkEnd w:id="303"/>
          </w:p>
        </w:tc>
        <w:tc>
          <w:tcPr>
            <w:tcW w:w="3631" w:type="dxa"/>
            <w:tcBorders>
              <w:top w:val="nil"/>
              <w:left w:val="nil"/>
              <w:bottom w:val="single" w:color="auto" w:sz="4" w:space="0"/>
              <w:right w:val="single" w:color="auto" w:sz="4" w:space="0"/>
            </w:tcBorders>
            <w:shd w:val="clear" w:color="000000" w:fill="F6F8FA"/>
            <w:vAlign w:val="center"/>
          </w:tcPr>
          <w:p w14:paraId="4615773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考核方案子表</w:t>
            </w:r>
          </w:p>
        </w:tc>
      </w:tr>
      <w:tr w14:paraId="68876F69">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50E7729A">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3720E11B">
            <w:pPr>
              <w:widowControl/>
              <w:spacing w:before="0"/>
              <w:jc w:val="left"/>
              <w:rPr>
                <w:rFonts w:ascii="微软雅黑" w:hAnsi="微软雅黑" w:eastAsia="微软雅黑" w:cs="宋体"/>
                <w:color w:val="333333"/>
                <w:kern w:val="0"/>
                <w:sz w:val="14"/>
                <w:szCs w:val="14"/>
              </w:rPr>
            </w:pPr>
            <w:bookmarkStart w:id="304" w:name="RANGE!B44"/>
            <w:r>
              <w:rPr>
                <w:rFonts w:hint="eastAsia" w:ascii="微软雅黑" w:hAnsi="微软雅黑" w:eastAsia="微软雅黑" w:cs="宋体"/>
                <w:color w:val="333333"/>
                <w:kern w:val="0"/>
                <w:sz w:val="14"/>
                <w:szCs w:val="14"/>
              </w:rPr>
              <w:t>tb_earlywarning_scheme_main</w:t>
            </w:r>
            <w:bookmarkEnd w:id="304"/>
          </w:p>
        </w:tc>
        <w:tc>
          <w:tcPr>
            <w:tcW w:w="3631" w:type="dxa"/>
            <w:tcBorders>
              <w:top w:val="nil"/>
              <w:left w:val="nil"/>
              <w:bottom w:val="single" w:color="auto" w:sz="4" w:space="0"/>
              <w:right w:val="single" w:color="auto" w:sz="4" w:space="0"/>
            </w:tcBorders>
            <w:shd w:val="clear" w:color="000000" w:fill="F6F8FA"/>
            <w:vAlign w:val="center"/>
          </w:tcPr>
          <w:p w14:paraId="4F06A236">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预警方案主表</w:t>
            </w:r>
          </w:p>
        </w:tc>
      </w:tr>
      <w:tr w14:paraId="4B397975">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4382AE21">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6403E720">
            <w:pPr>
              <w:widowControl/>
              <w:spacing w:before="0"/>
              <w:jc w:val="left"/>
              <w:rPr>
                <w:rFonts w:ascii="微软雅黑" w:hAnsi="微软雅黑" w:eastAsia="微软雅黑" w:cs="宋体"/>
                <w:color w:val="333333"/>
                <w:kern w:val="0"/>
                <w:sz w:val="14"/>
                <w:szCs w:val="14"/>
              </w:rPr>
            </w:pPr>
            <w:bookmarkStart w:id="305" w:name="RANGE!B45"/>
            <w:r>
              <w:rPr>
                <w:rFonts w:hint="eastAsia" w:ascii="微软雅黑" w:hAnsi="微软雅黑" w:eastAsia="微软雅黑" w:cs="宋体"/>
                <w:color w:val="333333"/>
                <w:kern w:val="0"/>
                <w:sz w:val="14"/>
                <w:szCs w:val="14"/>
              </w:rPr>
              <w:t>tb_earlywarning_scheme_sub</w:t>
            </w:r>
            <w:bookmarkEnd w:id="305"/>
          </w:p>
        </w:tc>
        <w:tc>
          <w:tcPr>
            <w:tcW w:w="3631" w:type="dxa"/>
            <w:tcBorders>
              <w:top w:val="nil"/>
              <w:left w:val="nil"/>
              <w:bottom w:val="single" w:color="auto" w:sz="4" w:space="0"/>
              <w:right w:val="single" w:color="auto" w:sz="4" w:space="0"/>
            </w:tcBorders>
            <w:shd w:val="clear" w:color="000000" w:fill="F6F8FA"/>
            <w:vAlign w:val="center"/>
          </w:tcPr>
          <w:p w14:paraId="117EF36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预警方案子表</w:t>
            </w:r>
          </w:p>
        </w:tc>
      </w:tr>
      <w:tr w14:paraId="2E607876">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4F28351B">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系统内部</w:t>
            </w:r>
          </w:p>
        </w:tc>
        <w:tc>
          <w:tcPr>
            <w:tcW w:w="2386" w:type="dxa"/>
            <w:tcBorders>
              <w:top w:val="nil"/>
              <w:left w:val="nil"/>
              <w:bottom w:val="single" w:color="auto" w:sz="4" w:space="0"/>
              <w:right w:val="single" w:color="auto" w:sz="4" w:space="0"/>
            </w:tcBorders>
            <w:shd w:val="clear" w:color="000000" w:fill="F6F8FA"/>
            <w:vAlign w:val="center"/>
          </w:tcPr>
          <w:p w14:paraId="12F98D93">
            <w:pPr>
              <w:widowControl/>
              <w:spacing w:before="0"/>
              <w:jc w:val="left"/>
              <w:rPr>
                <w:rFonts w:ascii="微软雅黑" w:hAnsi="微软雅黑" w:eastAsia="微软雅黑" w:cs="宋体"/>
                <w:color w:val="333333"/>
                <w:kern w:val="0"/>
                <w:sz w:val="14"/>
                <w:szCs w:val="14"/>
              </w:rPr>
            </w:pPr>
            <w:bookmarkStart w:id="306" w:name="RANGE!B46"/>
            <w:r>
              <w:rPr>
                <w:rFonts w:hint="eastAsia" w:ascii="微软雅黑" w:hAnsi="微软雅黑" w:eastAsia="微软雅黑" w:cs="宋体"/>
                <w:color w:val="333333"/>
                <w:kern w:val="0"/>
                <w:sz w:val="14"/>
                <w:szCs w:val="14"/>
              </w:rPr>
              <w:t>tb_sys_button</w:t>
            </w:r>
            <w:bookmarkEnd w:id="306"/>
          </w:p>
        </w:tc>
        <w:tc>
          <w:tcPr>
            <w:tcW w:w="3631" w:type="dxa"/>
            <w:tcBorders>
              <w:top w:val="nil"/>
              <w:left w:val="nil"/>
              <w:bottom w:val="single" w:color="auto" w:sz="4" w:space="0"/>
              <w:right w:val="single" w:color="auto" w:sz="4" w:space="0"/>
            </w:tcBorders>
            <w:shd w:val="clear" w:color="000000" w:fill="F6F8FA"/>
            <w:vAlign w:val="center"/>
          </w:tcPr>
          <w:p w14:paraId="3C288DC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系统中使用的按钮</w:t>
            </w:r>
          </w:p>
        </w:tc>
      </w:tr>
      <w:tr w14:paraId="4E165A05">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13878435">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6DB97FE5">
            <w:pPr>
              <w:widowControl/>
              <w:spacing w:before="0"/>
              <w:jc w:val="left"/>
              <w:rPr>
                <w:rFonts w:ascii="微软雅黑" w:hAnsi="微软雅黑" w:eastAsia="微软雅黑" w:cs="宋体"/>
                <w:color w:val="333333"/>
                <w:kern w:val="0"/>
                <w:sz w:val="14"/>
                <w:szCs w:val="14"/>
              </w:rPr>
            </w:pPr>
            <w:bookmarkStart w:id="307" w:name="RANGE!B47"/>
            <w:r>
              <w:rPr>
                <w:rFonts w:hint="eastAsia" w:ascii="微软雅黑" w:hAnsi="微软雅黑" w:eastAsia="微软雅黑" w:cs="宋体"/>
                <w:color w:val="333333"/>
                <w:kern w:val="0"/>
                <w:sz w:val="14"/>
                <w:szCs w:val="14"/>
              </w:rPr>
              <w:t>tb_sys_menu</w:t>
            </w:r>
            <w:bookmarkEnd w:id="307"/>
          </w:p>
        </w:tc>
        <w:tc>
          <w:tcPr>
            <w:tcW w:w="3631" w:type="dxa"/>
            <w:tcBorders>
              <w:top w:val="nil"/>
              <w:left w:val="nil"/>
              <w:bottom w:val="single" w:color="auto" w:sz="4" w:space="0"/>
              <w:right w:val="single" w:color="auto" w:sz="4" w:space="0"/>
            </w:tcBorders>
            <w:shd w:val="clear" w:color="000000" w:fill="F6F8FA"/>
            <w:vAlign w:val="center"/>
          </w:tcPr>
          <w:p w14:paraId="20912BC3">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系统菜单</w:t>
            </w:r>
          </w:p>
        </w:tc>
      </w:tr>
      <w:tr w14:paraId="6F09191F">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187A5771">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数据仓库</w:t>
            </w:r>
          </w:p>
        </w:tc>
        <w:tc>
          <w:tcPr>
            <w:tcW w:w="2386" w:type="dxa"/>
            <w:tcBorders>
              <w:top w:val="nil"/>
              <w:left w:val="nil"/>
              <w:bottom w:val="single" w:color="auto" w:sz="4" w:space="0"/>
              <w:right w:val="single" w:color="auto" w:sz="4" w:space="0"/>
            </w:tcBorders>
            <w:shd w:val="clear" w:color="000000" w:fill="F6F8FA"/>
            <w:vAlign w:val="center"/>
          </w:tcPr>
          <w:p w14:paraId="0B380E20">
            <w:pPr>
              <w:widowControl/>
              <w:spacing w:before="0"/>
              <w:jc w:val="left"/>
              <w:rPr>
                <w:rFonts w:ascii="微软雅黑" w:hAnsi="微软雅黑" w:eastAsia="微软雅黑" w:cs="宋体"/>
                <w:color w:val="333333"/>
                <w:kern w:val="0"/>
                <w:sz w:val="14"/>
                <w:szCs w:val="14"/>
              </w:rPr>
            </w:pPr>
            <w:bookmarkStart w:id="308" w:name="RANGE!B48"/>
            <w:r>
              <w:rPr>
                <w:rFonts w:hint="eastAsia" w:ascii="微软雅黑" w:hAnsi="微软雅黑" w:eastAsia="微软雅黑" w:cs="宋体"/>
                <w:color w:val="333333"/>
                <w:kern w:val="0"/>
                <w:sz w:val="14"/>
                <w:szCs w:val="14"/>
              </w:rPr>
              <w:t>tb_dwm_zhibiaoorgcurrrelation</w:t>
            </w:r>
            <w:bookmarkEnd w:id="308"/>
          </w:p>
        </w:tc>
        <w:tc>
          <w:tcPr>
            <w:tcW w:w="3631" w:type="dxa"/>
            <w:tcBorders>
              <w:top w:val="nil"/>
              <w:left w:val="nil"/>
              <w:bottom w:val="single" w:color="auto" w:sz="4" w:space="0"/>
              <w:right w:val="single" w:color="auto" w:sz="4" w:space="0"/>
            </w:tcBorders>
            <w:shd w:val="clear" w:color="000000" w:fill="F6F8FA"/>
            <w:vAlign w:val="center"/>
          </w:tcPr>
          <w:p w14:paraId="04520341">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数据仓库_指标与分配组织当前实时关系</w:t>
            </w:r>
          </w:p>
        </w:tc>
      </w:tr>
      <w:tr w14:paraId="012C3DC1">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69C59E59">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767D88C3">
            <w:pPr>
              <w:widowControl/>
              <w:spacing w:before="0"/>
              <w:jc w:val="left"/>
              <w:rPr>
                <w:rFonts w:ascii="微软雅黑" w:hAnsi="微软雅黑" w:eastAsia="微软雅黑" w:cs="宋体"/>
                <w:color w:val="333333"/>
                <w:kern w:val="0"/>
                <w:sz w:val="14"/>
                <w:szCs w:val="14"/>
              </w:rPr>
            </w:pPr>
            <w:bookmarkStart w:id="309" w:name="RANGE!B49"/>
            <w:r>
              <w:rPr>
                <w:rFonts w:hint="eastAsia" w:ascii="微软雅黑" w:hAnsi="微软雅黑" w:eastAsia="微软雅黑" w:cs="宋体"/>
                <w:color w:val="333333"/>
                <w:kern w:val="0"/>
                <w:sz w:val="14"/>
                <w:szCs w:val="14"/>
              </w:rPr>
              <w:t>tb_dwm_zhibiaosourcedata</w:t>
            </w:r>
            <w:bookmarkEnd w:id="309"/>
          </w:p>
        </w:tc>
        <w:tc>
          <w:tcPr>
            <w:tcW w:w="3631" w:type="dxa"/>
            <w:tcBorders>
              <w:top w:val="nil"/>
              <w:left w:val="nil"/>
              <w:bottom w:val="single" w:color="auto" w:sz="4" w:space="0"/>
              <w:right w:val="single" w:color="auto" w:sz="4" w:space="0"/>
            </w:tcBorders>
            <w:shd w:val="clear" w:color="000000" w:fill="F6F8FA"/>
            <w:vAlign w:val="center"/>
          </w:tcPr>
          <w:p w14:paraId="64D82F8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数据仓库_指标源数据</w:t>
            </w:r>
          </w:p>
        </w:tc>
      </w:tr>
      <w:tr w14:paraId="1EB82E12">
        <w:tblPrEx>
          <w:tblCellMar>
            <w:top w:w="0" w:type="dxa"/>
            <w:left w:w="108" w:type="dxa"/>
            <w:bottom w:w="0" w:type="dxa"/>
            <w:right w:w="108" w:type="dxa"/>
          </w:tblCellMar>
        </w:tblPrEx>
        <w:trPr>
          <w:trHeight w:val="280" w:hRule="atLeast"/>
        </w:trPr>
        <w:tc>
          <w:tcPr>
            <w:tcW w:w="1213" w:type="dxa"/>
            <w:vMerge w:val="restart"/>
            <w:tcBorders>
              <w:top w:val="nil"/>
              <w:left w:val="single" w:color="auto" w:sz="4" w:space="0"/>
              <w:bottom w:val="single" w:color="auto" w:sz="4" w:space="0"/>
              <w:right w:val="single" w:color="auto" w:sz="4" w:space="0"/>
            </w:tcBorders>
            <w:shd w:val="clear" w:color="000000" w:fill="F6F8FA"/>
            <w:vAlign w:val="center"/>
          </w:tcPr>
          <w:p w14:paraId="24132524">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消息中心</w:t>
            </w:r>
          </w:p>
        </w:tc>
        <w:tc>
          <w:tcPr>
            <w:tcW w:w="2386" w:type="dxa"/>
            <w:tcBorders>
              <w:top w:val="nil"/>
              <w:left w:val="nil"/>
              <w:bottom w:val="single" w:color="auto" w:sz="4" w:space="0"/>
              <w:right w:val="single" w:color="auto" w:sz="4" w:space="0"/>
            </w:tcBorders>
            <w:shd w:val="clear" w:color="000000" w:fill="F6F8FA"/>
            <w:vAlign w:val="center"/>
          </w:tcPr>
          <w:p w14:paraId="2E3A140D">
            <w:pPr>
              <w:widowControl/>
              <w:spacing w:before="0"/>
              <w:jc w:val="left"/>
              <w:rPr>
                <w:rFonts w:ascii="微软雅黑" w:hAnsi="微软雅黑" w:eastAsia="微软雅黑" w:cs="宋体"/>
                <w:color w:val="333333"/>
                <w:kern w:val="0"/>
                <w:sz w:val="14"/>
                <w:szCs w:val="14"/>
              </w:rPr>
            </w:pPr>
            <w:bookmarkStart w:id="310" w:name="RANGE!B50"/>
            <w:r>
              <w:rPr>
                <w:rFonts w:hint="eastAsia" w:ascii="微软雅黑" w:hAnsi="微软雅黑" w:eastAsia="微软雅黑" w:cs="宋体"/>
                <w:color w:val="333333"/>
                <w:kern w:val="0"/>
                <w:sz w:val="14"/>
                <w:szCs w:val="14"/>
              </w:rPr>
              <w:t>tb_Message_Notices_Main</w:t>
            </w:r>
            <w:bookmarkEnd w:id="310"/>
          </w:p>
        </w:tc>
        <w:tc>
          <w:tcPr>
            <w:tcW w:w="3631" w:type="dxa"/>
            <w:tcBorders>
              <w:top w:val="nil"/>
              <w:left w:val="nil"/>
              <w:bottom w:val="single" w:color="auto" w:sz="4" w:space="0"/>
              <w:right w:val="single" w:color="auto" w:sz="4" w:space="0"/>
            </w:tcBorders>
            <w:shd w:val="clear" w:color="000000" w:fill="F6F8FA"/>
            <w:vAlign w:val="center"/>
          </w:tcPr>
          <w:p w14:paraId="38F4A7F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消息中心_公告主表</w:t>
            </w:r>
          </w:p>
        </w:tc>
      </w:tr>
      <w:tr w14:paraId="5ADFBC11">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09CAF24F">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5D851550">
            <w:pPr>
              <w:widowControl/>
              <w:spacing w:before="0"/>
              <w:jc w:val="left"/>
              <w:rPr>
                <w:rFonts w:ascii="微软雅黑" w:hAnsi="微软雅黑" w:eastAsia="微软雅黑" w:cs="宋体"/>
                <w:color w:val="333333"/>
                <w:kern w:val="0"/>
                <w:sz w:val="14"/>
                <w:szCs w:val="14"/>
              </w:rPr>
            </w:pPr>
            <w:bookmarkStart w:id="311" w:name="RANGE!B51"/>
            <w:r>
              <w:rPr>
                <w:rFonts w:hint="eastAsia" w:ascii="微软雅黑" w:hAnsi="微软雅黑" w:eastAsia="微软雅黑" w:cs="宋体"/>
                <w:color w:val="333333"/>
                <w:kern w:val="0"/>
                <w:sz w:val="14"/>
                <w:szCs w:val="14"/>
              </w:rPr>
              <w:t>tb_Message_Notices_Receiver</w:t>
            </w:r>
            <w:bookmarkEnd w:id="311"/>
          </w:p>
        </w:tc>
        <w:tc>
          <w:tcPr>
            <w:tcW w:w="3631" w:type="dxa"/>
            <w:tcBorders>
              <w:top w:val="nil"/>
              <w:left w:val="nil"/>
              <w:bottom w:val="single" w:color="auto" w:sz="4" w:space="0"/>
              <w:right w:val="single" w:color="auto" w:sz="4" w:space="0"/>
            </w:tcBorders>
            <w:shd w:val="clear" w:color="000000" w:fill="F6F8FA"/>
            <w:vAlign w:val="center"/>
          </w:tcPr>
          <w:p w14:paraId="6100DB15">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消息中心_公告接收人</w:t>
            </w:r>
          </w:p>
        </w:tc>
      </w:tr>
      <w:tr w14:paraId="322FDC58">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00CB8316">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3EA3D3F3">
            <w:pPr>
              <w:widowControl/>
              <w:spacing w:before="0"/>
              <w:jc w:val="left"/>
              <w:rPr>
                <w:rFonts w:ascii="微软雅黑" w:hAnsi="微软雅黑" w:eastAsia="微软雅黑" w:cs="宋体"/>
                <w:color w:val="333333"/>
                <w:kern w:val="0"/>
                <w:sz w:val="14"/>
                <w:szCs w:val="14"/>
              </w:rPr>
            </w:pPr>
            <w:bookmarkStart w:id="312" w:name="RANGE!B52"/>
            <w:r>
              <w:rPr>
                <w:rFonts w:hint="eastAsia" w:ascii="微软雅黑" w:hAnsi="微软雅黑" w:eastAsia="微软雅黑" w:cs="宋体"/>
                <w:color w:val="333333"/>
                <w:kern w:val="0"/>
                <w:sz w:val="14"/>
                <w:szCs w:val="14"/>
              </w:rPr>
              <w:t>tb_Message_ToDo_Main</w:t>
            </w:r>
            <w:bookmarkEnd w:id="312"/>
          </w:p>
        </w:tc>
        <w:tc>
          <w:tcPr>
            <w:tcW w:w="3631" w:type="dxa"/>
            <w:tcBorders>
              <w:top w:val="nil"/>
              <w:left w:val="nil"/>
              <w:bottom w:val="single" w:color="auto" w:sz="4" w:space="0"/>
              <w:right w:val="single" w:color="auto" w:sz="4" w:space="0"/>
            </w:tcBorders>
            <w:shd w:val="clear" w:color="000000" w:fill="F6F8FA"/>
            <w:vAlign w:val="center"/>
          </w:tcPr>
          <w:p w14:paraId="15129C53">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消息中心_待办主表</w:t>
            </w:r>
          </w:p>
        </w:tc>
      </w:tr>
      <w:tr w14:paraId="4F14A028">
        <w:tblPrEx>
          <w:tblCellMar>
            <w:top w:w="0" w:type="dxa"/>
            <w:left w:w="108" w:type="dxa"/>
            <w:bottom w:w="0" w:type="dxa"/>
            <w:right w:w="108" w:type="dxa"/>
          </w:tblCellMar>
        </w:tblPrEx>
        <w:trPr>
          <w:trHeight w:val="280" w:hRule="atLeast"/>
        </w:trPr>
        <w:tc>
          <w:tcPr>
            <w:tcW w:w="1213" w:type="dxa"/>
            <w:vMerge w:val="continue"/>
            <w:tcBorders>
              <w:top w:val="nil"/>
              <w:left w:val="single" w:color="auto" w:sz="4" w:space="0"/>
              <w:bottom w:val="single" w:color="auto" w:sz="4" w:space="0"/>
              <w:right w:val="single" w:color="auto" w:sz="4" w:space="0"/>
            </w:tcBorders>
            <w:vAlign w:val="center"/>
          </w:tcPr>
          <w:p w14:paraId="33E9DEDF">
            <w:pPr>
              <w:widowControl/>
              <w:spacing w:before="0"/>
              <w:jc w:val="left"/>
              <w:rPr>
                <w:rFonts w:ascii="微软雅黑" w:hAnsi="微软雅黑" w:eastAsia="微软雅黑" w:cs="宋体"/>
                <w:color w:val="333333"/>
                <w:kern w:val="0"/>
                <w:sz w:val="14"/>
                <w:szCs w:val="14"/>
              </w:rPr>
            </w:pPr>
          </w:p>
        </w:tc>
        <w:tc>
          <w:tcPr>
            <w:tcW w:w="2386" w:type="dxa"/>
            <w:tcBorders>
              <w:top w:val="nil"/>
              <w:left w:val="nil"/>
              <w:bottom w:val="single" w:color="auto" w:sz="4" w:space="0"/>
              <w:right w:val="single" w:color="auto" w:sz="4" w:space="0"/>
            </w:tcBorders>
            <w:shd w:val="clear" w:color="000000" w:fill="F6F8FA"/>
            <w:vAlign w:val="center"/>
          </w:tcPr>
          <w:p w14:paraId="67E7E088">
            <w:pPr>
              <w:widowControl/>
              <w:spacing w:before="0"/>
              <w:jc w:val="left"/>
              <w:rPr>
                <w:rFonts w:ascii="微软雅黑" w:hAnsi="微软雅黑" w:eastAsia="微软雅黑" w:cs="宋体"/>
                <w:color w:val="333333"/>
                <w:kern w:val="0"/>
                <w:sz w:val="14"/>
                <w:szCs w:val="14"/>
              </w:rPr>
            </w:pPr>
            <w:bookmarkStart w:id="313" w:name="RANGE!B53"/>
            <w:r>
              <w:rPr>
                <w:rFonts w:hint="eastAsia" w:ascii="微软雅黑" w:hAnsi="微软雅黑" w:eastAsia="微软雅黑" w:cs="宋体"/>
                <w:color w:val="333333"/>
                <w:kern w:val="0"/>
                <w:sz w:val="14"/>
                <w:szCs w:val="14"/>
              </w:rPr>
              <w:t>tb_Message_ToDo_Receiver</w:t>
            </w:r>
            <w:bookmarkEnd w:id="313"/>
          </w:p>
        </w:tc>
        <w:tc>
          <w:tcPr>
            <w:tcW w:w="3631" w:type="dxa"/>
            <w:tcBorders>
              <w:top w:val="nil"/>
              <w:left w:val="nil"/>
              <w:bottom w:val="single" w:color="auto" w:sz="4" w:space="0"/>
              <w:right w:val="single" w:color="auto" w:sz="4" w:space="0"/>
            </w:tcBorders>
            <w:shd w:val="clear" w:color="000000" w:fill="F6F8FA"/>
            <w:vAlign w:val="center"/>
          </w:tcPr>
          <w:p w14:paraId="2CB7F043">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消息中心_待办接收人</w:t>
            </w:r>
          </w:p>
        </w:tc>
      </w:tr>
    </w:tbl>
    <w:p w14:paraId="7C0C76D8">
      <w:pPr>
        <w:spacing w:before="120"/>
        <w:rPr>
          <w:rFonts w:ascii="Times New Roman" w:hAnsi="Times New Roman" w:eastAsia="新宋体" w:cs="Times New Roman"/>
          <w:sz w:val="24"/>
        </w:rPr>
      </w:pPr>
      <w:r>
        <w:rPr>
          <w:rFonts w:hint="eastAsia" w:ascii="Times New Roman" w:hAnsi="Times New Roman" w:eastAsia="新宋体" w:cs="Times New Roman"/>
          <w:sz w:val="24"/>
        </w:rPr>
        <w:t>数据依赖定义：</w:t>
      </w:r>
    </w:p>
    <w:tbl>
      <w:tblPr>
        <w:tblStyle w:val="16"/>
        <w:tblW w:w="7230" w:type="dxa"/>
        <w:tblInd w:w="0" w:type="dxa"/>
        <w:tblLayout w:type="fixed"/>
        <w:tblCellMar>
          <w:top w:w="0" w:type="dxa"/>
          <w:left w:w="108" w:type="dxa"/>
          <w:bottom w:w="0" w:type="dxa"/>
          <w:right w:w="108" w:type="dxa"/>
        </w:tblCellMar>
      </w:tblPr>
      <w:tblGrid>
        <w:gridCol w:w="3544"/>
        <w:gridCol w:w="3686"/>
      </w:tblGrid>
      <w:tr w14:paraId="03349B9F">
        <w:tblPrEx>
          <w:tblCellMar>
            <w:top w:w="0" w:type="dxa"/>
            <w:left w:w="108" w:type="dxa"/>
            <w:bottom w:w="0" w:type="dxa"/>
            <w:right w:w="108" w:type="dxa"/>
          </w:tblCellMar>
        </w:tblPrEx>
        <w:trPr>
          <w:trHeight w:val="280" w:hRule="atLeast"/>
        </w:trPr>
        <w:tc>
          <w:tcPr>
            <w:tcW w:w="3544" w:type="dxa"/>
            <w:tcBorders>
              <w:top w:val="single" w:color="DDDDDD" w:sz="8" w:space="0"/>
              <w:left w:val="nil"/>
              <w:bottom w:val="nil"/>
              <w:right w:val="single" w:color="DDDDDD" w:sz="8" w:space="0"/>
            </w:tcBorders>
            <w:shd w:val="clear" w:color="000000" w:fill="E6E6E6"/>
            <w:vAlign w:val="center"/>
          </w:tcPr>
          <w:p w14:paraId="060C3F65">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数据依赖名称定义</w:t>
            </w:r>
          </w:p>
        </w:tc>
        <w:tc>
          <w:tcPr>
            <w:tcW w:w="3686" w:type="dxa"/>
            <w:tcBorders>
              <w:top w:val="single" w:color="808080" w:sz="8" w:space="0"/>
              <w:left w:val="single" w:color="808080" w:sz="8" w:space="0"/>
              <w:bottom w:val="nil"/>
              <w:right w:val="single" w:color="808080" w:sz="8" w:space="0"/>
            </w:tcBorders>
            <w:shd w:val="clear" w:color="000000" w:fill="E6E6E6"/>
            <w:vAlign w:val="center"/>
          </w:tcPr>
          <w:p w14:paraId="0760630E">
            <w:pPr>
              <w:widowControl/>
              <w:spacing w:before="0"/>
              <w:jc w:val="center"/>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数据依赖注释</w:t>
            </w:r>
          </w:p>
        </w:tc>
      </w:tr>
      <w:tr w14:paraId="65A991CF">
        <w:tblPrEx>
          <w:tblCellMar>
            <w:top w:w="0" w:type="dxa"/>
            <w:left w:w="108" w:type="dxa"/>
            <w:bottom w:w="0" w:type="dxa"/>
            <w:right w:w="108" w:type="dxa"/>
          </w:tblCellMar>
        </w:tblPrEx>
        <w:trPr>
          <w:trHeight w:val="280" w:hRule="atLeast"/>
        </w:trPr>
        <w:tc>
          <w:tcPr>
            <w:tcW w:w="3544" w:type="dxa"/>
            <w:tcBorders>
              <w:top w:val="single" w:color="auto" w:sz="4" w:space="0"/>
              <w:left w:val="single" w:color="auto" w:sz="4" w:space="0"/>
              <w:bottom w:val="single" w:color="auto" w:sz="4" w:space="0"/>
              <w:right w:val="single" w:color="auto" w:sz="4" w:space="0"/>
            </w:tcBorders>
            <w:shd w:val="clear" w:color="000000" w:fill="F6F8FA"/>
            <w:vAlign w:val="center"/>
          </w:tcPr>
          <w:p w14:paraId="52F10DCC">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_DicInfoBelongDic</w:t>
            </w:r>
          </w:p>
        </w:tc>
        <w:tc>
          <w:tcPr>
            <w:tcW w:w="3686" w:type="dxa"/>
            <w:tcBorders>
              <w:top w:val="single" w:color="auto" w:sz="4" w:space="0"/>
              <w:left w:val="nil"/>
              <w:bottom w:val="single" w:color="auto" w:sz="4" w:space="0"/>
              <w:right w:val="single" w:color="auto" w:sz="4" w:space="0"/>
            </w:tcBorders>
            <w:shd w:val="clear" w:color="000000" w:fill="F6F8FA"/>
            <w:vAlign w:val="center"/>
          </w:tcPr>
          <w:p w14:paraId="25613B0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外键约束_字典信息所属字典</w:t>
            </w:r>
          </w:p>
        </w:tc>
      </w:tr>
      <w:tr w14:paraId="35536FC3">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5E903D90">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fk_ZhiBiao_FenPei</w:t>
            </w:r>
          </w:p>
        </w:tc>
        <w:tc>
          <w:tcPr>
            <w:tcW w:w="3686" w:type="dxa"/>
            <w:tcBorders>
              <w:top w:val="nil"/>
              <w:left w:val="nil"/>
              <w:bottom w:val="single" w:color="auto" w:sz="4" w:space="0"/>
              <w:right w:val="single" w:color="auto" w:sz="4" w:space="0"/>
            </w:tcBorders>
            <w:shd w:val="clear" w:color="000000" w:fill="F6F8FA"/>
            <w:vAlign w:val="center"/>
          </w:tcPr>
          <w:p w14:paraId="17E3123C">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外键约束_指标分配单</w:t>
            </w:r>
          </w:p>
        </w:tc>
      </w:tr>
      <w:tr w14:paraId="0C753BDA">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64950DAE">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_DefInZhiBiaoSolidification</w:t>
            </w:r>
          </w:p>
        </w:tc>
        <w:tc>
          <w:tcPr>
            <w:tcW w:w="3686" w:type="dxa"/>
            <w:tcBorders>
              <w:top w:val="nil"/>
              <w:left w:val="nil"/>
              <w:bottom w:val="single" w:color="auto" w:sz="4" w:space="0"/>
              <w:right w:val="single" w:color="auto" w:sz="4" w:space="0"/>
            </w:tcBorders>
            <w:shd w:val="clear" w:color="000000" w:fill="F6F8FA"/>
            <w:vAlign w:val="center"/>
          </w:tcPr>
          <w:p w14:paraId="76413F4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外键约束_指标固化设置中的指标定义</w:t>
            </w:r>
          </w:p>
        </w:tc>
      </w:tr>
      <w:tr w14:paraId="0734935E">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06991B6">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_BillCodeInZhiBiaoSubmission</w:t>
            </w:r>
          </w:p>
        </w:tc>
        <w:tc>
          <w:tcPr>
            <w:tcW w:w="3686" w:type="dxa"/>
            <w:tcBorders>
              <w:top w:val="nil"/>
              <w:left w:val="nil"/>
              <w:bottom w:val="single" w:color="auto" w:sz="4" w:space="0"/>
              <w:right w:val="single" w:color="auto" w:sz="4" w:space="0"/>
            </w:tcBorders>
            <w:shd w:val="clear" w:color="000000" w:fill="F6F8FA"/>
            <w:vAlign w:val="center"/>
          </w:tcPr>
          <w:p w14:paraId="682C9F2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外键约束_指标填报单子</w:t>
            </w:r>
            <w:r>
              <w:rPr>
                <w:rFonts w:hint="eastAsia" w:ascii="微软雅黑" w:hAnsi="微软雅黑" w:eastAsia="微软雅黑" w:cs="宋体"/>
                <w:color w:val="333333"/>
                <w:kern w:val="0"/>
                <w:sz w:val="14"/>
                <w:szCs w:val="14"/>
                <w:lang w:eastAsia="zh-CN"/>
              </w:rPr>
              <w:t>与</w:t>
            </w:r>
            <w:r>
              <w:rPr>
                <w:rFonts w:hint="eastAsia" w:ascii="微软雅黑" w:hAnsi="微软雅黑" w:eastAsia="微软雅黑" w:cs="宋体"/>
                <w:color w:val="333333"/>
                <w:kern w:val="0"/>
                <w:sz w:val="14"/>
                <w:szCs w:val="14"/>
              </w:rPr>
              <w:t>主表单号</w:t>
            </w:r>
          </w:p>
        </w:tc>
      </w:tr>
      <w:tr w14:paraId="1A2471B5">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3B51432D">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_BillCodeInRejectHandleLog</w:t>
            </w:r>
          </w:p>
        </w:tc>
        <w:tc>
          <w:tcPr>
            <w:tcW w:w="3686" w:type="dxa"/>
            <w:tcBorders>
              <w:top w:val="nil"/>
              <w:left w:val="nil"/>
              <w:bottom w:val="single" w:color="auto" w:sz="4" w:space="0"/>
              <w:right w:val="single" w:color="auto" w:sz="4" w:space="0"/>
            </w:tcBorders>
            <w:shd w:val="clear" w:color="000000" w:fill="F6F8FA"/>
            <w:vAlign w:val="center"/>
          </w:tcPr>
          <w:p w14:paraId="3ACA63D5">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外键约束_指标填报审批退回记录中的单号</w:t>
            </w:r>
          </w:p>
        </w:tc>
      </w:tr>
      <w:tr w14:paraId="04CF366B">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720DEEB0">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_OrgInZhiBiaoDefinition</w:t>
            </w:r>
          </w:p>
        </w:tc>
        <w:tc>
          <w:tcPr>
            <w:tcW w:w="3686" w:type="dxa"/>
            <w:tcBorders>
              <w:top w:val="nil"/>
              <w:left w:val="nil"/>
              <w:bottom w:val="single" w:color="auto" w:sz="4" w:space="0"/>
              <w:right w:val="single" w:color="auto" w:sz="4" w:space="0"/>
            </w:tcBorders>
            <w:shd w:val="clear" w:color="000000" w:fill="F6F8FA"/>
            <w:vAlign w:val="center"/>
          </w:tcPr>
          <w:p w14:paraId="5528FE1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外键约束_指标定义中的创建组织</w:t>
            </w:r>
          </w:p>
        </w:tc>
      </w:tr>
      <w:tr w14:paraId="37AF34AF">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08CD1D02">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_ZhiBiaoDefinitionInSpecialSetting</w:t>
            </w:r>
          </w:p>
        </w:tc>
        <w:tc>
          <w:tcPr>
            <w:tcW w:w="3686" w:type="dxa"/>
            <w:tcBorders>
              <w:top w:val="nil"/>
              <w:left w:val="nil"/>
              <w:bottom w:val="single" w:color="auto" w:sz="4" w:space="0"/>
              <w:right w:val="single" w:color="auto" w:sz="4" w:space="0"/>
            </w:tcBorders>
            <w:shd w:val="clear" w:color="000000" w:fill="F6F8FA"/>
            <w:vAlign w:val="center"/>
          </w:tcPr>
          <w:p w14:paraId="7E6DB2B1">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外键约束_指标定义特殊配置项中的指标</w:t>
            </w:r>
          </w:p>
        </w:tc>
      </w:tr>
      <w:tr w14:paraId="325CDE47">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16FD0F65">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_DefInZhiBiaoSubmission</w:t>
            </w:r>
          </w:p>
        </w:tc>
        <w:tc>
          <w:tcPr>
            <w:tcW w:w="3686" w:type="dxa"/>
            <w:tcBorders>
              <w:top w:val="nil"/>
              <w:left w:val="nil"/>
              <w:bottom w:val="single" w:color="auto" w:sz="4" w:space="0"/>
              <w:right w:val="single" w:color="auto" w:sz="4" w:space="0"/>
            </w:tcBorders>
            <w:shd w:val="clear" w:color="000000" w:fill="F6F8FA"/>
            <w:vAlign w:val="center"/>
          </w:tcPr>
          <w:p w14:paraId="164BD49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外键约束_指标数据提报单中的指标</w:t>
            </w:r>
          </w:p>
        </w:tc>
      </w:tr>
      <w:tr w14:paraId="2C956507">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653CCEC0">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_ZhiBiaoSubmissionBillCode</w:t>
            </w:r>
          </w:p>
        </w:tc>
        <w:tc>
          <w:tcPr>
            <w:tcW w:w="3686" w:type="dxa"/>
            <w:tcBorders>
              <w:top w:val="nil"/>
              <w:left w:val="nil"/>
              <w:bottom w:val="single" w:color="auto" w:sz="4" w:space="0"/>
              <w:right w:val="single" w:color="auto" w:sz="4" w:space="0"/>
            </w:tcBorders>
            <w:shd w:val="clear" w:color="000000" w:fill="F6F8FA"/>
            <w:vAlign w:val="center"/>
          </w:tcPr>
          <w:p w14:paraId="7CB5D41C">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外键约束_指标数据提报单号</w:t>
            </w:r>
          </w:p>
        </w:tc>
      </w:tr>
      <w:tr w14:paraId="40A69512">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19ED8CA8">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_SchemeCodeInsShareSub</w:t>
            </w:r>
          </w:p>
        </w:tc>
        <w:tc>
          <w:tcPr>
            <w:tcW w:w="3686" w:type="dxa"/>
            <w:tcBorders>
              <w:top w:val="nil"/>
              <w:left w:val="nil"/>
              <w:bottom w:val="single" w:color="auto" w:sz="4" w:space="0"/>
              <w:right w:val="single" w:color="auto" w:sz="4" w:space="0"/>
            </w:tcBorders>
            <w:shd w:val="clear" w:color="000000" w:fill="F6F8FA"/>
            <w:vAlign w:val="center"/>
          </w:tcPr>
          <w:p w14:paraId="4E8B23A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外键约束_指标方案共享中的方案编号</w:t>
            </w:r>
          </w:p>
        </w:tc>
      </w:tr>
      <w:tr w14:paraId="2A619CF8">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35468CCB">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_ZhiBiao_Weight</w:t>
            </w:r>
          </w:p>
        </w:tc>
        <w:tc>
          <w:tcPr>
            <w:tcW w:w="3686" w:type="dxa"/>
            <w:tcBorders>
              <w:top w:val="nil"/>
              <w:left w:val="nil"/>
              <w:bottom w:val="single" w:color="auto" w:sz="4" w:space="0"/>
              <w:right w:val="single" w:color="auto" w:sz="4" w:space="0"/>
            </w:tcBorders>
            <w:shd w:val="clear" w:color="000000" w:fill="F6F8FA"/>
            <w:vAlign w:val="center"/>
          </w:tcPr>
          <w:p w14:paraId="6DF7B63B">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外键约束_指标权重占比</w:t>
            </w:r>
          </w:p>
        </w:tc>
      </w:tr>
      <w:tr w14:paraId="790C202F">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1B876A01">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_DefineInZhiBiaoTreeRelation</w:t>
            </w:r>
          </w:p>
        </w:tc>
        <w:tc>
          <w:tcPr>
            <w:tcW w:w="3686" w:type="dxa"/>
            <w:tcBorders>
              <w:top w:val="nil"/>
              <w:left w:val="nil"/>
              <w:bottom w:val="single" w:color="auto" w:sz="4" w:space="0"/>
              <w:right w:val="single" w:color="auto" w:sz="4" w:space="0"/>
            </w:tcBorders>
            <w:shd w:val="clear" w:color="000000" w:fill="F6F8FA"/>
            <w:vAlign w:val="center"/>
          </w:tcPr>
          <w:p w14:paraId="4B09C974">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外键约束_指标目录树关联关系中的指标定义</w:t>
            </w:r>
          </w:p>
        </w:tc>
      </w:tr>
      <w:tr w14:paraId="5AA9DDA4">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7B01F40A">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_NodeInZhiBiaoTreeRelation</w:t>
            </w:r>
          </w:p>
        </w:tc>
        <w:tc>
          <w:tcPr>
            <w:tcW w:w="3686" w:type="dxa"/>
            <w:tcBorders>
              <w:top w:val="nil"/>
              <w:left w:val="nil"/>
              <w:bottom w:val="single" w:color="auto" w:sz="4" w:space="0"/>
              <w:right w:val="single" w:color="auto" w:sz="4" w:space="0"/>
            </w:tcBorders>
            <w:shd w:val="clear" w:color="000000" w:fill="F6F8FA"/>
            <w:vAlign w:val="center"/>
          </w:tcPr>
          <w:p w14:paraId="615D834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外键约束_指标目录树关联关系中的树节点</w:t>
            </w:r>
          </w:p>
        </w:tc>
      </w:tr>
      <w:tr w14:paraId="73C1113E">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01F41B16">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_ComputeIDInDataItem</w:t>
            </w:r>
          </w:p>
        </w:tc>
        <w:tc>
          <w:tcPr>
            <w:tcW w:w="3686" w:type="dxa"/>
            <w:tcBorders>
              <w:top w:val="nil"/>
              <w:left w:val="nil"/>
              <w:bottom w:val="single" w:color="auto" w:sz="4" w:space="0"/>
              <w:right w:val="single" w:color="auto" w:sz="4" w:space="0"/>
            </w:tcBorders>
            <w:shd w:val="clear" w:color="000000" w:fill="F6F8FA"/>
            <w:vAlign w:val="center"/>
          </w:tcPr>
          <w:p w14:paraId="20CD262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外键约束_指标计算逻辑数据项中的逻辑id</w:t>
            </w:r>
          </w:p>
        </w:tc>
      </w:tr>
      <w:tr w14:paraId="0C112B5F">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BD0127A">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_MainUnitInZhiBiaoUnitConversionRelation</w:t>
            </w:r>
          </w:p>
        </w:tc>
        <w:tc>
          <w:tcPr>
            <w:tcW w:w="3686" w:type="dxa"/>
            <w:tcBorders>
              <w:top w:val="nil"/>
              <w:left w:val="nil"/>
              <w:bottom w:val="single" w:color="auto" w:sz="4" w:space="0"/>
              <w:right w:val="single" w:color="auto" w:sz="4" w:space="0"/>
            </w:tcBorders>
            <w:shd w:val="clear" w:color="000000" w:fill="F6F8FA"/>
            <w:vAlign w:val="center"/>
          </w:tcPr>
          <w:p w14:paraId="7C6BC3D3">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外键约束_指标计量单位换算关系中的主计量单位</w:t>
            </w:r>
          </w:p>
        </w:tc>
      </w:tr>
      <w:tr w14:paraId="16EF37EC">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31DDA7F4">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_SubUnitInZhiBiaoUnitConversionRelation</w:t>
            </w:r>
          </w:p>
        </w:tc>
        <w:tc>
          <w:tcPr>
            <w:tcW w:w="3686" w:type="dxa"/>
            <w:tcBorders>
              <w:top w:val="nil"/>
              <w:left w:val="nil"/>
              <w:bottom w:val="single" w:color="auto" w:sz="4" w:space="0"/>
              <w:right w:val="single" w:color="auto" w:sz="4" w:space="0"/>
            </w:tcBorders>
            <w:shd w:val="clear" w:color="000000" w:fill="F6F8FA"/>
            <w:vAlign w:val="center"/>
          </w:tcPr>
          <w:p w14:paraId="71C9BB41">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外键约束_指标计量单位换算关系中的主辅计量单位参照</w:t>
            </w:r>
          </w:p>
        </w:tc>
      </w:tr>
      <w:tr w14:paraId="027879E9">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185A5E87">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_DefInZhiBiaoDataWDM</w:t>
            </w:r>
          </w:p>
        </w:tc>
        <w:tc>
          <w:tcPr>
            <w:tcW w:w="3686" w:type="dxa"/>
            <w:tcBorders>
              <w:top w:val="nil"/>
              <w:left w:val="nil"/>
              <w:bottom w:val="single" w:color="auto" w:sz="4" w:space="0"/>
              <w:right w:val="single" w:color="auto" w:sz="4" w:space="0"/>
            </w:tcBorders>
            <w:shd w:val="clear" w:color="000000" w:fill="F6F8FA"/>
            <w:vAlign w:val="center"/>
          </w:tcPr>
          <w:p w14:paraId="14D1C1B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外键约束_数仓指标数据中的指标定义</w:t>
            </w:r>
          </w:p>
        </w:tc>
      </w:tr>
      <w:tr w14:paraId="57EA85D7">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6FC4CA5">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_ReportPublish_Roles</w:t>
            </w:r>
          </w:p>
        </w:tc>
        <w:tc>
          <w:tcPr>
            <w:tcW w:w="3686" w:type="dxa"/>
            <w:tcBorders>
              <w:top w:val="nil"/>
              <w:left w:val="nil"/>
              <w:bottom w:val="single" w:color="auto" w:sz="4" w:space="0"/>
              <w:right w:val="single" w:color="auto" w:sz="4" w:space="0"/>
            </w:tcBorders>
            <w:shd w:val="clear" w:color="000000" w:fill="F6F8FA"/>
            <w:vAlign w:val="center"/>
          </w:tcPr>
          <w:p w14:paraId="2D69BF1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外键约束_数据分析报告发布-角色</w:t>
            </w:r>
          </w:p>
        </w:tc>
      </w:tr>
      <w:tr w14:paraId="58EAC8B2">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3F903983">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_ReportPublish_Attachment</w:t>
            </w:r>
          </w:p>
        </w:tc>
        <w:tc>
          <w:tcPr>
            <w:tcW w:w="3686" w:type="dxa"/>
            <w:tcBorders>
              <w:top w:val="nil"/>
              <w:left w:val="nil"/>
              <w:bottom w:val="single" w:color="auto" w:sz="4" w:space="0"/>
              <w:right w:val="single" w:color="auto" w:sz="4" w:space="0"/>
            </w:tcBorders>
            <w:shd w:val="clear" w:color="000000" w:fill="F6F8FA"/>
            <w:vAlign w:val="center"/>
          </w:tcPr>
          <w:p w14:paraId="19FA7386">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外键约束_数据分析报告发布-附件</w:t>
            </w:r>
          </w:p>
        </w:tc>
      </w:tr>
      <w:tr w14:paraId="3537DBE6">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30BE2F0B">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_SysButtonInPowerSetting</w:t>
            </w:r>
          </w:p>
        </w:tc>
        <w:tc>
          <w:tcPr>
            <w:tcW w:w="3686" w:type="dxa"/>
            <w:tcBorders>
              <w:top w:val="nil"/>
              <w:left w:val="nil"/>
              <w:bottom w:val="single" w:color="auto" w:sz="4" w:space="0"/>
              <w:right w:val="single" w:color="auto" w:sz="4" w:space="0"/>
            </w:tcBorders>
            <w:shd w:val="clear" w:color="000000" w:fill="F6F8FA"/>
            <w:vAlign w:val="center"/>
          </w:tcPr>
          <w:p w14:paraId="507BF43A">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外键约束_权限管理中的系统按钮</w:t>
            </w:r>
          </w:p>
        </w:tc>
      </w:tr>
      <w:tr w14:paraId="509B0770">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0DE1E46">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_SysMenuInPowerSetting</w:t>
            </w:r>
          </w:p>
        </w:tc>
        <w:tc>
          <w:tcPr>
            <w:tcW w:w="3686" w:type="dxa"/>
            <w:tcBorders>
              <w:top w:val="nil"/>
              <w:left w:val="nil"/>
              <w:bottom w:val="single" w:color="auto" w:sz="4" w:space="0"/>
              <w:right w:val="single" w:color="auto" w:sz="4" w:space="0"/>
            </w:tcBorders>
            <w:shd w:val="clear" w:color="000000" w:fill="F6F8FA"/>
            <w:vAlign w:val="center"/>
          </w:tcPr>
          <w:p w14:paraId="3B385B9B">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外键约束_权限管理中的系统菜单</w:t>
            </w:r>
          </w:p>
        </w:tc>
      </w:tr>
      <w:tr w14:paraId="70EE52B9">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961E7CC">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_RoleInPowerSetting</w:t>
            </w:r>
          </w:p>
        </w:tc>
        <w:tc>
          <w:tcPr>
            <w:tcW w:w="3686" w:type="dxa"/>
            <w:tcBorders>
              <w:top w:val="nil"/>
              <w:left w:val="nil"/>
              <w:bottom w:val="single" w:color="auto" w:sz="4" w:space="0"/>
              <w:right w:val="single" w:color="auto" w:sz="4" w:space="0"/>
            </w:tcBorders>
            <w:shd w:val="clear" w:color="000000" w:fill="F6F8FA"/>
            <w:vAlign w:val="center"/>
          </w:tcPr>
          <w:p w14:paraId="2C617D57">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外键约束_权限设置中的角色</w:t>
            </w:r>
          </w:p>
        </w:tc>
      </w:tr>
      <w:tr w14:paraId="3687F099">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10E49D22">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_SchemeCodeInZhiBiaoSub</w:t>
            </w:r>
          </w:p>
        </w:tc>
        <w:tc>
          <w:tcPr>
            <w:tcW w:w="3686" w:type="dxa"/>
            <w:tcBorders>
              <w:top w:val="nil"/>
              <w:left w:val="nil"/>
              <w:bottom w:val="single" w:color="auto" w:sz="4" w:space="0"/>
              <w:right w:val="single" w:color="auto" w:sz="4" w:space="0"/>
            </w:tcBorders>
            <w:shd w:val="clear" w:color="000000" w:fill="F6F8FA"/>
            <w:vAlign w:val="center"/>
          </w:tcPr>
          <w:p w14:paraId="47B7B01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外键约束_查询方案指标中的方案编号</w:t>
            </w:r>
          </w:p>
        </w:tc>
      </w:tr>
      <w:tr w14:paraId="252CA654">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4D6982A">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_DefInDeriveCompute</w:t>
            </w:r>
          </w:p>
        </w:tc>
        <w:tc>
          <w:tcPr>
            <w:tcW w:w="3686" w:type="dxa"/>
            <w:tcBorders>
              <w:top w:val="nil"/>
              <w:left w:val="nil"/>
              <w:bottom w:val="single" w:color="auto" w:sz="4" w:space="0"/>
              <w:right w:val="single" w:color="auto" w:sz="4" w:space="0"/>
            </w:tcBorders>
            <w:shd w:val="clear" w:color="000000" w:fill="F6F8FA"/>
            <w:vAlign w:val="center"/>
          </w:tcPr>
          <w:p w14:paraId="06A06BC1">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外键约束_派生指标中的指标定义</w:t>
            </w:r>
          </w:p>
        </w:tc>
      </w:tr>
      <w:tr w14:paraId="6A3CA807">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68F2A07E">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_Message_Centre</w:t>
            </w:r>
          </w:p>
        </w:tc>
        <w:tc>
          <w:tcPr>
            <w:tcW w:w="3686" w:type="dxa"/>
            <w:tcBorders>
              <w:top w:val="nil"/>
              <w:left w:val="nil"/>
              <w:bottom w:val="single" w:color="auto" w:sz="4" w:space="0"/>
              <w:right w:val="single" w:color="auto" w:sz="4" w:space="0"/>
            </w:tcBorders>
            <w:shd w:val="clear" w:color="000000" w:fill="F6F8FA"/>
            <w:vAlign w:val="center"/>
          </w:tcPr>
          <w:p w14:paraId="7D4256B3">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外键约束_消息中心</w:t>
            </w:r>
          </w:p>
        </w:tc>
      </w:tr>
      <w:tr w14:paraId="60AC786F">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1550F220">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_Message_Centre_Notice</w:t>
            </w:r>
          </w:p>
        </w:tc>
        <w:tc>
          <w:tcPr>
            <w:tcW w:w="3686" w:type="dxa"/>
            <w:tcBorders>
              <w:top w:val="nil"/>
              <w:left w:val="nil"/>
              <w:bottom w:val="single" w:color="auto" w:sz="4" w:space="0"/>
              <w:right w:val="single" w:color="auto" w:sz="4" w:space="0"/>
            </w:tcBorders>
            <w:shd w:val="clear" w:color="000000" w:fill="F6F8FA"/>
            <w:vAlign w:val="center"/>
          </w:tcPr>
          <w:p w14:paraId="1CC92FC7">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外键约束_消息中心公告</w:t>
            </w:r>
          </w:p>
        </w:tc>
      </w:tr>
      <w:tr w14:paraId="119913DA">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0B0E5F64">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_UserInUserAndRoleRelation</w:t>
            </w:r>
          </w:p>
        </w:tc>
        <w:tc>
          <w:tcPr>
            <w:tcW w:w="3686" w:type="dxa"/>
            <w:tcBorders>
              <w:top w:val="nil"/>
              <w:left w:val="nil"/>
              <w:bottom w:val="single" w:color="auto" w:sz="4" w:space="0"/>
              <w:right w:val="single" w:color="auto" w:sz="4" w:space="0"/>
            </w:tcBorders>
            <w:shd w:val="clear" w:color="000000" w:fill="F6F8FA"/>
            <w:vAlign w:val="center"/>
          </w:tcPr>
          <w:p w14:paraId="127E7FC0">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外键约束_用户与角色关系中的用户</w:t>
            </w:r>
          </w:p>
        </w:tc>
      </w:tr>
      <w:tr w14:paraId="2B44758D">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73D7211C">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_RoleInUserAndRoleRelation</w:t>
            </w:r>
          </w:p>
        </w:tc>
        <w:tc>
          <w:tcPr>
            <w:tcW w:w="3686" w:type="dxa"/>
            <w:tcBorders>
              <w:top w:val="nil"/>
              <w:left w:val="nil"/>
              <w:bottom w:val="single" w:color="auto" w:sz="4" w:space="0"/>
              <w:right w:val="single" w:color="auto" w:sz="4" w:space="0"/>
            </w:tcBorders>
            <w:shd w:val="clear" w:color="000000" w:fill="F6F8FA"/>
            <w:vAlign w:val="center"/>
          </w:tcPr>
          <w:p w14:paraId="46B14774">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外键约束_用户与角色关系中的角色</w:t>
            </w:r>
          </w:p>
        </w:tc>
      </w:tr>
      <w:tr w14:paraId="417DDF6E">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4F826A33">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_UserInExternalSystemUser</w:t>
            </w:r>
          </w:p>
        </w:tc>
        <w:tc>
          <w:tcPr>
            <w:tcW w:w="3686" w:type="dxa"/>
            <w:tcBorders>
              <w:top w:val="nil"/>
              <w:left w:val="nil"/>
              <w:bottom w:val="single" w:color="auto" w:sz="4" w:space="0"/>
              <w:right w:val="single" w:color="auto" w:sz="4" w:space="0"/>
            </w:tcBorders>
            <w:shd w:val="clear" w:color="000000" w:fill="F6F8FA"/>
            <w:vAlign w:val="center"/>
          </w:tcPr>
          <w:p w14:paraId="7707530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外键约束_用户对应其它系统用户</w:t>
            </w:r>
          </w:p>
        </w:tc>
      </w:tr>
      <w:tr w14:paraId="7CC2FF2A">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567A458C">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_UserBelongDepartment</w:t>
            </w:r>
          </w:p>
        </w:tc>
        <w:tc>
          <w:tcPr>
            <w:tcW w:w="3686" w:type="dxa"/>
            <w:tcBorders>
              <w:top w:val="nil"/>
              <w:left w:val="nil"/>
              <w:bottom w:val="single" w:color="auto" w:sz="4" w:space="0"/>
              <w:right w:val="single" w:color="auto" w:sz="4" w:space="0"/>
            </w:tcBorders>
            <w:shd w:val="clear" w:color="000000" w:fill="F6F8FA"/>
            <w:vAlign w:val="center"/>
          </w:tcPr>
          <w:p w14:paraId="1CC308D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外键约束_用户所在部门的字典信息</w:t>
            </w:r>
          </w:p>
        </w:tc>
      </w:tr>
      <w:tr w14:paraId="261243C9">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51342C6E">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_UserInBelongMetroLine</w:t>
            </w:r>
          </w:p>
        </w:tc>
        <w:tc>
          <w:tcPr>
            <w:tcW w:w="3686" w:type="dxa"/>
            <w:tcBorders>
              <w:top w:val="nil"/>
              <w:left w:val="nil"/>
              <w:bottom w:val="single" w:color="auto" w:sz="4" w:space="0"/>
              <w:right w:val="single" w:color="auto" w:sz="4" w:space="0"/>
            </w:tcBorders>
            <w:shd w:val="clear" w:color="000000" w:fill="F6F8FA"/>
            <w:vAlign w:val="center"/>
          </w:tcPr>
          <w:p w14:paraId="3B7F625D">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外键约束_用户所属线路</w:t>
            </w:r>
          </w:p>
        </w:tc>
      </w:tr>
      <w:tr w14:paraId="0EA17ECB">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4D49D0A2">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_UserBelongOrgnization</w:t>
            </w:r>
          </w:p>
        </w:tc>
        <w:tc>
          <w:tcPr>
            <w:tcW w:w="3686" w:type="dxa"/>
            <w:tcBorders>
              <w:top w:val="nil"/>
              <w:left w:val="nil"/>
              <w:bottom w:val="single" w:color="auto" w:sz="4" w:space="0"/>
              <w:right w:val="single" w:color="auto" w:sz="4" w:space="0"/>
            </w:tcBorders>
            <w:shd w:val="clear" w:color="000000" w:fill="F6F8FA"/>
            <w:vAlign w:val="center"/>
          </w:tcPr>
          <w:p w14:paraId="311B6B67">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外键约束_用户所属组织</w:t>
            </w:r>
          </w:p>
        </w:tc>
      </w:tr>
      <w:tr w14:paraId="3884CB3B">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D64B8D4">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_RaceScoreScheme</w:t>
            </w:r>
          </w:p>
        </w:tc>
        <w:tc>
          <w:tcPr>
            <w:tcW w:w="3686" w:type="dxa"/>
            <w:tcBorders>
              <w:top w:val="nil"/>
              <w:left w:val="nil"/>
              <w:bottom w:val="single" w:color="auto" w:sz="4" w:space="0"/>
              <w:right w:val="single" w:color="auto" w:sz="4" w:space="0"/>
            </w:tcBorders>
            <w:shd w:val="clear" w:color="000000" w:fill="F6F8FA"/>
            <w:vAlign w:val="center"/>
          </w:tcPr>
          <w:p w14:paraId="14A0124F">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外键约束_竞赛积分方案管理</w:t>
            </w:r>
          </w:p>
        </w:tc>
      </w:tr>
      <w:tr w14:paraId="293C3E7A">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13BBAB0E">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_SysButtonInMenuAndButtonRelation</w:t>
            </w:r>
          </w:p>
        </w:tc>
        <w:tc>
          <w:tcPr>
            <w:tcW w:w="3686" w:type="dxa"/>
            <w:tcBorders>
              <w:top w:val="nil"/>
              <w:left w:val="nil"/>
              <w:bottom w:val="single" w:color="auto" w:sz="4" w:space="0"/>
              <w:right w:val="single" w:color="auto" w:sz="4" w:space="0"/>
            </w:tcBorders>
            <w:shd w:val="clear" w:color="000000" w:fill="F6F8FA"/>
            <w:vAlign w:val="center"/>
          </w:tcPr>
          <w:p w14:paraId="5BC837DE">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外键约束_系统菜单与按钮关系中的按钮</w:t>
            </w:r>
          </w:p>
        </w:tc>
      </w:tr>
      <w:tr w14:paraId="3EE3B765">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054BC4E">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_MenuInMenuAndButtonRelation</w:t>
            </w:r>
          </w:p>
        </w:tc>
        <w:tc>
          <w:tcPr>
            <w:tcW w:w="3686" w:type="dxa"/>
            <w:tcBorders>
              <w:top w:val="nil"/>
              <w:left w:val="nil"/>
              <w:bottom w:val="single" w:color="auto" w:sz="4" w:space="0"/>
              <w:right w:val="single" w:color="auto" w:sz="4" w:space="0"/>
            </w:tcBorders>
            <w:shd w:val="clear" w:color="000000" w:fill="F6F8FA"/>
            <w:vAlign w:val="center"/>
          </w:tcPr>
          <w:p w14:paraId="555C5FE9">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外键约束_系统菜单与按钮关系中的菜单</w:t>
            </w:r>
          </w:p>
        </w:tc>
      </w:tr>
      <w:tr w14:paraId="0BA90BEE">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1F44543E">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_MetroLineInLineAndStationRelation</w:t>
            </w:r>
          </w:p>
        </w:tc>
        <w:tc>
          <w:tcPr>
            <w:tcW w:w="3686" w:type="dxa"/>
            <w:tcBorders>
              <w:top w:val="nil"/>
              <w:left w:val="nil"/>
              <w:bottom w:val="single" w:color="auto" w:sz="4" w:space="0"/>
              <w:right w:val="single" w:color="auto" w:sz="4" w:space="0"/>
            </w:tcBorders>
            <w:shd w:val="clear" w:color="000000" w:fill="F6F8FA"/>
            <w:vAlign w:val="center"/>
          </w:tcPr>
          <w:p w14:paraId="56AF0282">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外键约束_线路与车站关系中的线路</w:t>
            </w:r>
          </w:p>
        </w:tc>
      </w:tr>
      <w:tr w14:paraId="21625344">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2B534B23">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_StationInMetroLineAndStationRelation</w:t>
            </w:r>
          </w:p>
        </w:tc>
        <w:tc>
          <w:tcPr>
            <w:tcW w:w="3686" w:type="dxa"/>
            <w:tcBorders>
              <w:top w:val="nil"/>
              <w:left w:val="nil"/>
              <w:bottom w:val="single" w:color="auto" w:sz="4" w:space="0"/>
              <w:right w:val="single" w:color="auto" w:sz="4" w:space="0"/>
            </w:tcBorders>
            <w:shd w:val="clear" w:color="000000" w:fill="F6F8FA"/>
            <w:vAlign w:val="center"/>
          </w:tcPr>
          <w:p w14:paraId="7786482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外键约束_线路与车站关系中的车站</w:t>
            </w:r>
          </w:p>
        </w:tc>
      </w:tr>
      <w:tr w14:paraId="7D9FCDCC">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329305BA">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_ExamineScheme</w:t>
            </w:r>
          </w:p>
        </w:tc>
        <w:tc>
          <w:tcPr>
            <w:tcW w:w="3686" w:type="dxa"/>
            <w:tcBorders>
              <w:top w:val="nil"/>
              <w:left w:val="nil"/>
              <w:bottom w:val="single" w:color="auto" w:sz="4" w:space="0"/>
              <w:right w:val="single" w:color="auto" w:sz="4" w:space="0"/>
            </w:tcBorders>
            <w:shd w:val="clear" w:color="000000" w:fill="F6F8FA"/>
            <w:vAlign w:val="center"/>
          </w:tcPr>
          <w:p w14:paraId="39512C3A">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外键约束_考核方案</w:t>
            </w:r>
          </w:p>
        </w:tc>
      </w:tr>
      <w:tr w14:paraId="5CC41C11">
        <w:tblPrEx>
          <w:tblCellMar>
            <w:top w:w="0" w:type="dxa"/>
            <w:left w:w="108" w:type="dxa"/>
            <w:bottom w:w="0" w:type="dxa"/>
            <w:right w:w="108" w:type="dxa"/>
          </w:tblCellMar>
        </w:tblPrEx>
        <w:trPr>
          <w:trHeight w:val="280" w:hRule="atLeast"/>
        </w:trPr>
        <w:tc>
          <w:tcPr>
            <w:tcW w:w="3544" w:type="dxa"/>
            <w:tcBorders>
              <w:top w:val="nil"/>
              <w:left w:val="single" w:color="auto" w:sz="4" w:space="0"/>
              <w:bottom w:val="single" w:color="auto" w:sz="4" w:space="0"/>
              <w:right w:val="single" w:color="auto" w:sz="4" w:space="0"/>
            </w:tcBorders>
            <w:shd w:val="clear" w:color="000000" w:fill="F6F8FA"/>
            <w:vAlign w:val="center"/>
          </w:tcPr>
          <w:p w14:paraId="634A7DE5">
            <w:pPr>
              <w:widowControl/>
              <w:spacing w:before="0"/>
              <w:jc w:val="left"/>
              <w:rPr>
                <w:rFonts w:ascii="微软雅黑" w:hAnsi="微软雅黑" w:eastAsia="微软雅黑" w:cs="宋体"/>
                <w:color w:val="333333"/>
                <w:kern w:val="0"/>
                <w:sz w:val="14"/>
                <w:szCs w:val="14"/>
              </w:rPr>
            </w:pPr>
            <w:r>
              <w:rPr>
                <w:rFonts w:ascii="微软雅黑" w:hAnsi="微软雅黑" w:eastAsia="微软雅黑" w:cs="宋体"/>
                <w:color w:val="333333"/>
                <w:kern w:val="0"/>
                <w:sz w:val="14"/>
                <w:szCs w:val="14"/>
              </w:rPr>
              <w:t>fk</w:t>
            </w:r>
            <w:r>
              <w:rPr>
                <w:rFonts w:hint="eastAsia" w:ascii="微软雅黑" w:hAnsi="微软雅黑" w:eastAsia="微软雅黑" w:cs="宋体"/>
                <w:color w:val="333333"/>
                <w:kern w:val="0"/>
                <w:sz w:val="14"/>
                <w:szCs w:val="14"/>
              </w:rPr>
              <w:t>_EarlyWarningScheme</w:t>
            </w:r>
          </w:p>
        </w:tc>
        <w:tc>
          <w:tcPr>
            <w:tcW w:w="3686" w:type="dxa"/>
            <w:tcBorders>
              <w:top w:val="nil"/>
              <w:left w:val="nil"/>
              <w:bottom w:val="single" w:color="auto" w:sz="4" w:space="0"/>
              <w:right w:val="single" w:color="auto" w:sz="4" w:space="0"/>
            </w:tcBorders>
            <w:shd w:val="clear" w:color="000000" w:fill="F6F8FA"/>
            <w:vAlign w:val="center"/>
          </w:tcPr>
          <w:p w14:paraId="6A185978">
            <w:pPr>
              <w:widowControl/>
              <w:spacing w:before="0"/>
              <w:jc w:val="left"/>
              <w:rPr>
                <w:rFonts w:ascii="微软雅黑" w:hAnsi="微软雅黑" w:eastAsia="微软雅黑" w:cs="宋体"/>
                <w:color w:val="333333"/>
                <w:kern w:val="0"/>
                <w:sz w:val="14"/>
                <w:szCs w:val="14"/>
              </w:rPr>
            </w:pPr>
            <w:r>
              <w:rPr>
                <w:rFonts w:hint="eastAsia" w:ascii="微软雅黑" w:hAnsi="微软雅黑" w:eastAsia="微软雅黑" w:cs="宋体"/>
                <w:color w:val="333333"/>
                <w:kern w:val="0"/>
                <w:sz w:val="14"/>
                <w:szCs w:val="14"/>
              </w:rPr>
              <w:t>外键约束_预警方案</w:t>
            </w:r>
          </w:p>
        </w:tc>
      </w:tr>
    </w:tbl>
    <w:p w14:paraId="1DCB9204">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14" w:name="_Toc11039"/>
      <w:bookmarkStart w:id="315" w:name="_Toc19221"/>
      <w:r>
        <w:rPr>
          <w:rFonts w:hint="eastAsia" w:ascii="宋体" w:hAnsi="宋体" w:eastAsia="宋体" w:cs="宋体"/>
          <w:b/>
          <w:bCs/>
          <w:kern w:val="2"/>
          <w:sz w:val="24"/>
          <w:szCs w:val="24"/>
          <w:lang w:val="en-US" w:eastAsia="zh-CN" w:bidi="ar-SA"/>
        </w:rPr>
        <w:t>数据存储空间预估</w:t>
      </w:r>
      <w:bookmarkEnd w:id="314"/>
      <w:bookmarkEnd w:id="315"/>
    </w:p>
    <w:p w14:paraId="58AA63DD">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Mysql：系统基础数据、配置数据、业务数据</w:t>
      </w:r>
      <w:r>
        <w:rPr>
          <w:rFonts w:hint="eastAsia" w:ascii="宋体" w:hAnsi="宋体" w:eastAsia="宋体" w:cs="宋体"/>
          <w:i w:val="0"/>
          <w:color w:val="222222"/>
          <w:kern w:val="2"/>
          <w:sz w:val="24"/>
          <w:szCs w:val="24"/>
          <w:shd w:val="clear" w:color="auto" w:fill="FFFFFF"/>
          <w:lang w:val="en-US" w:eastAsia="zh-CN" w:bidi="ar-SA"/>
        </w:rPr>
        <w:t>，预估第一年数据量约100GB，按照每年20%的数据增长速度，三年所需存储空间=100+120+144=364GB,数据库存储空间按照1.5倍冗余进行设计，最终所需存储546GB。</w:t>
      </w:r>
    </w:p>
    <w:p w14:paraId="574320DB">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MongoDB:图片等小尺寸文件，非结构化数据</w:t>
      </w:r>
      <w:r>
        <w:rPr>
          <w:rFonts w:hint="eastAsia" w:ascii="宋体" w:hAnsi="宋体" w:eastAsia="宋体" w:cs="宋体"/>
          <w:i w:val="0"/>
          <w:color w:val="222222"/>
          <w:kern w:val="2"/>
          <w:sz w:val="24"/>
          <w:szCs w:val="24"/>
          <w:shd w:val="clear" w:color="auto" w:fill="FFFFFF"/>
          <w:lang w:val="en-US" w:eastAsia="zh-CN" w:bidi="ar-SA"/>
        </w:rPr>
        <w:t>，预估三年存储量约300GB。</w:t>
      </w:r>
    </w:p>
    <w:p w14:paraId="30FCB0EF">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16" w:name="_Toc15272"/>
      <w:bookmarkStart w:id="317" w:name="_Toc21449"/>
      <w:r>
        <w:rPr>
          <w:rFonts w:hint="eastAsia" w:ascii="宋体" w:hAnsi="宋体" w:eastAsia="宋体" w:cs="宋体"/>
          <w:b/>
          <w:bCs/>
          <w:snapToGrid/>
          <w:kern w:val="2"/>
          <w:sz w:val="24"/>
          <w:szCs w:val="24"/>
          <w:lang w:val="en-US" w:eastAsia="zh-CN" w:bidi="ar-SA"/>
        </w:rPr>
        <w:t>性能设计</w:t>
      </w:r>
      <w:bookmarkEnd w:id="316"/>
      <w:bookmarkEnd w:id="317"/>
    </w:p>
    <w:p w14:paraId="737FEE60">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18" w:name="_Toc25592"/>
      <w:bookmarkStart w:id="319" w:name="_Toc20328"/>
      <w:r>
        <w:rPr>
          <w:rFonts w:hint="eastAsia" w:ascii="宋体" w:hAnsi="宋体" w:eastAsia="宋体" w:cs="宋体"/>
          <w:b/>
          <w:bCs/>
          <w:kern w:val="2"/>
          <w:sz w:val="24"/>
          <w:szCs w:val="24"/>
          <w:lang w:val="en-US" w:eastAsia="zh-CN" w:bidi="ar-SA"/>
        </w:rPr>
        <w:t>系统容量</w:t>
      </w:r>
      <w:bookmarkEnd w:id="318"/>
      <w:bookmarkEnd w:id="319"/>
    </w:p>
    <w:tbl>
      <w:tblPr>
        <w:tblStyle w:val="16"/>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8"/>
        <w:gridCol w:w="5578"/>
      </w:tblGrid>
      <w:tr w14:paraId="2445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738" w:type="dxa"/>
            <w:tcBorders>
              <w:top w:val="single" w:color="auto" w:sz="4" w:space="0"/>
              <w:left w:val="single" w:color="auto" w:sz="4" w:space="0"/>
              <w:bottom w:val="single" w:color="auto" w:sz="4" w:space="0"/>
              <w:right w:val="single" w:color="auto" w:sz="4" w:space="0"/>
            </w:tcBorders>
            <w:shd w:val="clear" w:color="auto" w:fill="BFBFBF"/>
          </w:tcPr>
          <w:p w14:paraId="489CCD61">
            <w:pPr>
              <w:spacing w:before="0" w:line="360" w:lineRule="auto"/>
              <w:rPr>
                <w:rFonts w:ascii="仿宋" w:hAnsi="仿宋" w:eastAsia="仿宋" w:cs="Times New Roman"/>
                <w:sz w:val="24"/>
              </w:rPr>
            </w:pPr>
            <w:r>
              <w:rPr>
                <w:rFonts w:hint="eastAsia" w:ascii="仿宋" w:hAnsi="仿宋" w:eastAsia="仿宋" w:cs="Times New Roman"/>
                <w:sz w:val="24"/>
              </w:rPr>
              <w:t>系统注册用户数</w:t>
            </w:r>
          </w:p>
        </w:tc>
        <w:tc>
          <w:tcPr>
            <w:tcW w:w="5578" w:type="dxa"/>
            <w:tcBorders>
              <w:top w:val="single" w:color="auto" w:sz="4" w:space="0"/>
              <w:left w:val="single" w:color="auto" w:sz="4" w:space="0"/>
              <w:bottom w:val="single" w:color="auto" w:sz="4" w:space="0"/>
              <w:right w:val="single" w:color="auto" w:sz="4" w:space="0"/>
            </w:tcBorders>
          </w:tcPr>
          <w:p w14:paraId="6DB1B0A8">
            <w:pPr>
              <w:spacing w:before="0" w:line="360" w:lineRule="auto"/>
              <w:rPr>
                <w:rFonts w:ascii="仿宋" w:hAnsi="仿宋" w:eastAsia="仿宋" w:cs="Times New Roman"/>
                <w:sz w:val="24"/>
              </w:rPr>
            </w:pPr>
            <w:r>
              <w:rPr>
                <w:rFonts w:hint="eastAsia" w:ascii="仿宋" w:hAnsi="仿宋" w:eastAsia="仿宋" w:cs="Times New Roman"/>
                <w:sz w:val="24"/>
              </w:rPr>
              <w:t>支持注册用户数不少于1000</w:t>
            </w:r>
          </w:p>
        </w:tc>
      </w:tr>
      <w:tr w14:paraId="59AF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738" w:type="dxa"/>
            <w:tcBorders>
              <w:top w:val="single" w:color="auto" w:sz="4" w:space="0"/>
              <w:left w:val="single" w:color="auto" w:sz="4" w:space="0"/>
              <w:bottom w:val="single" w:color="auto" w:sz="4" w:space="0"/>
              <w:right w:val="single" w:color="auto" w:sz="4" w:space="0"/>
            </w:tcBorders>
            <w:shd w:val="clear" w:color="auto" w:fill="BFBFBF"/>
          </w:tcPr>
          <w:p w14:paraId="161BB9F1">
            <w:pPr>
              <w:spacing w:before="0" w:line="360" w:lineRule="auto"/>
              <w:rPr>
                <w:rFonts w:ascii="仿宋" w:hAnsi="仿宋" w:eastAsia="仿宋" w:cs="Times New Roman"/>
                <w:sz w:val="24"/>
              </w:rPr>
            </w:pPr>
            <w:r>
              <w:rPr>
                <w:rFonts w:hint="eastAsia" w:ascii="仿宋" w:hAnsi="仿宋" w:eastAsia="仿宋" w:cs="Times New Roman"/>
                <w:sz w:val="24"/>
              </w:rPr>
              <w:t>系统在线用户数</w:t>
            </w:r>
          </w:p>
        </w:tc>
        <w:tc>
          <w:tcPr>
            <w:tcW w:w="5578" w:type="dxa"/>
            <w:tcBorders>
              <w:top w:val="single" w:color="auto" w:sz="4" w:space="0"/>
              <w:left w:val="single" w:color="auto" w:sz="4" w:space="0"/>
              <w:bottom w:val="single" w:color="auto" w:sz="4" w:space="0"/>
              <w:right w:val="single" w:color="auto" w:sz="4" w:space="0"/>
            </w:tcBorders>
          </w:tcPr>
          <w:p w14:paraId="54A0D43A">
            <w:pPr>
              <w:spacing w:before="0" w:line="360" w:lineRule="auto"/>
              <w:rPr>
                <w:rFonts w:ascii="仿宋" w:hAnsi="仿宋" w:eastAsia="仿宋" w:cs="Times New Roman"/>
                <w:sz w:val="24"/>
              </w:rPr>
            </w:pPr>
            <w:r>
              <w:rPr>
                <w:rFonts w:hint="eastAsia" w:ascii="仿宋" w:hAnsi="仿宋" w:eastAsia="仿宋" w:cs="Times New Roman"/>
                <w:sz w:val="24"/>
              </w:rPr>
              <w:t>支持在线用户数不少于200</w:t>
            </w:r>
          </w:p>
        </w:tc>
      </w:tr>
      <w:tr w14:paraId="7954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738" w:type="dxa"/>
            <w:tcBorders>
              <w:top w:val="single" w:color="auto" w:sz="4" w:space="0"/>
              <w:left w:val="single" w:color="auto" w:sz="4" w:space="0"/>
              <w:bottom w:val="single" w:color="auto" w:sz="4" w:space="0"/>
              <w:right w:val="single" w:color="auto" w:sz="4" w:space="0"/>
            </w:tcBorders>
            <w:shd w:val="clear" w:color="auto" w:fill="BFBFBF"/>
          </w:tcPr>
          <w:p w14:paraId="17E96A8A">
            <w:pPr>
              <w:spacing w:before="0" w:line="360" w:lineRule="auto"/>
              <w:rPr>
                <w:rFonts w:ascii="仿宋" w:hAnsi="仿宋" w:eastAsia="仿宋" w:cs="Times New Roman"/>
                <w:sz w:val="24"/>
              </w:rPr>
            </w:pPr>
            <w:r>
              <w:rPr>
                <w:rFonts w:hint="eastAsia" w:ascii="仿宋" w:hAnsi="仿宋" w:eastAsia="仿宋" w:cs="Times New Roman"/>
                <w:sz w:val="24"/>
              </w:rPr>
              <w:t>系统并发用户数</w:t>
            </w:r>
          </w:p>
        </w:tc>
        <w:tc>
          <w:tcPr>
            <w:tcW w:w="5578" w:type="dxa"/>
            <w:tcBorders>
              <w:top w:val="single" w:color="auto" w:sz="4" w:space="0"/>
              <w:left w:val="single" w:color="auto" w:sz="4" w:space="0"/>
              <w:bottom w:val="single" w:color="auto" w:sz="4" w:space="0"/>
              <w:right w:val="single" w:color="auto" w:sz="4" w:space="0"/>
            </w:tcBorders>
          </w:tcPr>
          <w:p w14:paraId="2FDE57D8">
            <w:pPr>
              <w:spacing w:before="0" w:line="360" w:lineRule="auto"/>
              <w:rPr>
                <w:rFonts w:ascii="仿宋" w:hAnsi="仿宋" w:eastAsia="仿宋" w:cs="Times New Roman"/>
                <w:sz w:val="24"/>
              </w:rPr>
            </w:pPr>
            <w:r>
              <w:rPr>
                <w:rFonts w:hint="eastAsia" w:ascii="仿宋" w:hAnsi="仿宋" w:eastAsia="仿宋" w:cs="Times New Roman"/>
                <w:sz w:val="24"/>
              </w:rPr>
              <w:t>支持页面访问并发不少于50</w:t>
            </w:r>
          </w:p>
        </w:tc>
      </w:tr>
      <w:tr w14:paraId="572C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738" w:type="dxa"/>
            <w:tcBorders>
              <w:top w:val="single" w:color="auto" w:sz="4" w:space="0"/>
              <w:left w:val="single" w:color="auto" w:sz="4" w:space="0"/>
              <w:bottom w:val="single" w:color="auto" w:sz="4" w:space="0"/>
              <w:right w:val="single" w:color="auto" w:sz="4" w:space="0"/>
            </w:tcBorders>
            <w:shd w:val="clear" w:color="auto" w:fill="BFBFBF"/>
          </w:tcPr>
          <w:p w14:paraId="0496391B">
            <w:pPr>
              <w:spacing w:before="0" w:line="360" w:lineRule="auto"/>
              <w:rPr>
                <w:rFonts w:ascii="仿宋" w:hAnsi="仿宋" w:eastAsia="仿宋" w:cs="Times New Roman"/>
                <w:sz w:val="24"/>
              </w:rPr>
            </w:pPr>
            <w:r>
              <w:rPr>
                <w:rFonts w:hint="eastAsia" w:ascii="仿宋" w:hAnsi="仿宋" w:eastAsia="仿宋" w:cs="Times New Roman"/>
                <w:sz w:val="24"/>
              </w:rPr>
              <w:t>计算资源可用率</w:t>
            </w:r>
          </w:p>
        </w:tc>
        <w:tc>
          <w:tcPr>
            <w:tcW w:w="5578" w:type="dxa"/>
            <w:tcBorders>
              <w:top w:val="single" w:color="auto" w:sz="4" w:space="0"/>
              <w:left w:val="single" w:color="auto" w:sz="4" w:space="0"/>
              <w:bottom w:val="single" w:color="auto" w:sz="4" w:space="0"/>
              <w:right w:val="single" w:color="auto" w:sz="4" w:space="0"/>
            </w:tcBorders>
          </w:tcPr>
          <w:p w14:paraId="28AB2583">
            <w:pPr>
              <w:spacing w:before="0" w:line="360" w:lineRule="auto"/>
              <w:rPr>
                <w:rFonts w:ascii="仿宋" w:hAnsi="仿宋" w:eastAsia="仿宋" w:cs="Times New Roman"/>
                <w:sz w:val="24"/>
              </w:rPr>
            </w:pPr>
            <w:r>
              <w:rPr>
                <w:rFonts w:hint="eastAsia" w:ascii="仿宋" w:hAnsi="仿宋" w:eastAsia="仿宋" w:cs="Times New Roman"/>
                <w:sz w:val="24"/>
              </w:rPr>
              <w:t>日常平均CPU占用率小于40%，忙时小于75%，内存占用率小于50%，最大并发时小于75%。</w:t>
            </w:r>
          </w:p>
        </w:tc>
      </w:tr>
    </w:tbl>
    <w:p w14:paraId="4E328C33">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根据对地铁运营指标系统现有规模，结合业务整合需要下线的系统用户数量，预计注册用户数约1000</w:t>
      </w:r>
      <w:r>
        <w:rPr>
          <w:rFonts w:ascii="宋体" w:hAnsi="宋体" w:eastAsia="宋体" w:cs="宋体"/>
          <w:color w:val="222222"/>
          <w:sz w:val="24"/>
          <w:shd w:val="clear" w:color="auto" w:fill="FFFFFF"/>
        </w:rPr>
        <w:t>个，</w:t>
      </w:r>
      <w:r>
        <w:rPr>
          <w:rFonts w:hint="eastAsia" w:ascii="宋体" w:hAnsi="宋体" w:eastAsia="宋体" w:cs="宋体"/>
          <w:color w:val="222222"/>
          <w:sz w:val="24"/>
          <w:shd w:val="clear" w:color="auto" w:fill="FFFFFF"/>
        </w:rPr>
        <w:t>同时</w:t>
      </w:r>
      <w:r>
        <w:rPr>
          <w:rFonts w:ascii="宋体" w:hAnsi="宋体" w:eastAsia="宋体" w:cs="宋体"/>
          <w:color w:val="222222"/>
          <w:sz w:val="24"/>
          <w:shd w:val="clear" w:color="auto" w:fill="FFFFFF"/>
        </w:rPr>
        <w:t>在线用户数可达</w:t>
      </w:r>
      <w:r>
        <w:rPr>
          <w:rFonts w:hint="eastAsia" w:ascii="宋体" w:hAnsi="宋体" w:eastAsia="宋体" w:cs="宋体"/>
          <w:color w:val="222222"/>
          <w:sz w:val="24"/>
          <w:shd w:val="clear" w:color="auto" w:fill="FFFFFF"/>
        </w:rPr>
        <w:t>200</w:t>
      </w:r>
      <w:r>
        <w:rPr>
          <w:rFonts w:ascii="宋体" w:hAnsi="宋体" w:eastAsia="宋体" w:cs="宋体"/>
          <w:color w:val="222222"/>
          <w:sz w:val="24"/>
          <w:shd w:val="clear" w:color="auto" w:fill="FFFFFF"/>
        </w:rPr>
        <w:t>个，并发数可达</w:t>
      </w:r>
      <w:r>
        <w:rPr>
          <w:rFonts w:hint="eastAsia" w:ascii="宋体" w:hAnsi="宋体" w:eastAsia="宋体" w:cs="宋体"/>
          <w:color w:val="222222"/>
          <w:sz w:val="24"/>
          <w:shd w:val="clear" w:color="auto" w:fill="FFFFFF"/>
        </w:rPr>
        <w:t>50</w:t>
      </w:r>
      <w:r>
        <w:rPr>
          <w:rFonts w:ascii="宋体" w:hAnsi="宋体" w:eastAsia="宋体" w:cs="宋体"/>
          <w:color w:val="222222"/>
          <w:sz w:val="24"/>
          <w:shd w:val="clear" w:color="auto" w:fill="FFFFFF"/>
        </w:rPr>
        <w:t>。</w:t>
      </w:r>
    </w:p>
    <w:p w14:paraId="39720DB8">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20" w:name="_Toc11423"/>
      <w:bookmarkStart w:id="321" w:name="_Toc24566"/>
      <w:r>
        <w:rPr>
          <w:rFonts w:hint="eastAsia" w:ascii="宋体" w:hAnsi="宋体" w:eastAsia="宋体" w:cs="宋体"/>
          <w:b/>
          <w:bCs/>
          <w:kern w:val="2"/>
          <w:sz w:val="24"/>
          <w:szCs w:val="24"/>
          <w:lang w:val="en-US" w:eastAsia="zh-CN" w:bidi="ar-SA"/>
        </w:rPr>
        <w:t>系统响应时间</w:t>
      </w:r>
      <w:bookmarkEnd w:id="320"/>
      <w:bookmarkEnd w:id="321"/>
    </w:p>
    <w:p w14:paraId="32F20ED8">
      <w:pPr>
        <w:spacing w:before="120"/>
        <w:jc w:val="center"/>
        <w:rPr>
          <w:rFonts w:ascii="仿宋" w:hAnsi="仿宋" w:eastAsia="仿宋" w:cs="Times New Roman"/>
          <w:sz w:val="24"/>
        </w:rPr>
      </w:pPr>
      <w:r>
        <w:rPr>
          <w:rFonts w:hint="eastAsia" w:ascii="仿宋" w:hAnsi="仿宋" w:eastAsia="仿宋" w:cs="Times New Roman"/>
          <w:sz w:val="24"/>
        </w:rPr>
        <w:t>PC端系统响应时间</w:t>
      </w:r>
    </w:p>
    <w:tbl>
      <w:tblPr>
        <w:tblStyle w:val="16"/>
        <w:tblW w:w="4397" w:type="pct"/>
        <w:tblInd w:w="5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18"/>
        <w:gridCol w:w="5969"/>
      </w:tblGrid>
      <w:tr w14:paraId="1A189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7" w:type="pct"/>
            <w:shd w:val="clear" w:color="auto" w:fill="BEBEBE"/>
            <w:vAlign w:val="center"/>
          </w:tcPr>
          <w:p w14:paraId="010BFA8E">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首页访问平均响应时间</w:t>
            </w:r>
          </w:p>
        </w:tc>
        <w:tc>
          <w:tcPr>
            <w:tcW w:w="3832" w:type="pct"/>
            <w:vAlign w:val="center"/>
          </w:tcPr>
          <w:p w14:paraId="713C3BC0">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平均响应时间不应超过3秒、最大允许时长不宜超过5秒</w:t>
            </w:r>
          </w:p>
        </w:tc>
      </w:tr>
      <w:tr w14:paraId="14184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7" w:type="pct"/>
            <w:shd w:val="clear" w:color="auto" w:fill="BEBEBE"/>
            <w:vAlign w:val="center"/>
          </w:tcPr>
          <w:p w14:paraId="00D2558A">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用户登录平均响应时间</w:t>
            </w:r>
          </w:p>
        </w:tc>
        <w:tc>
          <w:tcPr>
            <w:tcW w:w="3832" w:type="pct"/>
            <w:vAlign w:val="center"/>
          </w:tcPr>
          <w:p w14:paraId="7C2B099D">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平均响应时间不应超过3秒、最大允许时长不宜超过5秒</w:t>
            </w:r>
          </w:p>
        </w:tc>
      </w:tr>
      <w:tr w14:paraId="067EC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7" w:type="pct"/>
            <w:shd w:val="clear" w:color="auto" w:fill="BEBEBE"/>
            <w:vAlign w:val="center"/>
          </w:tcPr>
          <w:p w14:paraId="7852FF53">
            <w:pPr>
              <w:widowControl w:val="0"/>
              <w:spacing w:before="0" w:line="360" w:lineRule="auto"/>
              <w:ind w:left="6" w:right="-15"/>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执行简单查询、添加和删除业务</w:t>
            </w:r>
          </w:p>
        </w:tc>
        <w:tc>
          <w:tcPr>
            <w:tcW w:w="3832" w:type="pct"/>
            <w:vAlign w:val="center"/>
          </w:tcPr>
          <w:p w14:paraId="2AEAC93D">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平均响应时间不应超过3秒、最大允许时长不宜超过6秒</w:t>
            </w:r>
          </w:p>
        </w:tc>
      </w:tr>
      <w:tr w14:paraId="41879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7" w:type="pct"/>
            <w:shd w:val="clear" w:color="auto" w:fill="BEBEBE"/>
            <w:vAlign w:val="center"/>
          </w:tcPr>
          <w:p w14:paraId="3C1C248B">
            <w:pPr>
              <w:widowControl w:val="0"/>
              <w:spacing w:before="2"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执行复杂的综合业务</w:t>
            </w:r>
          </w:p>
        </w:tc>
        <w:tc>
          <w:tcPr>
            <w:tcW w:w="3832" w:type="pct"/>
            <w:vAlign w:val="center"/>
          </w:tcPr>
          <w:p w14:paraId="068C592B">
            <w:pPr>
              <w:widowControl w:val="0"/>
              <w:spacing w:before="2"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平均响应时间不应超过5秒、最大允许时长不宜超过8秒</w:t>
            </w:r>
          </w:p>
        </w:tc>
      </w:tr>
      <w:tr w14:paraId="34546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7" w:type="pct"/>
            <w:shd w:val="clear" w:color="auto" w:fill="BEBEBE"/>
            <w:vAlign w:val="center"/>
          </w:tcPr>
          <w:p w14:paraId="02CC296E">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基本统计报表响应时间</w:t>
            </w:r>
          </w:p>
        </w:tc>
        <w:tc>
          <w:tcPr>
            <w:tcW w:w="3832" w:type="pct"/>
            <w:vAlign w:val="center"/>
          </w:tcPr>
          <w:p w14:paraId="46AFD626">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基本统计业务的平均响应时间不应超过8秒</w:t>
            </w:r>
          </w:p>
        </w:tc>
      </w:tr>
      <w:tr w14:paraId="3D6B8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7" w:type="pct"/>
            <w:shd w:val="clear" w:color="auto" w:fill="BEBEBE"/>
            <w:vAlign w:val="center"/>
          </w:tcPr>
          <w:p w14:paraId="657557BE">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月度统计报表响应时间</w:t>
            </w:r>
          </w:p>
        </w:tc>
        <w:tc>
          <w:tcPr>
            <w:tcW w:w="3832" w:type="pct"/>
            <w:vAlign w:val="center"/>
          </w:tcPr>
          <w:p w14:paraId="064EFEF8">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月统计业务的平均响应时间不应超过15秒</w:t>
            </w:r>
          </w:p>
        </w:tc>
      </w:tr>
      <w:tr w14:paraId="4D401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67" w:type="pct"/>
            <w:shd w:val="clear" w:color="auto" w:fill="BEBEBE"/>
            <w:vAlign w:val="center"/>
          </w:tcPr>
          <w:p w14:paraId="545CE122">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年度统计报表响应时间</w:t>
            </w:r>
          </w:p>
        </w:tc>
        <w:tc>
          <w:tcPr>
            <w:tcW w:w="3832" w:type="pct"/>
            <w:vAlign w:val="center"/>
          </w:tcPr>
          <w:p w14:paraId="3CDD3ACD">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年统计业务的平均响应时间不宜超过20秒</w:t>
            </w:r>
          </w:p>
        </w:tc>
      </w:tr>
      <w:tr w14:paraId="65DFB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167" w:type="pct"/>
            <w:shd w:val="clear" w:color="auto" w:fill="BEBEBE"/>
            <w:vAlign w:val="center"/>
          </w:tcPr>
          <w:p w14:paraId="43D6B925">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复杂事务处理的页面响应</w:t>
            </w:r>
          </w:p>
        </w:tc>
        <w:tc>
          <w:tcPr>
            <w:tcW w:w="3832" w:type="pct"/>
            <w:vAlign w:val="center"/>
          </w:tcPr>
          <w:p w14:paraId="21A5DD89">
            <w:pPr>
              <w:widowControl w:val="0"/>
              <w:spacing w:before="0" w:line="360" w:lineRule="auto"/>
              <w:ind w:left="6" w:right="-15"/>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特殊业务应用场景，应考虑用户体验需求，采用后台定时自动触发，在用户空闲时间完成计算，并将计算结果自动存储；</w:t>
            </w:r>
          </w:p>
        </w:tc>
      </w:tr>
      <w:tr w14:paraId="676A3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1167" w:type="pct"/>
            <w:shd w:val="clear" w:color="auto" w:fill="BEBEBE"/>
            <w:vAlign w:val="center"/>
          </w:tcPr>
          <w:p w14:paraId="07483B90">
            <w:pPr>
              <w:widowControl w:val="0"/>
              <w:spacing w:before="0" w:line="360" w:lineRule="auto"/>
              <w:ind w:left="6"/>
              <w:jc w:val="center"/>
              <w:rPr>
                <w:rFonts w:ascii="仿宋" w:hAnsi="仿宋" w:eastAsia="仿宋" w:cs="Times New Roman"/>
                <w:kern w:val="2"/>
                <w:sz w:val="24"/>
                <w:szCs w:val="22"/>
                <w:lang w:val="zh-CN" w:eastAsia="zh-CN" w:bidi="ar-SA"/>
              </w:rPr>
            </w:pPr>
            <w:r>
              <w:rPr>
                <w:rFonts w:hint="eastAsia" w:ascii="仿宋" w:hAnsi="仿宋" w:eastAsia="仿宋" w:cs="Times New Roman"/>
                <w:kern w:val="2"/>
                <w:sz w:val="24"/>
                <w:szCs w:val="22"/>
                <w:lang w:val="en-US" w:eastAsia="zh-CN" w:bidi="ar-SA"/>
              </w:rPr>
              <w:t>表单提交的数据量</w:t>
            </w:r>
          </w:p>
        </w:tc>
        <w:tc>
          <w:tcPr>
            <w:tcW w:w="3832" w:type="pct"/>
            <w:vAlign w:val="center"/>
          </w:tcPr>
          <w:p w14:paraId="7349FCF6">
            <w:pPr>
              <w:widowControl w:val="0"/>
              <w:spacing w:before="0" w:line="360" w:lineRule="auto"/>
              <w:ind w:left="6" w:right="-15"/>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1、系统上传附件支持断点续传；</w:t>
            </w:r>
          </w:p>
          <w:p w14:paraId="41E6A950">
            <w:pPr>
              <w:widowControl w:val="0"/>
              <w:spacing w:before="0" w:line="360" w:lineRule="auto"/>
              <w:ind w:left="6" w:right="-15"/>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2、系统提交表单时，不含附件的表单数据量原则上不得超过1M；</w:t>
            </w:r>
          </w:p>
          <w:p w14:paraId="5DBAC680">
            <w:pPr>
              <w:widowControl w:val="0"/>
              <w:spacing w:before="0" w:line="360" w:lineRule="auto"/>
              <w:ind w:left="6" w:right="-15"/>
              <w:jc w:val="both"/>
              <w:rPr>
                <w:rFonts w:ascii="仿宋" w:hAnsi="仿宋" w:eastAsia="仿宋" w:cs="Times New Roman"/>
                <w:kern w:val="2"/>
                <w:sz w:val="24"/>
                <w:szCs w:val="22"/>
                <w:lang w:val="zh-CN" w:eastAsia="zh-CN" w:bidi="ar-SA"/>
              </w:rPr>
            </w:pPr>
            <w:r>
              <w:rPr>
                <w:rFonts w:hint="eastAsia" w:ascii="仿宋" w:hAnsi="仿宋" w:eastAsia="仿宋" w:cs="Times New Roman"/>
                <w:kern w:val="2"/>
                <w:sz w:val="24"/>
                <w:szCs w:val="22"/>
                <w:lang w:val="en-US" w:eastAsia="zh-CN" w:bidi="ar-SA"/>
              </w:rPr>
              <w:t>3、单次操作提交的iFrame数量不得超过5个。</w:t>
            </w:r>
          </w:p>
        </w:tc>
      </w:tr>
    </w:tbl>
    <w:p w14:paraId="2DB9B68B">
      <w:pPr>
        <w:spacing w:before="120"/>
        <w:jc w:val="center"/>
        <w:rPr>
          <w:rFonts w:ascii="仿宋" w:hAnsi="仿宋" w:eastAsia="仿宋" w:cs="Times New Roman"/>
          <w:sz w:val="24"/>
        </w:rPr>
      </w:pPr>
      <w:r>
        <w:rPr>
          <w:rFonts w:hint="eastAsia" w:ascii="仿宋" w:hAnsi="仿宋" w:eastAsia="仿宋" w:cs="Times New Roman"/>
          <w:sz w:val="24"/>
        </w:rPr>
        <w:t>移动端系统响应时间</w:t>
      </w:r>
    </w:p>
    <w:tbl>
      <w:tblPr>
        <w:tblStyle w:val="16"/>
        <w:tblW w:w="501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52"/>
        <w:gridCol w:w="6530"/>
      </w:tblGrid>
      <w:tr w14:paraId="081E0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4" w:type="pct"/>
            <w:shd w:val="clear" w:color="auto" w:fill="BEBEBE"/>
            <w:vAlign w:val="center"/>
          </w:tcPr>
          <w:p w14:paraId="51C0BF27">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首页访问平均响应时间</w:t>
            </w:r>
          </w:p>
        </w:tc>
        <w:tc>
          <w:tcPr>
            <w:tcW w:w="3675" w:type="pct"/>
            <w:vAlign w:val="center"/>
          </w:tcPr>
          <w:p w14:paraId="3F850DBD">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平均响应时间不应超过5秒、最大允许时长不宜超过15秒</w:t>
            </w:r>
          </w:p>
        </w:tc>
      </w:tr>
      <w:tr w14:paraId="35843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4" w:type="pct"/>
            <w:shd w:val="clear" w:color="auto" w:fill="BEBEBE"/>
            <w:vAlign w:val="center"/>
          </w:tcPr>
          <w:p w14:paraId="33C5C172">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用户登录平均响应时间</w:t>
            </w:r>
          </w:p>
        </w:tc>
        <w:tc>
          <w:tcPr>
            <w:tcW w:w="3675" w:type="pct"/>
            <w:vAlign w:val="center"/>
          </w:tcPr>
          <w:p w14:paraId="4B507EAC">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平均响应时间不应超过5秒、最大允许时长不宜超过10秒</w:t>
            </w:r>
          </w:p>
        </w:tc>
      </w:tr>
      <w:tr w14:paraId="5ADD8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1324" w:type="pct"/>
            <w:shd w:val="clear" w:color="auto" w:fill="BEBEBE"/>
            <w:vAlign w:val="center"/>
          </w:tcPr>
          <w:p w14:paraId="4E80EC3B">
            <w:pPr>
              <w:widowControl w:val="0"/>
              <w:spacing w:before="0" w:line="360" w:lineRule="auto"/>
              <w:ind w:left="6" w:right="-15"/>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执行简单查询、添加和删除业务</w:t>
            </w:r>
          </w:p>
        </w:tc>
        <w:tc>
          <w:tcPr>
            <w:tcW w:w="3675" w:type="pct"/>
            <w:vAlign w:val="center"/>
          </w:tcPr>
          <w:p w14:paraId="0DB4A6A7">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平均响应时间不应超过3秒、最大允许时长不宜超过6秒</w:t>
            </w:r>
          </w:p>
        </w:tc>
      </w:tr>
      <w:tr w14:paraId="1A5B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4" w:type="pct"/>
            <w:shd w:val="clear" w:color="auto" w:fill="BEBEBE"/>
            <w:vAlign w:val="center"/>
          </w:tcPr>
          <w:p w14:paraId="6FED8C60">
            <w:pPr>
              <w:widowControl w:val="0"/>
              <w:spacing w:before="2"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执行复杂的综合业务</w:t>
            </w:r>
          </w:p>
        </w:tc>
        <w:tc>
          <w:tcPr>
            <w:tcW w:w="3675" w:type="pct"/>
            <w:vAlign w:val="center"/>
          </w:tcPr>
          <w:p w14:paraId="1503444F">
            <w:pPr>
              <w:widowControl w:val="0"/>
              <w:spacing w:before="2"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平均响应时间不应超过5秒、最大允许时长不宜超过8秒</w:t>
            </w:r>
          </w:p>
        </w:tc>
      </w:tr>
      <w:tr w14:paraId="4E836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4" w:type="pct"/>
            <w:shd w:val="clear" w:color="auto" w:fill="BEBEBE"/>
            <w:vAlign w:val="center"/>
          </w:tcPr>
          <w:p w14:paraId="44659822">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基本统计报表响应时间</w:t>
            </w:r>
          </w:p>
        </w:tc>
        <w:tc>
          <w:tcPr>
            <w:tcW w:w="3675" w:type="pct"/>
            <w:vAlign w:val="center"/>
          </w:tcPr>
          <w:p w14:paraId="13D8F229">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基本统计业务的平均响应时间不应超过8秒</w:t>
            </w:r>
          </w:p>
        </w:tc>
      </w:tr>
      <w:tr w14:paraId="081AC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4" w:type="pct"/>
            <w:shd w:val="clear" w:color="auto" w:fill="BEBEBE"/>
            <w:vAlign w:val="center"/>
          </w:tcPr>
          <w:p w14:paraId="72027E56">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月度统计报表响应时间</w:t>
            </w:r>
          </w:p>
        </w:tc>
        <w:tc>
          <w:tcPr>
            <w:tcW w:w="3675" w:type="pct"/>
            <w:vAlign w:val="center"/>
          </w:tcPr>
          <w:p w14:paraId="482C0BDA">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月统计业务的平均响应时间不应超过15秒</w:t>
            </w:r>
          </w:p>
        </w:tc>
      </w:tr>
      <w:tr w14:paraId="6ECD8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4" w:type="pct"/>
            <w:shd w:val="clear" w:color="auto" w:fill="BEBEBE"/>
            <w:vAlign w:val="center"/>
          </w:tcPr>
          <w:p w14:paraId="36F6728E">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年度统计报表响应时间</w:t>
            </w:r>
          </w:p>
        </w:tc>
        <w:tc>
          <w:tcPr>
            <w:tcW w:w="3675" w:type="pct"/>
            <w:vAlign w:val="center"/>
          </w:tcPr>
          <w:p w14:paraId="10865994">
            <w:pPr>
              <w:widowControl w:val="0"/>
              <w:spacing w:before="0" w:line="360" w:lineRule="auto"/>
              <w:ind w:left="6"/>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年统计业务的平均响应时间不宜超过20秒</w:t>
            </w:r>
          </w:p>
        </w:tc>
      </w:tr>
      <w:tr w14:paraId="5D54E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324" w:type="pct"/>
            <w:shd w:val="clear" w:color="auto" w:fill="BEBEBE"/>
            <w:vAlign w:val="center"/>
          </w:tcPr>
          <w:p w14:paraId="4C55E9DA">
            <w:pPr>
              <w:widowControl w:val="0"/>
              <w:spacing w:before="0" w:line="360" w:lineRule="auto"/>
              <w:ind w:left="6"/>
              <w:jc w:val="center"/>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复杂事务处理的页面响应</w:t>
            </w:r>
          </w:p>
        </w:tc>
        <w:tc>
          <w:tcPr>
            <w:tcW w:w="3675" w:type="pct"/>
            <w:vAlign w:val="center"/>
          </w:tcPr>
          <w:p w14:paraId="2A9197C9">
            <w:pPr>
              <w:widowControl w:val="0"/>
              <w:spacing w:before="0" w:line="360" w:lineRule="auto"/>
              <w:ind w:left="6" w:right="-15"/>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特殊业务应用场景，应考虑用户体验需求，采用后台定时自动触发，在用户空闲时间完成计算，并将计算结果自动存储；</w:t>
            </w:r>
          </w:p>
        </w:tc>
      </w:tr>
      <w:tr w14:paraId="0E49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1324" w:type="pct"/>
            <w:shd w:val="clear" w:color="auto" w:fill="BEBEBE"/>
            <w:vAlign w:val="center"/>
          </w:tcPr>
          <w:p w14:paraId="23DFC313">
            <w:pPr>
              <w:widowControl w:val="0"/>
              <w:spacing w:before="0" w:line="360" w:lineRule="auto"/>
              <w:ind w:left="6"/>
              <w:jc w:val="center"/>
              <w:rPr>
                <w:rFonts w:ascii="仿宋" w:hAnsi="仿宋" w:eastAsia="仿宋" w:cs="Times New Roman"/>
                <w:kern w:val="2"/>
                <w:sz w:val="24"/>
                <w:szCs w:val="22"/>
                <w:lang w:val="zh-CN" w:eastAsia="zh-CN" w:bidi="ar-SA"/>
              </w:rPr>
            </w:pPr>
            <w:r>
              <w:rPr>
                <w:rFonts w:hint="eastAsia" w:ascii="仿宋" w:hAnsi="仿宋" w:eastAsia="仿宋" w:cs="Times New Roman"/>
                <w:kern w:val="2"/>
                <w:sz w:val="24"/>
                <w:szCs w:val="22"/>
                <w:lang w:val="en-US" w:eastAsia="zh-CN" w:bidi="ar-SA"/>
              </w:rPr>
              <w:t>表单提交的数据量</w:t>
            </w:r>
          </w:p>
        </w:tc>
        <w:tc>
          <w:tcPr>
            <w:tcW w:w="3675" w:type="pct"/>
            <w:vAlign w:val="center"/>
          </w:tcPr>
          <w:p w14:paraId="28D6D879">
            <w:pPr>
              <w:widowControl w:val="0"/>
              <w:spacing w:before="0" w:line="360" w:lineRule="auto"/>
              <w:ind w:left="6" w:right="-15"/>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1、系统上传附件支持断点续传；</w:t>
            </w:r>
          </w:p>
          <w:p w14:paraId="7060481C">
            <w:pPr>
              <w:widowControl w:val="0"/>
              <w:spacing w:before="0" w:line="360" w:lineRule="auto"/>
              <w:ind w:left="6" w:right="-15"/>
              <w:jc w:val="both"/>
              <w:rPr>
                <w:rFonts w:ascii="仿宋" w:hAnsi="仿宋" w:eastAsia="仿宋" w:cs="Times New Roman"/>
                <w:kern w:val="2"/>
                <w:sz w:val="24"/>
                <w:szCs w:val="22"/>
                <w:lang w:val="en-US" w:eastAsia="zh-CN" w:bidi="ar-SA"/>
              </w:rPr>
            </w:pPr>
            <w:r>
              <w:rPr>
                <w:rFonts w:hint="eastAsia" w:ascii="仿宋" w:hAnsi="仿宋" w:eastAsia="仿宋" w:cs="Times New Roman"/>
                <w:kern w:val="2"/>
                <w:sz w:val="24"/>
                <w:szCs w:val="22"/>
                <w:lang w:val="en-US" w:eastAsia="zh-CN" w:bidi="ar-SA"/>
              </w:rPr>
              <w:t>2、系统提交表单时，不含附件的表单数据量原则上不得超过1M；</w:t>
            </w:r>
          </w:p>
          <w:p w14:paraId="5F720998">
            <w:pPr>
              <w:widowControl w:val="0"/>
              <w:spacing w:before="0" w:line="360" w:lineRule="auto"/>
              <w:ind w:left="6" w:right="-15"/>
              <w:jc w:val="both"/>
              <w:rPr>
                <w:rFonts w:ascii="仿宋" w:hAnsi="仿宋" w:eastAsia="仿宋" w:cs="Times New Roman"/>
                <w:kern w:val="2"/>
                <w:sz w:val="24"/>
                <w:szCs w:val="22"/>
                <w:lang w:val="zh-CN" w:eastAsia="zh-CN" w:bidi="ar-SA"/>
              </w:rPr>
            </w:pPr>
            <w:r>
              <w:rPr>
                <w:rFonts w:hint="eastAsia" w:ascii="仿宋" w:hAnsi="仿宋" w:eastAsia="仿宋" w:cs="Times New Roman"/>
                <w:kern w:val="2"/>
                <w:sz w:val="24"/>
                <w:szCs w:val="22"/>
                <w:lang w:val="en-US" w:eastAsia="zh-CN" w:bidi="ar-SA"/>
              </w:rPr>
              <w:t>3、单次操作提交的iFrame数量不得超过5个。</w:t>
            </w:r>
          </w:p>
        </w:tc>
      </w:tr>
    </w:tbl>
    <w:p w14:paraId="6A42DEBD">
      <w:pPr>
        <w:spacing w:before="120"/>
        <w:rPr>
          <w:rFonts w:ascii="Times New Roman" w:hAnsi="Times New Roman" w:eastAsia="新宋体" w:cs="Times New Roman"/>
          <w:sz w:val="24"/>
        </w:rPr>
      </w:pPr>
    </w:p>
    <w:p w14:paraId="404E77CC">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22" w:name="_Toc16084"/>
      <w:bookmarkStart w:id="323" w:name="_Toc32521"/>
      <w:r>
        <w:rPr>
          <w:rFonts w:hint="eastAsia" w:ascii="宋体" w:hAnsi="宋体" w:eastAsia="宋体" w:cs="宋体"/>
          <w:b/>
          <w:bCs/>
          <w:snapToGrid/>
          <w:kern w:val="2"/>
          <w:sz w:val="24"/>
          <w:szCs w:val="24"/>
          <w:lang w:val="en-US" w:eastAsia="zh-CN" w:bidi="ar-SA"/>
        </w:rPr>
        <w:t>易用性设计</w:t>
      </w:r>
      <w:bookmarkEnd w:id="322"/>
      <w:bookmarkEnd w:id="323"/>
    </w:p>
    <w:p w14:paraId="310BD8D6">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24" w:name="_Toc28906"/>
      <w:bookmarkStart w:id="325" w:name="_Toc13753"/>
      <w:r>
        <w:rPr>
          <w:rFonts w:hint="eastAsia" w:ascii="宋体" w:hAnsi="宋体" w:eastAsia="宋体" w:cs="宋体"/>
          <w:b/>
          <w:bCs/>
          <w:kern w:val="2"/>
          <w:sz w:val="24"/>
          <w:szCs w:val="24"/>
          <w:lang w:val="en-US" w:eastAsia="zh-CN" w:bidi="ar-SA"/>
        </w:rPr>
        <w:t>易理解性</w:t>
      </w:r>
      <w:bookmarkEnd w:id="324"/>
      <w:bookmarkEnd w:id="325"/>
    </w:p>
    <w:p w14:paraId="6337F978">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1．系统使用业界标准的框架模式进行设计开发；</w:t>
      </w:r>
    </w:p>
    <w:p w14:paraId="31233898">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2．系统的设计开发使用面向对象的设计方法，提高系统的重用性、灵活性和扩展性；</w:t>
      </w:r>
    </w:p>
    <w:p w14:paraId="24F3CF89">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3．系统保证结构清晰，模块结构良好，业务规则与业务逻辑分离，工作流与业务逻辑分离；</w:t>
      </w:r>
    </w:p>
    <w:p w14:paraId="72855581">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4．系统保持设计风格一致，包括功能组合、界面着色、组件布局等；</w:t>
      </w:r>
    </w:p>
    <w:p w14:paraId="2DC582B8">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5．系统保持代码风格一致，且有详细的代码注释；</w:t>
      </w:r>
    </w:p>
    <w:p w14:paraId="25A69CDA">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6．系统采用模块化设计的原则，以达到模块结构良好、功能完整、接口简明清晰的目的；</w:t>
      </w:r>
    </w:p>
    <w:p w14:paraId="05511709">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7．系统在开发过程中编制准确和完整的文档，包含信息系统的需求分析、架构设计、概要设计、详细设计、维护手册等。</w:t>
      </w:r>
    </w:p>
    <w:p w14:paraId="58F51E8D">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26" w:name="_Toc3802"/>
      <w:bookmarkStart w:id="327" w:name="_Toc22782"/>
      <w:r>
        <w:rPr>
          <w:rFonts w:hint="eastAsia" w:ascii="宋体" w:hAnsi="宋体" w:eastAsia="宋体" w:cs="宋体"/>
          <w:b/>
          <w:bCs/>
          <w:kern w:val="2"/>
          <w:sz w:val="24"/>
          <w:szCs w:val="24"/>
          <w:lang w:val="en-US" w:eastAsia="zh-CN" w:bidi="ar-SA"/>
        </w:rPr>
        <w:t>易学习性</w:t>
      </w:r>
      <w:bookmarkEnd w:id="326"/>
      <w:bookmarkEnd w:id="327"/>
    </w:p>
    <w:p w14:paraId="0957D78B">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1．系统中的用户文档、帮助机制应对信息系统功能进行描述，功能描述的完整程度应达到100%；</w:t>
      </w:r>
    </w:p>
    <w:p w14:paraId="05E2C44F">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2．系统的帮助功能中应包含一键提报功能，使用户能实时将需求或系统问题提报到相应渠道。</w:t>
      </w:r>
    </w:p>
    <w:p w14:paraId="2FA513D0">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28" w:name="_Toc15471"/>
      <w:bookmarkStart w:id="329" w:name="_Toc8490"/>
      <w:r>
        <w:rPr>
          <w:rFonts w:hint="eastAsia" w:ascii="宋体" w:hAnsi="宋体" w:eastAsia="宋体" w:cs="宋体"/>
          <w:b/>
          <w:bCs/>
          <w:kern w:val="2"/>
          <w:sz w:val="24"/>
          <w:szCs w:val="24"/>
          <w:lang w:val="en-US" w:eastAsia="zh-CN" w:bidi="ar-SA"/>
        </w:rPr>
        <w:t>易操作性</w:t>
      </w:r>
      <w:bookmarkEnd w:id="328"/>
      <w:bookmarkEnd w:id="329"/>
    </w:p>
    <w:p w14:paraId="68333D1F">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1．系统提供数据校验机制（数据类型、长度、字符格式等），且应把数据校验放到客户端处实现，减小服务器的压力；</w:t>
      </w:r>
    </w:p>
    <w:p w14:paraId="034EDEC7">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2．系统的输入输出提示信息应明确（成功、失败等交互信息简洁明了）；</w:t>
      </w:r>
    </w:p>
    <w:p w14:paraId="046B3119">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3．系统提供辅助输入手段（如选择输入、默认值等），方便数据检索；</w:t>
      </w:r>
    </w:p>
    <w:p w14:paraId="7DD25908">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4．系统支持标准的鼠标、键盘和快捷键操作；</w:t>
      </w:r>
    </w:p>
    <w:p w14:paraId="355ECBB4">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5．</w:t>
      </w:r>
      <w:r>
        <w:rPr>
          <w:rFonts w:hint="eastAsia" w:ascii="宋体" w:hAnsi="宋体" w:cs="宋体"/>
          <w:color w:val="222222"/>
          <w:sz w:val="24"/>
          <w:shd w:val="clear" w:color="auto" w:fill="FFFFFF"/>
          <w:lang w:eastAsia="zh-CN"/>
        </w:rPr>
        <w:t>系统</w:t>
      </w:r>
      <w:r>
        <w:rPr>
          <w:rFonts w:hint="eastAsia" w:ascii="宋体" w:hAnsi="宋体" w:eastAsia="宋体" w:cs="宋体"/>
          <w:color w:val="222222"/>
          <w:sz w:val="24"/>
          <w:shd w:val="clear" w:color="auto" w:fill="FFFFFF"/>
        </w:rPr>
        <w:t>界面设计需遵循用户操作最简化原则；</w:t>
      </w:r>
    </w:p>
    <w:p w14:paraId="7BAD8980">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6．系统的提示信息应使用通俗易懂的业务语言，在异常提示中不应出现开发专业术语或开发语言；</w:t>
      </w:r>
    </w:p>
    <w:p w14:paraId="03A05720">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7．系统不应强制性要求用户安装插件，如果必须安装插件，系统应提供在线下载和离线安装功能；</w:t>
      </w:r>
    </w:p>
    <w:p w14:paraId="280BD683">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8．系统除强制用户完成某一操作的情况外，不应使用模态对话框中止用户操作；严禁在弹出窗口中再次弹出窗口；</w:t>
      </w:r>
    </w:p>
    <w:p w14:paraId="6A003393">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9．对于复杂的用户交互，采用界面工作流（或界面向导）实现；</w:t>
      </w:r>
    </w:p>
    <w:p w14:paraId="42A57541">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10．系统页面字体统一，使用通用字体，避免用户因操作系统字体库不全而影响使用。</w:t>
      </w:r>
    </w:p>
    <w:p w14:paraId="7D523371">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30" w:name="_Toc15104"/>
      <w:bookmarkStart w:id="331" w:name="_Toc84"/>
      <w:r>
        <w:rPr>
          <w:rFonts w:hint="eastAsia" w:ascii="宋体" w:hAnsi="宋体" w:eastAsia="宋体" w:cs="宋体"/>
          <w:b/>
          <w:bCs/>
          <w:kern w:val="2"/>
          <w:sz w:val="24"/>
          <w:szCs w:val="24"/>
          <w:lang w:val="en-US" w:eastAsia="zh-CN" w:bidi="ar-SA"/>
        </w:rPr>
        <w:t>用户界面舒适性</w:t>
      </w:r>
      <w:bookmarkEnd w:id="330"/>
      <w:bookmarkEnd w:id="331"/>
    </w:p>
    <w:p w14:paraId="7455D818">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1．系统有同类型操作使用统一标识，且将所有操作界面元素（按钮、操作图标、链接）摆放在统一位置；</w:t>
      </w:r>
    </w:p>
    <w:p w14:paraId="56053564">
      <w:pPr>
        <w:spacing w:before="120" w:line="360" w:lineRule="auto"/>
        <w:ind w:firstLine="42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2．系统界面元素能满足为用户定制要求。</w:t>
      </w:r>
    </w:p>
    <w:p w14:paraId="22E002CD">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32" w:name="_Toc26338"/>
      <w:bookmarkStart w:id="333" w:name="_Toc4302"/>
      <w:r>
        <w:rPr>
          <w:rFonts w:hint="eastAsia" w:ascii="宋体" w:hAnsi="宋体" w:eastAsia="宋体" w:cs="宋体"/>
          <w:b/>
          <w:bCs/>
          <w:snapToGrid/>
          <w:kern w:val="2"/>
          <w:sz w:val="24"/>
          <w:szCs w:val="24"/>
          <w:lang w:val="en-US" w:eastAsia="zh-CN" w:bidi="ar-SA"/>
        </w:rPr>
        <w:t>可靠性设计</w:t>
      </w:r>
      <w:bookmarkEnd w:id="332"/>
      <w:bookmarkEnd w:id="333"/>
    </w:p>
    <w:p w14:paraId="3756D041">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34" w:name="_Toc13146"/>
      <w:bookmarkStart w:id="335" w:name="_Toc30292"/>
      <w:bookmarkStart w:id="336" w:name="_Toc21513"/>
      <w:r>
        <w:rPr>
          <w:rFonts w:hint="eastAsia" w:ascii="宋体" w:hAnsi="宋体" w:eastAsia="宋体" w:cs="宋体"/>
          <w:b/>
          <w:bCs/>
          <w:kern w:val="2"/>
          <w:sz w:val="24"/>
          <w:szCs w:val="24"/>
          <w:lang w:val="en-US" w:eastAsia="zh-CN" w:bidi="ar-SA"/>
        </w:rPr>
        <w:t>容错性</w:t>
      </w:r>
      <w:bookmarkEnd w:id="334"/>
      <w:bookmarkEnd w:id="335"/>
      <w:bookmarkEnd w:id="336"/>
    </w:p>
    <w:p w14:paraId="6BE72BA9">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1．系统设计包含系统容错机制（自我保护），系统涉及访问排队机制。如：当在线用户数达到设计目标最大值时，应提示类似系统繁忙，请稍后</w:t>
      </w:r>
      <w:r>
        <w:rPr>
          <w:rFonts w:hint="eastAsia" w:ascii="宋体" w:hAnsi="宋体" w:cs="Times New Roman"/>
          <w:i w:val="0"/>
          <w:iCs/>
          <w:color w:val="auto"/>
          <w:kern w:val="0"/>
          <w:sz w:val="24"/>
          <w:szCs w:val="24"/>
          <w:lang w:val="en-US" w:eastAsia="zh-CN" w:bidi="ar-SA"/>
        </w:rPr>
        <w:t>登录</w:t>
      </w:r>
      <w:r>
        <w:rPr>
          <w:rFonts w:hint="eastAsia" w:ascii="宋体" w:hAnsi="宋体" w:eastAsia="宋体" w:cs="Times New Roman"/>
          <w:i w:val="0"/>
          <w:iCs/>
          <w:color w:val="auto"/>
          <w:kern w:val="0"/>
          <w:sz w:val="24"/>
          <w:szCs w:val="24"/>
          <w:lang w:val="en-US" w:eastAsia="zh-CN" w:bidi="ar-SA"/>
        </w:rPr>
        <w:t>等，保护系统不再继续承压；</w:t>
      </w:r>
    </w:p>
    <w:p w14:paraId="4008C6D8">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2．信息系统代码逻辑严谨，对各种系统异常进行处理，确保每一个方法和过程都有异常处理语句等；对系统事务失败、通信失败等情况能自动识别并解决，确保系统可用；</w:t>
      </w:r>
    </w:p>
    <w:p w14:paraId="491CA398">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3．信息系统出现异常时对数据进行保护，对服务端正在操作的数据应当存储服务器缓存中，对客户端正在操作的数据应当保存到客户端缓存中；</w:t>
      </w:r>
    </w:p>
    <w:p w14:paraId="6DDEC7E1">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4．高并发量情况下的可靠性承载应用的N个节点的服务集群中，单个服务节点能承担系统设计最大并发的1/（N-2）；</w:t>
      </w:r>
    </w:p>
    <w:p w14:paraId="342E39FA">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5．服务器地址与域名绑定，服务器的实地址或者集群服务器的虚地址应当与域名绑定，以便服务器变更地址后不影响用户使用；</w:t>
      </w:r>
    </w:p>
    <w:p w14:paraId="6DC0A8D0">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6．确保任何外网业务使用的隔离装置集群传输通道上无软硬件单点隐患问题；</w:t>
      </w:r>
    </w:p>
    <w:p w14:paraId="6A4C4658">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7．链路聚合，服务器多网卡做主备应当使用链路聚合的方式，保证主备网卡切换不丢包；</w:t>
      </w:r>
    </w:p>
    <w:p w14:paraId="76613E3E">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8．对于上传文件进行限制，限制文件的容量及大小范围。</w:t>
      </w:r>
    </w:p>
    <w:p w14:paraId="06337E82">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9．上传文件类型限制遵循最小化原则，通过文件检查仅允许上传必须的文件类型；</w:t>
      </w:r>
    </w:p>
    <w:p w14:paraId="4E25A0F0">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10．文件保存路径限制，过滤文件名或路径名中的特殊字符（../或..\等）避免文件保存在非预期目录中。</w:t>
      </w:r>
    </w:p>
    <w:p w14:paraId="61949EBA">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37" w:name="_Toc16034"/>
      <w:bookmarkStart w:id="338" w:name="_Toc20292"/>
      <w:r>
        <w:rPr>
          <w:rFonts w:hint="eastAsia" w:ascii="宋体" w:hAnsi="宋体" w:eastAsia="宋体" w:cs="宋体"/>
          <w:b/>
          <w:bCs/>
          <w:kern w:val="2"/>
          <w:sz w:val="24"/>
          <w:szCs w:val="24"/>
          <w:lang w:val="en-US" w:eastAsia="zh-CN" w:bidi="ar-SA"/>
        </w:rPr>
        <w:t>成熟性</w:t>
      </w:r>
      <w:bookmarkEnd w:id="337"/>
      <w:bookmarkEnd w:id="338"/>
    </w:p>
    <w:p w14:paraId="5EF09E4D">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1．在信息系统运行稳定性方面，系统承受最大并发用户数且持续运行2小时的情况下，业务失败率不超过0.1%，CPU平均占用率应低于80%，内存占用率无明显增长且1小时后内存恢复初始值；</w:t>
      </w:r>
    </w:p>
    <w:p w14:paraId="3FEAC164">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2．系统承受80%的最大并发用户数且持续运行4小时的情况下，业务失败率不超过0.1%，CPU平均占用率低于80%，内存占用率无明显增长且1小时后内存恢复初始值；</w:t>
      </w:r>
    </w:p>
    <w:p w14:paraId="1A6FCCD1">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3．当系统各项运行指标超过阈值时，有自动化平衡缓存机制或业务疏导，确保信息系统正常稳定运行。</w:t>
      </w:r>
    </w:p>
    <w:p w14:paraId="1A98CE4F">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39" w:name="_Toc12806"/>
      <w:bookmarkStart w:id="340" w:name="_Toc12916"/>
      <w:r>
        <w:rPr>
          <w:rFonts w:hint="eastAsia" w:ascii="宋体" w:hAnsi="宋体" w:eastAsia="宋体" w:cs="宋体"/>
          <w:b/>
          <w:bCs/>
          <w:kern w:val="2"/>
          <w:sz w:val="24"/>
          <w:szCs w:val="24"/>
          <w:lang w:val="en-US" w:eastAsia="zh-CN" w:bidi="ar-SA"/>
        </w:rPr>
        <w:t>易恢复性</w:t>
      </w:r>
      <w:bookmarkEnd w:id="339"/>
      <w:bookmarkEnd w:id="340"/>
    </w:p>
    <w:p w14:paraId="313A66C9">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1．信息系统在出现服务器断电时具备数据保留能力，并保证系统恢复后业务、数据的完整性；</w:t>
      </w:r>
    </w:p>
    <w:p w14:paraId="7AB9D814">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2．信息系统建设时，预估数据量并提供数据备份建议策略，包括但不限于操作系统、应用、结构化、非结构化数据等；</w:t>
      </w:r>
    </w:p>
    <w:p w14:paraId="5DDE9D42">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(1)基础数据在线永久保存；</w:t>
      </w:r>
    </w:p>
    <w:p w14:paraId="7CF6BE10">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(2)过程处理数据在线保存3年，离线永久保存；</w:t>
      </w:r>
    </w:p>
    <w:p w14:paraId="78442113">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(3)实时数据在线保存2年，离线永久保存；</w:t>
      </w:r>
    </w:p>
    <w:p w14:paraId="5A2B860C">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(4)文档数据在线保存3年，离线永久保存；</w:t>
      </w:r>
    </w:p>
    <w:p w14:paraId="56FFAFEE">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(5)统计汇总数据在线保存3年，离线永久保存；</w:t>
      </w:r>
    </w:p>
    <w:p w14:paraId="5432E03B">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(6)系统数据全备份时间周期≤7天，增量备份时间周期≤24小时。</w:t>
      </w:r>
    </w:p>
    <w:p w14:paraId="5B116784">
      <w:pPr>
        <w:widowControl w:val="0"/>
        <w:tabs>
          <w:tab w:val="left" w:pos="420"/>
        </w:tabs>
        <w:spacing w:before="120" w:line="360" w:lineRule="auto"/>
        <w:ind w:firstLine="480" w:firstLineChars="200"/>
        <w:jc w:val="both"/>
        <w:rPr>
          <w:rFonts w:ascii="宋体" w:hAnsi="宋体" w:eastAsia="宋体" w:cs="Times New Roman"/>
          <w:i w:val="0"/>
          <w:iCs/>
          <w:color w:val="auto"/>
          <w:kern w:val="0"/>
          <w:sz w:val="24"/>
          <w:szCs w:val="24"/>
          <w:lang w:val="en-US" w:eastAsia="zh-CN" w:bidi="ar-SA"/>
        </w:rPr>
      </w:pPr>
      <w:r>
        <w:rPr>
          <w:rFonts w:hint="eastAsia" w:ascii="宋体" w:hAnsi="宋体" w:eastAsia="宋体" w:cs="Times New Roman"/>
          <w:i w:val="0"/>
          <w:iCs/>
          <w:color w:val="auto"/>
          <w:kern w:val="0"/>
          <w:sz w:val="24"/>
          <w:szCs w:val="24"/>
          <w:lang w:val="en-US" w:eastAsia="zh-CN" w:bidi="ar-SA"/>
        </w:rPr>
        <w:t>3．根据实际业务需求明确历史数据归档机制，实现归档功能设计开发。</w:t>
      </w:r>
    </w:p>
    <w:p w14:paraId="15CB1BAF">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41" w:name="_Toc3126"/>
      <w:bookmarkStart w:id="342" w:name="_Toc3619"/>
      <w:r>
        <w:rPr>
          <w:rFonts w:hint="eastAsia" w:ascii="宋体" w:hAnsi="宋体" w:eastAsia="宋体" w:cs="宋体"/>
          <w:b/>
          <w:bCs/>
          <w:snapToGrid/>
          <w:kern w:val="2"/>
          <w:sz w:val="24"/>
          <w:szCs w:val="24"/>
          <w:lang w:val="en-US" w:eastAsia="zh-CN" w:bidi="ar-SA"/>
        </w:rPr>
        <w:t>安全性设计</w:t>
      </w:r>
      <w:bookmarkEnd w:id="341"/>
      <w:bookmarkEnd w:id="342"/>
    </w:p>
    <w:p w14:paraId="1C074386">
      <w:pPr>
        <w:spacing w:before="120"/>
        <w:ind w:right="480"/>
        <w:rPr>
          <w:rFonts w:ascii="宋体" w:hAnsi="宋体" w:eastAsia="宋体" w:cs="Times New Roman"/>
          <w:sz w:val="24"/>
        </w:rPr>
      </w:pPr>
      <w:r>
        <w:rPr>
          <w:rFonts w:ascii="Times New Roman" w:hAnsi="Times New Roman" w:eastAsia="新宋体" w:cs="Times New Roman"/>
          <w:sz w:val="24"/>
        </w:rPr>
        <w:tab/>
      </w:r>
      <w:r>
        <w:rPr>
          <w:rFonts w:hint="eastAsia" w:ascii="宋体" w:hAnsi="宋体" w:eastAsia="新宋体" w:cs="Times New Roman"/>
          <w:sz w:val="24"/>
        </w:rPr>
        <w:t>双重验证：用户表单提交双验证：包括服务器端验证及客户端验证，防止用户通过浏览器恶意修改（如不可写文本域、隐藏变量篡改、上传非法文件等）而跳过客户端验证操作数据库。</w:t>
      </w:r>
    </w:p>
    <w:p w14:paraId="5E61544D">
      <w:pPr>
        <w:spacing w:before="120"/>
        <w:ind w:right="480" w:firstLine="420"/>
        <w:rPr>
          <w:rFonts w:ascii="宋体" w:hAnsi="宋体" w:eastAsia="新宋体" w:cs="Times New Roman"/>
          <w:sz w:val="24"/>
        </w:rPr>
      </w:pPr>
      <w:r>
        <w:rPr>
          <w:rFonts w:hint="eastAsia" w:ascii="宋体" w:hAnsi="宋体" w:eastAsia="新宋体" w:cs="Times New Roman"/>
          <w:sz w:val="24"/>
        </w:rPr>
        <w:t>安全编码：用户表单提交所有数据，在服务器端都进行安全编码，防止用户提交非法脚本及SQL注入获取敏感数据等，确保数据安全。</w:t>
      </w:r>
    </w:p>
    <w:p w14:paraId="31B63EBD">
      <w:pPr>
        <w:spacing w:before="120"/>
        <w:ind w:right="480" w:firstLine="420"/>
        <w:rPr>
          <w:rFonts w:ascii="宋体" w:hAnsi="宋体" w:eastAsia="新宋体" w:cs="Times New Roman"/>
          <w:sz w:val="24"/>
        </w:rPr>
      </w:pPr>
      <w:r>
        <w:rPr>
          <w:rFonts w:hint="eastAsia" w:ascii="宋体" w:hAnsi="宋体" w:eastAsia="新宋体" w:cs="Times New Roman"/>
          <w:sz w:val="24"/>
        </w:rPr>
        <w:t>密码加密：登录用户密码进行SHA1散列加密，此加密方法是不可逆的。保证密文泄露后的安全问题。</w:t>
      </w:r>
    </w:p>
    <w:p w14:paraId="139AE131">
      <w:pPr>
        <w:spacing w:before="120"/>
        <w:ind w:right="480" w:firstLine="420"/>
        <w:rPr>
          <w:rFonts w:ascii="宋体" w:hAnsi="宋体" w:eastAsia="新宋体" w:cs="Times New Roman"/>
          <w:sz w:val="24"/>
        </w:rPr>
      </w:pPr>
      <w:r>
        <w:rPr>
          <w:rFonts w:hint="eastAsia" w:ascii="宋体" w:hAnsi="宋体" w:eastAsia="新宋体" w:cs="Times New Roman"/>
          <w:sz w:val="24"/>
        </w:rPr>
        <w:t>访问验证：系统对所有管理端链接都进行用户身份权限验证，防止用户直接通过URL进行未授权页面。</w:t>
      </w:r>
    </w:p>
    <w:p w14:paraId="51DE8BCC">
      <w:pPr>
        <w:spacing w:before="120"/>
        <w:rPr>
          <w:rFonts w:ascii="Times New Roman" w:hAnsi="Times New Roman" w:eastAsia="新宋体" w:cs="Times New Roman"/>
          <w:sz w:val="24"/>
        </w:rPr>
      </w:pPr>
    </w:p>
    <w:p w14:paraId="7FD70D96">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43" w:name="_Toc30859"/>
      <w:bookmarkStart w:id="344" w:name="_Toc17761"/>
      <w:r>
        <w:rPr>
          <w:rFonts w:hint="eastAsia" w:ascii="宋体" w:hAnsi="宋体" w:eastAsia="宋体" w:cs="宋体"/>
          <w:b/>
          <w:bCs/>
          <w:snapToGrid/>
          <w:kern w:val="2"/>
          <w:sz w:val="24"/>
          <w:szCs w:val="24"/>
          <w:lang w:val="en-US" w:eastAsia="zh-CN" w:bidi="ar-SA"/>
        </w:rPr>
        <w:t>部署方案设计</w:t>
      </w:r>
      <w:bookmarkEnd w:id="343"/>
      <w:bookmarkEnd w:id="344"/>
    </w:p>
    <w:p w14:paraId="7B2BF9BF">
      <w:pPr>
        <w:widowControl w:val="0"/>
        <w:numPr>
          <w:ilvl w:val="0"/>
          <w:numId w:val="0"/>
        </w:numPr>
        <w:tabs>
          <w:tab w:val="left" w:pos="0"/>
        </w:tabs>
        <w:spacing w:before="120" w:after="120"/>
        <w:ind w:left="420" w:leftChars="200"/>
        <w:jc w:val="both"/>
        <w:rPr>
          <w:rFonts w:ascii="Times New Roman" w:hAnsi="Times New Roman" w:eastAsia="新宋体" w:cs="Times New Roman"/>
          <w:kern w:val="2"/>
          <w:sz w:val="24"/>
          <w:szCs w:val="24"/>
          <w:lang w:val="en-US" w:eastAsia="zh-CN" w:bidi="ar-SA"/>
        </w:rPr>
      </w:pPr>
    </w:p>
    <w:p w14:paraId="4D3CD383">
      <w:pPr>
        <w:spacing w:before="120"/>
        <w:ind w:firstLine="480" w:firstLineChars="20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系统网络架构如下图：</w:t>
      </w:r>
    </w:p>
    <w:p w14:paraId="59434933">
      <w:pPr>
        <w:spacing w:before="120"/>
        <w:rPr>
          <w:rFonts w:ascii="宋体" w:hAnsi="宋体" w:eastAsia="宋体" w:cs="Times New Roman"/>
          <w:sz w:val="24"/>
        </w:rPr>
      </w:pPr>
      <w:r>
        <w:rPr>
          <w:rFonts w:ascii="Times New Roman" w:hAnsi="Times New Roman" w:eastAsia="新宋体" w:cs="Times New Roman"/>
          <w:sz w:val="24"/>
        </w:rPr>
        <w:drawing>
          <wp:inline distT="0" distB="0" distL="114300" distR="114300">
            <wp:extent cx="5607685" cy="2056765"/>
            <wp:effectExtent l="0" t="0" r="12065" b="63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3"/>
                    <a:srcRect t="9755"/>
                    <a:stretch>
                      <a:fillRect/>
                    </a:stretch>
                  </pic:blipFill>
                  <pic:spPr>
                    <a:xfrm>
                      <a:off x="0" y="0"/>
                      <a:ext cx="5607685" cy="2056765"/>
                    </a:xfrm>
                    <a:prstGeom prst="rect">
                      <a:avLst/>
                    </a:prstGeom>
                    <a:noFill/>
                    <a:ln>
                      <a:noFill/>
                    </a:ln>
                  </pic:spPr>
                </pic:pic>
              </a:graphicData>
            </a:graphic>
          </wp:inline>
        </w:drawing>
      </w:r>
    </w:p>
    <w:p w14:paraId="60C9DD82">
      <w:pPr>
        <w:spacing w:before="120"/>
        <w:ind w:firstLine="480" w:firstLineChars="20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系统部署架构如下图：</w:t>
      </w:r>
    </w:p>
    <w:p w14:paraId="13235B19">
      <w:pPr>
        <w:spacing w:before="120"/>
        <w:rPr>
          <w:rFonts w:ascii="Times New Roman" w:hAnsi="Times New Roman" w:eastAsia="新宋体" w:cs="Times New Roman"/>
          <w:sz w:val="24"/>
        </w:rPr>
      </w:pPr>
      <w:r>
        <w:rPr>
          <w:rFonts w:hint="eastAsia" w:ascii="Times New Roman" w:hAnsi="Times New Roman" w:eastAsia="宋体" w:cs="Times New Roman"/>
          <w:sz w:val="24"/>
        </w:rPr>
        <w:object>
          <v:shape id="_x0000_i1026" o:spt="75" type="#_x0000_t75" style="height:207.5pt;width:407.5pt;" o:ole="t" filled="f" o:preferrelative="t" stroked="f" coordsize="21600,21600">
            <v:path/>
            <v:fill on="f" focussize="0,0"/>
            <v:stroke on="f" joinstyle="miter"/>
            <v:imagedata r:id="rId15" o:title=""/>
            <o:lock v:ext="edit" aspectratio="f"/>
            <w10:wrap type="none"/>
            <w10:anchorlock/>
          </v:shape>
          <o:OLEObject Type="Embed" ProgID="Visio.Drawing.15" ShapeID="_x0000_i1026" DrawAspect="Content" ObjectID="_1468075726" r:id="rId14">
            <o:LockedField>false</o:LockedField>
          </o:OLEObject>
        </w:object>
      </w:r>
    </w:p>
    <w:p w14:paraId="35266F8E">
      <w:pPr>
        <w:widowControl w:val="0"/>
        <w:tabs>
          <w:tab w:val="left" w:pos="420"/>
        </w:tabs>
        <w:spacing w:before="120" w:line="360" w:lineRule="auto"/>
        <w:ind w:firstLine="480" w:firstLineChars="200"/>
        <w:jc w:val="both"/>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系统采用</w:t>
      </w:r>
      <w:r>
        <w:rPr>
          <w:rFonts w:ascii="宋体" w:hAnsi="宋体" w:eastAsia="宋体" w:cs="宋体"/>
          <w:i w:val="0"/>
          <w:color w:val="222222"/>
          <w:kern w:val="2"/>
          <w:sz w:val="24"/>
          <w:szCs w:val="24"/>
          <w:shd w:val="clear" w:color="auto" w:fill="FFFFFF"/>
          <w:lang w:val="en-US" w:eastAsia="zh-CN" w:bidi="ar-SA"/>
        </w:rPr>
        <w:t>Docker&amp;Jenkins自动化部署，微服务及中间件</w:t>
      </w:r>
      <w:r>
        <w:rPr>
          <w:rFonts w:hint="eastAsia" w:ascii="宋体" w:hAnsi="宋体" w:eastAsia="宋体" w:cs="宋体"/>
          <w:i w:val="0"/>
          <w:color w:val="222222"/>
          <w:kern w:val="2"/>
          <w:sz w:val="24"/>
          <w:szCs w:val="24"/>
          <w:shd w:val="clear" w:color="auto" w:fill="FFFFFF"/>
          <w:lang w:val="en-US" w:eastAsia="zh-CN" w:bidi="ar-SA"/>
        </w:rPr>
        <w:t>服务使用</w:t>
      </w:r>
      <w:r>
        <w:rPr>
          <w:rFonts w:ascii="宋体" w:hAnsi="宋体" w:eastAsia="宋体" w:cs="宋体"/>
          <w:i w:val="0"/>
          <w:color w:val="222222"/>
          <w:kern w:val="2"/>
          <w:sz w:val="24"/>
          <w:szCs w:val="24"/>
          <w:shd w:val="clear" w:color="auto" w:fill="FFFFFF"/>
          <w:lang w:val="en-US" w:eastAsia="zh-CN" w:bidi="ar-SA"/>
        </w:rPr>
        <w:t>Docker进行容器化部署，</w:t>
      </w:r>
      <w:r>
        <w:rPr>
          <w:rFonts w:hint="eastAsia" w:ascii="宋体" w:hAnsi="宋体" w:eastAsia="宋体" w:cs="宋体"/>
          <w:i w:val="0"/>
          <w:color w:val="222222"/>
          <w:kern w:val="2"/>
          <w:sz w:val="24"/>
          <w:szCs w:val="24"/>
          <w:shd w:val="clear" w:color="auto" w:fill="FFFFFF"/>
          <w:lang w:val="en-US" w:eastAsia="zh-CN" w:bidi="ar-SA"/>
        </w:rPr>
        <w:t>Docker</w:t>
      </w:r>
      <w:r>
        <w:rPr>
          <w:rFonts w:ascii="宋体" w:hAnsi="宋体" w:eastAsia="宋体" w:cs="宋体"/>
          <w:i w:val="0"/>
          <w:color w:val="222222"/>
          <w:kern w:val="2"/>
          <w:sz w:val="24"/>
          <w:szCs w:val="24"/>
          <w:shd w:val="clear" w:color="auto" w:fill="FFFFFF"/>
          <w:lang w:val="en-US" w:eastAsia="zh-CN" w:bidi="ar-SA"/>
        </w:rPr>
        <w:t>仓库中类服务镜像比较完善，减少服务器环境搭建时间，便于后期服务迁移。Jenkins支持自动化部署，并提供操作界面。</w:t>
      </w:r>
    </w:p>
    <w:p w14:paraId="624846A4">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45" w:name="_Toc1485"/>
      <w:bookmarkStart w:id="346" w:name="_Toc12695"/>
      <w:r>
        <w:rPr>
          <w:rFonts w:hint="eastAsia" w:ascii="宋体" w:hAnsi="宋体" w:eastAsia="宋体" w:cs="宋体"/>
          <w:b/>
          <w:bCs/>
          <w:snapToGrid/>
          <w:kern w:val="2"/>
          <w:sz w:val="24"/>
          <w:szCs w:val="24"/>
          <w:lang w:val="en-US" w:eastAsia="zh-CN" w:bidi="ar-SA"/>
        </w:rPr>
        <w:t>运行环境方案设计</w:t>
      </w:r>
      <w:bookmarkEnd w:id="345"/>
      <w:bookmarkEnd w:id="346"/>
    </w:p>
    <w:p w14:paraId="12D85059">
      <w:pPr>
        <w:spacing w:before="120"/>
        <w:ind w:firstLine="480" w:firstLineChars="20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系统运行所需软硬件清单如下表，其中数据库服务器需使用物理机，其他服务器可使用虚拟机：</w:t>
      </w:r>
    </w:p>
    <w:tbl>
      <w:tblPr>
        <w:tblStyle w:val="16"/>
        <w:tblW w:w="4806" w:type="pct"/>
        <w:tblInd w:w="151" w:type="dxa"/>
        <w:tblLayout w:type="autofit"/>
        <w:tblCellMar>
          <w:top w:w="0" w:type="dxa"/>
          <w:left w:w="108" w:type="dxa"/>
          <w:bottom w:w="0" w:type="dxa"/>
          <w:right w:w="108" w:type="dxa"/>
        </w:tblCellMar>
      </w:tblPr>
      <w:tblGrid>
        <w:gridCol w:w="694"/>
        <w:gridCol w:w="2440"/>
        <w:gridCol w:w="2192"/>
        <w:gridCol w:w="833"/>
        <w:gridCol w:w="1506"/>
        <w:gridCol w:w="1044"/>
      </w:tblGrid>
      <w:tr w14:paraId="3EE9A670">
        <w:tblPrEx>
          <w:tblCellMar>
            <w:top w:w="0" w:type="dxa"/>
            <w:left w:w="108" w:type="dxa"/>
            <w:bottom w:w="0" w:type="dxa"/>
            <w:right w:w="108" w:type="dxa"/>
          </w:tblCellMar>
        </w:tblPrEx>
        <w:trPr>
          <w:trHeight w:val="452" w:hRule="atLeast"/>
          <w:tblHeader/>
        </w:trPr>
        <w:tc>
          <w:tcPr>
            <w:tcW w:w="39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173C2D9">
            <w:pPr>
              <w:widowControl/>
              <w:spacing w:before="120"/>
              <w:jc w:val="center"/>
              <w:textAlignment w:val="center"/>
              <w:rPr>
                <w:rFonts w:ascii="宋体" w:hAnsi="宋体" w:eastAsia="宋体" w:cs="宋体"/>
                <w:b/>
                <w:bCs/>
                <w:color w:val="000000"/>
                <w:sz w:val="24"/>
                <w:szCs w:val="21"/>
              </w:rPr>
            </w:pPr>
            <w:r>
              <w:rPr>
                <w:rFonts w:hint="eastAsia" w:ascii="宋体" w:hAnsi="宋体" w:eastAsia="宋体" w:cs="宋体"/>
                <w:b/>
                <w:bCs/>
                <w:color w:val="000000"/>
                <w:kern w:val="0"/>
                <w:sz w:val="24"/>
                <w:szCs w:val="21"/>
                <w:lang w:bidi="ar"/>
              </w:rPr>
              <w:t>序号</w:t>
            </w:r>
          </w:p>
        </w:tc>
        <w:tc>
          <w:tcPr>
            <w:tcW w:w="140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3610907">
            <w:pPr>
              <w:widowControl/>
              <w:spacing w:before="120"/>
              <w:jc w:val="center"/>
              <w:textAlignment w:val="center"/>
              <w:rPr>
                <w:rFonts w:ascii="宋体" w:hAnsi="宋体" w:eastAsia="宋体" w:cs="宋体"/>
                <w:b/>
                <w:bCs/>
                <w:color w:val="000000"/>
                <w:sz w:val="24"/>
                <w:szCs w:val="21"/>
              </w:rPr>
            </w:pPr>
            <w:r>
              <w:rPr>
                <w:rFonts w:hint="eastAsia" w:ascii="宋体" w:hAnsi="宋体" w:eastAsia="宋体" w:cs="宋体"/>
                <w:b/>
                <w:bCs/>
                <w:color w:val="000000"/>
                <w:kern w:val="0"/>
                <w:sz w:val="24"/>
                <w:szCs w:val="21"/>
                <w:lang w:bidi="ar"/>
              </w:rPr>
              <w:t>服务器名称</w:t>
            </w:r>
          </w:p>
        </w:tc>
        <w:tc>
          <w:tcPr>
            <w:tcW w:w="125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C1FE5DE">
            <w:pPr>
              <w:widowControl/>
              <w:spacing w:before="120"/>
              <w:jc w:val="left"/>
              <w:textAlignment w:val="center"/>
              <w:rPr>
                <w:rFonts w:ascii="宋体" w:hAnsi="宋体" w:eastAsia="宋体" w:cs="宋体"/>
                <w:b/>
                <w:bCs/>
                <w:color w:val="000000"/>
                <w:sz w:val="24"/>
                <w:szCs w:val="21"/>
              </w:rPr>
            </w:pPr>
            <w:r>
              <w:rPr>
                <w:rFonts w:hint="eastAsia" w:ascii="宋体" w:hAnsi="宋体" w:eastAsia="宋体" w:cs="宋体"/>
                <w:b/>
                <w:bCs/>
                <w:color w:val="000000"/>
                <w:kern w:val="0"/>
                <w:sz w:val="24"/>
                <w:szCs w:val="21"/>
                <w:lang w:bidi="ar"/>
              </w:rPr>
              <w:t>主要配置描述</w:t>
            </w:r>
          </w:p>
        </w:tc>
        <w:tc>
          <w:tcPr>
            <w:tcW w:w="47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C82CD39">
            <w:pPr>
              <w:widowControl/>
              <w:spacing w:before="120"/>
              <w:jc w:val="center"/>
              <w:textAlignment w:val="center"/>
              <w:rPr>
                <w:rFonts w:ascii="宋体" w:hAnsi="宋体" w:eastAsia="宋体" w:cs="宋体"/>
                <w:b/>
                <w:bCs/>
                <w:color w:val="000000"/>
                <w:sz w:val="24"/>
                <w:szCs w:val="21"/>
              </w:rPr>
            </w:pPr>
            <w:r>
              <w:rPr>
                <w:rFonts w:hint="eastAsia" w:ascii="宋体" w:hAnsi="宋体" w:eastAsia="宋体" w:cs="宋体"/>
                <w:b/>
                <w:bCs/>
                <w:color w:val="000000"/>
                <w:kern w:val="0"/>
                <w:sz w:val="24"/>
                <w:szCs w:val="21"/>
                <w:lang w:bidi="ar"/>
              </w:rPr>
              <w:t>类型</w:t>
            </w:r>
          </w:p>
        </w:tc>
        <w:tc>
          <w:tcPr>
            <w:tcW w:w="864"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C470DE0">
            <w:pPr>
              <w:widowControl/>
              <w:spacing w:before="120"/>
              <w:jc w:val="center"/>
              <w:textAlignment w:val="center"/>
              <w:rPr>
                <w:rFonts w:ascii="宋体" w:hAnsi="宋体" w:eastAsia="宋体" w:cs="宋体"/>
                <w:b/>
                <w:bCs/>
                <w:color w:val="000000"/>
                <w:sz w:val="24"/>
                <w:szCs w:val="21"/>
              </w:rPr>
            </w:pPr>
            <w:r>
              <w:rPr>
                <w:rFonts w:hint="eastAsia" w:ascii="宋体" w:hAnsi="宋体" w:eastAsia="宋体" w:cs="宋体"/>
                <w:b/>
                <w:bCs/>
                <w:color w:val="000000"/>
                <w:kern w:val="0"/>
                <w:sz w:val="24"/>
                <w:szCs w:val="21"/>
                <w:lang w:bidi="ar"/>
              </w:rPr>
              <w:t>部署组件</w:t>
            </w:r>
          </w:p>
        </w:tc>
        <w:tc>
          <w:tcPr>
            <w:tcW w:w="599"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632B0F4">
            <w:pPr>
              <w:widowControl/>
              <w:spacing w:before="120"/>
              <w:jc w:val="center"/>
              <w:textAlignment w:val="center"/>
              <w:rPr>
                <w:rFonts w:ascii="宋体" w:hAnsi="宋体" w:eastAsia="宋体" w:cs="宋体"/>
                <w:b/>
                <w:bCs/>
                <w:color w:val="000000"/>
                <w:sz w:val="24"/>
                <w:szCs w:val="21"/>
              </w:rPr>
            </w:pPr>
            <w:r>
              <w:rPr>
                <w:rFonts w:hint="eastAsia" w:ascii="宋体" w:hAnsi="宋体" w:eastAsia="宋体" w:cs="宋体"/>
                <w:b/>
                <w:bCs/>
                <w:color w:val="000000"/>
                <w:kern w:val="0"/>
                <w:sz w:val="24"/>
                <w:szCs w:val="21"/>
                <w:lang w:bidi="ar"/>
              </w:rPr>
              <w:t>备注</w:t>
            </w:r>
          </w:p>
        </w:tc>
      </w:tr>
      <w:tr w14:paraId="692E8D26">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1C4CD">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E374A">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接入服务器外网-01</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83E68">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4核CPU；16G内存；200G磁盘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6F615">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8337E">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nginx</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C9D86">
            <w:pPr>
              <w:spacing w:before="120"/>
              <w:jc w:val="center"/>
              <w:rPr>
                <w:rFonts w:ascii="宋体" w:hAnsi="宋体" w:eastAsia="宋体" w:cs="宋体"/>
                <w:color w:val="000000"/>
                <w:sz w:val="24"/>
              </w:rPr>
            </w:pPr>
          </w:p>
        </w:tc>
      </w:tr>
      <w:tr w14:paraId="48CCFA5A">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A69CA">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9781E">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接入服务器外网-02</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D5BF">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4核CPU；16G内存；200G磁盘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ADC5">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30149">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nginx</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69E87">
            <w:pPr>
              <w:spacing w:before="120"/>
              <w:jc w:val="center"/>
              <w:rPr>
                <w:rFonts w:ascii="宋体" w:hAnsi="宋体" w:eastAsia="宋体" w:cs="宋体"/>
                <w:color w:val="000000"/>
                <w:sz w:val="24"/>
              </w:rPr>
            </w:pPr>
          </w:p>
        </w:tc>
      </w:tr>
      <w:tr w14:paraId="34A128A6">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DB117">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67555">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微服务应用服务器内网-01</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1574B">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8核CPU；32G内存；200G磁盘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AC315">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B40B5">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JDK</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59A6B">
            <w:pPr>
              <w:spacing w:before="120"/>
              <w:jc w:val="center"/>
              <w:rPr>
                <w:rFonts w:ascii="宋体" w:hAnsi="宋体" w:eastAsia="宋体" w:cs="宋体"/>
                <w:color w:val="000000"/>
                <w:sz w:val="24"/>
              </w:rPr>
            </w:pPr>
          </w:p>
        </w:tc>
      </w:tr>
      <w:tr w14:paraId="78B33B08">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CD265">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88B78">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微服务应用服务器内网-02</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EC504">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8核CPU；32G内存；200G磁盘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5CB75">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0D6BB">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JDK</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7B29E">
            <w:pPr>
              <w:spacing w:before="120"/>
              <w:jc w:val="center"/>
              <w:rPr>
                <w:rFonts w:ascii="宋体" w:hAnsi="宋体" w:eastAsia="宋体" w:cs="宋体"/>
                <w:color w:val="000000"/>
                <w:sz w:val="24"/>
              </w:rPr>
            </w:pPr>
          </w:p>
        </w:tc>
      </w:tr>
      <w:tr w14:paraId="5EA4510A">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64890">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34F59">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数据库服务器内网-01</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FC2B9">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16核CPU32G，500G磁盘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DA9FD">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8870">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Mysql</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FBD02">
            <w:pPr>
              <w:spacing w:before="120"/>
              <w:jc w:val="center"/>
              <w:rPr>
                <w:rFonts w:ascii="宋体" w:hAnsi="宋体" w:eastAsia="宋体" w:cs="宋体"/>
                <w:color w:val="000000"/>
                <w:sz w:val="24"/>
              </w:rPr>
            </w:pPr>
          </w:p>
        </w:tc>
      </w:tr>
      <w:tr w14:paraId="7918A565">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51C54">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A944">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数据库服务器内网-02</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A1CE6">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16核CPU32G，500G磁盘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85139">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D350F">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Mysql</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A23C">
            <w:pPr>
              <w:spacing w:before="120"/>
              <w:jc w:val="center"/>
              <w:rPr>
                <w:rFonts w:ascii="宋体" w:hAnsi="宋体" w:eastAsia="宋体" w:cs="宋体"/>
                <w:color w:val="000000"/>
                <w:sz w:val="24"/>
              </w:rPr>
            </w:pPr>
          </w:p>
        </w:tc>
      </w:tr>
      <w:tr w14:paraId="77B30E62">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E233B">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7</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F1169">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中间件服务器内网-01</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A1A77">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8核CPU32G，500G磁盘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83014">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05666">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redis、kafka</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E937">
            <w:pPr>
              <w:spacing w:before="120"/>
              <w:jc w:val="center"/>
              <w:rPr>
                <w:rFonts w:ascii="宋体" w:hAnsi="宋体" w:eastAsia="宋体" w:cs="宋体"/>
                <w:color w:val="000000"/>
                <w:sz w:val="24"/>
              </w:rPr>
            </w:pPr>
          </w:p>
        </w:tc>
      </w:tr>
      <w:tr w14:paraId="2F469F14">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39CC1">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5A737">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中间件服务器内网-02</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C17D">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8核CPU32G，500G磁盘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3DE3">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13EA0">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redis、kafka</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64063">
            <w:pPr>
              <w:spacing w:before="120"/>
              <w:jc w:val="center"/>
              <w:rPr>
                <w:rFonts w:ascii="宋体" w:hAnsi="宋体" w:eastAsia="宋体" w:cs="宋体"/>
                <w:color w:val="000000"/>
                <w:sz w:val="24"/>
              </w:rPr>
            </w:pPr>
          </w:p>
        </w:tc>
      </w:tr>
      <w:tr w14:paraId="457B9A1D">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4C3C9">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9</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16DDE">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ETL服务器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B332">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8核CPU32G，500G磁盘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890E4">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9B140">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kettle</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31E9">
            <w:pPr>
              <w:spacing w:before="120"/>
              <w:jc w:val="center"/>
              <w:rPr>
                <w:rFonts w:ascii="宋体" w:hAnsi="宋体" w:eastAsia="宋体" w:cs="宋体"/>
                <w:color w:val="000000"/>
                <w:sz w:val="24"/>
              </w:rPr>
            </w:pPr>
          </w:p>
        </w:tc>
      </w:tr>
      <w:tr w14:paraId="63A5F8AD">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EED0F">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728B4">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ETL服务器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B217">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8核CPU32G，500G磁盘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1CB61">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1AC2E">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kettle</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178F9">
            <w:pPr>
              <w:spacing w:before="120"/>
              <w:jc w:val="center"/>
              <w:rPr>
                <w:rFonts w:ascii="宋体" w:hAnsi="宋体" w:eastAsia="宋体" w:cs="宋体"/>
                <w:color w:val="000000"/>
                <w:sz w:val="24"/>
              </w:rPr>
            </w:pPr>
          </w:p>
        </w:tc>
      </w:tr>
      <w:tr w14:paraId="3CDCE8ED">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3C18">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11</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EEC3D">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报表服务器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52768">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8核CPU32G，500G磁盘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09191">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2D045">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FineReport</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BA55A">
            <w:pPr>
              <w:spacing w:before="120"/>
              <w:jc w:val="center"/>
              <w:rPr>
                <w:rFonts w:ascii="宋体" w:hAnsi="宋体" w:eastAsia="宋体" w:cs="宋体"/>
                <w:color w:val="000000"/>
                <w:sz w:val="24"/>
              </w:rPr>
            </w:pPr>
          </w:p>
        </w:tc>
      </w:tr>
      <w:tr w14:paraId="76095D21">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484A9">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12</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39CFD">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报表服务器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746C6">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8核CPU32G，500G磁盘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40AA">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BF98A">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FineReport</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01343">
            <w:pPr>
              <w:spacing w:before="120"/>
              <w:jc w:val="center"/>
              <w:rPr>
                <w:rFonts w:ascii="宋体" w:hAnsi="宋体" w:eastAsia="宋体" w:cs="宋体"/>
                <w:color w:val="000000"/>
                <w:sz w:val="24"/>
              </w:rPr>
            </w:pPr>
          </w:p>
        </w:tc>
      </w:tr>
      <w:tr w14:paraId="1983B645">
        <w:tblPrEx>
          <w:tblCellMar>
            <w:top w:w="0" w:type="dxa"/>
            <w:left w:w="108" w:type="dxa"/>
            <w:bottom w:w="0" w:type="dxa"/>
            <w:right w:w="108" w:type="dxa"/>
          </w:tblCellMar>
        </w:tblPrEx>
        <w:trPr>
          <w:trHeight w:val="62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767B7">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13</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C3C48">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MongoDB服务器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A0776">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8核CPU32G，200G磁盘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973CE">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85F3A">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数据计算与加工服务</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F9975">
            <w:pPr>
              <w:spacing w:before="120"/>
              <w:jc w:val="center"/>
              <w:rPr>
                <w:rFonts w:ascii="宋体" w:hAnsi="宋体" w:eastAsia="宋体" w:cs="宋体"/>
                <w:color w:val="000000"/>
                <w:sz w:val="24"/>
              </w:rPr>
            </w:pPr>
          </w:p>
        </w:tc>
      </w:tr>
      <w:tr w14:paraId="4ADA02C9">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545C3">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14</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AC474">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MongoDB服务器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37C36">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8核CPU32G，200G磁盘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40F16">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生产环境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7E237">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数据计算与加工服务</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9068D">
            <w:pPr>
              <w:spacing w:before="120"/>
              <w:jc w:val="center"/>
              <w:rPr>
                <w:rFonts w:ascii="宋体" w:hAnsi="宋体" w:eastAsia="宋体" w:cs="宋体"/>
                <w:color w:val="000000"/>
                <w:sz w:val="24"/>
              </w:rPr>
            </w:pPr>
          </w:p>
        </w:tc>
      </w:tr>
      <w:tr w14:paraId="330D8893">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CD0B">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15</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2A160">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接入服务器外网-测试</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8E49D">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4核CPU16G，200G磁盘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CC9E6">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测试环境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8459">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Nginx</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25237">
            <w:pPr>
              <w:spacing w:before="120"/>
              <w:jc w:val="center"/>
              <w:rPr>
                <w:rFonts w:ascii="宋体" w:hAnsi="宋体" w:eastAsia="宋体" w:cs="宋体"/>
                <w:color w:val="000000"/>
                <w:sz w:val="24"/>
              </w:rPr>
            </w:pPr>
          </w:p>
        </w:tc>
      </w:tr>
      <w:tr w14:paraId="206F2B32">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E90D1">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sz w:val="24"/>
              </w:rPr>
              <w:t>16</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C1B31">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应用服务器内网-测试</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D1921">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4核CPU16G，200G磁盘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2DC42">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测试环境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10BEB">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JDK</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5E968">
            <w:pPr>
              <w:spacing w:before="120"/>
              <w:jc w:val="center"/>
              <w:rPr>
                <w:rFonts w:ascii="宋体" w:hAnsi="宋体" w:eastAsia="宋体" w:cs="宋体"/>
                <w:color w:val="000000"/>
                <w:sz w:val="24"/>
              </w:rPr>
            </w:pPr>
          </w:p>
        </w:tc>
      </w:tr>
      <w:tr w14:paraId="738D1735">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DA859">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sz w:val="24"/>
              </w:rPr>
              <w:t>17</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A2BAF">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数据库服务器内网-测试</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4209F">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8核CPU16G，200G磁盘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30718">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测试环境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5346D">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MYSQL</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2F679">
            <w:pPr>
              <w:spacing w:before="120"/>
              <w:jc w:val="center"/>
              <w:rPr>
                <w:rFonts w:ascii="宋体" w:hAnsi="宋体" w:eastAsia="宋体" w:cs="宋体"/>
                <w:color w:val="000000"/>
                <w:sz w:val="24"/>
              </w:rPr>
            </w:pPr>
          </w:p>
        </w:tc>
      </w:tr>
      <w:tr w14:paraId="75AB8D2E">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9846F">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2899F">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中间件服务器内网-测试</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D74A8">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4核CPU32G，200G磁盘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B7856">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测试环境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663F4">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redis、kafka</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CC067">
            <w:pPr>
              <w:spacing w:before="120"/>
              <w:jc w:val="center"/>
              <w:rPr>
                <w:rFonts w:ascii="宋体" w:hAnsi="宋体" w:eastAsia="宋体" w:cs="宋体"/>
                <w:color w:val="000000"/>
                <w:sz w:val="24"/>
              </w:rPr>
            </w:pPr>
          </w:p>
        </w:tc>
      </w:tr>
      <w:tr w14:paraId="356EE128">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787C1">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19</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16CB4">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ETL服务器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42125">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4核CPU16G，200G磁盘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BF273">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测试环境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DE68E">
            <w:pPr>
              <w:widowControl/>
              <w:spacing w:before="120"/>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kettle</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A0A29">
            <w:pPr>
              <w:spacing w:before="120"/>
              <w:jc w:val="center"/>
              <w:rPr>
                <w:rFonts w:ascii="宋体" w:hAnsi="宋体" w:eastAsia="宋体" w:cs="宋体"/>
                <w:color w:val="000000"/>
                <w:sz w:val="24"/>
              </w:rPr>
            </w:pPr>
          </w:p>
        </w:tc>
      </w:tr>
      <w:tr w14:paraId="2C7DCFD4">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AEDAD">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20</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7F6B1">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报表服务器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C0497">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4核CPU16G，200G磁盘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E4DC">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测试环境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89165">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FineReport</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B62D">
            <w:pPr>
              <w:spacing w:before="120"/>
              <w:jc w:val="center"/>
              <w:rPr>
                <w:rFonts w:ascii="宋体" w:hAnsi="宋体" w:eastAsia="宋体" w:cs="宋体"/>
                <w:color w:val="000000"/>
                <w:sz w:val="24"/>
              </w:rPr>
            </w:pPr>
          </w:p>
        </w:tc>
      </w:tr>
      <w:tr w14:paraId="43A6D04B">
        <w:tblPrEx>
          <w:tblCellMar>
            <w:top w:w="0" w:type="dxa"/>
            <w:left w:w="108" w:type="dxa"/>
            <w:bottom w:w="0" w:type="dxa"/>
            <w:right w:w="108" w:type="dxa"/>
          </w:tblCellMar>
        </w:tblPrEx>
        <w:trPr>
          <w:trHeight w:val="30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58A0F">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21</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1C54B">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MongoDB服务器</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2F179">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4核CPU16G，200G磁盘</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06D20">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测试环境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B5108">
            <w:pPr>
              <w:widowControl/>
              <w:spacing w:before="120"/>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数据计算与加工服务</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24BEE">
            <w:pPr>
              <w:spacing w:before="120"/>
              <w:jc w:val="center"/>
              <w:rPr>
                <w:rFonts w:ascii="宋体" w:hAnsi="宋体" w:eastAsia="宋体" w:cs="宋体"/>
                <w:color w:val="000000"/>
                <w:sz w:val="24"/>
              </w:rPr>
            </w:pPr>
          </w:p>
        </w:tc>
      </w:tr>
    </w:tbl>
    <w:p w14:paraId="42FCED2A">
      <w:pPr>
        <w:spacing w:before="120"/>
        <w:rPr>
          <w:rFonts w:ascii="Times New Roman" w:hAnsi="Times New Roman" w:eastAsia="新宋体" w:cs="Times New Roman"/>
          <w:sz w:val="24"/>
        </w:rPr>
      </w:pPr>
    </w:p>
    <w:p w14:paraId="4FF4E8D3">
      <w:pPr>
        <w:spacing w:before="120"/>
        <w:rPr>
          <w:rFonts w:ascii="Times New Roman" w:hAnsi="Times New Roman" w:eastAsia="新宋体" w:cs="Times New Roman"/>
          <w:sz w:val="24"/>
        </w:rPr>
      </w:pPr>
    </w:p>
    <w:p w14:paraId="67D1DFA0">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47" w:name="_Toc29110"/>
      <w:bookmarkStart w:id="348" w:name="_Toc6421"/>
      <w:r>
        <w:rPr>
          <w:rFonts w:hint="eastAsia" w:ascii="宋体" w:hAnsi="宋体" w:eastAsia="宋体" w:cs="宋体"/>
          <w:b/>
          <w:bCs/>
          <w:snapToGrid/>
          <w:kern w:val="2"/>
          <w:sz w:val="24"/>
          <w:szCs w:val="24"/>
          <w:lang w:val="en-US" w:eastAsia="zh-CN" w:bidi="ar-SA"/>
        </w:rPr>
        <w:t>系统集成要求及方案设计</w:t>
      </w:r>
      <w:bookmarkEnd w:id="347"/>
      <w:bookmarkEnd w:id="348"/>
    </w:p>
    <w:p w14:paraId="32A39AD2">
      <w:pPr>
        <w:spacing w:before="120"/>
        <w:rPr>
          <w:rFonts w:ascii="Times New Roman" w:hAnsi="Times New Roman" w:eastAsia="新宋体" w:cs="Times New Roman"/>
          <w:sz w:val="24"/>
        </w:rPr>
      </w:pPr>
      <w:r>
        <w:rPr>
          <w:rFonts w:hint="eastAsia" w:ascii="Times New Roman" w:hAnsi="Times New Roman" w:eastAsia="新宋体" w:cs="Times New Roman"/>
          <w:sz w:val="24"/>
        </w:rPr>
        <w:object>
          <v:shape id="_x0000_i1027" o:spt="75" type="#_x0000_t75" style="height:200.5pt;width:414.5pt;" o:ole="t" filled="f" o:preferrelative="t" stroked="f" coordsize="21600,21600">
            <v:path/>
            <v:fill on="f" focussize="0,0"/>
            <v:stroke on="f" joinstyle="miter"/>
            <v:imagedata r:id="rId17" o:title=""/>
            <o:lock v:ext="edit" aspectratio="f"/>
            <w10:wrap type="none"/>
            <w10:anchorlock/>
          </v:shape>
          <o:OLEObject Type="Embed" ProgID="Visio.Drawing.15" ShapeID="_x0000_i1027" DrawAspect="Content" ObjectID="_1468075727" r:id="rId16">
            <o:LockedField>false</o:LockedField>
          </o:OLEObject>
        </w:object>
      </w:r>
    </w:p>
    <w:p w14:paraId="3EDE61A7">
      <w:pPr>
        <w:spacing w:before="120"/>
        <w:rPr>
          <w:rFonts w:ascii="Times New Roman" w:hAnsi="Times New Roman" w:eastAsia="新宋体" w:cs="Times New Roman"/>
          <w:sz w:val="24"/>
        </w:rPr>
      </w:pPr>
    </w:p>
    <w:p w14:paraId="5A1DBA54">
      <w:pPr>
        <w:spacing w:before="120" w:line="360" w:lineRule="auto"/>
        <w:ind w:firstLine="480" w:firstLineChars="200"/>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各系统将指标数据通过接口方式传递至运营指标系统，指标系统提供统一的数据接受接口和数据回退接口，对于数据传输的系统，指标系统提供统一的数据传入规约。</w:t>
      </w:r>
    </w:p>
    <w:p w14:paraId="02D6C612">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49" w:name="_Toc30824"/>
      <w:bookmarkStart w:id="350" w:name="_Toc3577"/>
      <w:r>
        <w:rPr>
          <w:rFonts w:hint="eastAsia" w:ascii="宋体" w:hAnsi="宋体" w:eastAsia="宋体" w:cs="宋体"/>
          <w:b/>
          <w:bCs/>
          <w:kern w:val="2"/>
          <w:sz w:val="24"/>
          <w:szCs w:val="24"/>
          <w:lang w:val="en-US" w:eastAsia="zh-CN" w:bidi="ar-SA"/>
        </w:rPr>
        <w:t>指标数据接收接口</w:t>
      </w:r>
      <w:bookmarkEnd w:id="349"/>
      <w:bookmarkEnd w:id="350"/>
    </w:p>
    <w:tbl>
      <w:tblPr>
        <w:tblStyle w:val="16"/>
        <w:tblW w:w="938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459"/>
        <w:gridCol w:w="1878"/>
        <w:gridCol w:w="1878"/>
        <w:gridCol w:w="1878"/>
        <w:gridCol w:w="1878"/>
      </w:tblGrid>
      <w:tr w14:paraId="3C53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18" w:type="dxa"/>
            <w:vAlign w:val="center"/>
          </w:tcPr>
          <w:p w14:paraId="1F7D0EFD">
            <w:pPr>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接口描述</w:t>
            </w:r>
          </w:p>
        </w:tc>
        <w:tc>
          <w:tcPr>
            <w:tcW w:w="7971" w:type="dxa"/>
            <w:gridSpan w:val="5"/>
            <w:vAlign w:val="center"/>
          </w:tcPr>
          <w:p w14:paraId="760AFF24">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指标数据接收接口</w:t>
            </w:r>
          </w:p>
        </w:tc>
      </w:tr>
      <w:tr w14:paraId="4D46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18" w:type="dxa"/>
            <w:vAlign w:val="center"/>
          </w:tcPr>
          <w:p w14:paraId="37F53808">
            <w:pPr>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调用端</w:t>
            </w:r>
          </w:p>
        </w:tc>
        <w:tc>
          <w:tcPr>
            <w:tcW w:w="7971" w:type="dxa"/>
            <w:gridSpan w:val="5"/>
            <w:vAlign w:val="center"/>
          </w:tcPr>
          <w:p w14:paraId="3B6DAEBA">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各业务系统</w:t>
            </w:r>
          </w:p>
        </w:tc>
      </w:tr>
      <w:tr w14:paraId="276D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18" w:type="dxa"/>
            <w:vAlign w:val="center"/>
          </w:tcPr>
          <w:p w14:paraId="7D4BF2D5">
            <w:pPr>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服务端</w:t>
            </w:r>
          </w:p>
        </w:tc>
        <w:tc>
          <w:tcPr>
            <w:tcW w:w="7971" w:type="dxa"/>
            <w:gridSpan w:val="5"/>
            <w:vAlign w:val="center"/>
          </w:tcPr>
          <w:p w14:paraId="56B6160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运营指标管理系统</w:t>
            </w:r>
          </w:p>
        </w:tc>
      </w:tr>
      <w:tr w14:paraId="19F3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389" w:type="dxa"/>
            <w:gridSpan w:val="6"/>
            <w:vAlign w:val="center"/>
          </w:tcPr>
          <w:p w14:paraId="56A5EC38">
            <w:pPr>
              <w:widowControl/>
              <w:spacing w:before="120"/>
              <w:rPr>
                <w:rFonts w:ascii="宋体" w:hAnsi="宋体" w:eastAsia="宋体" w:cs="Times New Roman"/>
                <w:color w:val="000000"/>
                <w:sz w:val="24"/>
                <w:szCs w:val="21"/>
              </w:rPr>
            </w:pPr>
            <w:r>
              <w:rPr>
                <w:rFonts w:hint="eastAsia" w:ascii="宋体" w:hAnsi="宋体" w:eastAsia="宋体" w:cs="Times New Roman"/>
                <w:b/>
                <w:color w:val="000000"/>
                <w:sz w:val="24"/>
                <w:szCs w:val="21"/>
              </w:rPr>
              <w:t>输入参数</w:t>
            </w:r>
          </w:p>
        </w:tc>
      </w:tr>
      <w:tr w14:paraId="5ECC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39113329">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参数名称</w:t>
            </w:r>
          </w:p>
        </w:tc>
        <w:tc>
          <w:tcPr>
            <w:tcW w:w="1878" w:type="dxa"/>
            <w:vAlign w:val="center"/>
          </w:tcPr>
          <w:p w14:paraId="3FD65DB6">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参数英文名</w:t>
            </w:r>
          </w:p>
        </w:tc>
        <w:tc>
          <w:tcPr>
            <w:tcW w:w="1878" w:type="dxa"/>
            <w:vAlign w:val="center"/>
          </w:tcPr>
          <w:p w14:paraId="703B14AA">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参数说明</w:t>
            </w:r>
          </w:p>
        </w:tc>
        <w:tc>
          <w:tcPr>
            <w:tcW w:w="1878" w:type="dxa"/>
            <w:vAlign w:val="center"/>
          </w:tcPr>
          <w:p w14:paraId="24A4ED26">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数据格式</w:t>
            </w:r>
          </w:p>
        </w:tc>
        <w:tc>
          <w:tcPr>
            <w:tcW w:w="1878" w:type="dxa"/>
            <w:vAlign w:val="center"/>
          </w:tcPr>
          <w:p w14:paraId="1D8BC84C">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是否非空</w:t>
            </w:r>
          </w:p>
        </w:tc>
      </w:tr>
      <w:tr w14:paraId="1C26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1963C744">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流水号</w:t>
            </w:r>
          </w:p>
        </w:tc>
        <w:tc>
          <w:tcPr>
            <w:tcW w:w="1878" w:type="dxa"/>
            <w:vAlign w:val="center"/>
          </w:tcPr>
          <w:p w14:paraId="304EAD46">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serialNo</w:t>
            </w:r>
          </w:p>
        </w:tc>
        <w:tc>
          <w:tcPr>
            <w:tcW w:w="1878" w:type="dxa"/>
            <w:vAlign w:val="center"/>
          </w:tcPr>
          <w:p w14:paraId="38F9F784">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接口服务流水号，作为接口调用记录的唯一标识</w:t>
            </w:r>
          </w:p>
        </w:tc>
        <w:tc>
          <w:tcPr>
            <w:tcW w:w="1878" w:type="dxa"/>
            <w:vAlign w:val="center"/>
          </w:tcPr>
          <w:p w14:paraId="361B61F4">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(32)</w:t>
            </w:r>
          </w:p>
        </w:tc>
        <w:tc>
          <w:tcPr>
            <w:tcW w:w="1878" w:type="dxa"/>
            <w:vAlign w:val="center"/>
          </w:tcPr>
          <w:p w14:paraId="1F86CF8E">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0138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7982B4A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指标类型</w:t>
            </w:r>
          </w:p>
        </w:tc>
        <w:tc>
          <w:tcPr>
            <w:tcW w:w="1878" w:type="dxa"/>
            <w:vAlign w:val="center"/>
          </w:tcPr>
          <w:p w14:paraId="5B1BACA5">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IndicatorCode</w:t>
            </w:r>
          </w:p>
        </w:tc>
        <w:tc>
          <w:tcPr>
            <w:tcW w:w="1878" w:type="dxa"/>
            <w:vAlign w:val="center"/>
          </w:tcPr>
          <w:p w14:paraId="2523AB77">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指标类型编码，双方约定识别指标类型，指标系统项目组可提供</w:t>
            </w:r>
          </w:p>
        </w:tc>
        <w:tc>
          <w:tcPr>
            <w:tcW w:w="1878" w:type="dxa"/>
            <w:vAlign w:val="center"/>
          </w:tcPr>
          <w:p w14:paraId="6FC3EEFE">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w:t>
            </w:r>
            <w:r>
              <w:rPr>
                <w:rFonts w:hint="eastAsia" w:ascii="宋体" w:hAnsi="宋体" w:eastAsia="宋体" w:cs="Times New Roman"/>
                <w:color w:val="000000"/>
                <w:sz w:val="24"/>
                <w:szCs w:val="21"/>
              </w:rPr>
              <w:t>16</w:t>
            </w:r>
            <w:r>
              <w:rPr>
                <w:rFonts w:ascii="宋体" w:hAnsi="宋体" w:eastAsia="宋体" w:cs="Times New Roman"/>
                <w:color w:val="000000"/>
                <w:sz w:val="24"/>
                <w:szCs w:val="21"/>
              </w:rPr>
              <w:t>)</w:t>
            </w:r>
          </w:p>
        </w:tc>
        <w:tc>
          <w:tcPr>
            <w:tcW w:w="1878" w:type="dxa"/>
            <w:vAlign w:val="center"/>
          </w:tcPr>
          <w:p w14:paraId="3618080E">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05C7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389" w:type="dxa"/>
            <w:gridSpan w:val="6"/>
            <w:vAlign w:val="center"/>
          </w:tcPr>
          <w:p w14:paraId="7E609CDF">
            <w:pPr>
              <w:widowControl/>
              <w:spacing w:before="120"/>
              <w:rPr>
                <w:rFonts w:ascii="宋体" w:hAnsi="宋体" w:eastAsia="宋体" w:cs="Times New Roman"/>
                <w:bCs/>
                <w:color w:val="000000"/>
                <w:sz w:val="24"/>
                <w:szCs w:val="21"/>
              </w:rPr>
            </w:pPr>
            <w:r>
              <w:rPr>
                <w:rFonts w:hint="eastAsia" w:ascii="宋体" w:hAnsi="宋体" w:eastAsia="宋体" w:cs="Times New Roman"/>
                <w:bCs/>
                <w:color w:val="000000"/>
                <w:sz w:val="24"/>
                <w:szCs w:val="21"/>
              </w:rPr>
              <w:t>List（start）</w:t>
            </w:r>
          </w:p>
        </w:tc>
      </w:tr>
      <w:tr w14:paraId="1BD0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7BB8056A">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指标值</w:t>
            </w:r>
          </w:p>
        </w:tc>
        <w:tc>
          <w:tcPr>
            <w:tcW w:w="1878" w:type="dxa"/>
            <w:vAlign w:val="center"/>
          </w:tcPr>
          <w:p w14:paraId="0135F06B">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IndValue</w:t>
            </w:r>
          </w:p>
        </w:tc>
        <w:tc>
          <w:tcPr>
            <w:tcW w:w="1878" w:type="dxa"/>
            <w:vAlign w:val="center"/>
          </w:tcPr>
          <w:p w14:paraId="072E04A5">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当期指标数值</w:t>
            </w:r>
          </w:p>
        </w:tc>
        <w:tc>
          <w:tcPr>
            <w:tcW w:w="1878" w:type="dxa"/>
            <w:vAlign w:val="center"/>
          </w:tcPr>
          <w:p w14:paraId="3F8AD94E">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Number(16,6)</w:t>
            </w:r>
          </w:p>
        </w:tc>
        <w:tc>
          <w:tcPr>
            <w:tcW w:w="1878" w:type="dxa"/>
            <w:vAlign w:val="center"/>
          </w:tcPr>
          <w:p w14:paraId="6153F54C">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4BF3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4E5353B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所属部门</w:t>
            </w:r>
          </w:p>
        </w:tc>
        <w:tc>
          <w:tcPr>
            <w:tcW w:w="1878" w:type="dxa"/>
            <w:vAlign w:val="center"/>
          </w:tcPr>
          <w:p w14:paraId="638402E1">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orgNo</w:t>
            </w:r>
          </w:p>
        </w:tc>
        <w:tc>
          <w:tcPr>
            <w:tcW w:w="1878" w:type="dxa"/>
            <w:vAlign w:val="center"/>
          </w:tcPr>
          <w:p w14:paraId="51CE3D1C">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指标归属单位部门的编码，参考人资系统的组织机构编码</w:t>
            </w:r>
          </w:p>
        </w:tc>
        <w:tc>
          <w:tcPr>
            <w:tcW w:w="1878" w:type="dxa"/>
            <w:vAlign w:val="center"/>
          </w:tcPr>
          <w:p w14:paraId="01691D8E">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varchar(32)</w:t>
            </w:r>
          </w:p>
        </w:tc>
        <w:tc>
          <w:tcPr>
            <w:tcW w:w="1878" w:type="dxa"/>
            <w:vAlign w:val="center"/>
          </w:tcPr>
          <w:p w14:paraId="6CA63AE8">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53E4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7D6162EE">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指标所属时间</w:t>
            </w:r>
          </w:p>
        </w:tc>
        <w:tc>
          <w:tcPr>
            <w:tcW w:w="1878" w:type="dxa"/>
            <w:vAlign w:val="center"/>
          </w:tcPr>
          <w:p w14:paraId="28D93CEC">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IndTime</w:t>
            </w:r>
          </w:p>
        </w:tc>
        <w:tc>
          <w:tcPr>
            <w:tcW w:w="1878" w:type="dxa"/>
            <w:vAlign w:val="center"/>
          </w:tcPr>
          <w:p w14:paraId="5AE23558">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传输的指标所属的周期或时间段</w:t>
            </w:r>
          </w:p>
        </w:tc>
        <w:tc>
          <w:tcPr>
            <w:tcW w:w="1878" w:type="dxa"/>
            <w:vAlign w:val="center"/>
          </w:tcPr>
          <w:p w14:paraId="0C5F2417">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varchar(32)</w:t>
            </w:r>
          </w:p>
        </w:tc>
        <w:tc>
          <w:tcPr>
            <w:tcW w:w="1878" w:type="dxa"/>
            <w:vAlign w:val="center"/>
          </w:tcPr>
          <w:p w14:paraId="4657FEB5">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1F2C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460A3CE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来源系统</w:t>
            </w:r>
          </w:p>
        </w:tc>
        <w:tc>
          <w:tcPr>
            <w:tcW w:w="1878" w:type="dxa"/>
            <w:vAlign w:val="center"/>
          </w:tcPr>
          <w:p w14:paraId="29CC74F9">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OrgSystem</w:t>
            </w:r>
          </w:p>
        </w:tc>
        <w:tc>
          <w:tcPr>
            <w:tcW w:w="1878" w:type="dxa"/>
            <w:vAlign w:val="center"/>
          </w:tcPr>
          <w:p w14:paraId="3198A34F">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指标来源的业务系统名称/编码</w:t>
            </w:r>
          </w:p>
        </w:tc>
        <w:tc>
          <w:tcPr>
            <w:tcW w:w="1878" w:type="dxa"/>
            <w:vAlign w:val="center"/>
          </w:tcPr>
          <w:p w14:paraId="0A0972C6">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varchar(64)</w:t>
            </w:r>
          </w:p>
        </w:tc>
        <w:tc>
          <w:tcPr>
            <w:tcW w:w="1878" w:type="dxa"/>
            <w:vAlign w:val="center"/>
          </w:tcPr>
          <w:p w14:paraId="5547304F">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56F8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389" w:type="dxa"/>
            <w:gridSpan w:val="6"/>
            <w:vAlign w:val="center"/>
          </w:tcPr>
          <w:p w14:paraId="535E20CE">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List（end）</w:t>
            </w:r>
          </w:p>
        </w:tc>
      </w:tr>
      <w:tr w14:paraId="1D65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77" w:type="dxa"/>
            <w:gridSpan w:val="2"/>
            <w:vAlign w:val="center"/>
          </w:tcPr>
          <w:p w14:paraId="5C6CBFC0">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推送时间</w:t>
            </w:r>
          </w:p>
        </w:tc>
        <w:tc>
          <w:tcPr>
            <w:tcW w:w="1878" w:type="dxa"/>
            <w:vAlign w:val="center"/>
          </w:tcPr>
          <w:p w14:paraId="55DD854E">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SendTime</w:t>
            </w:r>
          </w:p>
        </w:tc>
        <w:tc>
          <w:tcPr>
            <w:tcW w:w="1878" w:type="dxa"/>
            <w:vAlign w:val="center"/>
          </w:tcPr>
          <w:p w14:paraId="0A1E5455">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推送时间</w:t>
            </w:r>
          </w:p>
        </w:tc>
        <w:tc>
          <w:tcPr>
            <w:tcW w:w="1878" w:type="dxa"/>
            <w:vAlign w:val="center"/>
          </w:tcPr>
          <w:p w14:paraId="2ADBAB94">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varchar(32)</w:t>
            </w:r>
          </w:p>
        </w:tc>
        <w:tc>
          <w:tcPr>
            <w:tcW w:w="1878" w:type="dxa"/>
            <w:vAlign w:val="center"/>
          </w:tcPr>
          <w:p w14:paraId="46D88F98">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Y</w:t>
            </w:r>
          </w:p>
        </w:tc>
      </w:tr>
      <w:tr w14:paraId="3CC1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77" w:type="dxa"/>
            <w:gridSpan w:val="2"/>
            <w:vAlign w:val="center"/>
          </w:tcPr>
          <w:p w14:paraId="2D79CE78">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推送人</w:t>
            </w:r>
          </w:p>
        </w:tc>
        <w:tc>
          <w:tcPr>
            <w:tcW w:w="1878" w:type="dxa"/>
            <w:vAlign w:val="center"/>
          </w:tcPr>
          <w:p w14:paraId="5838074D">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SendPname</w:t>
            </w:r>
          </w:p>
        </w:tc>
        <w:tc>
          <w:tcPr>
            <w:tcW w:w="1878" w:type="dxa"/>
            <w:vAlign w:val="center"/>
          </w:tcPr>
          <w:p w14:paraId="55C24D98">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推送人</w:t>
            </w:r>
          </w:p>
        </w:tc>
        <w:tc>
          <w:tcPr>
            <w:tcW w:w="1878" w:type="dxa"/>
            <w:vAlign w:val="center"/>
          </w:tcPr>
          <w:p w14:paraId="2D73D58C">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varchar(16)</w:t>
            </w:r>
          </w:p>
        </w:tc>
        <w:tc>
          <w:tcPr>
            <w:tcW w:w="1878" w:type="dxa"/>
            <w:vAlign w:val="center"/>
          </w:tcPr>
          <w:p w14:paraId="20E45EEE">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N</w:t>
            </w:r>
          </w:p>
        </w:tc>
      </w:tr>
      <w:tr w14:paraId="69E4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77" w:type="dxa"/>
            <w:gridSpan w:val="2"/>
            <w:vAlign w:val="center"/>
          </w:tcPr>
          <w:p w14:paraId="06F2B43F">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推送人电话</w:t>
            </w:r>
          </w:p>
        </w:tc>
        <w:tc>
          <w:tcPr>
            <w:tcW w:w="1878" w:type="dxa"/>
            <w:vAlign w:val="center"/>
          </w:tcPr>
          <w:p w14:paraId="3FE605D9">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SendTel</w:t>
            </w:r>
          </w:p>
        </w:tc>
        <w:tc>
          <w:tcPr>
            <w:tcW w:w="1878" w:type="dxa"/>
            <w:vAlign w:val="center"/>
          </w:tcPr>
          <w:p w14:paraId="1143835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推送人电话</w:t>
            </w:r>
          </w:p>
        </w:tc>
        <w:tc>
          <w:tcPr>
            <w:tcW w:w="1878" w:type="dxa"/>
            <w:vAlign w:val="center"/>
          </w:tcPr>
          <w:p w14:paraId="4E360B21">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varchar(32)</w:t>
            </w:r>
          </w:p>
        </w:tc>
        <w:tc>
          <w:tcPr>
            <w:tcW w:w="1878" w:type="dxa"/>
            <w:vAlign w:val="center"/>
          </w:tcPr>
          <w:p w14:paraId="6CB49896">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N</w:t>
            </w:r>
          </w:p>
        </w:tc>
      </w:tr>
      <w:tr w14:paraId="4BC3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77" w:type="dxa"/>
            <w:gridSpan w:val="2"/>
            <w:vAlign w:val="center"/>
          </w:tcPr>
          <w:p w14:paraId="32F1CDBE">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重推标识</w:t>
            </w:r>
          </w:p>
        </w:tc>
        <w:tc>
          <w:tcPr>
            <w:tcW w:w="1878" w:type="dxa"/>
            <w:vAlign w:val="center"/>
          </w:tcPr>
          <w:p w14:paraId="3F52AA50">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IsResend</w:t>
            </w:r>
          </w:p>
        </w:tc>
        <w:tc>
          <w:tcPr>
            <w:tcW w:w="1878" w:type="dxa"/>
            <w:vAlign w:val="center"/>
          </w:tcPr>
          <w:p w14:paraId="2A9ED72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0和1，代表该指标第一次推送或被退回后重推</w:t>
            </w:r>
          </w:p>
        </w:tc>
        <w:tc>
          <w:tcPr>
            <w:tcW w:w="1878" w:type="dxa"/>
            <w:vAlign w:val="center"/>
          </w:tcPr>
          <w:p w14:paraId="6A701648">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number(1)</w:t>
            </w:r>
          </w:p>
        </w:tc>
        <w:tc>
          <w:tcPr>
            <w:tcW w:w="1878" w:type="dxa"/>
            <w:vAlign w:val="center"/>
          </w:tcPr>
          <w:p w14:paraId="7C7DE28C">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Y</w:t>
            </w:r>
          </w:p>
        </w:tc>
      </w:tr>
      <w:tr w14:paraId="78CE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389" w:type="dxa"/>
            <w:gridSpan w:val="6"/>
            <w:vAlign w:val="center"/>
          </w:tcPr>
          <w:p w14:paraId="09DCAB15">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输出参数</w:t>
            </w:r>
          </w:p>
        </w:tc>
      </w:tr>
      <w:tr w14:paraId="64A4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32D1F19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返回码</w:t>
            </w:r>
          </w:p>
        </w:tc>
        <w:tc>
          <w:tcPr>
            <w:tcW w:w="1878" w:type="dxa"/>
            <w:vAlign w:val="center"/>
          </w:tcPr>
          <w:p w14:paraId="2C8EEE1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rtnCode</w:t>
            </w:r>
          </w:p>
        </w:tc>
        <w:tc>
          <w:tcPr>
            <w:tcW w:w="1878" w:type="dxa"/>
            <w:vAlign w:val="center"/>
          </w:tcPr>
          <w:p w14:paraId="6D1BFA45">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查询结果，1-成功，0-失败</w:t>
            </w:r>
          </w:p>
        </w:tc>
        <w:tc>
          <w:tcPr>
            <w:tcW w:w="1878" w:type="dxa"/>
            <w:vAlign w:val="center"/>
          </w:tcPr>
          <w:p w14:paraId="77128569">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(32)</w:t>
            </w:r>
          </w:p>
        </w:tc>
        <w:tc>
          <w:tcPr>
            <w:tcW w:w="1878" w:type="dxa"/>
            <w:vAlign w:val="center"/>
          </w:tcPr>
          <w:p w14:paraId="5FFD5015">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Y</w:t>
            </w:r>
          </w:p>
        </w:tc>
      </w:tr>
      <w:tr w14:paraId="19C7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55DD0DA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返回消息</w:t>
            </w:r>
          </w:p>
        </w:tc>
        <w:tc>
          <w:tcPr>
            <w:tcW w:w="1878" w:type="dxa"/>
            <w:vAlign w:val="center"/>
          </w:tcPr>
          <w:p w14:paraId="7278391D">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rtnMsg</w:t>
            </w:r>
          </w:p>
        </w:tc>
        <w:tc>
          <w:tcPr>
            <w:tcW w:w="1878" w:type="dxa"/>
            <w:vAlign w:val="center"/>
          </w:tcPr>
          <w:p w14:paraId="3868978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返回消息,如果失败，则文字描述失败原因，数据校验不通过等</w:t>
            </w:r>
          </w:p>
        </w:tc>
        <w:tc>
          <w:tcPr>
            <w:tcW w:w="1878" w:type="dxa"/>
            <w:vAlign w:val="center"/>
          </w:tcPr>
          <w:p w14:paraId="37FF332D">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(256)</w:t>
            </w:r>
          </w:p>
        </w:tc>
        <w:tc>
          <w:tcPr>
            <w:tcW w:w="1878" w:type="dxa"/>
            <w:vAlign w:val="center"/>
          </w:tcPr>
          <w:p w14:paraId="5161A312">
            <w:pPr>
              <w:widowControl/>
              <w:spacing w:before="120"/>
              <w:rPr>
                <w:rFonts w:ascii="宋体" w:hAnsi="宋体" w:eastAsia="宋体" w:cs="Times New Roman"/>
                <w:color w:val="000000"/>
                <w:sz w:val="24"/>
                <w:szCs w:val="21"/>
              </w:rPr>
            </w:pPr>
            <w:r>
              <w:rPr>
                <w:rFonts w:ascii="宋体" w:hAnsi="宋体" w:eastAsia="宋体" w:cs="Times New Roman"/>
                <w:color w:val="000000"/>
                <w:sz w:val="24"/>
                <w:szCs w:val="21"/>
              </w:rPr>
              <w:t>N</w:t>
            </w:r>
          </w:p>
        </w:tc>
      </w:tr>
    </w:tbl>
    <w:p w14:paraId="12A7A2EF">
      <w:pPr>
        <w:spacing w:before="120"/>
        <w:rPr>
          <w:rFonts w:ascii="Times New Roman" w:hAnsi="Times New Roman" w:eastAsia="新宋体" w:cs="Times New Roman"/>
          <w:b/>
          <w:sz w:val="24"/>
        </w:rPr>
      </w:pPr>
    </w:p>
    <w:p w14:paraId="1C8185C2">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51" w:name="_Toc2680"/>
      <w:bookmarkStart w:id="352" w:name="_Toc7662"/>
      <w:r>
        <w:rPr>
          <w:rFonts w:hint="eastAsia" w:ascii="宋体" w:hAnsi="宋体" w:eastAsia="宋体" w:cs="宋体"/>
          <w:b/>
          <w:bCs/>
          <w:kern w:val="2"/>
          <w:sz w:val="24"/>
          <w:szCs w:val="24"/>
          <w:lang w:val="en-US" w:eastAsia="zh-CN" w:bidi="ar-SA"/>
        </w:rPr>
        <w:t>指标数据退回接口</w:t>
      </w:r>
      <w:bookmarkEnd w:id="351"/>
      <w:bookmarkEnd w:id="352"/>
    </w:p>
    <w:tbl>
      <w:tblPr>
        <w:tblStyle w:val="16"/>
        <w:tblW w:w="938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459"/>
        <w:gridCol w:w="1878"/>
        <w:gridCol w:w="1878"/>
        <w:gridCol w:w="1878"/>
        <w:gridCol w:w="1878"/>
      </w:tblGrid>
      <w:tr w14:paraId="1893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18" w:type="dxa"/>
            <w:vAlign w:val="center"/>
          </w:tcPr>
          <w:p w14:paraId="742C5295">
            <w:pPr>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接口描述</w:t>
            </w:r>
          </w:p>
        </w:tc>
        <w:tc>
          <w:tcPr>
            <w:tcW w:w="7971" w:type="dxa"/>
            <w:gridSpan w:val="5"/>
            <w:vAlign w:val="center"/>
          </w:tcPr>
          <w:p w14:paraId="1DDD537A">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指标数据退回接口</w:t>
            </w:r>
          </w:p>
        </w:tc>
      </w:tr>
      <w:tr w14:paraId="7439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18" w:type="dxa"/>
            <w:vAlign w:val="center"/>
          </w:tcPr>
          <w:p w14:paraId="358A910B">
            <w:pPr>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调用端</w:t>
            </w:r>
          </w:p>
        </w:tc>
        <w:tc>
          <w:tcPr>
            <w:tcW w:w="7971" w:type="dxa"/>
            <w:gridSpan w:val="5"/>
            <w:vAlign w:val="center"/>
          </w:tcPr>
          <w:p w14:paraId="18DA6F6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运营指标管理系统</w:t>
            </w:r>
          </w:p>
        </w:tc>
      </w:tr>
      <w:tr w14:paraId="5638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18" w:type="dxa"/>
            <w:vAlign w:val="center"/>
          </w:tcPr>
          <w:p w14:paraId="304FBB98">
            <w:pPr>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服务端</w:t>
            </w:r>
          </w:p>
        </w:tc>
        <w:tc>
          <w:tcPr>
            <w:tcW w:w="7971" w:type="dxa"/>
            <w:gridSpan w:val="5"/>
            <w:vAlign w:val="center"/>
          </w:tcPr>
          <w:p w14:paraId="35F73D9D">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各业务系统</w:t>
            </w:r>
          </w:p>
        </w:tc>
      </w:tr>
      <w:tr w14:paraId="311D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389" w:type="dxa"/>
            <w:gridSpan w:val="6"/>
            <w:vAlign w:val="center"/>
          </w:tcPr>
          <w:p w14:paraId="4A7DF614">
            <w:pPr>
              <w:widowControl/>
              <w:spacing w:before="120"/>
              <w:rPr>
                <w:rFonts w:ascii="宋体" w:hAnsi="宋体" w:eastAsia="宋体" w:cs="Times New Roman"/>
                <w:color w:val="000000"/>
                <w:sz w:val="24"/>
                <w:szCs w:val="21"/>
              </w:rPr>
            </w:pPr>
            <w:r>
              <w:rPr>
                <w:rFonts w:hint="eastAsia" w:ascii="宋体" w:hAnsi="宋体" w:eastAsia="宋体" w:cs="Times New Roman"/>
                <w:b/>
                <w:color w:val="000000"/>
                <w:sz w:val="24"/>
                <w:szCs w:val="21"/>
              </w:rPr>
              <w:t>输入参数</w:t>
            </w:r>
          </w:p>
        </w:tc>
      </w:tr>
      <w:tr w14:paraId="3AF0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10EEE130">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参数名称</w:t>
            </w:r>
          </w:p>
        </w:tc>
        <w:tc>
          <w:tcPr>
            <w:tcW w:w="1878" w:type="dxa"/>
            <w:vAlign w:val="center"/>
          </w:tcPr>
          <w:p w14:paraId="6894ECDF">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参数英文名</w:t>
            </w:r>
          </w:p>
        </w:tc>
        <w:tc>
          <w:tcPr>
            <w:tcW w:w="1878" w:type="dxa"/>
            <w:vAlign w:val="center"/>
          </w:tcPr>
          <w:p w14:paraId="08F95310">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参数说明</w:t>
            </w:r>
          </w:p>
        </w:tc>
        <w:tc>
          <w:tcPr>
            <w:tcW w:w="1878" w:type="dxa"/>
            <w:vAlign w:val="center"/>
          </w:tcPr>
          <w:p w14:paraId="64917176">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数据格式</w:t>
            </w:r>
          </w:p>
        </w:tc>
        <w:tc>
          <w:tcPr>
            <w:tcW w:w="1878" w:type="dxa"/>
            <w:vAlign w:val="center"/>
          </w:tcPr>
          <w:p w14:paraId="26C99672">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是否非空</w:t>
            </w:r>
          </w:p>
        </w:tc>
      </w:tr>
      <w:tr w14:paraId="24B8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18C79F13">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流水号</w:t>
            </w:r>
          </w:p>
        </w:tc>
        <w:tc>
          <w:tcPr>
            <w:tcW w:w="1878" w:type="dxa"/>
            <w:vAlign w:val="center"/>
          </w:tcPr>
          <w:p w14:paraId="34E8A367">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serialNo</w:t>
            </w:r>
          </w:p>
        </w:tc>
        <w:tc>
          <w:tcPr>
            <w:tcW w:w="1878" w:type="dxa"/>
            <w:vAlign w:val="center"/>
          </w:tcPr>
          <w:p w14:paraId="45174001">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接口服务流水号，标识接口退回的数据属于哪次传输</w:t>
            </w:r>
          </w:p>
        </w:tc>
        <w:tc>
          <w:tcPr>
            <w:tcW w:w="1878" w:type="dxa"/>
            <w:vAlign w:val="center"/>
          </w:tcPr>
          <w:p w14:paraId="5BAF1404">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(32)</w:t>
            </w:r>
          </w:p>
        </w:tc>
        <w:tc>
          <w:tcPr>
            <w:tcW w:w="1878" w:type="dxa"/>
            <w:vAlign w:val="center"/>
          </w:tcPr>
          <w:p w14:paraId="5DAFB920">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44C2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5E72F089">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退回原因</w:t>
            </w:r>
          </w:p>
        </w:tc>
        <w:tc>
          <w:tcPr>
            <w:tcW w:w="1878" w:type="dxa"/>
            <w:vAlign w:val="center"/>
          </w:tcPr>
          <w:p w14:paraId="191F1F9F">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TdReason</w:t>
            </w:r>
          </w:p>
        </w:tc>
        <w:tc>
          <w:tcPr>
            <w:tcW w:w="1878" w:type="dxa"/>
            <w:vAlign w:val="center"/>
          </w:tcPr>
          <w:p w14:paraId="7CEB24B4">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对数据审核不通过退回的原因简述，100字以内</w:t>
            </w:r>
          </w:p>
        </w:tc>
        <w:tc>
          <w:tcPr>
            <w:tcW w:w="1878" w:type="dxa"/>
            <w:vAlign w:val="center"/>
          </w:tcPr>
          <w:p w14:paraId="70E755E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varchar(256)</w:t>
            </w:r>
          </w:p>
        </w:tc>
        <w:tc>
          <w:tcPr>
            <w:tcW w:w="1878" w:type="dxa"/>
            <w:vAlign w:val="center"/>
          </w:tcPr>
          <w:p w14:paraId="3A9CAB40">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3313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4ED3FD1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审核人</w:t>
            </w:r>
          </w:p>
        </w:tc>
        <w:tc>
          <w:tcPr>
            <w:tcW w:w="1878" w:type="dxa"/>
            <w:vAlign w:val="center"/>
          </w:tcPr>
          <w:p w14:paraId="76BD2915">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VerifyName</w:t>
            </w:r>
          </w:p>
        </w:tc>
        <w:tc>
          <w:tcPr>
            <w:tcW w:w="1878" w:type="dxa"/>
            <w:vAlign w:val="center"/>
          </w:tcPr>
          <w:p w14:paraId="515DC12C">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审核人姓名</w:t>
            </w:r>
          </w:p>
        </w:tc>
        <w:tc>
          <w:tcPr>
            <w:tcW w:w="1878" w:type="dxa"/>
            <w:vAlign w:val="center"/>
          </w:tcPr>
          <w:p w14:paraId="6492D57C">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(32)</w:t>
            </w:r>
          </w:p>
        </w:tc>
        <w:tc>
          <w:tcPr>
            <w:tcW w:w="1878" w:type="dxa"/>
            <w:vAlign w:val="center"/>
          </w:tcPr>
          <w:p w14:paraId="0CE27B41">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492D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295BA050">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审核人联系电话</w:t>
            </w:r>
          </w:p>
        </w:tc>
        <w:tc>
          <w:tcPr>
            <w:tcW w:w="1878" w:type="dxa"/>
            <w:vAlign w:val="center"/>
          </w:tcPr>
          <w:p w14:paraId="6FF9C24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VerifyTel</w:t>
            </w:r>
          </w:p>
        </w:tc>
        <w:tc>
          <w:tcPr>
            <w:tcW w:w="1878" w:type="dxa"/>
            <w:vAlign w:val="center"/>
          </w:tcPr>
          <w:p w14:paraId="6B2CA72A">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审核人联系电话</w:t>
            </w:r>
          </w:p>
        </w:tc>
        <w:tc>
          <w:tcPr>
            <w:tcW w:w="1878" w:type="dxa"/>
            <w:vAlign w:val="center"/>
          </w:tcPr>
          <w:p w14:paraId="2925ED28">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(32)</w:t>
            </w:r>
          </w:p>
        </w:tc>
        <w:tc>
          <w:tcPr>
            <w:tcW w:w="1878" w:type="dxa"/>
            <w:vAlign w:val="center"/>
          </w:tcPr>
          <w:p w14:paraId="0329697D">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3DA4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389" w:type="dxa"/>
            <w:gridSpan w:val="6"/>
            <w:vAlign w:val="center"/>
          </w:tcPr>
          <w:p w14:paraId="5BD2A74E">
            <w:pPr>
              <w:widowControl/>
              <w:spacing w:before="120"/>
              <w:rPr>
                <w:rFonts w:ascii="宋体" w:hAnsi="宋体" w:eastAsia="宋体" w:cs="Times New Roman"/>
                <w:b/>
                <w:color w:val="000000"/>
                <w:sz w:val="24"/>
                <w:szCs w:val="21"/>
              </w:rPr>
            </w:pPr>
            <w:r>
              <w:rPr>
                <w:rFonts w:hint="eastAsia" w:ascii="宋体" w:hAnsi="宋体" w:eastAsia="宋体" w:cs="Times New Roman"/>
                <w:b/>
                <w:color w:val="000000"/>
                <w:sz w:val="24"/>
                <w:szCs w:val="21"/>
              </w:rPr>
              <w:t>输出参数</w:t>
            </w:r>
          </w:p>
        </w:tc>
      </w:tr>
      <w:tr w14:paraId="02DB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03A3E78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返回码</w:t>
            </w:r>
          </w:p>
        </w:tc>
        <w:tc>
          <w:tcPr>
            <w:tcW w:w="1878" w:type="dxa"/>
            <w:vAlign w:val="center"/>
          </w:tcPr>
          <w:p w14:paraId="4F9BD23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rtnCode</w:t>
            </w:r>
          </w:p>
        </w:tc>
        <w:tc>
          <w:tcPr>
            <w:tcW w:w="1878" w:type="dxa"/>
            <w:vAlign w:val="center"/>
          </w:tcPr>
          <w:p w14:paraId="02C39625">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查询结果，1-成功，0-失败</w:t>
            </w:r>
          </w:p>
        </w:tc>
        <w:tc>
          <w:tcPr>
            <w:tcW w:w="1878" w:type="dxa"/>
            <w:vAlign w:val="center"/>
          </w:tcPr>
          <w:p w14:paraId="70742176">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(32)</w:t>
            </w:r>
          </w:p>
        </w:tc>
        <w:tc>
          <w:tcPr>
            <w:tcW w:w="1878" w:type="dxa"/>
            <w:vAlign w:val="center"/>
          </w:tcPr>
          <w:p w14:paraId="05358721">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Y</w:t>
            </w:r>
          </w:p>
        </w:tc>
      </w:tr>
      <w:tr w14:paraId="7C6C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gridSpan w:val="2"/>
            <w:vAlign w:val="center"/>
          </w:tcPr>
          <w:p w14:paraId="44A3D09C">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返回消息</w:t>
            </w:r>
          </w:p>
        </w:tc>
        <w:tc>
          <w:tcPr>
            <w:tcW w:w="1878" w:type="dxa"/>
            <w:vAlign w:val="center"/>
          </w:tcPr>
          <w:p w14:paraId="1ED07250">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rtnMsg</w:t>
            </w:r>
          </w:p>
        </w:tc>
        <w:tc>
          <w:tcPr>
            <w:tcW w:w="1878" w:type="dxa"/>
            <w:vAlign w:val="center"/>
          </w:tcPr>
          <w:p w14:paraId="36B2960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返回消息,如果接口调用失败，则文字描述失败原因</w:t>
            </w:r>
          </w:p>
        </w:tc>
        <w:tc>
          <w:tcPr>
            <w:tcW w:w="1878" w:type="dxa"/>
            <w:vAlign w:val="center"/>
          </w:tcPr>
          <w:p w14:paraId="4BAEBE0C">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(256)</w:t>
            </w:r>
          </w:p>
        </w:tc>
        <w:tc>
          <w:tcPr>
            <w:tcW w:w="1878" w:type="dxa"/>
            <w:vAlign w:val="center"/>
          </w:tcPr>
          <w:p w14:paraId="67DDA95B">
            <w:pPr>
              <w:widowControl/>
              <w:spacing w:before="120"/>
              <w:jc w:val="center"/>
              <w:rPr>
                <w:rFonts w:ascii="宋体" w:hAnsi="宋体" w:eastAsia="宋体" w:cs="Times New Roman"/>
                <w:color w:val="000000"/>
                <w:sz w:val="24"/>
                <w:szCs w:val="21"/>
              </w:rPr>
            </w:pPr>
            <w:r>
              <w:rPr>
                <w:rFonts w:ascii="宋体" w:hAnsi="宋体" w:eastAsia="宋体" w:cs="Times New Roman"/>
                <w:color w:val="000000"/>
                <w:sz w:val="24"/>
                <w:szCs w:val="21"/>
              </w:rPr>
              <w:t>N</w:t>
            </w:r>
          </w:p>
        </w:tc>
      </w:tr>
    </w:tbl>
    <w:p w14:paraId="40B79268">
      <w:pPr>
        <w:spacing w:before="120"/>
        <w:rPr>
          <w:rFonts w:ascii="Times New Roman" w:hAnsi="Times New Roman" w:eastAsia="新宋体" w:cs="Times New Roman"/>
          <w:b/>
          <w:sz w:val="24"/>
        </w:rPr>
      </w:pPr>
    </w:p>
    <w:p w14:paraId="4DB12E85">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353" w:name="_Toc6449"/>
      <w:bookmarkStart w:id="354" w:name="_Toc12256"/>
      <w:r>
        <w:rPr>
          <w:rFonts w:hint="eastAsia" w:ascii="宋体" w:hAnsi="宋体" w:eastAsia="宋体" w:cs="宋体"/>
          <w:b/>
          <w:bCs/>
          <w:kern w:val="2"/>
          <w:sz w:val="24"/>
          <w:szCs w:val="24"/>
          <w:lang w:val="en-US" w:eastAsia="zh-CN" w:bidi="ar-SA"/>
        </w:rPr>
        <w:t>数据传输格式</w:t>
      </w:r>
      <w:bookmarkEnd w:id="353"/>
      <w:bookmarkEnd w:id="354"/>
    </w:p>
    <w:tbl>
      <w:tblPr>
        <w:tblStyle w:val="16"/>
        <w:tblW w:w="938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878"/>
        <w:gridCol w:w="1878"/>
        <w:gridCol w:w="1878"/>
        <w:gridCol w:w="1878"/>
      </w:tblGrid>
      <w:tr w14:paraId="4350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389" w:type="dxa"/>
            <w:gridSpan w:val="5"/>
            <w:vAlign w:val="center"/>
          </w:tcPr>
          <w:p w14:paraId="79ED376A">
            <w:pPr>
              <w:widowControl/>
              <w:tabs>
                <w:tab w:val="left" w:pos="2557"/>
              </w:tabs>
              <w:spacing w:before="120"/>
              <w:jc w:val="left"/>
              <w:rPr>
                <w:rFonts w:ascii="宋体" w:hAnsi="宋体" w:eastAsia="宋体" w:cs="Times New Roman"/>
                <w:color w:val="000000"/>
                <w:sz w:val="24"/>
                <w:szCs w:val="21"/>
              </w:rPr>
            </w:pPr>
            <w:r>
              <w:rPr>
                <w:rFonts w:hint="eastAsia" w:ascii="宋体" w:hAnsi="宋体" w:eastAsia="宋体" w:cs="Times New Roman"/>
                <w:b/>
                <w:bCs/>
                <w:color w:val="000000"/>
                <w:sz w:val="24"/>
              </w:rPr>
              <w:tab/>
            </w:r>
            <w:r>
              <w:rPr>
                <w:rFonts w:hint="eastAsia" w:ascii="宋体" w:hAnsi="宋体" w:eastAsia="宋体" w:cs="Times New Roman"/>
                <w:b/>
                <w:bCs/>
                <w:color w:val="000000"/>
                <w:sz w:val="24"/>
              </w:rPr>
              <w:t>数据接收表（Indicate_acct）</w:t>
            </w:r>
          </w:p>
        </w:tc>
      </w:tr>
      <w:tr w14:paraId="2B32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74D8736A">
            <w:pPr>
              <w:widowControl/>
              <w:spacing w:before="120"/>
              <w:jc w:val="center"/>
              <w:rPr>
                <w:rFonts w:ascii="宋体" w:hAnsi="宋体" w:eastAsia="宋体" w:cs="Times New Roman"/>
                <w:b/>
                <w:color w:val="000000"/>
                <w:sz w:val="24"/>
                <w:szCs w:val="21"/>
              </w:rPr>
            </w:pPr>
            <w:r>
              <w:rPr>
                <w:rFonts w:hint="eastAsia" w:ascii="宋体" w:hAnsi="宋体" w:eastAsia="宋体" w:cs="Times New Roman"/>
                <w:b/>
                <w:color w:val="000000"/>
                <w:sz w:val="24"/>
                <w:szCs w:val="21"/>
              </w:rPr>
              <w:t>列英文名</w:t>
            </w:r>
          </w:p>
        </w:tc>
        <w:tc>
          <w:tcPr>
            <w:tcW w:w="1878" w:type="dxa"/>
            <w:vAlign w:val="center"/>
          </w:tcPr>
          <w:p w14:paraId="3B45EFB3">
            <w:pPr>
              <w:widowControl/>
              <w:spacing w:before="120"/>
              <w:jc w:val="center"/>
              <w:rPr>
                <w:rFonts w:ascii="宋体" w:hAnsi="宋体" w:eastAsia="宋体" w:cs="Times New Roman"/>
                <w:b/>
                <w:color w:val="000000"/>
                <w:sz w:val="24"/>
                <w:szCs w:val="21"/>
              </w:rPr>
            </w:pPr>
            <w:r>
              <w:rPr>
                <w:rFonts w:hint="eastAsia" w:ascii="宋体" w:hAnsi="宋体" w:eastAsia="宋体" w:cs="Times New Roman"/>
                <w:b/>
                <w:color w:val="000000"/>
                <w:sz w:val="24"/>
                <w:szCs w:val="21"/>
              </w:rPr>
              <w:t>列中文名</w:t>
            </w:r>
          </w:p>
        </w:tc>
        <w:tc>
          <w:tcPr>
            <w:tcW w:w="1878" w:type="dxa"/>
            <w:vAlign w:val="center"/>
          </w:tcPr>
          <w:p w14:paraId="22290FA6">
            <w:pPr>
              <w:widowControl/>
              <w:spacing w:before="120"/>
              <w:jc w:val="center"/>
              <w:rPr>
                <w:rFonts w:ascii="宋体" w:hAnsi="宋体" w:eastAsia="宋体" w:cs="Times New Roman"/>
                <w:b/>
                <w:color w:val="000000"/>
                <w:sz w:val="24"/>
                <w:szCs w:val="21"/>
              </w:rPr>
            </w:pPr>
            <w:r>
              <w:rPr>
                <w:rFonts w:hint="eastAsia" w:ascii="宋体" w:hAnsi="宋体" w:eastAsia="宋体" w:cs="Times New Roman"/>
                <w:b/>
                <w:color w:val="000000"/>
                <w:sz w:val="24"/>
                <w:szCs w:val="21"/>
              </w:rPr>
              <w:t>说明</w:t>
            </w:r>
          </w:p>
        </w:tc>
        <w:tc>
          <w:tcPr>
            <w:tcW w:w="1878" w:type="dxa"/>
            <w:vAlign w:val="center"/>
          </w:tcPr>
          <w:p w14:paraId="2E6D9417">
            <w:pPr>
              <w:widowControl/>
              <w:spacing w:before="120"/>
              <w:jc w:val="center"/>
              <w:rPr>
                <w:rFonts w:ascii="宋体" w:hAnsi="宋体" w:eastAsia="宋体" w:cs="Times New Roman"/>
                <w:b/>
                <w:color w:val="000000"/>
                <w:sz w:val="24"/>
                <w:szCs w:val="21"/>
              </w:rPr>
            </w:pPr>
            <w:r>
              <w:rPr>
                <w:rFonts w:hint="eastAsia" w:ascii="宋体" w:hAnsi="宋体" w:eastAsia="宋体" w:cs="Times New Roman"/>
                <w:b/>
                <w:color w:val="000000"/>
                <w:sz w:val="24"/>
                <w:szCs w:val="21"/>
              </w:rPr>
              <w:t>字段格式</w:t>
            </w:r>
          </w:p>
        </w:tc>
        <w:tc>
          <w:tcPr>
            <w:tcW w:w="1878" w:type="dxa"/>
            <w:vAlign w:val="center"/>
          </w:tcPr>
          <w:p w14:paraId="661DAAFE">
            <w:pPr>
              <w:widowControl/>
              <w:spacing w:before="120"/>
              <w:jc w:val="center"/>
              <w:rPr>
                <w:rFonts w:ascii="宋体" w:hAnsi="宋体" w:eastAsia="宋体" w:cs="Times New Roman"/>
                <w:b/>
                <w:color w:val="000000"/>
                <w:sz w:val="24"/>
                <w:szCs w:val="21"/>
              </w:rPr>
            </w:pPr>
            <w:r>
              <w:rPr>
                <w:rFonts w:hint="eastAsia" w:ascii="宋体" w:hAnsi="宋体" w:eastAsia="宋体" w:cs="Times New Roman"/>
                <w:b/>
                <w:color w:val="000000"/>
                <w:sz w:val="24"/>
                <w:szCs w:val="21"/>
              </w:rPr>
              <w:t>是否非空</w:t>
            </w:r>
          </w:p>
        </w:tc>
      </w:tr>
      <w:tr w14:paraId="53CC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43EEEB39">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流水号</w:t>
            </w:r>
          </w:p>
        </w:tc>
        <w:tc>
          <w:tcPr>
            <w:tcW w:w="1878" w:type="dxa"/>
            <w:vAlign w:val="center"/>
          </w:tcPr>
          <w:p w14:paraId="3E8E225C">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Serial_no</w:t>
            </w:r>
          </w:p>
        </w:tc>
        <w:tc>
          <w:tcPr>
            <w:tcW w:w="1878" w:type="dxa"/>
            <w:vAlign w:val="center"/>
          </w:tcPr>
          <w:p w14:paraId="07DADA42">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数据行唯一标识</w:t>
            </w:r>
          </w:p>
        </w:tc>
        <w:tc>
          <w:tcPr>
            <w:tcW w:w="1878" w:type="dxa"/>
            <w:vAlign w:val="center"/>
          </w:tcPr>
          <w:p w14:paraId="30DEB2CA">
            <w:pPr>
              <w:widowControl/>
              <w:spacing w:before="120"/>
              <w:rPr>
                <w:rFonts w:ascii="宋体" w:hAnsi="宋体" w:eastAsia="宋体" w:cs="Times New Roman"/>
                <w:b/>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(32)</w:t>
            </w:r>
          </w:p>
        </w:tc>
        <w:tc>
          <w:tcPr>
            <w:tcW w:w="1878" w:type="dxa"/>
            <w:vAlign w:val="center"/>
          </w:tcPr>
          <w:p w14:paraId="379AC7E1">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1E5D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7403D05D">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指标类型</w:t>
            </w:r>
          </w:p>
        </w:tc>
        <w:tc>
          <w:tcPr>
            <w:tcW w:w="1878" w:type="dxa"/>
            <w:vAlign w:val="center"/>
          </w:tcPr>
          <w:p w14:paraId="168691A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Indicator_Code</w:t>
            </w:r>
          </w:p>
        </w:tc>
        <w:tc>
          <w:tcPr>
            <w:tcW w:w="1878" w:type="dxa"/>
            <w:vAlign w:val="center"/>
          </w:tcPr>
          <w:p w14:paraId="6AD96CE7">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指标类型编码，双方约定识别指标类型，指标系统项目组可提供</w:t>
            </w:r>
          </w:p>
        </w:tc>
        <w:tc>
          <w:tcPr>
            <w:tcW w:w="1878" w:type="dxa"/>
            <w:vAlign w:val="center"/>
          </w:tcPr>
          <w:p w14:paraId="6B05D44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w:t>
            </w:r>
            <w:r>
              <w:rPr>
                <w:rFonts w:ascii="宋体" w:hAnsi="宋体" w:eastAsia="宋体" w:cs="Times New Roman"/>
                <w:color w:val="000000"/>
                <w:sz w:val="24"/>
                <w:szCs w:val="21"/>
              </w:rPr>
              <w:t>(</w:t>
            </w:r>
            <w:r>
              <w:rPr>
                <w:rFonts w:hint="eastAsia" w:ascii="宋体" w:hAnsi="宋体" w:eastAsia="宋体" w:cs="Times New Roman"/>
                <w:color w:val="000000"/>
                <w:sz w:val="24"/>
                <w:szCs w:val="21"/>
              </w:rPr>
              <w:t>16</w:t>
            </w:r>
            <w:r>
              <w:rPr>
                <w:rFonts w:ascii="宋体" w:hAnsi="宋体" w:eastAsia="宋体" w:cs="Times New Roman"/>
                <w:color w:val="000000"/>
                <w:sz w:val="24"/>
                <w:szCs w:val="21"/>
              </w:rPr>
              <w:t>)</w:t>
            </w:r>
          </w:p>
        </w:tc>
        <w:tc>
          <w:tcPr>
            <w:tcW w:w="1878" w:type="dxa"/>
            <w:vAlign w:val="center"/>
          </w:tcPr>
          <w:p w14:paraId="7DE818CA">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657D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467D3DBD">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指标值</w:t>
            </w:r>
          </w:p>
        </w:tc>
        <w:tc>
          <w:tcPr>
            <w:tcW w:w="1878" w:type="dxa"/>
            <w:vAlign w:val="center"/>
          </w:tcPr>
          <w:p w14:paraId="731920B6">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Ind_Value</w:t>
            </w:r>
          </w:p>
        </w:tc>
        <w:tc>
          <w:tcPr>
            <w:tcW w:w="1878" w:type="dxa"/>
            <w:vAlign w:val="center"/>
          </w:tcPr>
          <w:p w14:paraId="63640C8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当期指标数值</w:t>
            </w:r>
          </w:p>
        </w:tc>
        <w:tc>
          <w:tcPr>
            <w:tcW w:w="1878" w:type="dxa"/>
            <w:vAlign w:val="center"/>
          </w:tcPr>
          <w:p w14:paraId="28B6D839">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Number(16,6)</w:t>
            </w:r>
          </w:p>
        </w:tc>
        <w:tc>
          <w:tcPr>
            <w:tcW w:w="1878" w:type="dxa"/>
            <w:vAlign w:val="center"/>
          </w:tcPr>
          <w:p w14:paraId="2B1A9D0B">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102F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54271454">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所属部门</w:t>
            </w:r>
          </w:p>
        </w:tc>
        <w:tc>
          <w:tcPr>
            <w:tcW w:w="1878" w:type="dxa"/>
            <w:vAlign w:val="center"/>
          </w:tcPr>
          <w:p w14:paraId="37BE2C90">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Org_No</w:t>
            </w:r>
          </w:p>
        </w:tc>
        <w:tc>
          <w:tcPr>
            <w:tcW w:w="1878" w:type="dxa"/>
            <w:vAlign w:val="center"/>
          </w:tcPr>
          <w:p w14:paraId="3F7113C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指标归属单位部门的编码，参考人资系统的组织机构编码</w:t>
            </w:r>
          </w:p>
        </w:tc>
        <w:tc>
          <w:tcPr>
            <w:tcW w:w="1878" w:type="dxa"/>
            <w:vAlign w:val="center"/>
          </w:tcPr>
          <w:p w14:paraId="0DAA1DEF">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varchar(32)</w:t>
            </w:r>
          </w:p>
        </w:tc>
        <w:tc>
          <w:tcPr>
            <w:tcW w:w="1878" w:type="dxa"/>
            <w:vAlign w:val="center"/>
          </w:tcPr>
          <w:p w14:paraId="7E6C1421">
            <w:pPr>
              <w:widowControl/>
              <w:spacing w:before="120"/>
              <w:jc w:val="center"/>
              <w:rPr>
                <w:rFonts w:ascii="宋体" w:hAnsi="宋体" w:eastAsia="宋体" w:cs="Times New Roman"/>
                <w:bCs/>
                <w:color w:val="000000"/>
                <w:sz w:val="24"/>
                <w:szCs w:val="21"/>
              </w:rPr>
            </w:pPr>
            <w:r>
              <w:rPr>
                <w:rFonts w:hint="eastAsia" w:ascii="宋体" w:hAnsi="宋体" w:eastAsia="宋体" w:cs="Times New Roman"/>
                <w:bCs/>
                <w:color w:val="000000"/>
                <w:sz w:val="24"/>
                <w:szCs w:val="21"/>
              </w:rPr>
              <w:t>Y</w:t>
            </w:r>
          </w:p>
        </w:tc>
      </w:tr>
      <w:tr w14:paraId="1A49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46E8098E">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指标所属时间</w:t>
            </w:r>
          </w:p>
        </w:tc>
        <w:tc>
          <w:tcPr>
            <w:tcW w:w="1878" w:type="dxa"/>
            <w:vAlign w:val="center"/>
          </w:tcPr>
          <w:p w14:paraId="2D0E23F4">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Ind_Time</w:t>
            </w:r>
          </w:p>
        </w:tc>
        <w:tc>
          <w:tcPr>
            <w:tcW w:w="1878" w:type="dxa"/>
            <w:vAlign w:val="center"/>
          </w:tcPr>
          <w:p w14:paraId="1AFA05C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传输的指标所属的周期或时间段</w:t>
            </w:r>
          </w:p>
        </w:tc>
        <w:tc>
          <w:tcPr>
            <w:tcW w:w="1878" w:type="dxa"/>
            <w:vAlign w:val="center"/>
          </w:tcPr>
          <w:p w14:paraId="38400AE4">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varchar(32)</w:t>
            </w:r>
          </w:p>
        </w:tc>
        <w:tc>
          <w:tcPr>
            <w:tcW w:w="1878" w:type="dxa"/>
            <w:vAlign w:val="center"/>
          </w:tcPr>
          <w:p w14:paraId="273B0103">
            <w:pPr>
              <w:widowControl/>
              <w:spacing w:before="120"/>
              <w:jc w:val="center"/>
              <w:rPr>
                <w:rFonts w:ascii="宋体" w:hAnsi="宋体" w:eastAsia="宋体" w:cs="Times New Roman"/>
                <w:color w:val="000000"/>
                <w:sz w:val="24"/>
                <w:szCs w:val="21"/>
              </w:rPr>
            </w:pPr>
            <w:r>
              <w:rPr>
                <w:rFonts w:hint="eastAsia" w:ascii="宋体" w:hAnsi="宋体" w:eastAsia="宋体" w:cs="Times New Roman"/>
                <w:bCs/>
                <w:color w:val="000000"/>
                <w:sz w:val="24"/>
                <w:szCs w:val="21"/>
              </w:rPr>
              <w:t>Y</w:t>
            </w:r>
          </w:p>
        </w:tc>
      </w:tr>
      <w:tr w14:paraId="2AF8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083BB1B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来源系统</w:t>
            </w:r>
          </w:p>
        </w:tc>
        <w:tc>
          <w:tcPr>
            <w:tcW w:w="1878" w:type="dxa"/>
            <w:vAlign w:val="center"/>
          </w:tcPr>
          <w:p w14:paraId="194F10E4">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Org_System</w:t>
            </w:r>
          </w:p>
        </w:tc>
        <w:tc>
          <w:tcPr>
            <w:tcW w:w="1878" w:type="dxa"/>
            <w:vAlign w:val="center"/>
          </w:tcPr>
          <w:p w14:paraId="4D4C753F">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指标来源的业务系统名称/编码</w:t>
            </w:r>
          </w:p>
        </w:tc>
        <w:tc>
          <w:tcPr>
            <w:tcW w:w="1878" w:type="dxa"/>
            <w:vAlign w:val="center"/>
          </w:tcPr>
          <w:p w14:paraId="0119D3A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varchar(64)</w:t>
            </w:r>
          </w:p>
        </w:tc>
        <w:tc>
          <w:tcPr>
            <w:tcW w:w="1878" w:type="dxa"/>
            <w:vAlign w:val="center"/>
          </w:tcPr>
          <w:p w14:paraId="7A2633B1">
            <w:pPr>
              <w:widowControl/>
              <w:spacing w:before="120"/>
              <w:jc w:val="center"/>
              <w:rPr>
                <w:rFonts w:ascii="宋体" w:hAnsi="宋体" w:eastAsia="宋体" w:cs="Times New Roman"/>
                <w:color w:val="000000"/>
                <w:sz w:val="24"/>
                <w:szCs w:val="21"/>
              </w:rPr>
            </w:pPr>
            <w:r>
              <w:rPr>
                <w:rFonts w:hint="eastAsia" w:ascii="宋体" w:hAnsi="宋体" w:eastAsia="宋体" w:cs="Times New Roman"/>
                <w:bCs/>
                <w:color w:val="000000"/>
                <w:sz w:val="24"/>
                <w:szCs w:val="21"/>
              </w:rPr>
              <w:t>Y</w:t>
            </w:r>
          </w:p>
        </w:tc>
      </w:tr>
      <w:tr w14:paraId="51F4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3475732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推送时间</w:t>
            </w:r>
          </w:p>
        </w:tc>
        <w:tc>
          <w:tcPr>
            <w:tcW w:w="1878" w:type="dxa"/>
            <w:vAlign w:val="center"/>
          </w:tcPr>
          <w:p w14:paraId="0C0E8B6F">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Send_Time</w:t>
            </w:r>
          </w:p>
        </w:tc>
        <w:tc>
          <w:tcPr>
            <w:tcW w:w="1878" w:type="dxa"/>
            <w:vAlign w:val="center"/>
          </w:tcPr>
          <w:p w14:paraId="05B58AB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推送时间</w:t>
            </w:r>
          </w:p>
        </w:tc>
        <w:tc>
          <w:tcPr>
            <w:tcW w:w="1878" w:type="dxa"/>
            <w:vAlign w:val="center"/>
          </w:tcPr>
          <w:p w14:paraId="05FBCC97">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Date</w:t>
            </w:r>
          </w:p>
        </w:tc>
        <w:tc>
          <w:tcPr>
            <w:tcW w:w="1878" w:type="dxa"/>
            <w:vAlign w:val="center"/>
          </w:tcPr>
          <w:p w14:paraId="3EE05BBE">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Y</w:t>
            </w:r>
          </w:p>
        </w:tc>
      </w:tr>
      <w:tr w14:paraId="3750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65AB649F">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推送人</w:t>
            </w:r>
          </w:p>
        </w:tc>
        <w:tc>
          <w:tcPr>
            <w:tcW w:w="1878" w:type="dxa"/>
            <w:vAlign w:val="center"/>
          </w:tcPr>
          <w:p w14:paraId="0B852245">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Send_Pname</w:t>
            </w:r>
          </w:p>
        </w:tc>
        <w:tc>
          <w:tcPr>
            <w:tcW w:w="1878" w:type="dxa"/>
            <w:vAlign w:val="center"/>
          </w:tcPr>
          <w:p w14:paraId="7E06B56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推送人</w:t>
            </w:r>
          </w:p>
        </w:tc>
        <w:tc>
          <w:tcPr>
            <w:tcW w:w="1878" w:type="dxa"/>
            <w:vAlign w:val="center"/>
          </w:tcPr>
          <w:p w14:paraId="2BE376D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varchar(16)</w:t>
            </w:r>
          </w:p>
        </w:tc>
        <w:tc>
          <w:tcPr>
            <w:tcW w:w="1878" w:type="dxa"/>
            <w:vAlign w:val="center"/>
          </w:tcPr>
          <w:p w14:paraId="3D247140">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N</w:t>
            </w:r>
          </w:p>
        </w:tc>
      </w:tr>
      <w:tr w14:paraId="778C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708A762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推送人电话</w:t>
            </w:r>
          </w:p>
        </w:tc>
        <w:tc>
          <w:tcPr>
            <w:tcW w:w="1878" w:type="dxa"/>
            <w:vAlign w:val="center"/>
          </w:tcPr>
          <w:p w14:paraId="33C64A9B">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Send_Tel</w:t>
            </w:r>
          </w:p>
        </w:tc>
        <w:tc>
          <w:tcPr>
            <w:tcW w:w="1878" w:type="dxa"/>
            <w:vAlign w:val="center"/>
          </w:tcPr>
          <w:p w14:paraId="7CE28128">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推送人电话</w:t>
            </w:r>
          </w:p>
        </w:tc>
        <w:tc>
          <w:tcPr>
            <w:tcW w:w="1878" w:type="dxa"/>
            <w:vAlign w:val="center"/>
          </w:tcPr>
          <w:p w14:paraId="6E3E1FEE">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varchar(32)</w:t>
            </w:r>
          </w:p>
        </w:tc>
        <w:tc>
          <w:tcPr>
            <w:tcW w:w="1878" w:type="dxa"/>
            <w:vAlign w:val="center"/>
          </w:tcPr>
          <w:p w14:paraId="7B37C021">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N</w:t>
            </w:r>
          </w:p>
        </w:tc>
      </w:tr>
      <w:tr w14:paraId="7AD5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6CEE2FA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数据更新时间</w:t>
            </w:r>
          </w:p>
        </w:tc>
        <w:tc>
          <w:tcPr>
            <w:tcW w:w="1878" w:type="dxa"/>
            <w:vAlign w:val="center"/>
          </w:tcPr>
          <w:p w14:paraId="3D353F21">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Update_Time</w:t>
            </w:r>
          </w:p>
        </w:tc>
        <w:tc>
          <w:tcPr>
            <w:tcW w:w="1878" w:type="dxa"/>
            <w:vAlign w:val="center"/>
          </w:tcPr>
          <w:p w14:paraId="68A2CE3D">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数据更新时间</w:t>
            </w:r>
          </w:p>
        </w:tc>
        <w:tc>
          <w:tcPr>
            <w:tcW w:w="1878" w:type="dxa"/>
            <w:vAlign w:val="center"/>
          </w:tcPr>
          <w:p w14:paraId="3B0AC4CF">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Date</w:t>
            </w:r>
          </w:p>
        </w:tc>
        <w:tc>
          <w:tcPr>
            <w:tcW w:w="1878" w:type="dxa"/>
            <w:vAlign w:val="center"/>
          </w:tcPr>
          <w:p w14:paraId="79751543">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Y</w:t>
            </w:r>
          </w:p>
        </w:tc>
      </w:tr>
      <w:tr w14:paraId="717C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77" w:type="dxa"/>
            <w:vAlign w:val="center"/>
          </w:tcPr>
          <w:p w14:paraId="25F47655">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审核标识</w:t>
            </w:r>
          </w:p>
        </w:tc>
        <w:tc>
          <w:tcPr>
            <w:tcW w:w="1878" w:type="dxa"/>
            <w:vAlign w:val="center"/>
          </w:tcPr>
          <w:p w14:paraId="76209E8A">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Verify_Label</w:t>
            </w:r>
          </w:p>
        </w:tc>
        <w:tc>
          <w:tcPr>
            <w:tcW w:w="1878" w:type="dxa"/>
            <w:vAlign w:val="center"/>
          </w:tcPr>
          <w:p w14:paraId="7599CB33">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数据是否已被审核，已审核为1，未审核为0，其他集成系统传输数据至本表时默认值为0</w:t>
            </w:r>
          </w:p>
        </w:tc>
        <w:tc>
          <w:tcPr>
            <w:tcW w:w="1878" w:type="dxa"/>
            <w:vAlign w:val="center"/>
          </w:tcPr>
          <w:p w14:paraId="62B4F6C2">
            <w:pPr>
              <w:widowControl/>
              <w:spacing w:before="120"/>
              <w:rPr>
                <w:rFonts w:ascii="宋体" w:hAnsi="宋体" w:eastAsia="宋体" w:cs="Times New Roman"/>
                <w:color w:val="000000"/>
                <w:sz w:val="24"/>
                <w:szCs w:val="21"/>
              </w:rPr>
            </w:pPr>
            <w:r>
              <w:rPr>
                <w:rFonts w:hint="eastAsia" w:ascii="宋体" w:hAnsi="宋体" w:eastAsia="宋体" w:cs="Times New Roman"/>
                <w:color w:val="000000"/>
                <w:sz w:val="24"/>
                <w:szCs w:val="21"/>
              </w:rPr>
              <w:t>Number（1）</w:t>
            </w:r>
          </w:p>
        </w:tc>
        <w:tc>
          <w:tcPr>
            <w:tcW w:w="1878" w:type="dxa"/>
            <w:vAlign w:val="center"/>
          </w:tcPr>
          <w:p w14:paraId="7AE1A067">
            <w:pPr>
              <w:widowControl/>
              <w:spacing w:before="120"/>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Y</w:t>
            </w:r>
          </w:p>
        </w:tc>
      </w:tr>
    </w:tbl>
    <w:p w14:paraId="0126EA02">
      <w:pPr>
        <w:widowControl w:val="0"/>
        <w:spacing w:before="120"/>
        <w:jc w:val="both"/>
        <w:rPr>
          <w:rFonts w:ascii="Arial" w:hAnsi="Arial" w:eastAsia="新宋体" w:cs="Times New Roman"/>
          <w:kern w:val="2"/>
          <w:sz w:val="24"/>
          <w:szCs w:val="24"/>
          <w:lang w:val="en-US" w:eastAsia="zh-CN" w:bidi="ar-SA"/>
        </w:rPr>
      </w:pPr>
    </w:p>
    <w:p w14:paraId="42A8AFA7">
      <w:pPr>
        <w:keepNext/>
        <w:keepLines/>
        <w:pageBreakBefore w:val="0"/>
        <w:widowControl w:val="0"/>
        <w:numPr>
          <w:ilvl w:val="0"/>
          <w:numId w:val="2"/>
        </w:numPr>
        <w:pBdr>
          <w:bottom w:val="none" w:color="auto" w:sz="0" w:space="0"/>
        </w:pBdr>
        <w:tabs>
          <w:tab w:val="left" w:pos="432"/>
        </w:tabs>
        <w:spacing w:before="100" w:after="100" w:line="360" w:lineRule="auto"/>
        <w:ind w:left="720" w:hanging="720"/>
        <w:jc w:val="both"/>
        <w:outlineLvl w:val="1"/>
        <w:rPr>
          <w:rFonts w:ascii="宋体" w:hAnsi="宋体" w:eastAsia="宋体" w:cs="Times New Roman"/>
          <w:b/>
          <w:bCs/>
          <w:kern w:val="44"/>
          <w:sz w:val="28"/>
          <w:szCs w:val="28"/>
          <w:lang w:val="en-US" w:eastAsia="zh-CN" w:bidi="ar-SA"/>
        </w:rPr>
      </w:pPr>
      <w:bookmarkStart w:id="355" w:name="_Toc10697"/>
      <w:bookmarkStart w:id="356" w:name="_Toc29937"/>
      <w:bookmarkStart w:id="357" w:name="_Toc5018"/>
      <w:r>
        <w:rPr>
          <w:rFonts w:hint="eastAsia" w:ascii="宋体" w:hAnsi="宋体" w:eastAsia="宋体" w:cs="Times New Roman"/>
          <w:b/>
          <w:bCs/>
          <w:kern w:val="44"/>
          <w:sz w:val="28"/>
          <w:szCs w:val="28"/>
          <w:lang w:val="en-US" w:eastAsia="zh-CN" w:bidi="ar-SA"/>
        </w:rPr>
        <w:t>关键技术实现及验证</w:t>
      </w:r>
      <w:bookmarkEnd w:id="355"/>
      <w:bookmarkEnd w:id="356"/>
      <w:bookmarkEnd w:id="357"/>
    </w:p>
    <w:p w14:paraId="26716318">
      <w:pPr>
        <w:spacing w:before="120"/>
        <w:ind w:firstLine="480" w:firstLineChars="200"/>
        <w:rPr>
          <w:rFonts w:ascii="宋体" w:hAnsi="宋体" w:eastAsia="宋体" w:cs="Times New Roman"/>
          <w:iCs/>
          <w:kern w:val="0"/>
          <w:sz w:val="24"/>
        </w:rPr>
      </w:pPr>
      <w:r>
        <w:rPr>
          <w:rFonts w:hint="eastAsia" w:ascii="宋体" w:hAnsi="宋体" w:eastAsia="宋体" w:cs="Times New Roman"/>
          <w:iCs/>
          <w:kern w:val="0"/>
          <w:sz w:val="24"/>
        </w:rPr>
        <w:t>暂无。</w:t>
      </w:r>
    </w:p>
    <w:p w14:paraId="2EE54A87">
      <w:pPr>
        <w:widowControl w:val="0"/>
        <w:spacing w:before="120"/>
        <w:jc w:val="both"/>
        <w:rPr>
          <w:rFonts w:hint="eastAsia" w:ascii="Arial" w:hAnsi="Arial" w:eastAsia="新宋体" w:cs="Times New Roman"/>
          <w:kern w:val="2"/>
          <w:sz w:val="24"/>
          <w:szCs w:val="24"/>
          <w:lang w:val="en-US" w:eastAsia="zh-CN" w:bidi="ar-SA"/>
        </w:rPr>
      </w:pPr>
    </w:p>
    <w:p w14:paraId="4C30D781">
      <w:pPr>
        <w:keepNext/>
        <w:keepLines/>
        <w:pageBreakBefore w:val="0"/>
        <w:widowControl w:val="0"/>
        <w:numPr>
          <w:ilvl w:val="0"/>
          <w:numId w:val="2"/>
        </w:numPr>
        <w:pBdr>
          <w:bottom w:val="none" w:color="auto" w:sz="0" w:space="0"/>
        </w:pBdr>
        <w:tabs>
          <w:tab w:val="left" w:pos="432"/>
        </w:tabs>
        <w:spacing w:before="100" w:after="100" w:line="360" w:lineRule="auto"/>
        <w:ind w:left="720" w:hanging="720"/>
        <w:jc w:val="both"/>
        <w:outlineLvl w:val="1"/>
        <w:rPr>
          <w:rFonts w:ascii="宋体" w:hAnsi="宋体" w:eastAsia="宋体" w:cs="Times New Roman"/>
          <w:b/>
          <w:bCs/>
          <w:kern w:val="44"/>
          <w:sz w:val="28"/>
          <w:szCs w:val="28"/>
          <w:lang w:val="en-US" w:eastAsia="zh-CN" w:bidi="ar-SA"/>
        </w:rPr>
      </w:pPr>
      <w:bookmarkStart w:id="358" w:name="_Toc18142"/>
      <w:bookmarkStart w:id="359" w:name="_Toc23299"/>
      <w:bookmarkStart w:id="360" w:name="_Toc19372"/>
      <w:r>
        <w:rPr>
          <w:rFonts w:hint="eastAsia" w:ascii="宋体" w:hAnsi="宋体" w:eastAsia="宋体" w:cs="Times New Roman"/>
          <w:b/>
          <w:bCs/>
          <w:kern w:val="44"/>
          <w:sz w:val="28"/>
          <w:szCs w:val="28"/>
          <w:lang w:val="en-US" w:eastAsia="zh-CN" w:bidi="ar-SA"/>
        </w:rPr>
        <w:t>公共模块设计</w:t>
      </w:r>
      <w:bookmarkEnd w:id="358"/>
      <w:bookmarkEnd w:id="359"/>
      <w:bookmarkEnd w:id="360"/>
    </w:p>
    <w:p w14:paraId="41064AFF">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61" w:name="_Toc13219"/>
      <w:bookmarkStart w:id="362" w:name="_Toc9149"/>
      <w:r>
        <w:rPr>
          <w:rFonts w:hint="eastAsia" w:ascii="宋体" w:hAnsi="宋体" w:eastAsia="宋体" w:cs="宋体"/>
          <w:b/>
          <w:bCs/>
          <w:snapToGrid/>
          <w:kern w:val="2"/>
          <w:sz w:val="24"/>
          <w:szCs w:val="24"/>
          <w:lang w:val="en-US" w:eastAsia="zh-CN" w:bidi="ar-SA"/>
        </w:rPr>
        <w:t>框架及类库</w:t>
      </w:r>
      <w:bookmarkEnd w:id="361"/>
      <w:bookmarkEnd w:id="362"/>
    </w:p>
    <w:p w14:paraId="43962397">
      <w:pPr>
        <w:spacing w:before="120"/>
        <w:rPr>
          <w:rFonts w:ascii="Times New Roman" w:hAnsi="Times New Roman" w:eastAsia="新宋体" w:cs="Times New Roman"/>
          <w:sz w:val="24"/>
        </w:rPr>
      </w:pPr>
      <w:r>
        <w:rPr>
          <w:rFonts w:ascii="Times New Roman" w:hAnsi="Times New Roman" w:eastAsia="新宋体" w:cs="Times New Roman"/>
          <w:sz w:val="24"/>
        </w:rPr>
        <w:drawing>
          <wp:inline distT="0" distB="0" distL="0" distR="0">
            <wp:extent cx="6011545" cy="3011170"/>
            <wp:effectExtent l="0" t="0" r="825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6011545" cy="3011170"/>
                    </a:xfrm>
                    <a:prstGeom prst="rect">
                      <a:avLst/>
                    </a:prstGeom>
                  </pic:spPr>
                </pic:pic>
              </a:graphicData>
            </a:graphic>
          </wp:inline>
        </w:drawing>
      </w:r>
    </w:p>
    <w:p w14:paraId="35EADE03">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363" w:name="_Toc13303"/>
      <w:bookmarkStart w:id="364" w:name="_Toc14879"/>
      <w:r>
        <w:rPr>
          <w:rFonts w:hint="eastAsia" w:ascii="宋体" w:hAnsi="宋体" w:eastAsia="宋体" w:cs="宋体"/>
          <w:b/>
          <w:bCs/>
          <w:snapToGrid/>
          <w:kern w:val="2"/>
          <w:sz w:val="24"/>
          <w:szCs w:val="24"/>
          <w:lang w:val="en-US" w:eastAsia="zh-CN" w:bidi="ar-SA"/>
        </w:rPr>
        <w:t>权限</w:t>
      </w:r>
      <w:bookmarkEnd w:id="363"/>
      <w:bookmarkEnd w:id="364"/>
    </w:p>
    <w:p w14:paraId="7D441F88">
      <w:pPr>
        <w:spacing w:before="120"/>
        <w:ind w:firstLine="480" w:firstLineChars="200"/>
        <w:rPr>
          <w:rFonts w:ascii="宋体" w:hAnsi="宋体" w:eastAsia="宋体" w:cs="Times New Roman"/>
          <w:iCs/>
          <w:kern w:val="0"/>
          <w:sz w:val="24"/>
        </w:rPr>
      </w:pPr>
      <w:r>
        <w:rPr>
          <w:rFonts w:hint="eastAsia" w:ascii="宋体" w:hAnsi="宋体" w:eastAsia="宋体" w:cs="Times New Roman"/>
          <w:iCs/>
          <w:kern w:val="0"/>
          <w:sz w:val="24"/>
        </w:rPr>
        <w:t>系统权限分为两部分，功能权限、数据权限。</w:t>
      </w:r>
    </w:p>
    <w:p w14:paraId="0B3F4BBC">
      <w:pPr>
        <w:spacing w:before="120"/>
        <w:ind w:firstLine="480" w:firstLineChars="200"/>
        <w:rPr>
          <w:rFonts w:ascii="宋体" w:hAnsi="宋体" w:eastAsia="宋体" w:cs="Times New Roman"/>
          <w:iCs/>
          <w:kern w:val="0"/>
          <w:sz w:val="24"/>
        </w:rPr>
      </w:pPr>
      <w:r>
        <w:rPr>
          <w:rFonts w:hint="eastAsia" w:ascii="宋体" w:hAnsi="宋体" w:eastAsia="宋体" w:cs="Times New Roman"/>
          <w:iCs/>
          <w:kern w:val="0"/>
          <w:sz w:val="24"/>
        </w:rPr>
        <w:t>功能权限：将每个业务菜单的权限划分到功能按钮级别，通过功能按钮与角色的绑定，控制角色可进行操作的功能，实现角色授权。</w:t>
      </w:r>
    </w:p>
    <w:p w14:paraId="51F22BA6">
      <w:pPr>
        <w:widowControl w:val="0"/>
        <w:tabs>
          <w:tab w:val="left" w:pos="420"/>
        </w:tabs>
        <w:spacing w:before="120" w:line="360" w:lineRule="auto"/>
        <w:ind w:firstLine="480" w:firstLineChars="200"/>
        <w:jc w:val="both"/>
        <w:outlineLvl w:val="9"/>
        <w:rPr>
          <w:rFonts w:hint="default" w:ascii="仿宋_GB2312" w:hAnsi="仿宋_GB2312" w:eastAsia="仿宋_GB2312" w:cs="仿宋_GB2312"/>
          <w:sz w:val="28"/>
          <w:szCs w:val="28"/>
          <w:lang w:val="en-US" w:eastAsia="zh-CN"/>
        </w:rPr>
      </w:pPr>
      <w:r>
        <w:rPr>
          <w:rFonts w:hint="eastAsia" w:ascii="宋体" w:hAnsi="宋体" w:eastAsia="宋体" w:cs="Times New Roman"/>
          <w:iCs/>
          <w:kern w:val="0"/>
          <w:sz w:val="24"/>
        </w:rPr>
        <w:t>数据权限：根据用户所在的部门进行数据库访问权限分配，设置不同的数据库账号。</w:t>
      </w:r>
    </w:p>
    <w:p w14:paraId="2B008DC8">
      <w:pPr>
        <w:rPr>
          <w:rFonts w:hint="eastAsia"/>
        </w:rPr>
      </w:pPr>
      <w:r>
        <w:rPr>
          <w:rFonts w:hint="eastAsia"/>
        </w:rPr>
        <w:br w:type="page"/>
      </w:r>
    </w:p>
    <w:p w14:paraId="5062B7BD">
      <w:pPr>
        <w:pStyle w:val="14"/>
        <w:rPr>
          <w:rFonts w:hint="eastAsia"/>
        </w:rPr>
      </w:pPr>
    </w:p>
    <w:p w14:paraId="4A29473C">
      <w:pPr>
        <w:spacing w:line="480" w:lineRule="exact"/>
        <w:jc w:val="center"/>
        <w:outlineLvl w:val="0"/>
        <w:rPr>
          <w:rFonts w:ascii="黑体" w:hAnsi="黑体" w:eastAsia="黑体" w:cs="黑体"/>
          <w:b/>
          <w:bCs/>
          <w:sz w:val="32"/>
          <w:szCs w:val="32"/>
        </w:rPr>
      </w:pPr>
      <w:bookmarkStart w:id="365" w:name="_Toc15395"/>
      <w:bookmarkStart w:id="366" w:name="_Toc16247"/>
      <w:r>
        <w:rPr>
          <w:rFonts w:hint="eastAsia" w:ascii="黑体" w:hAnsi="黑体" w:eastAsia="黑体" w:cs="黑体"/>
          <w:b/>
          <w:bCs/>
          <w:sz w:val="32"/>
          <w:szCs w:val="32"/>
        </w:rPr>
        <w:t>第四章 比选申请文件（格式）</w:t>
      </w:r>
      <w:bookmarkEnd w:id="365"/>
      <w:bookmarkEnd w:id="366"/>
      <w:bookmarkStart w:id="367" w:name="_Toc114052391"/>
    </w:p>
    <w:p w14:paraId="52E4BA6A">
      <w:pPr>
        <w:spacing w:line="480" w:lineRule="exact"/>
        <w:jc w:val="center"/>
        <w:rPr>
          <w:rFonts w:ascii="仿宋" w:hAnsi="仿宋" w:eastAsia="仿宋" w:cs="仿宋"/>
          <w:b/>
          <w:bCs/>
          <w:sz w:val="28"/>
          <w:szCs w:val="28"/>
        </w:rPr>
      </w:pPr>
    </w:p>
    <w:p w14:paraId="631FF1EF">
      <w:pPr>
        <w:spacing w:line="480" w:lineRule="exact"/>
        <w:jc w:val="center"/>
        <w:rPr>
          <w:rFonts w:ascii="仿宋" w:hAnsi="仿宋" w:eastAsia="仿宋" w:cs="仿宋"/>
          <w:b/>
          <w:bCs/>
          <w:sz w:val="28"/>
          <w:szCs w:val="28"/>
        </w:rPr>
      </w:pPr>
    </w:p>
    <w:p w14:paraId="361D3096">
      <w:pPr>
        <w:spacing w:line="48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（封面格式）</w:t>
      </w:r>
    </w:p>
    <w:p w14:paraId="0ADBD0CE">
      <w:pPr>
        <w:spacing w:line="480" w:lineRule="exact"/>
        <w:ind w:right="753"/>
        <w:jc w:val="left"/>
        <w:rPr>
          <w:rFonts w:ascii="仿宋" w:hAnsi="仿宋" w:eastAsia="仿宋" w:cs="仿宋"/>
          <w:sz w:val="28"/>
          <w:szCs w:val="28"/>
        </w:rPr>
      </w:pPr>
    </w:p>
    <w:p w14:paraId="33C86F4B">
      <w:pPr>
        <w:spacing w:line="480" w:lineRule="exact"/>
        <w:ind w:right="753"/>
        <w:jc w:val="left"/>
        <w:rPr>
          <w:rFonts w:ascii="仿宋" w:hAnsi="仿宋" w:eastAsia="仿宋" w:cs="仿宋"/>
          <w:sz w:val="28"/>
          <w:szCs w:val="28"/>
        </w:rPr>
      </w:pPr>
    </w:p>
    <w:p w14:paraId="71A0A8D1">
      <w:pPr>
        <w:spacing w:line="480" w:lineRule="exact"/>
        <w:ind w:right="753"/>
        <w:jc w:val="left"/>
        <w:rPr>
          <w:rFonts w:ascii="仿宋" w:hAnsi="仿宋" w:eastAsia="仿宋" w:cs="仿宋"/>
          <w:sz w:val="44"/>
          <w:szCs w:val="44"/>
        </w:rPr>
      </w:pPr>
    </w:p>
    <w:p w14:paraId="057CA8AE">
      <w:pPr>
        <w:spacing w:line="480" w:lineRule="exact"/>
        <w:jc w:val="center"/>
        <w:outlineLvl w:val="1"/>
        <w:rPr>
          <w:rFonts w:ascii="方正小标宋简体" w:hAnsi="方正小标宋简体" w:eastAsia="方正小标宋简体" w:cs="方正小标宋简体"/>
          <w:sz w:val="44"/>
          <w:szCs w:val="44"/>
        </w:rPr>
      </w:pPr>
      <w:bookmarkStart w:id="368" w:name="_Toc10229"/>
      <w:bookmarkStart w:id="369" w:name="_Toc30841"/>
      <w:r>
        <w:rPr>
          <w:rFonts w:hint="eastAsia" w:ascii="方正小标宋简体" w:hAnsi="方正小标宋简体" w:eastAsia="方正小标宋简体" w:cs="方正小标宋简体"/>
          <w:sz w:val="44"/>
          <w:szCs w:val="44"/>
        </w:rPr>
        <w:t>项目比选申请文件</w:t>
      </w:r>
      <w:bookmarkEnd w:id="368"/>
      <w:bookmarkStart w:id="370" w:name="_Toc31417"/>
      <w:bookmarkStart w:id="371" w:name="_Toc30478"/>
      <w:bookmarkStart w:id="372" w:name="_Toc10669"/>
      <w:bookmarkStart w:id="373" w:name="_Toc28203"/>
      <w:bookmarkStart w:id="374" w:name="_Toc16428"/>
      <w:bookmarkStart w:id="375" w:name="_Toc6045"/>
      <w:bookmarkStart w:id="376" w:name="_Toc18503"/>
      <w:bookmarkStart w:id="377" w:name="_Toc12677"/>
      <w:bookmarkStart w:id="378" w:name="_Toc22529"/>
      <w:bookmarkStart w:id="379" w:name="_Toc24727"/>
      <w:bookmarkStart w:id="380" w:name="_Toc461525322"/>
      <w:r>
        <w:rPr>
          <w:rFonts w:hint="eastAsia" w:ascii="方正小标宋简体" w:hAnsi="方正小标宋简体" w:eastAsia="方正小标宋简体" w:cs="方正小标宋简体"/>
          <w:sz w:val="44"/>
          <w:szCs w:val="44"/>
        </w:rPr>
        <w:t>资格审查部分</w:t>
      </w:r>
      <w:bookmarkEnd w:id="369"/>
      <w:bookmarkEnd w:id="370"/>
      <w:bookmarkEnd w:id="371"/>
      <w:bookmarkEnd w:id="372"/>
      <w:bookmarkEnd w:id="373"/>
      <w:bookmarkEnd w:id="374"/>
      <w:bookmarkEnd w:id="375"/>
      <w:bookmarkEnd w:id="376"/>
      <w:bookmarkEnd w:id="377"/>
      <w:bookmarkEnd w:id="378"/>
      <w:bookmarkEnd w:id="379"/>
      <w:bookmarkEnd w:id="380"/>
    </w:p>
    <w:p w14:paraId="1076D566">
      <w:pPr>
        <w:spacing w:line="480" w:lineRule="exact"/>
        <w:jc w:val="left"/>
        <w:rPr>
          <w:rFonts w:ascii="仿宋" w:hAnsi="仿宋" w:eastAsia="仿宋" w:cs="仿宋"/>
          <w:sz w:val="28"/>
          <w:szCs w:val="28"/>
        </w:rPr>
      </w:pPr>
    </w:p>
    <w:p w14:paraId="7E84771B">
      <w:pPr>
        <w:spacing w:line="480" w:lineRule="exact"/>
        <w:ind w:right="753"/>
        <w:jc w:val="left"/>
        <w:rPr>
          <w:rFonts w:ascii="仿宋" w:hAnsi="仿宋" w:eastAsia="仿宋" w:cs="仿宋"/>
          <w:sz w:val="28"/>
          <w:szCs w:val="28"/>
        </w:rPr>
      </w:pPr>
    </w:p>
    <w:p w14:paraId="3811B15D">
      <w:pPr>
        <w:spacing w:line="480" w:lineRule="exact"/>
        <w:ind w:right="753"/>
        <w:jc w:val="left"/>
        <w:rPr>
          <w:rFonts w:ascii="仿宋" w:hAnsi="仿宋" w:eastAsia="仿宋" w:cs="仿宋"/>
          <w:sz w:val="28"/>
          <w:szCs w:val="28"/>
        </w:rPr>
      </w:pPr>
    </w:p>
    <w:p w14:paraId="6A9B25B6">
      <w:pPr>
        <w:spacing w:line="480" w:lineRule="exact"/>
        <w:ind w:right="753"/>
        <w:jc w:val="left"/>
        <w:rPr>
          <w:rFonts w:ascii="仿宋" w:hAnsi="仿宋" w:eastAsia="仿宋" w:cs="仿宋"/>
          <w:sz w:val="28"/>
          <w:szCs w:val="28"/>
        </w:rPr>
      </w:pPr>
    </w:p>
    <w:p w14:paraId="36DF5B10">
      <w:pPr>
        <w:spacing w:line="480" w:lineRule="exact"/>
        <w:ind w:right="753"/>
        <w:jc w:val="left"/>
        <w:rPr>
          <w:rFonts w:ascii="仿宋" w:hAnsi="仿宋" w:eastAsia="仿宋" w:cs="仿宋"/>
          <w:sz w:val="28"/>
          <w:szCs w:val="28"/>
        </w:rPr>
      </w:pPr>
    </w:p>
    <w:p w14:paraId="700926F4">
      <w:pPr>
        <w:spacing w:line="480" w:lineRule="exact"/>
        <w:ind w:right="753"/>
        <w:jc w:val="left"/>
        <w:rPr>
          <w:rFonts w:ascii="仿宋" w:hAnsi="仿宋" w:eastAsia="仿宋" w:cs="仿宋"/>
          <w:sz w:val="28"/>
          <w:szCs w:val="28"/>
        </w:rPr>
      </w:pPr>
    </w:p>
    <w:p w14:paraId="3F0C9D51">
      <w:pPr>
        <w:spacing w:line="480" w:lineRule="exact"/>
        <w:ind w:right="753"/>
        <w:jc w:val="left"/>
        <w:rPr>
          <w:rFonts w:ascii="仿宋" w:hAnsi="仿宋" w:eastAsia="仿宋" w:cs="仿宋"/>
          <w:sz w:val="28"/>
          <w:szCs w:val="28"/>
        </w:rPr>
      </w:pPr>
    </w:p>
    <w:p w14:paraId="6AE154A3">
      <w:pPr>
        <w:spacing w:line="480" w:lineRule="exact"/>
        <w:ind w:right="753"/>
        <w:jc w:val="left"/>
        <w:rPr>
          <w:rFonts w:ascii="仿宋" w:hAnsi="仿宋" w:eastAsia="仿宋" w:cs="仿宋"/>
          <w:sz w:val="28"/>
          <w:szCs w:val="28"/>
        </w:rPr>
      </w:pPr>
    </w:p>
    <w:p w14:paraId="5EDD44E8">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w:t>
      </w:r>
      <w:bookmarkEnd w:id="367"/>
      <w:r>
        <w:rPr>
          <w:rFonts w:hint="eastAsia" w:ascii="仿宋_GB2312" w:hAnsi="仿宋_GB2312" w:eastAsia="仿宋_GB2312" w:cs="仿宋_GB2312"/>
          <w:sz w:val="28"/>
          <w:szCs w:val="28"/>
        </w:rPr>
        <w:t>请</w:t>
      </w:r>
      <w:bookmarkStart w:id="381" w:name="_Toc114052392"/>
      <w:r>
        <w:rPr>
          <w:rFonts w:hint="eastAsia" w:ascii="仿宋_GB2312" w:hAnsi="仿宋_GB2312" w:eastAsia="仿宋_GB2312" w:cs="仿宋_GB2312"/>
          <w:sz w:val="28"/>
          <w:szCs w:val="28"/>
        </w:rPr>
        <w:t>人：</w:t>
      </w:r>
      <w:bookmarkEnd w:id="381"/>
      <w:r>
        <w:rPr>
          <w:rFonts w:hint="eastAsia" w:ascii="仿宋_GB2312" w:hAnsi="仿宋_GB2312" w:eastAsia="仿宋_GB2312" w:cs="仿宋_GB2312"/>
          <w:sz w:val="28"/>
          <w:szCs w:val="28"/>
        </w:rPr>
        <w:t>（盖公司公章）</w:t>
      </w:r>
    </w:p>
    <w:p w14:paraId="3A1D9983">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负责人或委托代</w:t>
      </w:r>
      <w:bookmarkStart w:id="382" w:name="_Toc333307122"/>
      <w:r>
        <w:rPr>
          <w:rFonts w:hint="eastAsia" w:ascii="仿宋_GB2312" w:hAnsi="仿宋_GB2312" w:eastAsia="仿宋_GB2312" w:cs="仿宋_GB2312"/>
          <w:sz w:val="28"/>
          <w:szCs w:val="28"/>
        </w:rPr>
        <w:t>理人</w:t>
      </w:r>
      <w:bookmarkEnd w:id="382"/>
      <w:r>
        <w:rPr>
          <w:rFonts w:hint="eastAsia" w:ascii="仿宋_GB2312" w:hAnsi="仿宋_GB2312" w:eastAsia="仿宋_GB2312" w:cs="仿宋_GB2312"/>
          <w:sz w:val="28"/>
          <w:szCs w:val="28"/>
        </w:rPr>
        <w:t>：（签字或盖章）</w:t>
      </w:r>
    </w:p>
    <w:p w14:paraId="17925B1C">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电话/传真：</w:t>
      </w:r>
    </w:p>
    <w:p w14:paraId="43E7E299">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p>
    <w:p w14:paraId="66923A07">
      <w:pPr>
        <w:spacing w:line="480" w:lineRule="exact"/>
        <w:ind w:right="753" w:firstLine="3080" w:firstLineChars="1100"/>
        <w:rPr>
          <w:rFonts w:ascii="仿宋" w:hAnsi="仿宋" w:eastAsia="仿宋" w:cs="仿宋"/>
          <w:sz w:val="28"/>
          <w:szCs w:val="28"/>
        </w:rPr>
      </w:pPr>
    </w:p>
    <w:p w14:paraId="00BE90D5">
      <w:pPr>
        <w:spacing w:line="480" w:lineRule="exact"/>
        <w:ind w:right="753" w:firstLine="3360" w:firstLineChars="1200"/>
        <w:rPr>
          <w:rFonts w:ascii="仿宋_GB2312" w:hAnsi="仿宋_GB2312" w:eastAsia="仿宋_GB2312" w:cs="仿宋_GB2312"/>
          <w:sz w:val="28"/>
          <w:szCs w:val="28"/>
        </w:rPr>
      </w:pPr>
      <w:r>
        <w:rPr>
          <w:rFonts w:hint="eastAsia" w:ascii="仿宋_GB2312" w:hAnsi="仿宋_GB2312" w:eastAsia="仿宋_GB2312" w:cs="仿宋_GB2312"/>
          <w:sz w:val="28"/>
          <w:szCs w:val="28"/>
        </w:rPr>
        <w:t>2024年   月   日</w:t>
      </w:r>
    </w:p>
    <w:p w14:paraId="299AB868">
      <w:pPr>
        <w:spacing w:line="480" w:lineRule="exact"/>
        <w:ind w:right="753" w:firstLine="3360" w:firstLineChars="1200"/>
        <w:rPr>
          <w:rFonts w:ascii="仿宋" w:hAnsi="仿宋" w:eastAsia="仿宋" w:cs="仿宋"/>
          <w:sz w:val="28"/>
          <w:szCs w:val="28"/>
        </w:rPr>
      </w:pPr>
    </w:p>
    <w:p w14:paraId="5044DC82">
      <w:pPr>
        <w:spacing w:line="480" w:lineRule="exact"/>
        <w:ind w:right="753" w:firstLine="3360" w:firstLineChars="1200"/>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p>
    <w:p w14:paraId="0AAFD734">
      <w:pPr>
        <w:spacing w:line="480" w:lineRule="exact"/>
        <w:outlineLvl w:val="1"/>
        <w:rPr>
          <w:rFonts w:ascii="仿宋_GB2312" w:hAnsi="仿宋_GB2312" w:eastAsia="仿宋_GB2312" w:cs="仿宋_GB2312"/>
          <w:sz w:val="28"/>
          <w:szCs w:val="28"/>
        </w:rPr>
      </w:pPr>
      <w:bookmarkStart w:id="383" w:name="_Toc20698"/>
      <w:bookmarkStart w:id="384" w:name="_Toc5943"/>
      <w:bookmarkStart w:id="385" w:name="_Toc461525323"/>
      <w:bookmarkStart w:id="386" w:name="_Toc29495"/>
      <w:bookmarkStart w:id="387" w:name="_Toc7031"/>
      <w:bookmarkStart w:id="388" w:name="_Toc7514"/>
      <w:bookmarkStart w:id="389" w:name="_Toc13042"/>
      <w:bookmarkStart w:id="390" w:name="_Toc16191"/>
      <w:bookmarkStart w:id="391" w:name="_Toc24695"/>
      <w:bookmarkStart w:id="392" w:name="_Toc17090"/>
      <w:bookmarkStart w:id="393" w:name="_Toc7849"/>
      <w:bookmarkStart w:id="394" w:name="_Toc28967"/>
      <w:r>
        <w:rPr>
          <w:rFonts w:hint="eastAsia" w:ascii="仿宋_GB2312" w:hAnsi="仿宋_GB2312" w:eastAsia="仿宋_GB2312" w:cs="仿宋_GB2312"/>
          <w:b/>
          <w:bCs/>
          <w:sz w:val="32"/>
          <w:szCs w:val="32"/>
        </w:rPr>
        <w:t>一、资格审查章节目录</w:t>
      </w:r>
      <w:bookmarkEnd w:id="383"/>
      <w:bookmarkEnd w:id="384"/>
    </w:p>
    <w:p w14:paraId="1307C3C1">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1.诚信声明（原件）；</w:t>
      </w:r>
    </w:p>
    <w:p w14:paraId="59A43DAE">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2.比选函（原件）；</w:t>
      </w:r>
    </w:p>
    <w:p w14:paraId="71EB8A4E">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3.公司营业执照（复印件加盖公章）；</w:t>
      </w:r>
    </w:p>
    <w:p w14:paraId="6FD8925B">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4.公司法人身份证明（复印件加盖公章）；</w:t>
      </w:r>
    </w:p>
    <w:p w14:paraId="3209485E">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5.比选申请文件签署授权委托书（原件）</w:t>
      </w:r>
    </w:p>
    <w:p w14:paraId="297A7C62">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6.授权代表人身份证（复印件加盖公章）</w:t>
      </w:r>
    </w:p>
    <w:p w14:paraId="62495A1D">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7.其他。</w:t>
      </w:r>
    </w:p>
    <w:p w14:paraId="2FEDFA9F">
      <w:pPr>
        <w:spacing w:line="480" w:lineRule="exact"/>
        <w:ind w:right="-21"/>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备注：以上材料均需加盖单位公章，并按照目录顺序编排，标注页码</w:t>
      </w:r>
      <w:bookmarkEnd w:id="385"/>
      <w:bookmarkEnd w:id="386"/>
      <w:bookmarkEnd w:id="387"/>
      <w:bookmarkEnd w:id="388"/>
      <w:bookmarkEnd w:id="389"/>
      <w:bookmarkEnd w:id="390"/>
      <w:bookmarkEnd w:id="391"/>
      <w:bookmarkEnd w:id="392"/>
      <w:bookmarkEnd w:id="393"/>
      <w:bookmarkEnd w:id="394"/>
      <w:bookmarkStart w:id="395" w:name="_Toc27423"/>
      <w:bookmarkStart w:id="396" w:name="_Toc1582"/>
      <w:bookmarkStart w:id="397" w:name="_Toc461525324"/>
    </w:p>
    <w:p w14:paraId="401BBBDC">
      <w:pPr>
        <w:spacing w:line="480" w:lineRule="exact"/>
        <w:ind w:right="-21"/>
        <w:jc w:val="left"/>
        <w:rPr>
          <w:rFonts w:ascii="仿宋" w:hAnsi="仿宋" w:eastAsia="仿宋" w:cs="仿宋"/>
          <w:sz w:val="28"/>
          <w:szCs w:val="28"/>
        </w:rPr>
      </w:pPr>
    </w:p>
    <w:p w14:paraId="407FD68C">
      <w:pPr>
        <w:spacing w:line="480" w:lineRule="exact"/>
        <w:ind w:right="-21"/>
        <w:jc w:val="left"/>
        <w:rPr>
          <w:rFonts w:ascii="仿宋" w:hAnsi="仿宋" w:eastAsia="仿宋" w:cs="仿宋"/>
          <w:sz w:val="28"/>
          <w:szCs w:val="28"/>
        </w:rPr>
      </w:pPr>
    </w:p>
    <w:p w14:paraId="2C24740C">
      <w:pPr>
        <w:spacing w:line="480" w:lineRule="exact"/>
        <w:ind w:right="-21"/>
        <w:jc w:val="left"/>
        <w:outlineLvl w:val="2"/>
        <w:rPr>
          <w:rFonts w:ascii="仿宋_GB2312" w:hAnsi="仿宋_GB2312" w:eastAsia="仿宋_GB2312" w:cs="仿宋_GB2312"/>
          <w:b/>
          <w:bCs/>
          <w:sz w:val="32"/>
          <w:szCs w:val="32"/>
        </w:rPr>
      </w:pPr>
      <w:r>
        <w:rPr>
          <w:rFonts w:hint="eastAsia" w:ascii="仿宋" w:hAnsi="仿宋" w:eastAsia="仿宋" w:cs="仿宋"/>
          <w:sz w:val="28"/>
          <w:szCs w:val="28"/>
        </w:rPr>
        <w:br w:type="page"/>
      </w:r>
      <w:bookmarkEnd w:id="395"/>
      <w:bookmarkEnd w:id="396"/>
      <w:bookmarkEnd w:id="397"/>
      <w:bookmarkStart w:id="398" w:name="_Toc2282"/>
      <w:bookmarkStart w:id="399" w:name="_Toc14714"/>
      <w:bookmarkStart w:id="400" w:name="_Toc29347"/>
      <w:bookmarkStart w:id="401" w:name="_Toc32325"/>
      <w:bookmarkStart w:id="402" w:name="_Toc15071"/>
      <w:bookmarkStart w:id="403" w:name="_Toc18804"/>
      <w:bookmarkStart w:id="404" w:name="_Toc30157"/>
      <w:bookmarkStart w:id="405" w:name="_Toc15465"/>
      <w:bookmarkStart w:id="406" w:name="_Toc17531"/>
      <w:bookmarkStart w:id="407" w:name="_Toc29655"/>
      <w:bookmarkStart w:id="408" w:name="_Toc461525329"/>
      <w:bookmarkStart w:id="409" w:name="_Toc24466"/>
      <w:bookmarkStart w:id="410" w:name="_Toc26924"/>
      <w:r>
        <w:rPr>
          <w:rFonts w:hint="eastAsia" w:ascii="仿宋_GB2312" w:hAnsi="仿宋_GB2312" w:eastAsia="仿宋_GB2312" w:cs="仿宋_GB2312"/>
          <w:b/>
          <w:bCs/>
          <w:sz w:val="32"/>
          <w:szCs w:val="32"/>
        </w:rPr>
        <w:t>1.诚信声明</w:t>
      </w:r>
      <w:bookmarkEnd w:id="398"/>
    </w:p>
    <w:p w14:paraId="298CE59F">
      <w:pPr>
        <w:spacing w:line="480" w:lineRule="exact"/>
        <w:ind w:firstLine="560" w:firstLineChars="200"/>
        <w:rPr>
          <w:rFonts w:ascii="仿宋_GB2312" w:hAnsi="仿宋_GB2312" w:eastAsia="仿宋_GB2312" w:cs="仿宋_GB2312"/>
          <w:sz w:val="28"/>
          <w:szCs w:val="28"/>
        </w:rPr>
      </w:pPr>
    </w:p>
    <w:p w14:paraId="455F67D2">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本人（法定代表人、身份证号码）郑重声明：</w:t>
      </w:r>
    </w:p>
    <w:p w14:paraId="7F56BA67">
      <w:pPr>
        <w:spacing w:line="480" w:lineRule="exact"/>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（1）本公司参加</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采购项目比选活动所提交的所有资料、填写数据及所包含的附件资料内容是真实的、合法的、有效的；</w:t>
      </w:r>
    </w:p>
    <w:p w14:paraId="2D6E8EC7">
      <w:pPr>
        <w:spacing w:line="480" w:lineRule="exact"/>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（2）本公司未被国家、广西壮族自治区、南宁市相关行政主管部门通报停止投标活动，无犯罪行贿记录；</w:t>
      </w:r>
    </w:p>
    <w:p w14:paraId="391E8F0D">
      <w:pPr>
        <w:spacing w:line="480" w:lineRule="exact"/>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（3）同时，我在此所作的声明也是真实有效的，并愿意对在比选过程中有关部门的调查结果承担责任；</w:t>
      </w:r>
    </w:p>
    <w:p w14:paraId="30FC3E72">
      <w:pPr>
        <w:spacing w:line="480" w:lineRule="exact"/>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（4）本公司提交的所有比选申请资料如有不实，愿接受相关部门依据有关法律法规给予的处罚。</w:t>
      </w:r>
    </w:p>
    <w:p w14:paraId="230DB4EF">
      <w:pPr>
        <w:spacing w:line="480" w:lineRule="exact"/>
        <w:ind w:firstLine="548" w:firstLineChars="196"/>
        <w:rPr>
          <w:rFonts w:ascii="仿宋_GB2312" w:hAnsi="仿宋_GB2312" w:eastAsia="仿宋_GB2312" w:cs="仿宋_GB2312"/>
          <w:sz w:val="28"/>
          <w:szCs w:val="28"/>
        </w:rPr>
      </w:pPr>
    </w:p>
    <w:p w14:paraId="57E8038F">
      <w:pPr>
        <w:spacing w:line="480" w:lineRule="exact"/>
        <w:ind w:firstLine="548" w:firstLineChars="196"/>
        <w:rPr>
          <w:rFonts w:ascii="仿宋_GB2312" w:hAnsi="仿宋_GB2312" w:eastAsia="仿宋_GB2312" w:cs="仿宋_GB2312"/>
          <w:sz w:val="28"/>
          <w:szCs w:val="28"/>
        </w:rPr>
      </w:pPr>
    </w:p>
    <w:p w14:paraId="3FECC89F">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比选申请人（公章）</w:t>
      </w:r>
    </w:p>
    <w:p w14:paraId="3CF74B35">
      <w:pPr>
        <w:spacing w:line="480" w:lineRule="exact"/>
        <w:ind w:firstLine="548" w:firstLineChars="196"/>
        <w:rPr>
          <w:rFonts w:ascii="仿宋_GB2312" w:hAnsi="仿宋_GB2312" w:eastAsia="仿宋_GB2312" w:cs="仿宋_GB2312"/>
          <w:sz w:val="28"/>
          <w:szCs w:val="28"/>
        </w:rPr>
      </w:pPr>
    </w:p>
    <w:p w14:paraId="24C5C883">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负责人（签字或盖章）：</w:t>
      </w:r>
    </w:p>
    <w:p w14:paraId="7206C40E">
      <w:pPr>
        <w:spacing w:line="480" w:lineRule="exact"/>
        <w:ind w:firstLine="548" w:firstLineChars="196"/>
        <w:rPr>
          <w:rFonts w:ascii="仿宋_GB2312" w:hAnsi="仿宋_GB2312" w:eastAsia="仿宋_GB2312" w:cs="仿宋_GB2312"/>
          <w:sz w:val="28"/>
          <w:szCs w:val="28"/>
        </w:rPr>
      </w:pPr>
    </w:p>
    <w:p w14:paraId="11D2EAC7">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bookmarkEnd w:id="399"/>
    <w:bookmarkEnd w:id="400"/>
    <w:bookmarkEnd w:id="401"/>
    <w:bookmarkEnd w:id="402"/>
    <w:bookmarkEnd w:id="403"/>
    <w:bookmarkEnd w:id="404"/>
    <w:bookmarkEnd w:id="405"/>
    <w:bookmarkEnd w:id="406"/>
    <w:bookmarkEnd w:id="407"/>
    <w:bookmarkEnd w:id="408"/>
    <w:bookmarkEnd w:id="409"/>
    <w:bookmarkEnd w:id="410"/>
    <w:p w14:paraId="059BA3D9">
      <w:pPr>
        <w:spacing w:line="480" w:lineRule="exact"/>
        <w:ind w:right="-21" w:firstLine="321" w:firstLineChars="100"/>
        <w:jc w:val="left"/>
        <w:rPr>
          <w:rFonts w:ascii="仿宋" w:hAnsi="仿宋" w:eastAsia="仿宋" w:cs="仿宋"/>
          <w:b/>
          <w:bCs/>
          <w:sz w:val="32"/>
          <w:szCs w:val="32"/>
        </w:rPr>
        <w:sectPr>
          <w:pgSz w:w="11906" w:h="16838"/>
          <w:pgMar w:top="2098" w:right="1474" w:bottom="1984" w:left="1587" w:header="851" w:footer="992" w:gutter="0"/>
          <w:pgNumType w:fmt="numberInDash"/>
          <w:cols w:space="720" w:num="1"/>
          <w:docGrid w:type="lines" w:linePitch="312" w:charSpace="0"/>
        </w:sectPr>
      </w:pPr>
      <w:bookmarkStart w:id="411" w:name="_Toc6606"/>
      <w:bookmarkStart w:id="412" w:name="_Toc28436"/>
      <w:bookmarkStart w:id="413" w:name="_Toc750"/>
      <w:bookmarkStart w:id="414" w:name="_Toc32075"/>
      <w:bookmarkStart w:id="415" w:name="_Toc25670"/>
      <w:bookmarkStart w:id="416" w:name="_Toc7760"/>
      <w:bookmarkStart w:id="417" w:name="_Toc3498"/>
      <w:bookmarkStart w:id="418" w:name="_Toc19937"/>
      <w:bookmarkStart w:id="419" w:name="_Toc16756"/>
    </w:p>
    <w:p w14:paraId="074A7CB6">
      <w:pPr>
        <w:spacing w:line="480" w:lineRule="exact"/>
        <w:ind w:right="-21"/>
        <w:jc w:val="left"/>
        <w:outlineLvl w:val="2"/>
        <w:rPr>
          <w:rFonts w:ascii="仿宋_GB2312" w:hAnsi="仿宋_GB2312" w:eastAsia="仿宋_GB2312" w:cs="仿宋_GB2312"/>
          <w:b/>
          <w:bCs/>
          <w:sz w:val="32"/>
          <w:szCs w:val="32"/>
        </w:rPr>
      </w:pPr>
      <w:bookmarkStart w:id="420" w:name="_Toc11895"/>
      <w:r>
        <w:rPr>
          <w:rFonts w:hint="eastAsia" w:ascii="仿宋_GB2312" w:hAnsi="仿宋_GB2312" w:eastAsia="仿宋_GB2312" w:cs="仿宋_GB2312"/>
          <w:b/>
          <w:bCs/>
          <w:sz w:val="32"/>
          <w:szCs w:val="32"/>
        </w:rPr>
        <w:t>2.比选函（格式）</w:t>
      </w:r>
      <w:bookmarkEnd w:id="420"/>
    </w:p>
    <w:p w14:paraId="611AEB93">
      <w:pPr>
        <w:spacing w:line="480" w:lineRule="exact"/>
        <w:ind w:right="565" w:rightChars="269"/>
        <w:jc w:val="left"/>
        <w:rPr>
          <w:rFonts w:ascii="仿宋_GB2312" w:hAnsi="仿宋_GB2312" w:eastAsia="仿宋_GB2312" w:cs="仿宋_GB2312"/>
          <w:sz w:val="28"/>
          <w:szCs w:val="28"/>
        </w:rPr>
      </w:pPr>
    </w:p>
    <w:p w14:paraId="7A18864F">
      <w:pPr>
        <w:spacing w:line="480" w:lineRule="exact"/>
        <w:ind w:right="565" w:rightChars="269"/>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致：南宁轨道数智科技有限公司</w:t>
      </w:r>
    </w:p>
    <w:p w14:paraId="676750DF">
      <w:pPr>
        <w:spacing w:line="480" w:lineRule="exact"/>
        <w:ind w:right="-21" w:rightChars="-10" w:firstLine="482"/>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根据贵方提供的</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sz w:val="28"/>
          <w:szCs w:val="28"/>
        </w:rPr>
        <w:t>项目比选文件，我方正式授权下述签字人（姓名和职务）全权代表我方（比选申请人全称）参加贵方组织的有关比选活动，并提交下述文件：</w:t>
      </w:r>
    </w:p>
    <w:p w14:paraId="679355DB">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一、资格审查文件正本一份，副本四份</w:t>
      </w:r>
    </w:p>
    <w:p w14:paraId="5C7274FF">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二、商务部分文件正本一份，副本四份</w:t>
      </w:r>
    </w:p>
    <w:p w14:paraId="6A768570">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三、技术部分文件正本一份，副本四份</w:t>
      </w:r>
    </w:p>
    <w:p w14:paraId="0AB1A6AE">
      <w:pPr>
        <w:spacing w:line="480" w:lineRule="exact"/>
        <w:ind w:right="565" w:rightChars="269" w:firstLine="420"/>
        <w:jc w:val="left"/>
        <w:rPr>
          <w:rFonts w:ascii="仿宋_GB2312" w:hAnsi="仿宋_GB2312" w:eastAsia="仿宋_GB2312" w:cs="仿宋_GB2312"/>
          <w:sz w:val="28"/>
          <w:szCs w:val="28"/>
        </w:rPr>
      </w:pPr>
    </w:p>
    <w:p w14:paraId="6A036559">
      <w:pPr>
        <w:spacing w:line="480" w:lineRule="exact"/>
        <w:ind w:right="565" w:rightChars="269" w:firstLine="42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据此函，签字人兹宣布同意如下：</w:t>
      </w:r>
    </w:p>
    <w:p w14:paraId="25B368D0">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1.我方同意在比选申请人须知规定的提交比选申请文件截止日期起遵循本比选文件，并在比选申请文件有效期满之前均具有约束力，并有可能中选。</w:t>
      </w:r>
    </w:p>
    <w:p w14:paraId="6873C7D7">
      <w:pPr>
        <w:spacing w:line="480" w:lineRule="exact"/>
        <w:ind w:right="565" w:rightChars="269" w:firstLine="560" w:firstLineChars="200"/>
        <w:jc w:val="left"/>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2.我方承诺已经具备比选申请人应当具备的条件：</w:t>
      </w:r>
    </w:p>
    <w:p w14:paraId="38A953AE">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（1）经司法行政部门依法批准成立</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年以上。</w:t>
      </w:r>
    </w:p>
    <w:p w14:paraId="7C99CA93">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（2）参加此项比选活动前</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年内没有受到行政处罚或行业处分。</w:t>
      </w:r>
    </w:p>
    <w:p w14:paraId="3D0353D3">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（3）具有独立承担民事责任的能力；</w:t>
      </w:r>
    </w:p>
    <w:p w14:paraId="5B5C7C99">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（4）未被国家、广西壮族自治区、南宁市相关行政主管部门通报停止投标活动，无犯罪行贿记录。</w:t>
      </w:r>
    </w:p>
    <w:p w14:paraId="73C5165D">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（5）具有良好的商业信誉和健全的财务会计制度，具备较强的风险承受能力。</w:t>
      </w:r>
    </w:p>
    <w:p w14:paraId="0717F28F">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（6）具有履行合同所必需的设备和专业技术能力；</w:t>
      </w:r>
    </w:p>
    <w:p w14:paraId="50A3CD5C">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（7）有依法缴纳税收和社会保障资金的良好记录。</w:t>
      </w:r>
    </w:p>
    <w:p w14:paraId="742B26DF">
      <w:pPr>
        <w:spacing w:line="480" w:lineRule="exact"/>
        <w:ind w:right="565" w:rightChars="269" w:firstLine="560" w:firstLineChars="200"/>
        <w:jc w:val="left"/>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3.我方根据比选文件的规定，承担完成合同的责任和义务。</w:t>
      </w:r>
    </w:p>
    <w:p w14:paraId="2EBF576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4.我方已详细对照比选文件，我方知道必须放弃提出含糊不清或误解问题的权利</w:t>
      </w:r>
    </w:p>
    <w:p w14:paraId="41CE285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5.同意应贵方要求提供与本比选项目有关的任何数据或资料。</w:t>
      </w:r>
    </w:p>
    <w:p w14:paraId="57EA28DE">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6.若贵方需要，我方愿意提供我方作出的一切承诺的证明材料。</w:t>
      </w:r>
    </w:p>
    <w:p w14:paraId="4A50490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7.我方将严格遵守规定，我方有下列情形之一的，将接受贵方列入不良行为记录名单、追究法律责任等处罚：</w:t>
      </w:r>
    </w:p>
    <w:p w14:paraId="57ACA976">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（1）提供虚假材料谋取中选、成交的；</w:t>
      </w:r>
    </w:p>
    <w:p w14:paraId="4475CB6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（2）采取不正当手段诋毁、排挤其他比选申请人的；</w:t>
      </w:r>
    </w:p>
    <w:p w14:paraId="70378979">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（3）与其他比选申请人恶意串通的；</w:t>
      </w:r>
    </w:p>
    <w:p w14:paraId="775FA78E">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（4）向比选人行贿或者提供其他不正当利益的；</w:t>
      </w:r>
    </w:p>
    <w:p w14:paraId="2117BB9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（5）拒绝有关部门监督检查或提供虚假情况的。</w:t>
      </w:r>
    </w:p>
    <w:p w14:paraId="666CB73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与本比选活动有关的正式通讯地址为：</w:t>
      </w:r>
    </w:p>
    <w:p w14:paraId="5E924349">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p>
    <w:p w14:paraId="37405D9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邮政编码：</w:t>
      </w:r>
    </w:p>
    <w:p w14:paraId="666C6998">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电话：</w:t>
      </w:r>
    </w:p>
    <w:p w14:paraId="4CDFE5B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传真：</w:t>
      </w:r>
    </w:p>
    <w:p w14:paraId="349AD12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开户名称：</w:t>
      </w:r>
    </w:p>
    <w:p w14:paraId="166FC81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开户银行：</w:t>
      </w:r>
    </w:p>
    <w:p w14:paraId="453F0F2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账号</w:t>
      </w:r>
      <w:r>
        <w:rPr>
          <w:rFonts w:hint="eastAsia" w:ascii="仿宋_GB2312" w:hAnsi="仿宋_GB2312" w:eastAsia="仿宋_GB2312" w:cs="仿宋_GB2312"/>
          <w:sz w:val="28"/>
          <w:szCs w:val="28"/>
        </w:rPr>
        <w:t>：</w:t>
      </w:r>
    </w:p>
    <w:p w14:paraId="6F63DCA0">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负责人或其委托代理人（签名或盖章）：</w:t>
      </w:r>
    </w:p>
    <w:p w14:paraId="53AF8920">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比选申请人盖公章：</w:t>
      </w:r>
    </w:p>
    <w:p w14:paraId="149882CF">
      <w:pPr>
        <w:spacing w:line="480" w:lineRule="exact"/>
        <w:ind w:right="565" w:rightChars="269" w:firstLine="1960" w:firstLineChars="7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年   月   日</w:t>
      </w:r>
    </w:p>
    <w:p w14:paraId="32804288">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注：未按照本比选函的格式要求填写比选函的，将视为不满</w:t>
      </w:r>
      <w:bookmarkStart w:id="421" w:name="_Toc1460"/>
      <w:r>
        <w:rPr>
          <w:rFonts w:hint="eastAsia" w:ascii="仿宋_GB2312" w:hAnsi="仿宋_GB2312" w:eastAsia="仿宋_GB2312" w:cs="仿宋_GB2312"/>
          <w:sz w:val="28"/>
          <w:szCs w:val="28"/>
        </w:rPr>
        <w:t>足比选文</w:t>
      </w:r>
      <w:bookmarkEnd w:id="421"/>
      <w:r>
        <w:rPr>
          <w:rFonts w:hint="eastAsia" w:ascii="仿宋_GB2312" w:hAnsi="仿宋_GB2312" w:eastAsia="仿宋_GB2312" w:cs="仿宋_GB2312"/>
          <w:sz w:val="28"/>
          <w:szCs w:val="28"/>
        </w:rPr>
        <w:t>件要求，从而导致该比选申请人竞选无效。</w:t>
      </w:r>
    </w:p>
    <w:p w14:paraId="13182F96">
      <w:pPr>
        <w:spacing w:line="480" w:lineRule="exact"/>
        <w:ind w:right="565" w:rightChars="269"/>
        <w:jc w:val="left"/>
        <w:rPr>
          <w:rFonts w:ascii="仿宋" w:hAnsi="仿宋" w:eastAsia="仿宋" w:cs="仿宋"/>
          <w:sz w:val="28"/>
          <w:szCs w:val="28"/>
        </w:rPr>
      </w:pPr>
    </w:p>
    <w:p w14:paraId="5CEF2F53">
      <w:pPr>
        <w:spacing w:line="480" w:lineRule="exact"/>
        <w:ind w:right="565" w:rightChars="269" w:firstLine="560" w:firstLineChars="200"/>
        <w:jc w:val="left"/>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p>
    <w:bookmarkEnd w:id="411"/>
    <w:bookmarkEnd w:id="412"/>
    <w:bookmarkEnd w:id="413"/>
    <w:bookmarkEnd w:id="414"/>
    <w:bookmarkEnd w:id="415"/>
    <w:bookmarkEnd w:id="416"/>
    <w:bookmarkEnd w:id="417"/>
    <w:bookmarkEnd w:id="418"/>
    <w:bookmarkEnd w:id="419"/>
    <w:p w14:paraId="6894D539">
      <w:pPr>
        <w:spacing w:line="480" w:lineRule="exact"/>
        <w:ind w:right="-21"/>
        <w:jc w:val="left"/>
        <w:outlineLvl w:val="2"/>
        <w:rPr>
          <w:rFonts w:ascii="仿宋" w:hAnsi="仿宋" w:eastAsia="仿宋" w:cs="仿宋"/>
          <w:b/>
          <w:bCs/>
          <w:sz w:val="32"/>
          <w:szCs w:val="32"/>
        </w:rPr>
      </w:pPr>
      <w:bookmarkStart w:id="422" w:name="_Toc24722"/>
      <w:r>
        <w:rPr>
          <w:rFonts w:hint="eastAsia" w:ascii="仿宋" w:hAnsi="仿宋" w:eastAsia="仿宋" w:cs="仿宋"/>
          <w:b/>
          <w:bCs/>
          <w:sz w:val="32"/>
          <w:szCs w:val="32"/>
        </w:rPr>
        <w:t>3.公司营业执照（复印件加盖公章）</w:t>
      </w:r>
      <w:bookmarkEnd w:id="422"/>
    </w:p>
    <w:p w14:paraId="6B53066C">
      <w:pPr>
        <w:spacing w:line="480" w:lineRule="exact"/>
        <w:ind w:right="-21"/>
        <w:jc w:val="left"/>
        <w:rPr>
          <w:rFonts w:ascii="仿宋" w:hAnsi="仿宋" w:eastAsia="仿宋" w:cs="仿宋"/>
          <w:b/>
          <w:bCs/>
          <w:sz w:val="32"/>
          <w:szCs w:val="32"/>
        </w:rPr>
      </w:pPr>
    </w:p>
    <w:p w14:paraId="3A2EAF2C">
      <w:pPr>
        <w:spacing w:line="480" w:lineRule="exact"/>
        <w:ind w:right="-21"/>
        <w:jc w:val="left"/>
        <w:rPr>
          <w:rFonts w:ascii="仿宋" w:hAnsi="仿宋" w:eastAsia="仿宋" w:cs="仿宋"/>
          <w:b/>
          <w:bCs/>
          <w:sz w:val="32"/>
          <w:szCs w:val="32"/>
        </w:rPr>
        <w:sectPr>
          <w:pgSz w:w="11906" w:h="16838"/>
          <w:pgMar w:top="2098" w:right="1474" w:bottom="1984" w:left="1587" w:header="851" w:footer="992" w:gutter="0"/>
          <w:pgNumType w:fmt="numberInDash"/>
          <w:cols w:space="720" w:num="1"/>
          <w:docGrid w:type="lines" w:linePitch="312" w:charSpace="0"/>
        </w:sectPr>
      </w:pPr>
    </w:p>
    <w:p w14:paraId="54C4C70B">
      <w:pPr>
        <w:spacing w:line="480" w:lineRule="exact"/>
        <w:ind w:right="-21"/>
        <w:jc w:val="left"/>
        <w:outlineLvl w:val="2"/>
        <w:rPr>
          <w:rFonts w:ascii="仿宋" w:hAnsi="仿宋" w:eastAsia="仿宋" w:cs="仿宋"/>
          <w:b/>
          <w:bCs/>
          <w:sz w:val="32"/>
          <w:szCs w:val="32"/>
        </w:rPr>
      </w:pPr>
      <w:bookmarkStart w:id="423" w:name="_Toc27118"/>
      <w:r>
        <w:rPr>
          <w:rFonts w:hint="eastAsia" w:ascii="仿宋" w:hAnsi="仿宋" w:eastAsia="仿宋" w:cs="仿宋"/>
          <w:b/>
          <w:bCs/>
          <w:sz w:val="32"/>
          <w:szCs w:val="32"/>
        </w:rPr>
        <w:t>4.公司法人身份证明（复印件加盖公章）</w:t>
      </w:r>
      <w:bookmarkEnd w:id="423"/>
    </w:p>
    <w:p w14:paraId="4E3A2EBA">
      <w:pPr>
        <w:spacing w:line="480" w:lineRule="exact"/>
        <w:ind w:right="-21"/>
        <w:jc w:val="left"/>
        <w:rPr>
          <w:rFonts w:ascii="仿宋" w:hAnsi="仿宋" w:eastAsia="仿宋" w:cs="仿宋"/>
          <w:b/>
          <w:bCs/>
          <w:sz w:val="32"/>
          <w:szCs w:val="32"/>
        </w:rPr>
      </w:pPr>
    </w:p>
    <w:p w14:paraId="3DF2FA9E">
      <w:pPr>
        <w:spacing w:line="480" w:lineRule="exact"/>
        <w:ind w:right="-21"/>
        <w:jc w:val="left"/>
        <w:rPr>
          <w:rFonts w:ascii="仿宋" w:hAnsi="仿宋" w:eastAsia="仿宋" w:cs="仿宋"/>
          <w:b/>
          <w:bCs/>
          <w:sz w:val="32"/>
          <w:szCs w:val="32"/>
        </w:rPr>
        <w:sectPr>
          <w:pgSz w:w="11906" w:h="16838"/>
          <w:pgMar w:top="2098" w:right="1474" w:bottom="1984" w:left="1587" w:header="851" w:footer="992" w:gutter="0"/>
          <w:pgNumType w:fmt="numberInDash"/>
          <w:cols w:space="720" w:num="1"/>
          <w:docGrid w:type="lines" w:linePitch="312" w:charSpace="0"/>
        </w:sectPr>
      </w:pPr>
      <w:bookmarkStart w:id="424" w:name="_Toc21578"/>
      <w:bookmarkStart w:id="425" w:name="_Toc20164"/>
      <w:bookmarkStart w:id="426" w:name="_Toc12228"/>
      <w:bookmarkStart w:id="427" w:name="_Toc15718"/>
      <w:bookmarkStart w:id="428" w:name="_Toc461525326"/>
      <w:bookmarkStart w:id="429" w:name="_Toc32606"/>
      <w:bookmarkStart w:id="430" w:name="_Toc27593"/>
      <w:bookmarkStart w:id="431" w:name="_Toc31680"/>
      <w:bookmarkStart w:id="432" w:name="_Toc14553"/>
      <w:bookmarkStart w:id="433" w:name="_Toc2861"/>
      <w:bookmarkStart w:id="434" w:name="_Toc16140"/>
      <w:bookmarkStart w:id="435" w:name="_Toc24923"/>
    </w:p>
    <w:p w14:paraId="0F584BCC">
      <w:pPr>
        <w:spacing w:line="480" w:lineRule="exact"/>
        <w:ind w:right="-21"/>
        <w:jc w:val="left"/>
        <w:outlineLvl w:val="2"/>
        <w:rPr>
          <w:rFonts w:ascii="仿宋" w:hAnsi="仿宋" w:eastAsia="仿宋" w:cs="仿宋"/>
          <w:b/>
          <w:bCs/>
          <w:sz w:val="32"/>
          <w:szCs w:val="32"/>
        </w:rPr>
      </w:pPr>
      <w:bookmarkStart w:id="436" w:name="_Toc5891"/>
      <w:r>
        <w:rPr>
          <w:rFonts w:hint="eastAsia" w:ascii="仿宋" w:hAnsi="仿宋" w:eastAsia="仿宋" w:cs="仿宋"/>
          <w:b/>
          <w:bCs/>
          <w:sz w:val="32"/>
          <w:szCs w:val="32"/>
        </w:rPr>
        <w:t>5.授权委托书</w:t>
      </w:r>
      <w:bookmarkEnd w:id="424"/>
      <w:bookmarkEnd w:id="425"/>
      <w:r>
        <w:rPr>
          <w:rFonts w:hint="eastAsia" w:ascii="仿宋" w:hAnsi="仿宋" w:eastAsia="仿宋" w:cs="仿宋"/>
          <w:b/>
          <w:bCs/>
          <w:sz w:val="32"/>
          <w:szCs w:val="32"/>
        </w:rPr>
        <w:t>（格式）</w:t>
      </w:r>
      <w:bookmarkEnd w:id="426"/>
      <w:bookmarkEnd w:id="427"/>
      <w:bookmarkEnd w:id="428"/>
      <w:bookmarkEnd w:id="429"/>
      <w:bookmarkEnd w:id="430"/>
      <w:bookmarkEnd w:id="431"/>
      <w:bookmarkEnd w:id="432"/>
      <w:bookmarkEnd w:id="433"/>
      <w:bookmarkEnd w:id="434"/>
      <w:bookmarkEnd w:id="435"/>
      <w:bookmarkEnd w:id="436"/>
    </w:p>
    <w:p w14:paraId="66DCCEE4">
      <w:pPr>
        <w:spacing w:line="480" w:lineRule="exact"/>
        <w:ind w:left="279" w:leftChars="133" w:right="565" w:rightChars="269" w:firstLine="280" w:firstLineChars="100"/>
        <w:jc w:val="left"/>
        <w:rPr>
          <w:rFonts w:ascii="仿宋" w:hAnsi="仿宋" w:eastAsia="仿宋" w:cs="仿宋"/>
          <w:sz w:val="28"/>
          <w:szCs w:val="28"/>
        </w:rPr>
      </w:pPr>
    </w:p>
    <w:p w14:paraId="6A18E947">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本授权委托书声明：我系</w:t>
      </w:r>
      <w:r>
        <w:rPr>
          <w:rFonts w:hint="eastAsia" w:ascii="仿宋" w:hAnsi="仿宋" w:eastAsia="仿宋" w:cs="仿宋"/>
          <w:sz w:val="28"/>
          <w:szCs w:val="28"/>
          <w:u w:val="single"/>
        </w:rPr>
        <w:t xml:space="preserve">        </w:t>
      </w:r>
      <w:r>
        <w:rPr>
          <w:rFonts w:hint="eastAsia" w:ascii="仿宋" w:hAnsi="仿宋" w:eastAsia="仿宋" w:cs="仿宋"/>
          <w:sz w:val="28"/>
          <w:szCs w:val="28"/>
        </w:rPr>
        <w:t>的负责人，现授权委托</w:t>
      </w:r>
      <w:r>
        <w:rPr>
          <w:rFonts w:hint="eastAsia" w:ascii="仿宋" w:hAnsi="仿宋" w:eastAsia="仿宋" w:cs="仿宋"/>
          <w:sz w:val="28"/>
          <w:szCs w:val="28"/>
          <w:u w:val="single"/>
        </w:rPr>
        <w:t xml:space="preserve">     </w:t>
      </w:r>
      <w:r>
        <w:rPr>
          <w:rFonts w:hint="eastAsia" w:ascii="仿宋" w:hAnsi="仿宋" w:eastAsia="仿宋" w:cs="仿宋"/>
          <w:sz w:val="28"/>
          <w:szCs w:val="28"/>
        </w:rPr>
        <w:t>为我公司代理人，以本公司名义参加项目的比选活动。代理人在评比、评比、合</w:t>
      </w:r>
      <w:bookmarkStart w:id="437" w:name="_Toc114052397"/>
      <w:r>
        <w:rPr>
          <w:rFonts w:hint="eastAsia" w:ascii="仿宋" w:hAnsi="仿宋" w:eastAsia="仿宋" w:cs="仿宋"/>
          <w:sz w:val="28"/>
          <w:szCs w:val="28"/>
        </w:rPr>
        <w:t>同谈判过程中所签署的一切文</w:t>
      </w:r>
      <w:bookmarkEnd w:id="437"/>
      <w:r>
        <w:rPr>
          <w:rFonts w:hint="eastAsia" w:ascii="仿宋" w:hAnsi="仿宋" w:eastAsia="仿宋" w:cs="仿宋"/>
          <w:sz w:val="28"/>
          <w:szCs w:val="28"/>
        </w:rPr>
        <w:t>件和处理与之有关的一切事务，我均予以确认。</w:t>
      </w:r>
    </w:p>
    <w:p w14:paraId="5A7D5A15">
      <w:pPr>
        <w:spacing w:line="480" w:lineRule="exact"/>
        <w:ind w:right="565" w:rightChars="269"/>
        <w:jc w:val="left"/>
        <w:rPr>
          <w:rFonts w:ascii="仿宋" w:hAnsi="仿宋" w:eastAsia="仿宋" w:cs="仿宋"/>
          <w:sz w:val="28"/>
          <w:szCs w:val="28"/>
        </w:rPr>
      </w:pPr>
    </w:p>
    <w:p w14:paraId="2C580A3F">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代理人无转委权。特此委托。</w:t>
      </w:r>
    </w:p>
    <w:p w14:paraId="5F5D8224">
      <w:pPr>
        <w:spacing w:line="480" w:lineRule="exact"/>
        <w:ind w:right="565" w:rightChars="269"/>
        <w:jc w:val="left"/>
        <w:rPr>
          <w:rFonts w:ascii="仿宋" w:hAnsi="仿宋" w:eastAsia="仿宋" w:cs="仿宋"/>
          <w:sz w:val="28"/>
          <w:szCs w:val="28"/>
        </w:rPr>
      </w:pPr>
    </w:p>
    <w:p w14:paraId="69E3CE4F">
      <w:pPr>
        <w:spacing w:line="480" w:lineRule="exact"/>
        <w:ind w:right="565" w:rightChars="269"/>
        <w:jc w:val="left"/>
        <w:rPr>
          <w:rFonts w:ascii="仿宋" w:hAnsi="仿宋" w:eastAsia="仿宋" w:cs="仿宋"/>
          <w:sz w:val="28"/>
          <w:szCs w:val="28"/>
        </w:rPr>
      </w:pPr>
    </w:p>
    <w:p w14:paraId="484234EA">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代理人：</w:t>
      </w:r>
    </w:p>
    <w:p w14:paraId="74E6F5A5">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性别：</w:t>
      </w:r>
    </w:p>
    <w:p w14:paraId="36712BBD">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年龄：</w:t>
      </w:r>
    </w:p>
    <w:p w14:paraId="06ACD54F">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单</w:t>
      </w:r>
      <w:bookmarkStart w:id="438" w:name="_Toc114052398"/>
      <w:r>
        <w:rPr>
          <w:rFonts w:hint="eastAsia" w:ascii="仿宋" w:hAnsi="仿宋" w:eastAsia="仿宋" w:cs="仿宋"/>
          <w:sz w:val="28"/>
          <w:szCs w:val="28"/>
        </w:rPr>
        <w:t>位：</w:t>
      </w:r>
      <w:bookmarkEnd w:id="438"/>
      <w:bookmarkStart w:id="439" w:name="_Toc114052399"/>
    </w:p>
    <w:p w14:paraId="027A6A8A">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部门：</w:t>
      </w:r>
      <w:bookmarkEnd w:id="439"/>
    </w:p>
    <w:p w14:paraId="0A4C1220">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职务：</w:t>
      </w:r>
    </w:p>
    <w:p w14:paraId="07DDB0B8">
      <w:pPr>
        <w:spacing w:line="480" w:lineRule="exact"/>
        <w:ind w:right="565" w:rightChars="269"/>
        <w:jc w:val="left"/>
        <w:rPr>
          <w:rFonts w:ascii="仿宋" w:hAnsi="仿宋" w:eastAsia="仿宋" w:cs="仿宋"/>
          <w:sz w:val="28"/>
          <w:szCs w:val="28"/>
        </w:rPr>
      </w:pPr>
    </w:p>
    <w:p w14:paraId="6F1AC6F3">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比选申请人：（盖公章）</w:t>
      </w:r>
    </w:p>
    <w:p w14:paraId="41657B70">
      <w:pPr>
        <w:spacing w:line="480" w:lineRule="exact"/>
        <w:ind w:right="565" w:rightChars="269"/>
        <w:jc w:val="left"/>
        <w:rPr>
          <w:rFonts w:ascii="仿宋" w:hAnsi="仿宋" w:eastAsia="仿宋" w:cs="仿宋"/>
          <w:sz w:val="28"/>
          <w:szCs w:val="28"/>
        </w:rPr>
      </w:pPr>
    </w:p>
    <w:p w14:paraId="6FF8CC5C">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负责人：（签字或盖章）</w:t>
      </w:r>
    </w:p>
    <w:p w14:paraId="0CFEFC50">
      <w:pPr>
        <w:spacing w:line="480" w:lineRule="exact"/>
        <w:ind w:right="565" w:rightChars="269"/>
        <w:jc w:val="left"/>
        <w:rPr>
          <w:rFonts w:ascii="仿宋" w:hAnsi="仿宋" w:eastAsia="仿宋" w:cs="仿宋"/>
          <w:sz w:val="28"/>
          <w:szCs w:val="28"/>
        </w:rPr>
      </w:pPr>
    </w:p>
    <w:p w14:paraId="6B542E62">
      <w:pPr>
        <w:spacing w:line="480" w:lineRule="exact"/>
        <w:ind w:right="565" w:rightChars="269"/>
        <w:jc w:val="left"/>
        <w:rPr>
          <w:rFonts w:ascii="仿宋" w:hAnsi="仿宋" w:eastAsia="仿宋" w:cs="仿宋"/>
          <w:sz w:val="28"/>
          <w:szCs w:val="28"/>
        </w:rPr>
      </w:pPr>
    </w:p>
    <w:p w14:paraId="58E35EC3">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日期：</w:t>
      </w:r>
      <w:bookmarkStart w:id="440" w:name="_Toc333307132"/>
      <w:bookmarkStart w:id="441" w:name="_Toc6110"/>
      <w:r>
        <w:rPr>
          <w:rFonts w:hint="eastAsia" w:ascii="仿宋" w:hAnsi="仿宋" w:eastAsia="仿宋" w:cs="仿宋"/>
          <w:sz w:val="28"/>
          <w:szCs w:val="28"/>
        </w:rPr>
        <w:t>年</w:t>
      </w:r>
      <w:bookmarkEnd w:id="440"/>
      <w:bookmarkEnd w:id="441"/>
      <w:r>
        <w:rPr>
          <w:rFonts w:hint="eastAsia" w:ascii="仿宋" w:hAnsi="仿宋" w:eastAsia="仿宋" w:cs="仿宋"/>
          <w:sz w:val="28"/>
          <w:szCs w:val="28"/>
        </w:rPr>
        <w:t xml:space="preserve"> 月 日</w:t>
      </w:r>
    </w:p>
    <w:p w14:paraId="589F5F7E">
      <w:pPr>
        <w:spacing w:line="480" w:lineRule="exact"/>
        <w:ind w:right="565" w:rightChars="269"/>
        <w:jc w:val="left"/>
        <w:rPr>
          <w:rFonts w:ascii="仿宋" w:hAnsi="仿宋" w:eastAsia="仿宋" w:cs="仿宋"/>
          <w:sz w:val="28"/>
          <w:szCs w:val="28"/>
        </w:rPr>
      </w:pPr>
    </w:p>
    <w:p w14:paraId="04591E69">
      <w:pPr>
        <w:autoSpaceDE w:val="0"/>
        <w:autoSpaceDN w:val="0"/>
        <w:adjustRightInd w:val="0"/>
        <w:spacing w:line="480" w:lineRule="exact"/>
        <w:rPr>
          <w:rFonts w:ascii="仿宋" w:hAnsi="仿宋" w:eastAsia="仿宋" w:cs="仿宋"/>
          <w:b/>
          <w:kern w:val="0"/>
          <w:sz w:val="28"/>
          <w:szCs w:val="28"/>
        </w:rPr>
      </w:pPr>
    </w:p>
    <w:p w14:paraId="6628D21D">
      <w:pPr>
        <w:autoSpaceDE w:val="0"/>
        <w:autoSpaceDN w:val="0"/>
        <w:adjustRightInd w:val="0"/>
        <w:spacing w:line="480" w:lineRule="exact"/>
        <w:rPr>
          <w:rFonts w:ascii="仿宋" w:hAnsi="仿宋" w:eastAsia="仿宋" w:cs="仿宋"/>
          <w:b/>
          <w:bCs/>
          <w:kern w:val="0"/>
          <w:sz w:val="28"/>
          <w:szCs w:val="28"/>
        </w:rPr>
        <w:sectPr>
          <w:pgSz w:w="11906" w:h="16838"/>
          <w:pgMar w:top="2098" w:right="1474" w:bottom="1984" w:left="1587" w:header="851" w:footer="992" w:gutter="0"/>
          <w:pgNumType w:fmt="numberInDash"/>
          <w:cols w:space="720" w:num="1"/>
          <w:docGrid w:type="lines" w:linePitch="312" w:charSpace="0"/>
        </w:sectPr>
      </w:pPr>
      <w:bookmarkStart w:id="442" w:name="_Toc18479"/>
      <w:bookmarkStart w:id="443" w:name="_Toc11434"/>
      <w:bookmarkStart w:id="444" w:name="_Toc880"/>
      <w:bookmarkStart w:id="445" w:name="_Toc29504"/>
      <w:bookmarkStart w:id="446" w:name="_Toc2475"/>
      <w:bookmarkStart w:id="447" w:name="_Toc26749"/>
      <w:bookmarkStart w:id="448" w:name="_Toc1509"/>
      <w:bookmarkStart w:id="449" w:name="_Toc30136"/>
    </w:p>
    <w:p w14:paraId="3E39E763">
      <w:pPr>
        <w:spacing w:line="480" w:lineRule="exact"/>
        <w:ind w:right="-21"/>
        <w:jc w:val="left"/>
        <w:outlineLvl w:val="2"/>
        <w:rPr>
          <w:rFonts w:ascii="仿宋" w:hAnsi="仿宋" w:eastAsia="仿宋" w:cs="仿宋"/>
          <w:b/>
          <w:bCs/>
          <w:sz w:val="32"/>
          <w:szCs w:val="32"/>
        </w:rPr>
      </w:pPr>
      <w:bookmarkStart w:id="450" w:name="_Toc31667"/>
      <w:r>
        <w:rPr>
          <w:rFonts w:hint="eastAsia" w:ascii="仿宋" w:hAnsi="仿宋" w:eastAsia="仿宋" w:cs="仿宋"/>
          <w:b/>
          <w:bCs/>
          <w:sz w:val="32"/>
          <w:szCs w:val="32"/>
        </w:rPr>
        <w:t>6.授权代表人身份证明文件（提供复印件加盖法人单位公章）</w:t>
      </w:r>
      <w:bookmarkEnd w:id="450"/>
    </w:p>
    <w:bookmarkEnd w:id="442"/>
    <w:bookmarkEnd w:id="443"/>
    <w:bookmarkEnd w:id="444"/>
    <w:bookmarkEnd w:id="445"/>
    <w:bookmarkEnd w:id="446"/>
    <w:bookmarkEnd w:id="447"/>
    <w:bookmarkEnd w:id="448"/>
    <w:bookmarkEnd w:id="449"/>
    <w:p w14:paraId="19E56B66">
      <w:pPr>
        <w:spacing w:line="480" w:lineRule="exact"/>
        <w:ind w:right="753"/>
        <w:jc w:val="left"/>
        <w:rPr>
          <w:rFonts w:ascii="仿宋" w:hAnsi="仿宋" w:eastAsia="仿宋" w:cs="仿宋"/>
          <w:sz w:val="28"/>
          <w:szCs w:val="28"/>
        </w:rPr>
      </w:pPr>
    </w:p>
    <w:p w14:paraId="66D3665D">
      <w:pPr>
        <w:spacing w:line="480" w:lineRule="exact"/>
        <w:ind w:right="753"/>
        <w:jc w:val="left"/>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bookmarkStart w:id="451" w:name="_Toc23508"/>
      <w:bookmarkStart w:id="452" w:name="_Toc26769"/>
      <w:bookmarkStart w:id="453" w:name="_Toc31521"/>
      <w:bookmarkStart w:id="454" w:name="_Toc29536"/>
      <w:bookmarkStart w:id="455" w:name="_Toc9379"/>
      <w:bookmarkStart w:id="456" w:name="_Toc1986"/>
      <w:bookmarkStart w:id="457" w:name="_Toc32510"/>
      <w:bookmarkStart w:id="458" w:name="_Toc21144"/>
      <w:bookmarkStart w:id="459" w:name="_Toc31582"/>
    </w:p>
    <w:p w14:paraId="7AFFB0C4">
      <w:pPr>
        <w:spacing w:line="480" w:lineRule="exact"/>
        <w:jc w:val="center"/>
        <w:rPr>
          <w:rFonts w:ascii="仿宋" w:hAnsi="仿宋" w:eastAsia="仿宋" w:cs="仿宋"/>
          <w:sz w:val="28"/>
          <w:szCs w:val="28"/>
        </w:rPr>
      </w:pPr>
      <w:r>
        <w:rPr>
          <w:rFonts w:hint="eastAsia" w:ascii="仿宋" w:hAnsi="仿宋" w:eastAsia="仿宋" w:cs="仿宋"/>
          <w:sz w:val="28"/>
          <w:szCs w:val="28"/>
        </w:rPr>
        <w:t>（封面格式）</w:t>
      </w:r>
    </w:p>
    <w:p w14:paraId="5B901FC2">
      <w:pPr>
        <w:spacing w:line="480" w:lineRule="exact"/>
        <w:ind w:right="753"/>
        <w:jc w:val="left"/>
        <w:rPr>
          <w:rFonts w:ascii="仿宋" w:hAnsi="仿宋" w:eastAsia="仿宋" w:cs="仿宋"/>
          <w:sz w:val="28"/>
          <w:szCs w:val="28"/>
        </w:rPr>
      </w:pPr>
    </w:p>
    <w:p w14:paraId="054801CA">
      <w:pPr>
        <w:spacing w:line="480" w:lineRule="exact"/>
        <w:ind w:right="753"/>
        <w:jc w:val="left"/>
        <w:rPr>
          <w:rFonts w:ascii="仿宋" w:hAnsi="仿宋" w:eastAsia="仿宋" w:cs="仿宋"/>
          <w:sz w:val="28"/>
          <w:szCs w:val="28"/>
        </w:rPr>
      </w:pPr>
    </w:p>
    <w:p w14:paraId="397A3B45">
      <w:pPr>
        <w:spacing w:line="480" w:lineRule="exact"/>
        <w:ind w:right="753"/>
        <w:jc w:val="left"/>
        <w:rPr>
          <w:rFonts w:ascii="仿宋" w:hAnsi="仿宋" w:eastAsia="仿宋" w:cs="仿宋"/>
          <w:sz w:val="44"/>
          <w:szCs w:val="44"/>
        </w:rPr>
      </w:pPr>
    </w:p>
    <w:p w14:paraId="2BFABAD5">
      <w:pPr>
        <w:spacing w:line="480" w:lineRule="exact"/>
        <w:jc w:val="center"/>
        <w:outlineLvl w:val="1"/>
        <w:rPr>
          <w:rFonts w:ascii="方正小标宋简体" w:hAnsi="方正小标宋简体" w:eastAsia="方正小标宋简体" w:cs="方正小标宋简体"/>
          <w:sz w:val="44"/>
          <w:szCs w:val="44"/>
        </w:rPr>
      </w:pPr>
      <w:bookmarkStart w:id="460" w:name="_Toc22484"/>
      <w:bookmarkStart w:id="461" w:name="_Toc29576"/>
      <w:r>
        <w:rPr>
          <w:rFonts w:hint="eastAsia" w:ascii="方正小标宋简体" w:hAnsi="方正小标宋简体" w:eastAsia="方正小标宋简体" w:cs="方正小标宋简体"/>
          <w:sz w:val="44"/>
          <w:szCs w:val="44"/>
        </w:rPr>
        <w:t>项目比选申请文件</w:t>
      </w:r>
      <w:bookmarkEnd w:id="460"/>
      <w:bookmarkStart w:id="462" w:name="_Toc144"/>
      <w:bookmarkStart w:id="463" w:name="_Toc10507"/>
      <w:bookmarkStart w:id="464" w:name="_Toc461525334"/>
      <w:bookmarkStart w:id="465" w:name="_Toc124"/>
      <w:bookmarkStart w:id="466" w:name="_Toc4828"/>
      <w:bookmarkStart w:id="467" w:name="_Toc31069"/>
      <w:bookmarkStart w:id="468" w:name="_Toc25575"/>
      <w:bookmarkStart w:id="469" w:name="_Toc16451"/>
      <w:bookmarkStart w:id="470" w:name="_Toc23149"/>
      <w:bookmarkStart w:id="471" w:name="_Toc17406"/>
      <w:bookmarkStart w:id="472" w:name="_Toc18631"/>
      <w:bookmarkStart w:id="473" w:name="_Toc17902"/>
      <w:r>
        <w:rPr>
          <w:rFonts w:hint="eastAsia" w:ascii="方正小标宋简体" w:hAnsi="方正小标宋简体" w:eastAsia="方正小标宋简体" w:cs="方正小标宋简体"/>
          <w:sz w:val="44"/>
          <w:szCs w:val="44"/>
        </w:rPr>
        <w:t>技术部分</w:t>
      </w:r>
      <w:bookmarkEnd w:id="461"/>
      <w:bookmarkEnd w:id="462"/>
      <w:bookmarkEnd w:id="463"/>
      <w:bookmarkEnd w:id="464"/>
      <w:bookmarkEnd w:id="465"/>
      <w:bookmarkEnd w:id="466"/>
      <w:bookmarkEnd w:id="467"/>
      <w:bookmarkEnd w:id="468"/>
      <w:bookmarkEnd w:id="469"/>
      <w:bookmarkEnd w:id="470"/>
      <w:bookmarkEnd w:id="471"/>
      <w:bookmarkEnd w:id="472"/>
      <w:bookmarkEnd w:id="473"/>
    </w:p>
    <w:p w14:paraId="3466C558">
      <w:pPr>
        <w:spacing w:line="480" w:lineRule="exact"/>
        <w:jc w:val="left"/>
        <w:rPr>
          <w:rFonts w:ascii="仿宋" w:hAnsi="仿宋" w:eastAsia="仿宋" w:cs="仿宋"/>
          <w:sz w:val="28"/>
          <w:szCs w:val="28"/>
        </w:rPr>
      </w:pPr>
    </w:p>
    <w:p w14:paraId="51E536F8">
      <w:pPr>
        <w:spacing w:line="480" w:lineRule="exact"/>
        <w:ind w:right="753"/>
        <w:jc w:val="left"/>
        <w:rPr>
          <w:rFonts w:ascii="仿宋" w:hAnsi="仿宋" w:eastAsia="仿宋" w:cs="仿宋"/>
          <w:sz w:val="28"/>
          <w:szCs w:val="28"/>
        </w:rPr>
      </w:pPr>
    </w:p>
    <w:p w14:paraId="0FD30963">
      <w:pPr>
        <w:spacing w:line="480" w:lineRule="exact"/>
        <w:ind w:right="753"/>
        <w:jc w:val="left"/>
        <w:rPr>
          <w:rFonts w:ascii="仿宋" w:hAnsi="仿宋" w:eastAsia="仿宋" w:cs="仿宋"/>
          <w:sz w:val="28"/>
          <w:szCs w:val="28"/>
        </w:rPr>
      </w:pPr>
    </w:p>
    <w:p w14:paraId="78CE3AA5">
      <w:pPr>
        <w:spacing w:line="480" w:lineRule="exact"/>
        <w:ind w:right="753"/>
        <w:jc w:val="left"/>
        <w:rPr>
          <w:rFonts w:ascii="仿宋" w:hAnsi="仿宋" w:eastAsia="仿宋" w:cs="仿宋"/>
          <w:sz w:val="28"/>
          <w:szCs w:val="28"/>
        </w:rPr>
      </w:pPr>
    </w:p>
    <w:p w14:paraId="2B049B5E">
      <w:pPr>
        <w:spacing w:line="480" w:lineRule="exact"/>
        <w:ind w:right="753"/>
        <w:jc w:val="left"/>
        <w:rPr>
          <w:rFonts w:ascii="仿宋" w:hAnsi="仿宋" w:eastAsia="仿宋" w:cs="仿宋"/>
          <w:sz w:val="28"/>
          <w:szCs w:val="28"/>
        </w:rPr>
      </w:pPr>
    </w:p>
    <w:p w14:paraId="48AA35F3">
      <w:pPr>
        <w:spacing w:line="480" w:lineRule="exact"/>
        <w:ind w:right="753"/>
        <w:jc w:val="left"/>
        <w:rPr>
          <w:rFonts w:ascii="仿宋" w:hAnsi="仿宋" w:eastAsia="仿宋" w:cs="仿宋"/>
          <w:sz w:val="28"/>
          <w:szCs w:val="28"/>
        </w:rPr>
      </w:pPr>
    </w:p>
    <w:p w14:paraId="184252F9">
      <w:pPr>
        <w:spacing w:line="480" w:lineRule="exact"/>
        <w:ind w:right="753"/>
        <w:jc w:val="left"/>
        <w:rPr>
          <w:rFonts w:ascii="仿宋" w:hAnsi="仿宋" w:eastAsia="仿宋" w:cs="仿宋"/>
          <w:sz w:val="28"/>
          <w:szCs w:val="28"/>
        </w:rPr>
      </w:pPr>
    </w:p>
    <w:p w14:paraId="428D9730">
      <w:pPr>
        <w:spacing w:line="480" w:lineRule="exact"/>
        <w:ind w:right="753"/>
        <w:jc w:val="left"/>
        <w:rPr>
          <w:rFonts w:ascii="仿宋" w:hAnsi="仿宋" w:eastAsia="仿宋" w:cs="仿宋"/>
          <w:sz w:val="28"/>
          <w:szCs w:val="28"/>
        </w:rPr>
      </w:pPr>
    </w:p>
    <w:p w14:paraId="11D64B86">
      <w:pPr>
        <w:spacing w:line="480" w:lineRule="exact"/>
        <w:ind w:right="753"/>
        <w:jc w:val="left"/>
        <w:rPr>
          <w:rFonts w:ascii="仿宋" w:hAnsi="仿宋" w:eastAsia="仿宋" w:cs="仿宋"/>
          <w:sz w:val="28"/>
          <w:szCs w:val="28"/>
        </w:rPr>
      </w:pPr>
    </w:p>
    <w:p w14:paraId="0E4178E5">
      <w:pPr>
        <w:spacing w:line="480" w:lineRule="exact"/>
        <w:ind w:right="753"/>
        <w:jc w:val="left"/>
        <w:rPr>
          <w:rFonts w:ascii="仿宋" w:hAnsi="仿宋" w:eastAsia="仿宋" w:cs="仿宋"/>
          <w:sz w:val="28"/>
          <w:szCs w:val="28"/>
        </w:rPr>
      </w:pPr>
    </w:p>
    <w:p w14:paraId="3907AFAB">
      <w:pPr>
        <w:spacing w:line="480" w:lineRule="exact"/>
        <w:ind w:right="753"/>
        <w:jc w:val="left"/>
        <w:rPr>
          <w:rFonts w:ascii="仿宋" w:hAnsi="仿宋" w:eastAsia="仿宋" w:cs="仿宋"/>
          <w:sz w:val="28"/>
          <w:szCs w:val="28"/>
        </w:rPr>
      </w:pPr>
      <w:r>
        <w:rPr>
          <w:rFonts w:hint="eastAsia" w:ascii="仿宋" w:hAnsi="仿宋" w:eastAsia="仿宋" w:cs="仿宋"/>
          <w:sz w:val="28"/>
          <w:szCs w:val="28"/>
        </w:rPr>
        <w:t>比选申请人：（盖章）</w:t>
      </w:r>
    </w:p>
    <w:p w14:paraId="6AAEE883">
      <w:pPr>
        <w:spacing w:line="480" w:lineRule="exact"/>
        <w:ind w:right="753"/>
        <w:jc w:val="left"/>
        <w:rPr>
          <w:rFonts w:ascii="仿宋" w:hAnsi="仿宋" w:eastAsia="仿宋" w:cs="仿宋"/>
          <w:sz w:val="28"/>
          <w:szCs w:val="28"/>
        </w:rPr>
      </w:pPr>
      <w:r>
        <w:rPr>
          <w:rFonts w:hint="eastAsia" w:ascii="仿宋" w:hAnsi="仿宋" w:eastAsia="仿宋" w:cs="仿宋"/>
          <w:sz w:val="28"/>
          <w:szCs w:val="28"/>
        </w:rPr>
        <w:t>负责人或委托代理人：（签字或盖章）</w:t>
      </w:r>
    </w:p>
    <w:p w14:paraId="6827B57C">
      <w:pPr>
        <w:spacing w:line="480" w:lineRule="exact"/>
        <w:ind w:right="753"/>
        <w:jc w:val="left"/>
        <w:rPr>
          <w:rFonts w:ascii="仿宋" w:hAnsi="仿宋" w:eastAsia="仿宋" w:cs="仿宋"/>
          <w:sz w:val="28"/>
          <w:szCs w:val="28"/>
        </w:rPr>
      </w:pPr>
      <w:r>
        <w:rPr>
          <w:rFonts w:hint="eastAsia" w:ascii="仿宋" w:hAnsi="仿宋" w:eastAsia="仿宋" w:cs="仿宋"/>
          <w:sz w:val="28"/>
          <w:szCs w:val="28"/>
        </w:rPr>
        <w:t>电话/传真：</w:t>
      </w:r>
    </w:p>
    <w:p w14:paraId="771D5AAD">
      <w:pPr>
        <w:spacing w:line="480" w:lineRule="exact"/>
        <w:ind w:right="753"/>
        <w:jc w:val="left"/>
        <w:rPr>
          <w:rFonts w:ascii="仿宋" w:hAnsi="仿宋" w:eastAsia="仿宋" w:cs="仿宋"/>
          <w:sz w:val="28"/>
          <w:szCs w:val="28"/>
        </w:rPr>
      </w:pPr>
      <w:r>
        <w:rPr>
          <w:rFonts w:hint="eastAsia" w:ascii="仿宋" w:hAnsi="仿宋" w:eastAsia="仿宋" w:cs="仿宋"/>
          <w:sz w:val="28"/>
          <w:szCs w:val="28"/>
        </w:rPr>
        <w:t>地址：</w:t>
      </w:r>
    </w:p>
    <w:p w14:paraId="36F9AE58">
      <w:pPr>
        <w:spacing w:line="480" w:lineRule="exact"/>
        <w:ind w:right="753"/>
        <w:jc w:val="left"/>
        <w:rPr>
          <w:rFonts w:ascii="仿宋" w:hAnsi="仿宋" w:eastAsia="仿宋" w:cs="仿宋"/>
          <w:sz w:val="28"/>
          <w:szCs w:val="28"/>
        </w:rPr>
      </w:pPr>
    </w:p>
    <w:p w14:paraId="57FB1B0D">
      <w:pPr>
        <w:spacing w:line="480" w:lineRule="exact"/>
        <w:ind w:right="753"/>
        <w:jc w:val="left"/>
        <w:rPr>
          <w:rFonts w:ascii="仿宋" w:hAnsi="仿宋" w:eastAsia="仿宋" w:cs="仿宋"/>
          <w:sz w:val="28"/>
          <w:szCs w:val="28"/>
        </w:rPr>
      </w:pPr>
      <w:r>
        <w:rPr>
          <w:rFonts w:hint="eastAsia" w:ascii="仿宋" w:hAnsi="仿宋" w:eastAsia="仿宋" w:cs="仿宋"/>
          <w:sz w:val="28"/>
          <w:szCs w:val="28"/>
        </w:rPr>
        <w:t>年   月   日</w:t>
      </w:r>
    </w:p>
    <w:p w14:paraId="5D2AB282">
      <w:pPr>
        <w:spacing w:line="480" w:lineRule="exact"/>
        <w:ind w:right="753"/>
        <w:jc w:val="left"/>
        <w:rPr>
          <w:rFonts w:ascii="仿宋" w:hAnsi="仿宋" w:eastAsia="仿宋" w:cs="仿宋"/>
          <w:sz w:val="28"/>
          <w:szCs w:val="28"/>
        </w:rPr>
      </w:pPr>
    </w:p>
    <w:p w14:paraId="50933E85">
      <w:pPr>
        <w:spacing w:line="480" w:lineRule="exact"/>
        <w:rPr>
          <w:rFonts w:ascii="仿宋" w:hAnsi="仿宋" w:eastAsia="仿宋" w:cs="仿宋"/>
          <w:sz w:val="32"/>
          <w:szCs w:val="32"/>
        </w:rPr>
        <w:sectPr>
          <w:pgSz w:w="11906" w:h="16838"/>
          <w:pgMar w:top="2098" w:right="1474" w:bottom="1984" w:left="1587" w:header="851" w:footer="992" w:gutter="0"/>
          <w:pgNumType w:fmt="numberInDash"/>
          <w:cols w:space="720" w:num="1"/>
          <w:docGrid w:type="lines" w:linePitch="312" w:charSpace="0"/>
        </w:sectPr>
      </w:pPr>
    </w:p>
    <w:p w14:paraId="754A03FE">
      <w:pPr>
        <w:spacing w:line="480" w:lineRule="exact"/>
        <w:outlineLvl w:val="1"/>
        <w:rPr>
          <w:rFonts w:ascii="仿宋_GB2312" w:hAnsi="仿宋_GB2312" w:eastAsia="仿宋_GB2312" w:cs="仿宋_GB2312"/>
          <w:b/>
          <w:bCs/>
          <w:sz w:val="32"/>
          <w:szCs w:val="32"/>
        </w:rPr>
      </w:pPr>
      <w:bookmarkStart w:id="474" w:name="_Toc10266"/>
      <w:bookmarkStart w:id="475" w:name="_Toc7502"/>
      <w:r>
        <w:rPr>
          <w:rFonts w:hint="eastAsia" w:ascii="仿宋_GB2312" w:hAnsi="仿宋_GB2312" w:eastAsia="仿宋_GB2312" w:cs="仿宋_GB2312"/>
          <w:b/>
          <w:bCs/>
          <w:sz w:val="32"/>
          <w:szCs w:val="32"/>
        </w:rPr>
        <w:t>二、技术部分材料</w:t>
      </w:r>
      <w:bookmarkEnd w:id="474"/>
      <w:bookmarkEnd w:id="475"/>
    </w:p>
    <w:bookmarkEnd w:id="451"/>
    <w:bookmarkEnd w:id="452"/>
    <w:bookmarkEnd w:id="453"/>
    <w:bookmarkEnd w:id="454"/>
    <w:bookmarkEnd w:id="455"/>
    <w:bookmarkEnd w:id="456"/>
    <w:bookmarkEnd w:id="457"/>
    <w:bookmarkEnd w:id="458"/>
    <w:bookmarkEnd w:id="459"/>
    <w:p w14:paraId="7583AA1D">
      <w:pPr>
        <w:spacing w:line="480" w:lineRule="exact"/>
        <w:ind w:right="753"/>
        <w:jc w:val="left"/>
        <w:rPr>
          <w:rFonts w:hint="eastAsia" w:ascii="仿宋" w:hAnsi="仿宋" w:eastAsia="仿宋" w:cs="仿宋"/>
          <w:sz w:val="28"/>
          <w:szCs w:val="28"/>
        </w:rPr>
      </w:pPr>
      <w:bookmarkStart w:id="476" w:name="_Toc24408"/>
      <w:bookmarkStart w:id="477" w:name="_Toc11015"/>
      <w:bookmarkStart w:id="478" w:name="_Toc16542"/>
      <w:bookmarkStart w:id="479" w:name="_Toc30879"/>
      <w:bookmarkStart w:id="480" w:name="_Toc17346"/>
      <w:bookmarkStart w:id="481" w:name="_Toc24524"/>
      <w:bookmarkStart w:id="482" w:name="_Toc5616"/>
      <w:bookmarkStart w:id="483" w:name="_Toc461525328"/>
      <w:bookmarkStart w:id="484" w:name="_Toc4901"/>
      <w:bookmarkStart w:id="485" w:name="_Toc7127"/>
      <w:bookmarkStart w:id="486" w:name="_Toc2010"/>
      <w:bookmarkStart w:id="487" w:name="_Toc21835"/>
      <w:bookmarkStart w:id="488" w:name="_Toc333307135"/>
      <w:bookmarkStart w:id="489" w:name="_Toc26103"/>
      <w:bookmarkStart w:id="490" w:name="_Toc24947"/>
      <w:bookmarkStart w:id="491" w:name="_Toc15155"/>
      <w:bookmarkStart w:id="492" w:name="_Toc27920"/>
      <w:bookmarkStart w:id="493" w:name="_Toc19445"/>
      <w:bookmarkStart w:id="494" w:name="_Toc5462"/>
      <w:bookmarkStart w:id="495" w:name="_Toc12434"/>
      <w:bookmarkStart w:id="496" w:name="_Toc25435"/>
      <w:bookmarkStart w:id="497" w:name="_Toc9617"/>
      <w:bookmarkStart w:id="498" w:name="_Toc31867"/>
      <w:r>
        <w:rPr>
          <w:rFonts w:hint="eastAsia" w:ascii="仿宋" w:hAnsi="仿宋" w:eastAsia="仿宋" w:cs="仿宋"/>
          <w:sz w:val="28"/>
          <w:szCs w:val="28"/>
        </w:rPr>
        <w:t>1.技术方案、项目实施方案；</w:t>
      </w:r>
    </w:p>
    <w:p w14:paraId="3553B229">
      <w:pPr>
        <w:spacing w:line="480" w:lineRule="exact"/>
        <w:ind w:right="753"/>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2.售后服务承诺</w:t>
      </w:r>
    </w:p>
    <w:p w14:paraId="3356A425">
      <w:pPr>
        <w:pStyle w:val="8"/>
      </w:pPr>
    </w:p>
    <w:p w14:paraId="3ADC4A28">
      <w:pPr>
        <w:pStyle w:val="3"/>
        <w:outlineLvl w:val="9"/>
        <w:sectPr>
          <w:pgSz w:w="11906" w:h="16838"/>
          <w:pgMar w:top="2098" w:right="1474" w:bottom="1984" w:left="1587" w:header="851" w:footer="992" w:gutter="0"/>
          <w:pgNumType w:fmt="numberInDash"/>
          <w:cols w:space="720" w:num="1"/>
          <w:docGrid w:type="lines" w:linePitch="312" w:charSpace="0"/>
        </w:sectPr>
      </w:pPr>
    </w:p>
    <w:p w14:paraId="7C6A7407">
      <w:pPr>
        <w:spacing w:line="480" w:lineRule="exact"/>
        <w:jc w:val="center"/>
        <w:rPr>
          <w:rFonts w:ascii="仿宋" w:hAnsi="仿宋" w:eastAsia="仿宋" w:cs="仿宋"/>
          <w:sz w:val="28"/>
          <w:szCs w:val="28"/>
        </w:rPr>
      </w:pPr>
      <w:r>
        <w:rPr>
          <w:rFonts w:hint="eastAsia" w:ascii="仿宋" w:hAnsi="仿宋" w:eastAsia="仿宋" w:cs="仿宋"/>
          <w:sz w:val="28"/>
          <w:szCs w:val="28"/>
        </w:rPr>
        <w:t>（封面格式）</w:t>
      </w:r>
    </w:p>
    <w:p w14:paraId="2893EB5F">
      <w:pPr>
        <w:spacing w:line="480" w:lineRule="exact"/>
        <w:jc w:val="left"/>
        <w:rPr>
          <w:rFonts w:ascii="仿宋" w:hAnsi="仿宋" w:eastAsia="仿宋" w:cs="仿宋"/>
          <w:sz w:val="28"/>
          <w:szCs w:val="28"/>
        </w:rPr>
      </w:pPr>
    </w:p>
    <w:p w14:paraId="7D9884E7">
      <w:pPr>
        <w:spacing w:line="480" w:lineRule="exact"/>
        <w:jc w:val="left"/>
        <w:rPr>
          <w:rFonts w:ascii="仿宋" w:hAnsi="仿宋" w:eastAsia="仿宋" w:cs="仿宋"/>
          <w:sz w:val="28"/>
          <w:szCs w:val="28"/>
        </w:rPr>
      </w:pPr>
    </w:p>
    <w:p w14:paraId="7A99C50D">
      <w:pPr>
        <w:spacing w:line="480" w:lineRule="exact"/>
        <w:jc w:val="left"/>
        <w:rPr>
          <w:rFonts w:ascii="仿宋" w:hAnsi="仿宋" w:eastAsia="仿宋" w:cs="仿宋"/>
          <w:sz w:val="44"/>
          <w:szCs w:val="44"/>
        </w:rPr>
      </w:pPr>
    </w:p>
    <w:p w14:paraId="45B41644">
      <w:pPr>
        <w:spacing w:line="480" w:lineRule="exact"/>
        <w:jc w:val="center"/>
        <w:outlineLvl w:val="2"/>
        <w:rPr>
          <w:rFonts w:ascii="方正小标宋简体" w:hAnsi="方正小标宋简体" w:eastAsia="方正小标宋简体" w:cs="方正小标宋简体"/>
          <w:sz w:val="44"/>
          <w:szCs w:val="44"/>
        </w:rPr>
      </w:pPr>
      <w:bookmarkStart w:id="499" w:name="_Toc28463"/>
      <w:bookmarkStart w:id="500" w:name="_Toc9055"/>
      <w:r>
        <w:rPr>
          <w:rFonts w:hint="eastAsia" w:ascii="方正小标宋简体" w:hAnsi="方正小标宋简体" w:eastAsia="方正小标宋简体" w:cs="方正小标宋简体"/>
          <w:sz w:val="44"/>
          <w:szCs w:val="44"/>
        </w:rPr>
        <w:t>项目比选申请文件</w:t>
      </w:r>
      <w:bookmarkEnd w:id="499"/>
      <w:bookmarkStart w:id="501" w:name="_Toc27059"/>
      <w:bookmarkStart w:id="502" w:name="_Toc10925"/>
      <w:bookmarkStart w:id="503" w:name="_Toc15573"/>
      <w:bookmarkStart w:id="504" w:name="_Toc25235"/>
      <w:bookmarkStart w:id="505" w:name="_Toc3587"/>
      <w:bookmarkStart w:id="506" w:name="_Toc21287"/>
      <w:bookmarkStart w:id="507" w:name="_Toc461525327"/>
      <w:bookmarkStart w:id="508" w:name="_Toc6458"/>
      <w:bookmarkStart w:id="509" w:name="_Toc3278"/>
      <w:bookmarkStart w:id="510" w:name="_Toc196"/>
      <w:bookmarkStart w:id="511" w:name="_Toc20460"/>
      <w:r>
        <w:rPr>
          <w:rFonts w:hint="eastAsia" w:ascii="方正小标宋简体" w:hAnsi="方正小标宋简体" w:eastAsia="方正小标宋简体" w:cs="方正小标宋简体"/>
          <w:sz w:val="44"/>
          <w:szCs w:val="44"/>
        </w:rPr>
        <w:t>商务部分</w:t>
      </w:r>
      <w:bookmarkEnd w:id="500"/>
      <w:bookmarkEnd w:id="501"/>
      <w:bookmarkEnd w:id="502"/>
      <w:bookmarkEnd w:id="503"/>
      <w:bookmarkEnd w:id="504"/>
      <w:bookmarkEnd w:id="505"/>
      <w:bookmarkEnd w:id="506"/>
      <w:bookmarkEnd w:id="507"/>
      <w:bookmarkEnd w:id="508"/>
      <w:bookmarkEnd w:id="509"/>
      <w:bookmarkEnd w:id="510"/>
      <w:bookmarkEnd w:id="511"/>
    </w:p>
    <w:p w14:paraId="204B8AB3">
      <w:pPr>
        <w:spacing w:line="480" w:lineRule="exact"/>
        <w:jc w:val="left"/>
        <w:rPr>
          <w:rFonts w:ascii="仿宋" w:hAnsi="仿宋" w:eastAsia="仿宋" w:cs="仿宋"/>
          <w:sz w:val="28"/>
          <w:szCs w:val="28"/>
        </w:rPr>
      </w:pPr>
    </w:p>
    <w:p w14:paraId="2401CBDC">
      <w:pPr>
        <w:spacing w:line="480" w:lineRule="exact"/>
        <w:ind w:right="753"/>
        <w:jc w:val="left"/>
        <w:rPr>
          <w:rFonts w:ascii="仿宋" w:hAnsi="仿宋" w:eastAsia="仿宋" w:cs="仿宋"/>
          <w:sz w:val="28"/>
          <w:szCs w:val="28"/>
        </w:rPr>
      </w:pPr>
    </w:p>
    <w:p w14:paraId="643D12F2">
      <w:pPr>
        <w:spacing w:line="480" w:lineRule="exact"/>
        <w:ind w:right="753"/>
        <w:jc w:val="left"/>
        <w:rPr>
          <w:rFonts w:ascii="仿宋" w:hAnsi="仿宋" w:eastAsia="仿宋" w:cs="仿宋"/>
          <w:sz w:val="28"/>
          <w:szCs w:val="28"/>
        </w:rPr>
      </w:pPr>
    </w:p>
    <w:p w14:paraId="6322E557">
      <w:pPr>
        <w:spacing w:line="480" w:lineRule="exact"/>
        <w:ind w:right="753"/>
        <w:jc w:val="left"/>
        <w:rPr>
          <w:rFonts w:ascii="仿宋" w:hAnsi="仿宋" w:eastAsia="仿宋" w:cs="仿宋"/>
          <w:sz w:val="28"/>
          <w:szCs w:val="28"/>
        </w:rPr>
      </w:pPr>
    </w:p>
    <w:p w14:paraId="6E14662A">
      <w:pPr>
        <w:spacing w:line="480" w:lineRule="exact"/>
        <w:ind w:right="753"/>
        <w:jc w:val="left"/>
        <w:rPr>
          <w:rFonts w:ascii="仿宋" w:hAnsi="仿宋" w:eastAsia="仿宋" w:cs="仿宋"/>
          <w:sz w:val="28"/>
          <w:szCs w:val="28"/>
        </w:rPr>
      </w:pPr>
    </w:p>
    <w:p w14:paraId="29D251D1">
      <w:pPr>
        <w:spacing w:line="480" w:lineRule="exact"/>
        <w:ind w:right="753"/>
        <w:jc w:val="left"/>
        <w:rPr>
          <w:rFonts w:ascii="仿宋" w:hAnsi="仿宋" w:eastAsia="仿宋" w:cs="仿宋"/>
          <w:sz w:val="28"/>
          <w:szCs w:val="28"/>
        </w:rPr>
      </w:pPr>
    </w:p>
    <w:p w14:paraId="6F71C6B3">
      <w:pPr>
        <w:spacing w:line="480" w:lineRule="exact"/>
        <w:ind w:right="753"/>
        <w:jc w:val="left"/>
        <w:rPr>
          <w:rFonts w:ascii="仿宋" w:hAnsi="仿宋" w:eastAsia="仿宋" w:cs="仿宋"/>
          <w:sz w:val="28"/>
          <w:szCs w:val="28"/>
        </w:rPr>
      </w:pPr>
    </w:p>
    <w:p w14:paraId="0D4912CF">
      <w:pPr>
        <w:spacing w:line="480" w:lineRule="exact"/>
        <w:ind w:right="753"/>
        <w:jc w:val="left"/>
        <w:rPr>
          <w:rFonts w:ascii="仿宋" w:hAnsi="仿宋" w:eastAsia="仿宋" w:cs="仿宋"/>
          <w:sz w:val="28"/>
          <w:szCs w:val="28"/>
        </w:rPr>
      </w:pPr>
    </w:p>
    <w:p w14:paraId="25245A93">
      <w:pPr>
        <w:spacing w:line="480" w:lineRule="exact"/>
        <w:ind w:right="753"/>
        <w:jc w:val="left"/>
        <w:rPr>
          <w:rFonts w:ascii="仿宋" w:hAnsi="仿宋" w:eastAsia="仿宋" w:cs="仿宋"/>
          <w:sz w:val="28"/>
          <w:szCs w:val="28"/>
        </w:rPr>
      </w:pPr>
    </w:p>
    <w:p w14:paraId="4BD5BFA4">
      <w:pPr>
        <w:spacing w:line="480" w:lineRule="exact"/>
        <w:ind w:right="753"/>
        <w:jc w:val="left"/>
        <w:rPr>
          <w:rFonts w:ascii="仿宋" w:hAnsi="仿宋" w:eastAsia="仿宋" w:cs="仿宋"/>
          <w:sz w:val="28"/>
          <w:szCs w:val="28"/>
        </w:rPr>
      </w:pPr>
    </w:p>
    <w:p w14:paraId="64F2240F">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比选申请人：（盖公章）</w:t>
      </w:r>
    </w:p>
    <w:p w14:paraId="55DE143B">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负责人或委托代理人：（签字或盖章）</w:t>
      </w:r>
    </w:p>
    <w:p w14:paraId="68B7B515">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电话/</w:t>
      </w:r>
      <w:bookmarkStart w:id="512" w:name="_Toc333307133"/>
      <w:r>
        <w:rPr>
          <w:rFonts w:hint="eastAsia" w:ascii="仿宋_GB2312" w:hAnsi="仿宋_GB2312" w:eastAsia="仿宋_GB2312" w:cs="仿宋_GB2312"/>
          <w:sz w:val="28"/>
          <w:szCs w:val="28"/>
        </w:rPr>
        <w:t>传真：</w:t>
      </w:r>
    </w:p>
    <w:p w14:paraId="069080A2">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p>
    <w:bookmarkEnd w:id="512"/>
    <w:p w14:paraId="74E87E54">
      <w:pPr>
        <w:spacing w:line="480" w:lineRule="exact"/>
        <w:ind w:right="753" w:firstLine="560" w:firstLineChars="200"/>
        <w:jc w:val="left"/>
        <w:rPr>
          <w:rFonts w:ascii="仿宋_GB2312" w:hAnsi="仿宋_GB2312" w:eastAsia="仿宋_GB2312" w:cs="仿宋_GB2312"/>
          <w:sz w:val="28"/>
          <w:szCs w:val="28"/>
        </w:rPr>
      </w:pPr>
      <w:bookmarkStart w:id="513" w:name="_Toc333307134"/>
    </w:p>
    <w:p w14:paraId="6FEC890F">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年</w:t>
      </w:r>
      <w:bookmarkEnd w:id="513"/>
      <w:r>
        <w:rPr>
          <w:rFonts w:hint="eastAsia" w:ascii="仿宋_GB2312" w:hAnsi="仿宋_GB2312" w:eastAsia="仿宋_GB2312" w:cs="仿宋_GB2312"/>
          <w:sz w:val="28"/>
          <w:szCs w:val="28"/>
        </w:rPr>
        <w:t xml:space="preserve"> 月 日</w:t>
      </w:r>
    </w:p>
    <w:p w14:paraId="570E8EE7">
      <w:pPr>
        <w:spacing w:line="480" w:lineRule="exact"/>
        <w:ind w:right="753" w:firstLine="560" w:firstLineChars="200"/>
        <w:jc w:val="left"/>
        <w:rPr>
          <w:rFonts w:ascii="仿宋" w:hAnsi="仿宋" w:eastAsia="仿宋" w:cs="仿宋"/>
          <w:sz w:val="28"/>
          <w:szCs w:val="28"/>
        </w:rPr>
      </w:pPr>
    </w:p>
    <w:p w14:paraId="51340DA7">
      <w:pPr>
        <w:spacing w:line="480" w:lineRule="exact"/>
        <w:ind w:right="753" w:firstLine="560" w:firstLineChars="200"/>
        <w:jc w:val="left"/>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p>
    <w:p w14:paraId="7F005E48">
      <w:pPr>
        <w:spacing w:line="480" w:lineRule="exact"/>
        <w:outlineLvl w:val="1"/>
        <w:rPr>
          <w:rFonts w:ascii="仿宋" w:hAnsi="仿宋" w:eastAsia="仿宋" w:cs="仿宋"/>
          <w:b/>
          <w:bCs/>
          <w:sz w:val="32"/>
          <w:szCs w:val="32"/>
        </w:rPr>
      </w:pPr>
      <w:bookmarkStart w:id="514" w:name="_Toc17614"/>
      <w:bookmarkStart w:id="515" w:name="_Toc8561"/>
      <w:r>
        <w:rPr>
          <w:rFonts w:hint="eastAsia" w:ascii="仿宋" w:hAnsi="仿宋" w:eastAsia="仿宋" w:cs="仿宋"/>
          <w:b/>
          <w:bCs/>
          <w:sz w:val="32"/>
          <w:szCs w:val="32"/>
        </w:rPr>
        <w:t>三、商务部分材料</w:t>
      </w:r>
      <w:bookmarkEnd w:id="476"/>
      <w:bookmarkEnd w:id="477"/>
      <w:bookmarkEnd w:id="478"/>
      <w:bookmarkEnd w:id="479"/>
      <w:bookmarkEnd w:id="480"/>
      <w:bookmarkEnd w:id="481"/>
      <w:bookmarkEnd w:id="482"/>
      <w:bookmarkEnd w:id="483"/>
      <w:bookmarkEnd w:id="484"/>
      <w:bookmarkEnd w:id="485"/>
      <w:bookmarkEnd w:id="486"/>
      <w:bookmarkEnd w:id="487"/>
      <w:bookmarkEnd w:id="514"/>
      <w:bookmarkEnd w:id="515"/>
    </w:p>
    <w:bookmarkEnd w:id="488"/>
    <w:p w14:paraId="47F522B8">
      <w:pPr>
        <w:spacing w:line="480" w:lineRule="exact"/>
        <w:ind w:right="753"/>
        <w:jc w:val="left"/>
        <w:rPr>
          <w:rFonts w:ascii="仿宋" w:hAnsi="仿宋" w:eastAsia="仿宋" w:cs="仿宋"/>
          <w:sz w:val="28"/>
          <w:szCs w:val="28"/>
        </w:rPr>
      </w:pPr>
    </w:p>
    <w:p w14:paraId="55CF0C06">
      <w:pPr>
        <w:spacing w:line="480" w:lineRule="exact"/>
        <w:ind w:right="753"/>
        <w:jc w:val="left"/>
        <w:outlineLvl w:val="9"/>
        <w:rPr>
          <w:rFonts w:ascii="仿宋" w:hAnsi="仿宋" w:eastAsia="仿宋" w:cs="仿宋"/>
          <w:sz w:val="28"/>
          <w:szCs w:val="28"/>
        </w:rPr>
      </w:pPr>
      <w:r>
        <w:rPr>
          <w:rFonts w:hint="eastAsia" w:ascii="仿宋" w:hAnsi="仿宋" w:eastAsia="仿宋" w:cs="仿宋"/>
          <w:sz w:val="28"/>
          <w:szCs w:val="28"/>
        </w:rPr>
        <w:t>1.报价明细表；</w:t>
      </w:r>
    </w:p>
    <w:p w14:paraId="35948115">
      <w:pPr>
        <w:spacing w:line="480" w:lineRule="exact"/>
        <w:jc w:val="left"/>
        <w:rPr>
          <w:rFonts w:hint="eastAsia" w:ascii="仿宋" w:hAnsi="仿宋" w:eastAsia="仿宋" w:cs="仿宋"/>
          <w:sz w:val="28"/>
          <w:szCs w:val="28"/>
        </w:rPr>
      </w:pPr>
      <w:r>
        <w:rPr>
          <w:rFonts w:hint="eastAsia" w:ascii="仿宋" w:hAnsi="仿宋" w:eastAsia="仿宋" w:cs="仿宋"/>
          <w:sz w:val="28"/>
          <w:szCs w:val="28"/>
        </w:rPr>
        <w:t>备注：以上材料均需加盖单位公章，并按照目录顺序编排，标注页码。</w:t>
      </w:r>
    </w:p>
    <w:p w14:paraId="05A50A5A">
      <w:pPr>
        <w:pStyle w:val="6"/>
      </w:pPr>
    </w:p>
    <w:p w14:paraId="05E9D3AB">
      <w:pPr>
        <w:pStyle w:val="6"/>
        <w:jc w:val="center"/>
        <w:rPr>
          <w:rFonts w:hint="eastAsia"/>
        </w:rPr>
      </w:pPr>
      <w:r>
        <w:rPr>
          <w:rFonts w:hint="eastAsia" w:ascii="宋体" w:hAnsi="宋体" w:cs="宋体"/>
          <w:b/>
          <w:bCs/>
          <w:kern w:val="0"/>
          <w:sz w:val="36"/>
          <w:szCs w:val="36"/>
          <w:highlight w:val="yellow"/>
          <w:lang w:bidi="ar"/>
        </w:rPr>
        <w:t>报价明细表</w:t>
      </w:r>
    </w:p>
    <w:tbl>
      <w:tblPr>
        <w:tblStyle w:val="17"/>
        <w:tblW w:w="932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68"/>
        <w:gridCol w:w="4045"/>
        <w:gridCol w:w="872"/>
        <w:gridCol w:w="872"/>
        <w:gridCol w:w="1907"/>
        <w:gridCol w:w="858"/>
      </w:tblGrid>
      <w:tr w14:paraId="2D73F3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68" w:type="dxa"/>
            <w:vAlign w:val="center"/>
          </w:tcPr>
          <w:p w14:paraId="60F84444">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序号</w:t>
            </w:r>
          </w:p>
        </w:tc>
        <w:tc>
          <w:tcPr>
            <w:tcW w:w="4045" w:type="dxa"/>
            <w:vAlign w:val="center"/>
          </w:tcPr>
          <w:p w14:paraId="0285A18F">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服务内容</w:t>
            </w:r>
          </w:p>
        </w:tc>
        <w:tc>
          <w:tcPr>
            <w:tcW w:w="872" w:type="dxa"/>
            <w:vAlign w:val="center"/>
          </w:tcPr>
          <w:p w14:paraId="35ED9CA3">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数量</w:t>
            </w:r>
          </w:p>
        </w:tc>
        <w:tc>
          <w:tcPr>
            <w:tcW w:w="872" w:type="dxa"/>
            <w:vAlign w:val="center"/>
          </w:tcPr>
          <w:p w14:paraId="6DBB54B0">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单位</w:t>
            </w:r>
          </w:p>
        </w:tc>
        <w:tc>
          <w:tcPr>
            <w:tcW w:w="1907" w:type="dxa"/>
            <w:vAlign w:val="center"/>
          </w:tcPr>
          <w:p w14:paraId="05196729">
            <w:pPr>
              <w:keepNext w:val="0"/>
              <w:keepLines w:val="0"/>
              <w:suppressLineNumbers w:val="0"/>
              <w:spacing w:before="0" w:beforeAutospacing="0" w:after="0" w:afterAutospacing="0"/>
              <w:ind w:left="0" w:right="0"/>
              <w:jc w:val="center"/>
              <w:rPr>
                <w:rFonts w:hint="eastAsia" w:ascii="仿宋_GB2312" w:hAnsi="宋体" w:eastAsia="仿宋_GB2312"/>
                <w:sz w:val="28"/>
                <w:szCs w:val="28"/>
                <w:lang w:eastAsia="zh-CN"/>
              </w:rPr>
            </w:pPr>
            <w:r>
              <w:rPr>
                <w:rFonts w:hint="eastAsia" w:ascii="仿宋_GB2312" w:hAnsi="宋体"/>
                <w:sz w:val="28"/>
                <w:szCs w:val="28"/>
              </w:rPr>
              <w:t>报价</w:t>
            </w:r>
            <w:r>
              <w:rPr>
                <w:rFonts w:hint="eastAsia" w:ascii="仿宋_GB2312" w:hAnsi="宋体"/>
                <w:sz w:val="28"/>
                <w:szCs w:val="28"/>
                <w:lang w:eastAsia="zh-CN"/>
              </w:rPr>
              <w:t>（</w:t>
            </w:r>
            <w:r>
              <w:rPr>
                <w:rFonts w:hint="eastAsia" w:ascii="仿宋_GB2312" w:hAnsi="宋体"/>
                <w:sz w:val="28"/>
                <w:szCs w:val="28"/>
                <w:lang w:val="en-US" w:eastAsia="zh-CN"/>
              </w:rPr>
              <w:t>大小写</w:t>
            </w:r>
            <w:r>
              <w:rPr>
                <w:rFonts w:hint="eastAsia" w:ascii="仿宋_GB2312" w:hAnsi="宋体"/>
                <w:sz w:val="28"/>
                <w:szCs w:val="28"/>
                <w:lang w:eastAsia="zh-CN"/>
              </w:rPr>
              <w:t>）</w:t>
            </w:r>
          </w:p>
        </w:tc>
        <w:tc>
          <w:tcPr>
            <w:tcW w:w="858" w:type="dxa"/>
            <w:vAlign w:val="center"/>
          </w:tcPr>
          <w:p w14:paraId="472CF3E8">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备注</w:t>
            </w:r>
          </w:p>
        </w:tc>
      </w:tr>
      <w:tr w14:paraId="1507B3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jc w:val="center"/>
        </w:trPr>
        <w:tc>
          <w:tcPr>
            <w:tcW w:w="768" w:type="dxa"/>
            <w:vAlign w:val="center"/>
          </w:tcPr>
          <w:p w14:paraId="5E2B8638">
            <w:pPr>
              <w:keepNext w:val="0"/>
              <w:keepLines w:val="0"/>
              <w:suppressLineNumbers w:val="0"/>
              <w:spacing w:before="0" w:beforeAutospacing="0" w:after="0" w:afterAutospacing="0" w:line="360" w:lineRule="exact"/>
              <w:ind w:left="0" w:right="0"/>
              <w:jc w:val="center"/>
              <w:rPr>
                <w:rFonts w:hint="default" w:ascii="仿宋_GB2312" w:hAnsi="宋体"/>
                <w:sz w:val="28"/>
                <w:szCs w:val="28"/>
              </w:rPr>
            </w:pPr>
            <w:r>
              <w:rPr>
                <w:rFonts w:hint="eastAsia" w:ascii="仿宋_GB2312" w:hAnsi="宋体"/>
                <w:sz w:val="28"/>
                <w:szCs w:val="28"/>
              </w:rPr>
              <w:t>1</w:t>
            </w:r>
          </w:p>
        </w:tc>
        <w:tc>
          <w:tcPr>
            <w:tcW w:w="4045" w:type="dxa"/>
            <w:vAlign w:val="center"/>
          </w:tcPr>
          <w:p w14:paraId="47D5E49F">
            <w:pPr>
              <w:keepNext w:val="0"/>
              <w:keepLines w:val="0"/>
              <w:suppressLineNumbers w:val="0"/>
              <w:spacing w:before="0" w:beforeAutospacing="0" w:after="0" w:afterAutospacing="0" w:line="360" w:lineRule="exact"/>
              <w:ind w:left="0" w:right="0"/>
              <w:jc w:val="both"/>
              <w:rPr>
                <w:rFonts w:hint="eastAsia" w:ascii="仿宋_GB2312" w:hAnsi="宋体" w:eastAsia="宋体"/>
                <w:sz w:val="28"/>
                <w:szCs w:val="28"/>
                <w:lang w:eastAsia="zh-CN"/>
              </w:rPr>
            </w:pPr>
            <w:r>
              <w:rPr>
                <w:rFonts w:hint="eastAsia"/>
                <w:color w:val="FF0000"/>
              </w:rPr>
              <w:t>智慧管控配置管理</w:t>
            </w:r>
            <w:r>
              <w:rPr>
                <w:rFonts w:hint="eastAsia"/>
                <w:color w:val="FF0000"/>
                <w:lang w:eastAsia="zh-CN"/>
              </w:rPr>
              <w:t>程序开发服务</w:t>
            </w:r>
          </w:p>
        </w:tc>
        <w:tc>
          <w:tcPr>
            <w:tcW w:w="872" w:type="dxa"/>
            <w:vAlign w:val="center"/>
          </w:tcPr>
          <w:p w14:paraId="652FA013">
            <w:pPr>
              <w:keepNext w:val="0"/>
              <w:keepLines w:val="0"/>
              <w:suppressLineNumbers w:val="0"/>
              <w:spacing w:before="0" w:beforeAutospacing="0" w:after="0" w:afterAutospacing="0"/>
              <w:ind w:left="0" w:right="0"/>
              <w:jc w:val="center"/>
              <w:rPr>
                <w:rFonts w:hint="eastAsia" w:ascii="仿宋_GB2312" w:hAnsi="宋体" w:eastAsia="仿宋_GB2312"/>
                <w:sz w:val="28"/>
                <w:szCs w:val="28"/>
                <w:lang w:val="en-US" w:eastAsia="zh-CN"/>
              </w:rPr>
            </w:pPr>
            <w:r>
              <w:rPr>
                <w:rFonts w:hint="eastAsia" w:ascii="仿宋_GB2312" w:hAnsi="宋体"/>
                <w:sz w:val="28"/>
                <w:szCs w:val="28"/>
                <w:lang w:val="en-US" w:eastAsia="zh-CN"/>
              </w:rPr>
              <w:t>1</w:t>
            </w:r>
          </w:p>
        </w:tc>
        <w:tc>
          <w:tcPr>
            <w:tcW w:w="872" w:type="dxa"/>
            <w:vAlign w:val="center"/>
          </w:tcPr>
          <w:p w14:paraId="5EFFB44A">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rPr>
              <w:t>套</w:t>
            </w:r>
          </w:p>
        </w:tc>
        <w:tc>
          <w:tcPr>
            <w:tcW w:w="1907" w:type="dxa"/>
            <w:vAlign w:val="center"/>
          </w:tcPr>
          <w:p w14:paraId="79EB87CE">
            <w:pPr>
              <w:keepNext w:val="0"/>
              <w:keepLines w:val="0"/>
              <w:suppressLineNumbers w:val="0"/>
              <w:spacing w:before="0" w:beforeAutospacing="0" w:after="0" w:afterAutospacing="0" w:line="360" w:lineRule="exact"/>
              <w:ind w:left="0" w:right="0"/>
              <w:jc w:val="center"/>
              <w:rPr>
                <w:rFonts w:hint="default" w:ascii="仿宋_GB2312" w:hAnsi="宋体"/>
                <w:sz w:val="28"/>
                <w:szCs w:val="28"/>
              </w:rPr>
            </w:pPr>
          </w:p>
        </w:tc>
        <w:tc>
          <w:tcPr>
            <w:tcW w:w="858" w:type="dxa"/>
            <w:vAlign w:val="center"/>
          </w:tcPr>
          <w:p w14:paraId="0FA9BDF5">
            <w:pPr>
              <w:keepNext w:val="0"/>
              <w:keepLines w:val="0"/>
              <w:suppressLineNumbers w:val="0"/>
              <w:spacing w:before="0" w:beforeAutospacing="0" w:after="0" w:afterAutospacing="0" w:line="360" w:lineRule="exact"/>
              <w:ind w:left="0" w:right="0"/>
              <w:jc w:val="center"/>
              <w:rPr>
                <w:rFonts w:hint="default" w:ascii="仿宋_GB2312" w:hAnsi="宋体"/>
                <w:sz w:val="28"/>
                <w:szCs w:val="28"/>
              </w:rPr>
            </w:pPr>
          </w:p>
        </w:tc>
      </w:tr>
    </w:tbl>
    <w:p w14:paraId="2C2CBC41">
      <w:pPr>
        <w:spacing w:line="480" w:lineRule="exact"/>
        <w:ind w:right="565" w:rightChars="269"/>
        <w:jc w:val="left"/>
        <w:rPr>
          <w:rFonts w:ascii="仿宋" w:hAnsi="仿宋" w:eastAsia="仿宋" w:cs="仿宋"/>
          <w:sz w:val="28"/>
          <w:szCs w:val="28"/>
        </w:rPr>
      </w:pPr>
    </w:p>
    <w:p w14:paraId="422B2385">
      <w:pPr>
        <w:spacing w:line="480" w:lineRule="exact"/>
        <w:ind w:right="565" w:rightChars="269"/>
        <w:jc w:val="left"/>
      </w:pPr>
      <w:r>
        <w:rPr>
          <w:rFonts w:hint="eastAsia" w:ascii="仿宋" w:hAnsi="仿宋" w:eastAsia="仿宋" w:cs="仿宋"/>
          <w:sz w:val="28"/>
          <w:szCs w:val="28"/>
        </w:rPr>
        <w:t>比选申请人（公章）</w:t>
      </w:r>
    </w:p>
    <w:p w14:paraId="4BB1ACE8">
      <w:pPr>
        <w:spacing w:line="480" w:lineRule="exact"/>
        <w:jc w:val="left"/>
        <w:rPr>
          <w:rFonts w:ascii="仿宋" w:hAnsi="仿宋" w:eastAsia="仿宋" w:cs="仿宋"/>
          <w:sz w:val="28"/>
          <w:szCs w:val="28"/>
        </w:rPr>
      </w:pPr>
      <w:r>
        <w:rPr>
          <w:rFonts w:hint="eastAsia" w:ascii="仿宋" w:hAnsi="仿宋" w:eastAsia="仿宋" w:cs="仿宋"/>
          <w:sz w:val="28"/>
          <w:szCs w:val="28"/>
        </w:rPr>
        <w:t>负责人或其委托代理人（签字或盖章）：</w:t>
      </w:r>
    </w:p>
    <w:p w14:paraId="36487F6C">
      <w:pPr>
        <w:spacing w:line="480" w:lineRule="exact"/>
        <w:jc w:val="left"/>
        <w:rPr>
          <w:rFonts w:ascii="仿宋" w:hAnsi="仿宋" w:eastAsia="仿宋" w:cs="仿宋"/>
          <w:sz w:val="28"/>
          <w:szCs w:val="28"/>
        </w:rPr>
      </w:pPr>
    </w:p>
    <w:p w14:paraId="6BE2406E">
      <w:pPr>
        <w:spacing w:line="480" w:lineRule="exact"/>
        <w:jc w:val="left"/>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p>
    <w:bookmarkEnd w:id="489"/>
    <w:bookmarkEnd w:id="490"/>
    <w:bookmarkEnd w:id="491"/>
    <w:bookmarkEnd w:id="492"/>
    <w:bookmarkEnd w:id="493"/>
    <w:bookmarkEnd w:id="494"/>
    <w:bookmarkEnd w:id="495"/>
    <w:bookmarkEnd w:id="496"/>
    <w:bookmarkEnd w:id="497"/>
    <w:bookmarkEnd w:id="498"/>
    <w:p w14:paraId="67093A3E">
      <w:pPr>
        <w:spacing w:line="480" w:lineRule="exact"/>
        <w:jc w:val="center"/>
        <w:outlineLvl w:val="0"/>
        <w:rPr>
          <w:rFonts w:ascii="仿宋" w:hAnsi="仿宋" w:eastAsia="仿宋" w:cs="仿宋"/>
          <w:b/>
          <w:bCs/>
          <w:sz w:val="32"/>
          <w:szCs w:val="32"/>
        </w:rPr>
      </w:pPr>
      <w:bookmarkStart w:id="516" w:name="_Toc26396"/>
      <w:bookmarkStart w:id="517" w:name="_Toc31049"/>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章 评比办法</w:t>
      </w:r>
      <w:bookmarkEnd w:id="516"/>
      <w:bookmarkEnd w:id="517"/>
    </w:p>
    <w:p w14:paraId="7D74EBD2">
      <w:pPr>
        <w:spacing w:line="480" w:lineRule="exact"/>
        <w:ind w:firstLine="560" w:firstLineChars="200"/>
        <w:jc w:val="left"/>
        <w:rPr>
          <w:rFonts w:ascii="仿宋" w:hAnsi="仿宋" w:eastAsia="仿宋" w:cs="仿宋"/>
          <w:sz w:val="28"/>
          <w:szCs w:val="28"/>
        </w:rPr>
      </w:pPr>
      <w:bookmarkStart w:id="518" w:name="_Toc17031"/>
      <w:bookmarkStart w:id="519" w:name="_Toc10015"/>
      <w:bookmarkStart w:id="520" w:name="_Toc3898"/>
      <w:bookmarkStart w:id="521" w:name="_Toc2433"/>
      <w:bookmarkStart w:id="522" w:name="_Toc7201"/>
      <w:bookmarkStart w:id="523" w:name="_Toc16236"/>
      <w:bookmarkStart w:id="524" w:name="_Toc31412"/>
      <w:bookmarkStart w:id="525" w:name="_Toc28938"/>
      <w:bookmarkStart w:id="526" w:name="_Toc2996"/>
    </w:p>
    <w:p w14:paraId="57642E61">
      <w:pPr>
        <w:spacing w:line="480" w:lineRule="exact"/>
        <w:ind w:firstLine="560" w:firstLineChars="200"/>
        <w:jc w:val="left"/>
        <w:outlineLvl w:val="1"/>
        <w:rPr>
          <w:rFonts w:ascii="黑体" w:hAnsi="黑体" w:eastAsia="黑体" w:cs="黑体"/>
          <w:sz w:val="28"/>
          <w:szCs w:val="28"/>
        </w:rPr>
      </w:pPr>
      <w:bookmarkStart w:id="527" w:name="_Toc17508"/>
      <w:r>
        <w:rPr>
          <w:rFonts w:hint="eastAsia" w:ascii="黑体" w:hAnsi="黑体" w:eastAsia="黑体" w:cs="黑体"/>
          <w:sz w:val="28"/>
          <w:szCs w:val="28"/>
        </w:rPr>
        <w:t>一、综合评分办法</w:t>
      </w:r>
      <w:bookmarkEnd w:id="518"/>
      <w:bookmarkEnd w:id="519"/>
      <w:bookmarkEnd w:id="520"/>
      <w:bookmarkEnd w:id="521"/>
      <w:bookmarkEnd w:id="522"/>
      <w:bookmarkEnd w:id="523"/>
      <w:bookmarkEnd w:id="524"/>
      <w:bookmarkEnd w:id="525"/>
      <w:bookmarkEnd w:id="526"/>
      <w:bookmarkEnd w:id="527"/>
    </w:p>
    <w:p w14:paraId="1AB89CAF">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评比委员会首先对比选申请人进行资格审查，评比委员会对通过资格审查的比选申请人按相应的评分细则对技术部分、商务部分各自进行打分后进行汇总，比选申请人的最终得分是评比委员会每一位成员综合得分计算出来的算术平均值。</w:t>
      </w:r>
    </w:p>
    <w:p w14:paraId="36F7F306">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1.资格评审：对比选申请人的资格条件、比选申请文件的完整性和有效性、比选申请文件的有效期等方面进行审查。通过资格评审的比选申请文件进入技术、商务评审。</w:t>
      </w:r>
    </w:p>
    <w:p w14:paraId="2482B761">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技术、商务评审：由比选评比委员会按照比选文件的要求，对照比选申请文件的应答进行比较，并对各比选申请文件的技术、商务内容进行评审、打分，且技术部分、商务部分由比选评比委员会讨论定档后进行打分。</w:t>
      </w:r>
    </w:p>
    <w:p w14:paraId="17C270E1">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如比选申请文件中有含义不明确，对同类问题表达不一致，或有明显的文字、数字计算错误的，评比委员会可要求比选申请人进行必要的澄清、说明或补正，并详细记录，但不得改变比选申请文件的实质内容。评比委员会对比选申请人提交的澄清、说明或补正有疑问的，可以要求比选申请人进一步澄清、说明或补正，直至满足比选评比委员会的要求。如比选申请人拒绝接受澄清、说明或补正，该报价做无效报价处理。</w:t>
      </w:r>
    </w:p>
    <w:p w14:paraId="02F77B22">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4. 商务报价评审应以报价口径范围一致的评审价为依据。评审价应在报价的基础上，按照下列约定的因素和方法进行计算（下述修正属于非实质性修改比选申请文件；比选申请人如拒绝下述修正的，则属重大偏差，按无效报价处理）：</w:t>
      </w:r>
    </w:p>
    <w:p w14:paraId="0FCF122B">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（1）如果数字表示的金额和用文字表示的金额不一致时，应以文字表示的金额为准；</w:t>
      </w:r>
    </w:p>
    <w:p w14:paraId="11123348">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（2）当单价与数量的乘积与合价不一致时，以合价为准，并调整单价；</w:t>
      </w:r>
    </w:p>
    <w:p w14:paraId="4A5B4650">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（3）当合价与报价总价不一致时，以报价总价为准，调整相关合价；</w:t>
      </w:r>
    </w:p>
    <w:p w14:paraId="726CB6F5">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（4）评审期间，比选评比委员会不接受任何比选申请人主动提出的对报价及单价、合价的调整；</w:t>
      </w:r>
    </w:p>
    <w:p w14:paraId="02079E0D">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（5）其它未尽事宜，由评比委员会审议确定(如意见不一致时，以记名方式投票确定)。</w:t>
      </w:r>
    </w:p>
    <w:p w14:paraId="2DDDF26A">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5.在评审过程中，评比委员会发现投标人的报价明显低于其他投标报价，使得其投标报价可能低于其成本的，应当要求该比选申请人做出书面说明并提供相关证明材料。比选申请人不能合理说明或者不能提供相关证明材料的，由评比委员会认定该比选申请人以低于成本报价，报价不合理，其比选申请文件作无效处理。</w:t>
      </w:r>
    </w:p>
    <w:p w14:paraId="74EBA120">
      <w:pPr>
        <w:spacing w:line="480" w:lineRule="exact"/>
        <w:ind w:firstLine="560" w:firstLineChars="200"/>
        <w:jc w:val="left"/>
        <w:outlineLvl w:val="1"/>
        <w:rPr>
          <w:rFonts w:ascii="黑体" w:hAnsi="黑体" w:eastAsia="黑体" w:cs="黑体"/>
          <w:sz w:val="28"/>
          <w:szCs w:val="28"/>
        </w:rPr>
      </w:pPr>
      <w:bookmarkStart w:id="528" w:name="_Toc7245"/>
      <w:bookmarkStart w:id="529" w:name="_Toc6116"/>
      <w:bookmarkStart w:id="530" w:name="_Toc15054"/>
      <w:bookmarkStart w:id="531" w:name="_Toc29031"/>
      <w:bookmarkStart w:id="532" w:name="_Toc5576"/>
      <w:bookmarkStart w:id="533" w:name="_Toc29182"/>
      <w:bookmarkStart w:id="534" w:name="_Toc20237"/>
      <w:bookmarkStart w:id="535" w:name="_Toc14401"/>
      <w:bookmarkStart w:id="536" w:name="_Toc5579"/>
      <w:bookmarkStart w:id="537" w:name="_Toc30979"/>
      <w:r>
        <w:rPr>
          <w:rFonts w:hint="eastAsia" w:ascii="黑体" w:hAnsi="黑体" w:eastAsia="黑体" w:cs="黑体"/>
          <w:sz w:val="28"/>
          <w:szCs w:val="28"/>
        </w:rPr>
        <w:t>二、总分计算公式</w:t>
      </w:r>
      <w:bookmarkEnd w:id="528"/>
      <w:bookmarkEnd w:id="529"/>
      <w:bookmarkEnd w:id="530"/>
      <w:bookmarkEnd w:id="531"/>
      <w:bookmarkEnd w:id="532"/>
      <w:bookmarkEnd w:id="533"/>
      <w:bookmarkEnd w:id="534"/>
      <w:bookmarkEnd w:id="535"/>
      <w:bookmarkEnd w:id="536"/>
      <w:bookmarkEnd w:id="537"/>
    </w:p>
    <w:p w14:paraId="13E93160">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总分即比选申请人评分综合得分，其计算公式：</w:t>
      </w:r>
    </w:p>
    <w:p w14:paraId="643A41A4">
      <w:pPr>
        <w:spacing w:line="480" w:lineRule="exact"/>
        <w:ind w:firstLine="562" w:firstLineChars="200"/>
        <w:jc w:val="left"/>
        <w:outlineLvl w:val="9"/>
        <w:rPr>
          <w:rFonts w:ascii="仿宋" w:hAnsi="仿宋" w:eastAsia="仿宋" w:cs="仿宋"/>
          <w:b/>
          <w:bCs/>
          <w:sz w:val="28"/>
          <w:szCs w:val="28"/>
        </w:rPr>
      </w:pPr>
      <w:r>
        <w:rPr>
          <w:rFonts w:hint="eastAsia" w:ascii="仿宋" w:hAnsi="仿宋" w:eastAsia="仿宋" w:cs="仿宋"/>
          <w:b/>
          <w:bCs/>
          <w:sz w:val="28"/>
          <w:szCs w:val="28"/>
        </w:rPr>
        <w:t>总分=商务部分得分+技术部分得分</w:t>
      </w:r>
    </w:p>
    <w:p w14:paraId="354DC434">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注：各项指标的分数计算四舍五入，取小数点后两位。</w:t>
      </w:r>
    </w:p>
    <w:p w14:paraId="7F157D76">
      <w:pPr>
        <w:spacing w:line="480" w:lineRule="exact"/>
        <w:ind w:firstLine="560" w:firstLineChars="200"/>
        <w:jc w:val="left"/>
        <w:rPr>
          <w:rFonts w:ascii="仿宋" w:hAnsi="仿宋" w:eastAsia="仿宋" w:cs="仿宋"/>
          <w:sz w:val="28"/>
          <w:szCs w:val="28"/>
        </w:rPr>
      </w:pPr>
      <w:bookmarkStart w:id="538" w:name="_Toc28207"/>
      <w:bookmarkStart w:id="539" w:name="_Toc10918"/>
      <w:bookmarkStart w:id="540" w:name="_Toc2392"/>
      <w:bookmarkStart w:id="541" w:name="_Toc18027"/>
      <w:bookmarkStart w:id="542" w:name="_Toc26842"/>
      <w:bookmarkStart w:id="543" w:name="_Toc31078"/>
      <w:bookmarkStart w:id="544" w:name="_Toc32296"/>
      <w:bookmarkStart w:id="545" w:name="_Toc13406"/>
      <w:bookmarkStart w:id="546" w:name="_Toc9696"/>
      <w:r>
        <w:rPr>
          <w:rFonts w:hint="eastAsia" w:ascii="仿宋" w:hAnsi="仿宋" w:eastAsia="仿宋" w:cs="仿宋"/>
          <w:sz w:val="28"/>
          <w:szCs w:val="28"/>
        </w:rPr>
        <w:t>评分细则</w:t>
      </w:r>
      <w:bookmarkEnd w:id="538"/>
      <w:bookmarkEnd w:id="539"/>
      <w:bookmarkEnd w:id="540"/>
      <w:bookmarkEnd w:id="541"/>
      <w:bookmarkEnd w:id="542"/>
      <w:bookmarkEnd w:id="543"/>
      <w:bookmarkEnd w:id="544"/>
      <w:bookmarkEnd w:id="545"/>
      <w:bookmarkEnd w:id="546"/>
    </w:p>
    <w:p w14:paraId="7B3781C4">
      <w:pPr>
        <w:spacing w:line="480" w:lineRule="exact"/>
        <w:ind w:firstLine="562" w:firstLineChars="200"/>
        <w:jc w:val="left"/>
        <w:rPr>
          <w:rFonts w:ascii="仿宋" w:hAnsi="仿宋" w:eastAsia="仿宋" w:cs="仿宋"/>
          <w:b/>
          <w:bCs/>
          <w:sz w:val="28"/>
          <w:szCs w:val="28"/>
        </w:rPr>
      </w:pPr>
      <w:bookmarkStart w:id="547" w:name="_Toc18752"/>
      <w:bookmarkStart w:id="548" w:name="_Toc1358"/>
      <w:bookmarkStart w:id="549" w:name="_Toc15382"/>
      <w:r>
        <w:rPr>
          <w:rFonts w:hint="eastAsia" w:ascii="仿宋" w:hAnsi="仿宋" w:eastAsia="仿宋" w:cs="仿宋"/>
          <w:b/>
          <w:bCs/>
          <w:sz w:val="28"/>
          <w:szCs w:val="28"/>
        </w:rPr>
        <w:t>1.商务部分评分细则（满分</w:t>
      </w:r>
      <w:r>
        <w:rPr>
          <w:rFonts w:hint="eastAsia" w:ascii="仿宋" w:hAnsi="仿宋" w:eastAsia="仿宋" w:cs="仿宋"/>
          <w:b/>
          <w:bCs/>
          <w:sz w:val="28"/>
          <w:szCs w:val="28"/>
          <w:lang w:val="en-US" w:eastAsia="zh-CN"/>
        </w:rPr>
        <w:t>20</w:t>
      </w:r>
      <w:r>
        <w:rPr>
          <w:rFonts w:hint="eastAsia" w:ascii="仿宋" w:hAnsi="仿宋" w:eastAsia="仿宋" w:cs="仿宋"/>
          <w:b/>
          <w:bCs/>
          <w:sz w:val="28"/>
          <w:szCs w:val="28"/>
        </w:rPr>
        <w:t>分）</w:t>
      </w:r>
      <w:bookmarkEnd w:id="547"/>
      <w:bookmarkEnd w:id="548"/>
      <w:bookmarkEnd w:id="549"/>
    </w:p>
    <w:tbl>
      <w:tblPr>
        <w:tblStyle w:val="16"/>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809"/>
        <w:gridCol w:w="6367"/>
      </w:tblGrid>
      <w:tr w14:paraId="50BE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4" w:type="dxa"/>
            <w:vAlign w:val="center"/>
          </w:tcPr>
          <w:p w14:paraId="7FE416A8">
            <w:pPr>
              <w:keepNext w:val="0"/>
              <w:keepLines w:val="0"/>
              <w:suppressLineNumbers w:val="0"/>
              <w:spacing w:before="0" w:beforeAutospacing="0" w:after="0" w:afterAutospacing="0" w:line="400" w:lineRule="exact"/>
              <w:ind w:left="0" w:right="0"/>
              <w:jc w:val="center"/>
              <w:rPr>
                <w:rFonts w:hint="default" w:ascii="仿宋" w:hAnsi="仿宋" w:eastAsia="仿宋" w:cs="仿宋"/>
                <w:b/>
                <w:bCs/>
                <w:sz w:val="24"/>
              </w:rPr>
            </w:pPr>
            <w:r>
              <w:rPr>
                <w:rFonts w:hint="eastAsia" w:ascii="仿宋" w:hAnsi="仿宋" w:eastAsia="仿宋" w:cs="仿宋"/>
                <w:b/>
                <w:bCs/>
                <w:sz w:val="24"/>
              </w:rPr>
              <w:t>序号</w:t>
            </w:r>
          </w:p>
        </w:tc>
        <w:tc>
          <w:tcPr>
            <w:tcW w:w="1809" w:type="dxa"/>
            <w:vAlign w:val="center"/>
          </w:tcPr>
          <w:p w14:paraId="7B817DE9">
            <w:pPr>
              <w:keepNext w:val="0"/>
              <w:keepLines w:val="0"/>
              <w:suppressLineNumbers w:val="0"/>
              <w:spacing w:before="0" w:beforeAutospacing="0" w:after="0" w:afterAutospacing="0" w:line="400" w:lineRule="exact"/>
              <w:ind w:left="0" w:right="0"/>
              <w:jc w:val="center"/>
              <w:rPr>
                <w:rFonts w:hint="default" w:ascii="仿宋" w:hAnsi="仿宋" w:eastAsia="仿宋" w:cs="仿宋"/>
                <w:b/>
                <w:bCs/>
                <w:sz w:val="24"/>
              </w:rPr>
            </w:pPr>
            <w:r>
              <w:rPr>
                <w:rFonts w:hint="eastAsia" w:ascii="仿宋" w:hAnsi="仿宋" w:eastAsia="仿宋" w:cs="仿宋"/>
                <w:b/>
                <w:bCs/>
                <w:kern w:val="0"/>
                <w:sz w:val="24"/>
              </w:rPr>
              <w:t>评分因素</w:t>
            </w:r>
          </w:p>
        </w:tc>
        <w:tc>
          <w:tcPr>
            <w:tcW w:w="6367" w:type="dxa"/>
            <w:vAlign w:val="center"/>
          </w:tcPr>
          <w:p w14:paraId="1BD71EC6">
            <w:pPr>
              <w:keepNext w:val="0"/>
              <w:keepLines w:val="0"/>
              <w:suppressLineNumbers w:val="0"/>
              <w:spacing w:before="0" w:beforeAutospacing="0" w:after="0" w:afterAutospacing="0" w:line="400" w:lineRule="exact"/>
              <w:ind w:left="0" w:right="0"/>
              <w:jc w:val="center"/>
              <w:rPr>
                <w:rFonts w:hint="default" w:ascii="仿宋" w:hAnsi="仿宋" w:eastAsia="仿宋" w:cs="仿宋"/>
                <w:b/>
                <w:bCs/>
                <w:sz w:val="24"/>
              </w:rPr>
            </w:pPr>
            <w:r>
              <w:rPr>
                <w:rFonts w:hint="eastAsia" w:ascii="仿宋" w:hAnsi="仿宋" w:eastAsia="仿宋" w:cs="仿宋"/>
                <w:b/>
                <w:bCs/>
                <w:kern w:val="0"/>
                <w:sz w:val="24"/>
              </w:rPr>
              <w:t>评分标准</w:t>
            </w:r>
          </w:p>
        </w:tc>
      </w:tr>
      <w:tr w14:paraId="2214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64" w:type="dxa"/>
            <w:vAlign w:val="center"/>
          </w:tcPr>
          <w:p w14:paraId="366CFACF">
            <w:pPr>
              <w:keepNext w:val="0"/>
              <w:keepLines w:val="0"/>
              <w:suppressLineNumbers w:val="0"/>
              <w:spacing w:before="0" w:beforeAutospacing="0" w:after="0" w:afterAutospacing="0" w:line="400" w:lineRule="exact"/>
              <w:ind w:left="0" w:right="0"/>
              <w:jc w:val="center"/>
              <w:rPr>
                <w:rFonts w:hint="default" w:ascii="仿宋" w:hAnsi="仿宋" w:eastAsia="仿宋" w:cs="仿宋"/>
                <w:kern w:val="0"/>
                <w:sz w:val="24"/>
              </w:rPr>
            </w:pPr>
            <w:bookmarkStart w:id="550" w:name="OLE_LINK5" w:colFirst="2" w:colLast="2"/>
            <w:r>
              <w:rPr>
                <w:rFonts w:hint="eastAsia" w:ascii="仿宋" w:hAnsi="仿宋" w:eastAsia="仿宋" w:cs="仿宋"/>
                <w:kern w:val="0"/>
                <w:sz w:val="24"/>
              </w:rPr>
              <w:t>1</w:t>
            </w:r>
          </w:p>
        </w:tc>
        <w:tc>
          <w:tcPr>
            <w:tcW w:w="1809" w:type="dxa"/>
            <w:vAlign w:val="center"/>
          </w:tcPr>
          <w:p w14:paraId="449BC2F9">
            <w:pPr>
              <w:keepNext w:val="0"/>
              <w:keepLines w:val="0"/>
              <w:suppressLineNumbers w:val="0"/>
              <w:spacing w:before="0" w:beforeAutospacing="0" w:after="0" w:afterAutospacing="0" w:line="400" w:lineRule="exact"/>
              <w:ind w:left="0" w:right="0"/>
              <w:jc w:val="center"/>
              <w:rPr>
                <w:rFonts w:hint="default" w:ascii="仿宋" w:hAnsi="仿宋" w:eastAsia="仿宋" w:cs="仿宋"/>
                <w:kern w:val="0"/>
                <w:sz w:val="24"/>
              </w:rPr>
            </w:pPr>
            <w:r>
              <w:rPr>
                <w:rFonts w:hint="eastAsia" w:ascii="仿宋" w:hAnsi="仿宋" w:eastAsia="仿宋" w:cs="仿宋"/>
                <w:kern w:val="0"/>
                <w:sz w:val="24"/>
              </w:rPr>
              <w:t xml:space="preserve">本项目报价评分(满分 </w:t>
            </w:r>
            <w:r>
              <w:rPr>
                <w:rFonts w:hint="eastAsia" w:ascii="仿宋" w:hAnsi="仿宋" w:eastAsia="仿宋" w:cs="仿宋"/>
                <w:kern w:val="0"/>
                <w:sz w:val="24"/>
                <w:lang w:val="en-US" w:eastAsia="zh-CN"/>
              </w:rPr>
              <w:t>20</w:t>
            </w:r>
            <w:r>
              <w:rPr>
                <w:rFonts w:hint="eastAsia" w:ascii="仿宋" w:hAnsi="仿宋" w:eastAsia="仿宋" w:cs="仿宋"/>
                <w:kern w:val="0"/>
                <w:sz w:val="24"/>
              </w:rPr>
              <w:t>分)</w:t>
            </w:r>
          </w:p>
        </w:tc>
        <w:tc>
          <w:tcPr>
            <w:tcW w:w="6367" w:type="dxa"/>
            <w:vAlign w:val="center"/>
          </w:tcPr>
          <w:p w14:paraId="0D20322B">
            <w:pPr>
              <w:keepNext w:val="0"/>
              <w:keepLines w:val="0"/>
              <w:suppressLineNumbers w:val="0"/>
              <w:spacing w:before="0" w:beforeAutospacing="0" w:after="0" w:afterAutospacing="0" w:line="400" w:lineRule="exact"/>
              <w:ind w:left="0" w:right="0"/>
              <w:jc w:val="left"/>
              <w:rPr>
                <w:rFonts w:hint="default" w:ascii="仿宋" w:hAnsi="仿宋" w:eastAsia="仿宋" w:cs="仿宋"/>
                <w:sz w:val="24"/>
              </w:rPr>
            </w:pPr>
            <w:r>
              <w:rPr>
                <w:rFonts w:hint="eastAsia" w:ascii="仿宋" w:hAnsi="仿宋" w:eastAsia="仿宋" w:cs="仿宋"/>
                <w:kern w:val="0"/>
                <w:sz w:val="24"/>
              </w:rPr>
              <w:t>比选申请人价格大于上控价时比选申请文件作无效处理。当比选申请人含税报价小于或者等于上控价时，资格审查合格的有效报价投标人在5家以上(不含5家)的:将去掉最高和最低有效报价后，取有效报价的算术平均值作为评审基准价;资格审查合格的投标人在5 家以下(含5家)的，取有效报价的算术平均值作为评审的基准价。评审时以经评审的基准价为最高分，采用内插法计算，比选申请人报价每高于基准价1%的扣0.6分:每低于基</w:t>
            </w:r>
            <w:bookmarkStart w:id="562" w:name="_GoBack"/>
            <w:bookmarkEnd w:id="562"/>
            <w:r>
              <w:rPr>
                <w:rFonts w:hint="eastAsia" w:ascii="仿宋" w:hAnsi="仿宋" w:eastAsia="仿宋" w:cs="仿宋"/>
                <w:kern w:val="0"/>
                <w:sz w:val="24"/>
              </w:rPr>
              <w:t>准价1%的扣0.3分，扣完即止。</w:t>
            </w:r>
          </w:p>
        </w:tc>
      </w:tr>
      <w:bookmarkEnd w:id="550"/>
    </w:tbl>
    <w:p w14:paraId="334E2245">
      <w:pPr>
        <w:spacing w:line="480" w:lineRule="exact"/>
        <w:ind w:firstLine="562" w:firstLineChars="200"/>
        <w:jc w:val="left"/>
      </w:pPr>
      <w:r>
        <w:rPr>
          <w:rFonts w:hint="eastAsia" w:ascii="仿宋" w:hAnsi="仿宋" w:eastAsia="仿宋" w:cs="仿宋"/>
          <w:b/>
          <w:bCs/>
          <w:sz w:val="28"/>
          <w:szCs w:val="28"/>
        </w:rPr>
        <w:t>2.技术部分评分细则（满分</w:t>
      </w:r>
      <w:r>
        <w:rPr>
          <w:rFonts w:hint="eastAsia" w:ascii="仿宋" w:hAnsi="仿宋" w:eastAsia="仿宋" w:cs="仿宋"/>
          <w:b/>
          <w:bCs/>
          <w:sz w:val="28"/>
          <w:szCs w:val="28"/>
          <w:lang w:val="en-US" w:eastAsia="zh-CN"/>
        </w:rPr>
        <w:t>80</w:t>
      </w:r>
      <w:r>
        <w:rPr>
          <w:rFonts w:hint="eastAsia" w:ascii="仿宋" w:hAnsi="仿宋" w:eastAsia="仿宋" w:cs="仿宋"/>
          <w:b/>
          <w:bCs/>
          <w:sz w:val="28"/>
          <w:szCs w:val="28"/>
        </w:rPr>
        <w:t>分）</w:t>
      </w:r>
    </w:p>
    <w:tbl>
      <w:tblPr>
        <w:tblStyle w:val="16"/>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656"/>
        <w:gridCol w:w="6438"/>
      </w:tblGrid>
      <w:tr w14:paraId="1014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2C826A56">
            <w:pPr>
              <w:keepNext w:val="0"/>
              <w:keepLines w:val="0"/>
              <w:suppressLineNumbers w:val="0"/>
              <w:spacing w:before="0" w:beforeAutospacing="0" w:after="0" w:afterAutospacing="0" w:line="40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序号</w:t>
            </w:r>
          </w:p>
        </w:tc>
        <w:tc>
          <w:tcPr>
            <w:tcW w:w="1656" w:type="dxa"/>
            <w:vAlign w:val="center"/>
          </w:tcPr>
          <w:p w14:paraId="42C2BA37">
            <w:pPr>
              <w:keepNext w:val="0"/>
              <w:keepLines w:val="0"/>
              <w:suppressLineNumbers w:val="0"/>
              <w:spacing w:before="0" w:beforeAutospacing="0" w:after="0" w:afterAutospacing="0" w:line="40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评分因素</w:t>
            </w:r>
          </w:p>
        </w:tc>
        <w:tc>
          <w:tcPr>
            <w:tcW w:w="6438" w:type="dxa"/>
            <w:vAlign w:val="center"/>
          </w:tcPr>
          <w:p w14:paraId="4E82FA67">
            <w:pPr>
              <w:keepNext w:val="0"/>
              <w:keepLines w:val="0"/>
              <w:suppressLineNumbers w:val="0"/>
              <w:spacing w:before="0" w:beforeAutospacing="0" w:after="0" w:afterAutospacing="0" w:line="40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评分标准</w:t>
            </w:r>
          </w:p>
        </w:tc>
      </w:tr>
      <w:tr w14:paraId="504B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11" w:type="dxa"/>
            <w:vAlign w:val="center"/>
          </w:tcPr>
          <w:p w14:paraId="16927C6B">
            <w:pPr>
              <w:keepNext w:val="0"/>
              <w:keepLines w:val="0"/>
              <w:suppressLineNumbers w:val="0"/>
              <w:spacing w:before="0" w:beforeAutospacing="0" w:after="0" w:afterAutospacing="0" w:line="400" w:lineRule="exact"/>
              <w:ind w:left="0" w:right="0"/>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w:t>
            </w:r>
          </w:p>
        </w:tc>
        <w:tc>
          <w:tcPr>
            <w:tcW w:w="1656" w:type="dxa"/>
            <w:vAlign w:val="center"/>
          </w:tcPr>
          <w:p w14:paraId="4A5683A4">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eastAsia="zh-CN"/>
              </w:rPr>
            </w:pPr>
            <w:r>
              <w:rPr>
                <w:rFonts w:hint="eastAsia" w:ascii="仿宋" w:hAnsi="仿宋" w:eastAsia="仿宋" w:cs="仿宋"/>
                <w:kern w:val="0"/>
                <w:sz w:val="24"/>
                <w:lang w:eastAsia="zh-CN"/>
              </w:rPr>
              <w:t>业绩信誉</w:t>
            </w:r>
            <w:r>
              <w:rPr>
                <w:rFonts w:hint="eastAsia" w:ascii="仿宋" w:hAnsi="仿宋" w:eastAsia="仿宋" w:cs="仿宋"/>
                <w:kern w:val="0"/>
                <w:sz w:val="24"/>
              </w:rPr>
              <w:t xml:space="preserve">(满分 </w:t>
            </w:r>
            <w:r>
              <w:rPr>
                <w:rFonts w:hint="eastAsia" w:ascii="仿宋" w:hAnsi="仿宋" w:eastAsia="仿宋" w:cs="仿宋"/>
                <w:kern w:val="0"/>
                <w:sz w:val="24"/>
                <w:lang w:val="en-US" w:eastAsia="zh-CN"/>
              </w:rPr>
              <w:t>20</w:t>
            </w:r>
            <w:r>
              <w:rPr>
                <w:rFonts w:hint="eastAsia" w:ascii="仿宋" w:hAnsi="仿宋" w:eastAsia="仿宋" w:cs="仿宋"/>
                <w:kern w:val="0"/>
                <w:sz w:val="24"/>
              </w:rPr>
              <w:t xml:space="preserve"> 分)</w:t>
            </w:r>
          </w:p>
        </w:tc>
        <w:tc>
          <w:tcPr>
            <w:tcW w:w="6438" w:type="dxa"/>
            <w:vAlign w:val="center"/>
          </w:tcPr>
          <w:p w14:paraId="7E4E2431">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b/>
                <w:bCs/>
                <w:color w:val="auto"/>
                <w:sz w:val="24"/>
                <w:lang w:val="zh-CN"/>
              </w:rPr>
            </w:pPr>
            <w:r>
              <w:rPr>
                <w:rFonts w:hint="eastAsia" w:ascii="仿宋" w:hAnsi="仿宋" w:eastAsia="仿宋" w:cs="仿宋"/>
                <w:color w:val="auto"/>
                <w:sz w:val="24"/>
              </w:rPr>
              <w:t>（1）</w:t>
            </w:r>
            <w:r>
              <w:rPr>
                <w:rFonts w:hint="eastAsia" w:ascii="仿宋" w:hAnsi="仿宋" w:eastAsia="仿宋" w:cs="仿宋"/>
                <w:color w:val="auto"/>
                <w:sz w:val="24"/>
                <w:lang w:val="zh-CN"/>
              </w:rPr>
              <w:t>供应商自</w:t>
            </w:r>
            <w:r>
              <w:rPr>
                <w:rFonts w:hint="eastAsia" w:ascii="仿宋" w:hAnsi="仿宋" w:eastAsia="仿宋" w:cs="仿宋"/>
                <w:color w:val="auto"/>
                <w:sz w:val="24"/>
                <w:lang w:val="en-US" w:eastAsia="zh-CN"/>
              </w:rPr>
              <w:t>2020年1月1日起</w:t>
            </w:r>
            <w:r>
              <w:rPr>
                <w:rFonts w:hint="eastAsia" w:ascii="仿宋" w:hAnsi="仿宋" w:eastAsia="仿宋" w:cs="仿宋"/>
                <w:color w:val="auto"/>
                <w:sz w:val="24"/>
                <w:lang w:val="zh-CN"/>
              </w:rPr>
              <w:t>具有</w:t>
            </w:r>
            <w:r>
              <w:rPr>
                <w:rFonts w:hint="eastAsia" w:ascii="仿宋" w:hAnsi="仿宋" w:eastAsia="仿宋" w:cs="仿宋"/>
                <w:color w:val="auto"/>
                <w:sz w:val="24"/>
                <w:lang w:val="en-US" w:eastAsia="zh-CN"/>
              </w:rPr>
              <w:t>交通</w:t>
            </w:r>
            <w:r>
              <w:rPr>
                <w:rFonts w:hint="eastAsia" w:ascii="仿宋" w:hAnsi="仿宋" w:eastAsia="仿宋" w:cs="仿宋"/>
                <w:color w:val="auto"/>
                <w:sz w:val="24"/>
                <w:lang w:val="zh-CN"/>
              </w:rPr>
              <w:t>类</w:t>
            </w:r>
            <w:r>
              <w:rPr>
                <w:rFonts w:hint="eastAsia" w:ascii="仿宋" w:hAnsi="仿宋" w:eastAsia="仿宋" w:cs="仿宋"/>
                <w:color w:val="auto"/>
                <w:sz w:val="24"/>
              </w:rPr>
              <w:t>系统案例</w:t>
            </w:r>
            <w:r>
              <w:rPr>
                <w:rFonts w:hint="eastAsia" w:ascii="仿宋" w:hAnsi="仿宋" w:eastAsia="仿宋" w:cs="仿宋"/>
                <w:color w:val="auto"/>
                <w:sz w:val="24"/>
                <w:lang w:eastAsia="zh-CN"/>
              </w:rPr>
              <w:t>的，</w:t>
            </w:r>
            <w:r>
              <w:rPr>
                <w:rFonts w:hint="eastAsia" w:ascii="仿宋" w:hAnsi="仿宋" w:eastAsia="仿宋" w:cs="仿宋"/>
                <w:color w:val="auto"/>
                <w:sz w:val="24"/>
              </w:rPr>
              <w:t>每</w:t>
            </w:r>
            <w:r>
              <w:rPr>
                <w:rFonts w:hint="eastAsia" w:ascii="仿宋" w:hAnsi="仿宋" w:eastAsia="仿宋" w:cs="仿宋"/>
                <w:color w:val="auto"/>
                <w:sz w:val="24"/>
                <w:lang w:val="zh-CN"/>
              </w:rPr>
              <w:t>提供一个得</w:t>
            </w:r>
            <w:r>
              <w:rPr>
                <w:rFonts w:hint="eastAsia" w:ascii="仿宋" w:hAnsi="仿宋" w:eastAsia="仿宋" w:cs="仿宋"/>
                <w:color w:val="auto"/>
                <w:sz w:val="24"/>
                <w:lang w:val="en-US" w:eastAsia="zh-CN"/>
              </w:rPr>
              <w:t>5</w:t>
            </w:r>
            <w:r>
              <w:rPr>
                <w:rFonts w:hint="eastAsia" w:ascii="仿宋" w:hAnsi="仿宋" w:eastAsia="仿宋" w:cs="仿宋"/>
                <w:color w:val="auto"/>
                <w:sz w:val="24"/>
                <w:lang w:val="zh-CN"/>
              </w:rPr>
              <w:t>分，</w:t>
            </w:r>
            <w:r>
              <w:rPr>
                <w:rFonts w:hint="eastAsia" w:ascii="仿宋" w:hAnsi="仿宋" w:eastAsia="仿宋" w:cs="仿宋"/>
                <w:color w:val="auto"/>
                <w:sz w:val="24"/>
              </w:rPr>
              <w:t>共计</w:t>
            </w:r>
            <w:r>
              <w:rPr>
                <w:rFonts w:hint="eastAsia" w:ascii="仿宋" w:hAnsi="仿宋" w:eastAsia="仿宋" w:cs="仿宋"/>
                <w:color w:val="auto"/>
                <w:sz w:val="24"/>
                <w:lang w:val="zh-CN"/>
              </w:rPr>
              <w:t>满分</w:t>
            </w:r>
            <w:r>
              <w:rPr>
                <w:rFonts w:hint="eastAsia" w:ascii="仿宋" w:hAnsi="仿宋" w:eastAsia="仿宋" w:cs="仿宋"/>
                <w:color w:val="auto"/>
                <w:sz w:val="24"/>
                <w:lang w:val="en-US" w:eastAsia="zh-CN"/>
              </w:rPr>
              <w:t>15</w:t>
            </w:r>
            <w:r>
              <w:rPr>
                <w:rFonts w:hint="eastAsia" w:ascii="仿宋" w:hAnsi="仿宋" w:eastAsia="仿宋" w:cs="仿宋"/>
                <w:color w:val="auto"/>
                <w:sz w:val="24"/>
                <w:lang w:val="zh-CN"/>
              </w:rPr>
              <w:t>分。</w:t>
            </w:r>
            <w:r>
              <w:rPr>
                <w:rFonts w:hint="eastAsia" w:ascii="仿宋" w:hAnsi="仿宋" w:eastAsia="仿宋" w:cs="仿宋"/>
                <w:b/>
                <w:bCs/>
                <w:color w:val="auto"/>
                <w:sz w:val="24"/>
                <w:lang w:val="zh-CN"/>
              </w:rPr>
              <w:t>（需提供中标/成交通知书或合同复印件并加盖单位公章，否则不得分）</w:t>
            </w:r>
          </w:p>
          <w:p w14:paraId="5B6077D7">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color w:val="auto"/>
                <w:sz w:val="24"/>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val="zh-CN"/>
              </w:rPr>
              <w:t>）</w:t>
            </w:r>
            <w:r>
              <w:rPr>
                <w:rFonts w:hint="eastAsia" w:ascii="仿宋" w:hAnsi="仿宋" w:eastAsia="仿宋" w:cs="仿宋"/>
                <w:color w:val="auto"/>
                <w:sz w:val="24"/>
              </w:rPr>
              <w:t>具有</w:t>
            </w:r>
            <w:r>
              <w:rPr>
                <w:rFonts w:hint="eastAsia" w:ascii="仿宋" w:hAnsi="仿宋" w:eastAsia="仿宋" w:cs="仿宋"/>
                <w:color w:val="auto"/>
                <w:sz w:val="24"/>
                <w:lang w:val="zh-CN"/>
              </w:rPr>
              <w:t>国产化方面的兼容适配证书，</w:t>
            </w:r>
            <w:r>
              <w:rPr>
                <w:rFonts w:hint="eastAsia" w:ascii="仿宋" w:hAnsi="仿宋" w:eastAsia="仿宋" w:cs="仿宋"/>
                <w:color w:val="auto"/>
                <w:sz w:val="24"/>
              </w:rPr>
              <w:t>包括CPU、操作系统、数据库。</w:t>
            </w:r>
            <w:r>
              <w:rPr>
                <w:rFonts w:hint="eastAsia" w:ascii="仿宋" w:hAnsi="仿宋" w:eastAsia="仿宋" w:cs="仿宋"/>
                <w:color w:val="auto"/>
                <w:sz w:val="24"/>
                <w:lang w:val="zh-CN"/>
              </w:rPr>
              <w:t>每个</w:t>
            </w:r>
            <w:r>
              <w:rPr>
                <w:rFonts w:hint="eastAsia" w:ascii="仿宋" w:hAnsi="仿宋" w:eastAsia="仿宋" w:cs="仿宋"/>
                <w:color w:val="auto"/>
                <w:sz w:val="24"/>
              </w:rPr>
              <w:t>1分，满分3分</w:t>
            </w:r>
            <w:r>
              <w:rPr>
                <w:rFonts w:hint="eastAsia" w:ascii="仿宋" w:hAnsi="仿宋" w:eastAsia="仿宋" w:cs="仿宋"/>
                <w:b/>
                <w:bCs/>
                <w:color w:val="auto"/>
                <w:sz w:val="24"/>
              </w:rPr>
              <w:t>（</w:t>
            </w:r>
            <w:r>
              <w:rPr>
                <w:rFonts w:hint="eastAsia" w:ascii="仿宋" w:hAnsi="仿宋" w:eastAsia="仿宋" w:cs="仿宋"/>
                <w:b/>
                <w:bCs/>
                <w:color w:val="auto"/>
                <w:sz w:val="24"/>
                <w:lang w:val="zh-CN"/>
              </w:rPr>
              <w:t>复印件并加盖单位公章，原件备查，否则不得分</w:t>
            </w:r>
            <w:r>
              <w:rPr>
                <w:rFonts w:hint="eastAsia" w:ascii="仿宋" w:hAnsi="仿宋" w:eastAsia="仿宋" w:cs="仿宋"/>
                <w:b/>
                <w:bCs/>
                <w:color w:val="auto"/>
                <w:sz w:val="24"/>
              </w:rPr>
              <w:t>）</w:t>
            </w:r>
          </w:p>
          <w:p w14:paraId="354E5F43">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b/>
                <w:bCs/>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）具有省级或国家级检测机构提供的软件检测报告，得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分，不提供不得分</w:t>
            </w:r>
            <w:r>
              <w:rPr>
                <w:rFonts w:hint="eastAsia" w:ascii="仿宋" w:hAnsi="仿宋" w:eastAsia="仿宋" w:cs="仿宋"/>
                <w:b/>
                <w:bCs/>
                <w:color w:val="auto"/>
                <w:sz w:val="24"/>
              </w:rPr>
              <w:t>（关键页</w:t>
            </w:r>
            <w:r>
              <w:rPr>
                <w:rFonts w:hint="eastAsia" w:ascii="仿宋" w:hAnsi="仿宋" w:eastAsia="仿宋" w:cs="仿宋"/>
                <w:b/>
                <w:bCs/>
                <w:color w:val="auto"/>
                <w:sz w:val="24"/>
                <w:lang w:val="zh-CN"/>
              </w:rPr>
              <w:t>复印件并加盖单位公章，原件备查，否则不得分</w:t>
            </w:r>
            <w:r>
              <w:rPr>
                <w:rFonts w:hint="eastAsia" w:ascii="仿宋" w:hAnsi="仿宋" w:eastAsia="仿宋" w:cs="仿宋"/>
                <w:b/>
                <w:bCs/>
                <w:color w:val="auto"/>
                <w:sz w:val="24"/>
              </w:rPr>
              <w:t>）</w:t>
            </w:r>
          </w:p>
          <w:p w14:paraId="27E65CD0">
            <w:pPr>
              <w:keepNext w:val="0"/>
              <w:keepLines w:val="0"/>
              <w:suppressLineNumbers w:val="0"/>
              <w:spacing w:before="0" w:beforeAutospacing="0" w:after="0" w:afterAutospacing="0" w:line="400" w:lineRule="exact"/>
              <w:ind w:right="0" w:firstLine="480" w:firstLineChars="200"/>
              <w:jc w:val="left"/>
              <w:rPr>
                <w:rFonts w:hint="eastAsia" w:ascii="仿宋" w:hAnsi="仿宋" w:eastAsia="仿宋" w:cs="仿宋"/>
                <w:kern w:val="0"/>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w:t>
            </w:r>
            <w:r>
              <w:rPr>
                <w:rFonts w:hint="eastAsia" w:ascii="仿宋" w:hAnsi="仿宋" w:eastAsia="仿宋" w:cs="仿宋"/>
                <w:color w:val="auto"/>
                <w:sz w:val="24"/>
                <w:lang w:eastAsia="zh-CN"/>
              </w:rPr>
              <w:t>供应商具有</w:t>
            </w:r>
            <w:r>
              <w:rPr>
                <w:rFonts w:hint="eastAsia" w:ascii="仿宋" w:hAnsi="仿宋" w:eastAsia="仿宋" w:cs="仿宋"/>
                <w:color w:val="auto"/>
                <w:sz w:val="24"/>
              </w:rPr>
              <w:t>高新技术企业证书</w:t>
            </w:r>
            <w:r>
              <w:rPr>
                <w:rFonts w:hint="eastAsia" w:ascii="仿宋" w:hAnsi="仿宋" w:eastAsia="仿宋" w:cs="仿宋"/>
                <w:color w:val="auto"/>
                <w:sz w:val="24"/>
                <w:lang w:eastAsia="zh-CN"/>
              </w:rPr>
              <w:t>的</w:t>
            </w:r>
            <w:r>
              <w:rPr>
                <w:rFonts w:hint="eastAsia" w:ascii="仿宋" w:hAnsi="仿宋" w:eastAsia="仿宋" w:cs="仿宋"/>
                <w:color w:val="auto"/>
                <w:sz w:val="24"/>
              </w:rPr>
              <w:t>，得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分，不提供不得分。</w:t>
            </w:r>
          </w:p>
        </w:tc>
      </w:tr>
      <w:tr w14:paraId="6D02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59AE7962">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2</w:t>
            </w:r>
          </w:p>
        </w:tc>
        <w:tc>
          <w:tcPr>
            <w:tcW w:w="1656" w:type="dxa"/>
            <w:vAlign w:val="center"/>
          </w:tcPr>
          <w:p w14:paraId="4276F97F">
            <w:pPr>
              <w:keepNext w:val="0"/>
              <w:keepLines w:val="0"/>
              <w:suppressLineNumbers w:val="0"/>
              <w:spacing w:before="0" w:beforeAutospacing="0" w:after="0" w:afterAutospacing="0" w:line="400" w:lineRule="exact"/>
              <w:ind w:left="0" w:right="0"/>
              <w:jc w:val="center"/>
              <w:rPr>
                <w:rFonts w:hint="default" w:ascii="仿宋" w:hAnsi="仿宋" w:eastAsia="仿宋" w:cs="仿宋"/>
                <w:kern w:val="0"/>
                <w:sz w:val="24"/>
              </w:rPr>
            </w:pPr>
            <w:r>
              <w:rPr>
                <w:rFonts w:hint="eastAsia" w:ascii="仿宋" w:hAnsi="仿宋" w:eastAsia="仿宋" w:cs="仿宋"/>
                <w:b/>
                <w:bCs/>
                <w:sz w:val="24"/>
              </w:rPr>
              <w:t>技术方案</w:t>
            </w:r>
            <w:r>
              <w:rPr>
                <w:rFonts w:hint="eastAsia" w:ascii="仿宋" w:hAnsi="仿宋" w:eastAsia="仿宋" w:cs="仿宋"/>
                <w:kern w:val="0"/>
                <w:sz w:val="24"/>
              </w:rPr>
              <w:t>（满分</w:t>
            </w:r>
            <w:r>
              <w:rPr>
                <w:rFonts w:hint="eastAsia" w:ascii="仿宋" w:hAnsi="仿宋" w:eastAsia="仿宋" w:cs="仿宋"/>
                <w:kern w:val="0"/>
                <w:sz w:val="24"/>
                <w:lang w:val="en-US" w:eastAsia="zh-CN"/>
              </w:rPr>
              <w:t>15</w:t>
            </w:r>
            <w:r>
              <w:rPr>
                <w:rFonts w:hint="eastAsia" w:ascii="仿宋" w:hAnsi="仿宋" w:eastAsia="仿宋" w:cs="仿宋"/>
                <w:kern w:val="0"/>
                <w:sz w:val="24"/>
              </w:rPr>
              <w:t>分）</w:t>
            </w:r>
          </w:p>
        </w:tc>
        <w:tc>
          <w:tcPr>
            <w:tcW w:w="6438" w:type="dxa"/>
            <w:vAlign w:val="center"/>
          </w:tcPr>
          <w:p w14:paraId="7746AC50">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一档（</w:t>
            </w:r>
            <w:r>
              <w:rPr>
                <w:rFonts w:hint="eastAsia" w:ascii="仿宋" w:hAnsi="仿宋" w:eastAsia="仿宋" w:cs="仿宋"/>
                <w:sz w:val="24"/>
                <w:lang w:val="en-US" w:eastAsia="zh-CN"/>
              </w:rPr>
              <w:t>5</w:t>
            </w:r>
            <w:r>
              <w:rPr>
                <w:rFonts w:hint="eastAsia" w:ascii="仿宋" w:hAnsi="仿宋" w:eastAsia="仿宋" w:cs="仿宋"/>
                <w:sz w:val="24"/>
              </w:rPr>
              <w:t>分）：方案整体性、兼容性、可行性、安全性较差，技术方案论述基本准确，没有明显技术错误，技术方案较单一化，需求说明及开发功能不能满足采购文件中的系统功能要求及性能要求。</w:t>
            </w:r>
          </w:p>
          <w:p w14:paraId="737B0DA2">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二档（1</w:t>
            </w:r>
            <w:r>
              <w:rPr>
                <w:rFonts w:hint="eastAsia" w:ascii="仿宋" w:hAnsi="仿宋" w:eastAsia="仿宋" w:cs="仿宋"/>
                <w:sz w:val="24"/>
                <w:lang w:val="en-US" w:eastAsia="zh-CN"/>
              </w:rPr>
              <w:t>0</w:t>
            </w:r>
            <w:r>
              <w:rPr>
                <w:rFonts w:hint="eastAsia" w:ascii="仿宋" w:hAnsi="仿宋" w:eastAsia="仿宋" w:cs="仿宋"/>
                <w:sz w:val="24"/>
              </w:rPr>
              <w:t>分）：方案整体性、可靠性、兼容性、可扩展性、可维护性、安全性较好，技术较成熟，描述了对用户需求的理解、各模块的功能以及实现的技术方案，满足采购文件中的系统功能要求及性能要求。</w:t>
            </w:r>
          </w:p>
          <w:p w14:paraId="666C304A">
            <w:pPr>
              <w:keepNext w:val="0"/>
              <w:keepLines w:val="0"/>
              <w:suppressLineNumbers w:val="0"/>
              <w:spacing w:before="0" w:beforeAutospacing="0" w:after="0" w:afterAutospacing="0" w:line="400" w:lineRule="exact"/>
              <w:ind w:left="0" w:right="0"/>
              <w:jc w:val="left"/>
              <w:rPr>
                <w:rFonts w:hint="default" w:ascii="仿宋" w:hAnsi="仿宋" w:eastAsia="仿宋" w:cs="仿宋"/>
                <w:kern w:val="0"/>
                <w:sz w:val="24"/>
              </w:rPr>
            </w:pPr>
            <w:r>
              <w:rPr>
                <w:rFonts w:hint="eastAsia" w:ascii="仿宋" w:hAnsi="仿宋" w:eastAsia="仿宋" w:cs="仿宋"/>
                <w:sz w:val="24"/>
              </w:rPr>
              <w:t>三档（</w:t>
            </w:r>
            <w:r>
              <w:rPr>
                <w:rFonts w:hint="eastAsia" w:ascii="仿宋" w:hAnsi="仿宋" w:eastAsia="仿宋" w:cs="仿宋"/>
                <w:sz w:val="24"/>
                <w:lang w:val="en-US" w:eastAsia="zh-CN"/>
              </w:rPr>
              <w:t>15</w:t>
            </w:r>
            <w:r>
              <w:rPr>
                <w:rFonts w:hint="eastAsia" w:ascii="仿宋" w:hAnsi="仿宋" w:eastAsia="仿宋" w:cs="仿宋"/>
                <w:sz w:val="24"/>
              </w:rPr>
              <w:t>分）：方案整体性、可靠性、先进性、兼容性、可扩展性、可维护性、安全性好，技术成熟可行，对用户需求理解透彻、方案针对性强、详细描述了各模块的功能以及实现的技术方案，模块功能描述较为详细，系统功能上响应所有必须响应项，技术方案可行且具有一定的先进性，完全满足采购文件中的系统功能要求及性能要求。</w:t>
            </w:r>
          </w:p>
        </w:tc>
      </w:tr>
      <w:tr w14:paraId="0858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43842D3C">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3</w:t>
            </w:r>
          </w:p>
        </w:tc>
        <w:tc>
          <w:tcPr>
            <w:tcW w:w="1656" w:type="dxa"/>
            <w:vAlign w:val="center"/>
          </w:tcPr>
          <w:p w14:paraId="3F4C50A6">
            <w:pPr>
              <w:keepNext w:val="0"/>
              <w:keepLines w:val="0"/>
              <w:suppressLineNumbers w:val="0"/>
              <w:spacing w:before="0" w:beforeAutospacing="0" w:after="0" w:afterAutospacing="0"/>
              <w:ind w:left="0" w:right="0"/>
              <w:jc w:val="center"/>
              <w:rPr>
                <w:rFonts w:hint="default" w:ascii="仿宋" w:hAnsi="仿宋" w:eastAsia="仿宋" w:cs="仿宋"/>
                <w:kern w:val="0"/>
                <w:sz w:val="24"/>
              </w:rPr>
            </w:pPr>
            <w:r>
              <w:rPr>
                <w:rFonts w:hint="eastAsia" w:ascii="仿宋" w:hAnsi="仿宋" w:eastAsia="仿宋" w:cs="仿宋"/>
                <w:b/>
                <w:bCs/>
                <w:sz w:val="24"/>
              </w:rPr>
              <w:t>项目实施方案</w:t>
            </w:r>
            <w:r>
              <w:rPr>
                <w:rFonts w:hint="eastAsia" w:ascii="仿宋" w:hAnsi="仿宋" w:eastAsia="仿宋" w:cs="仿宋"/>
                <w:kern w:val="0"/>
                <w:sz w:val="24"/>
              </w:rPr>
              <w:t>（满分1</w:t>
            </w:r>
            <w:r>
              <w:rPr>
                <w:rFonts w:hint="eastAsia" w:ascii="仿宋" w:hAnsi="仿宋" w:eastAsia="仿宋" w:cs="仿宋"/>
                <w:kern w:val="0"/>
                <w:sz w:val="24"/>
                <w:lang w:val="en-US" w:eastAsia="zh-CN"/>
              </w:rPr>
              <w:t>5</w:t>
            </w:r>
            <w:r>
              <w:rPr>
                <w:rFonts w:hint="eastAsia" w:ascii="仿宋" w:hAnsi="仿宋" w:eastAsia="仿宋" w:cs="仿宋"/>
                <w:kern w:val="0"/>
                <w:sz w:val="24"/>
              </w:rPr>
              <w:t>分）</w:t>
            </w:r>
          </w:p>
        </w:tc>
        <w:tc>
          <w:tcPr>
            <w:tcW w:w="6438" w:type="dxa"/>
            <w:vAlign w:val="center"/>
          </w:tcPr>
          <w:p w14:paraId="36283ACF">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未提供项目实施方案或达不到一档要求的不得分。</w:t>
            </w:r>
          </w:p>
          <w:p w14:paraId="4673D014">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一档（5分）：对</w:t>
            </w:r>
            <w:r>
              <w:rPr>
                <w:rFonts w:hint="eastAsia" w:ascii="仿宋" w:hAnsi="仿宋" w:eastAsia="仿宋" w:cs="仿宋"/>
                <w:sz w:val="24"/>
                <w:lang w:eastAsia="zh-CN"/>
              </w:rPr>
              <w:t>数字</w:t>
            </w:r>
            <w:r>
              <w:rPr>
                <w:rFonts w:hint="eastAsia" w:ascii="仿宋" w:hAnsi="仿宋" w:eastAsia="仿宋" w:cs="仿宋"/>
                <w:sz w:val="24"/>
              </w:rPr>
              <w:t>档案管理系统总体需求功能描述不全，提供了项目实施进度计划但进度计划不够完整，条理不清晰，安排不具体，未能考虑到项目实施过程中的关键点，无各环节分段，对安全控制措施、保密管理措施及质量保证措施描述简单。</w:t>
            </w:r>
          </w:p>
          <w:p w14:paraId="7BA3B425">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二档（10分）：对</w:t>
            </w:r>
            <w:r>
              <w:rPr>
                <w:rFonts w:hint="eastAsia" w:ascii="仿宋" w:hAnsi="仿宋" w:eastAsia="仿宋" w:cs="仿宋"/>
                <w:sz w:val="24"/>
                <w:lang w:eastAsia="zh-CN"/>
              </w:rPr>
              <w:t>数字</w:t>
            </w:r>
            <w:r>
              <w:rPr>
                <w:rFonts w:hint="eastAsia" w:ascii="仿宋" w:hAnsi="仿宋" w:eastAsia="仿宋" w:cs="仿宋"/>
                <w:sz w:val="24"/>
              </w:rPr>
              <w:t>档案管理系统总体需求功能描述全面，有较好的项目实施进度计划和质量保证措施，工作进度计划完整，条理较清晰，安排较具体，能够考虑到项目实施过程中的关键点但不全面，对项目安全控制措施、保密管理措施及质量保证措施描述完整、具体。</w:t>
            </w:r>
          </w:p>
          <w:p w14:paraId="1D5DFD71">
            <w:pPr>
              <w:keepNext w:val="0"/>
              <w:keepLines w:val="0"/>
              <w:suppressLineNumbers w:val="0"/>
              <w:spacing w:before="0" w:beforeAutospacing="0" w:after="0" w:afterAutospacing="0" w:line="400" w:lineRule="exact"/>
              <w:ind w:left="0" w:right="0"/>
              <w:jc w:val="both"/>
              <w:rPr>
                <w:rFonts w:hint="default" w:ascii="仿宋" w:hAnsi="仿宋" w:eastAsia="仿宋" w:cs="仿宋"/>
                <w:kern w:val="0"/>
                <w:sz w:val="24"/>
              </w:rPr>
            </w:pPr>
            <w:r>
              <w:rPr>
                <w:rFonts w:hint="eastAsia" w:ascii="仿宋" w:hAnsi="仿宋" w:eastAsia="仿宋" w:cs="仿宋"/>
                <w:sz w:val="24"/>
              </w:rPr>
              <w:t>三档（15分）：对</w:t>
            </w:r>
            <w:r>
              <w:rPr>
                <w:rFonts w:hint="eastAsia" w:ascii="仿宋" w:hAnsi="仿宋" w:eastAsia="仿宋" w:cs="仿宋"/>
                <w:sz w:val="24"/>
                <w:lang w:eastAsia="zh-CN"/>
              </w:rPr>
              <w:t>数字</w:t>
            </w:r>
            <w:r>
              <w:rPr>
                <w:rFonts w:hint="eastAsia" w:ascii="仿宋" w:hAnsi="仿宋" w:eastAsia="仿宋" w:cs="仿宋"/>
                <w:sz w:val="24"/>
              </w:rPr>
              <w:t>档案管理系统总体需求功能描述透彻，项目实施计划可行明晰，能详细说明各个阶段实施进度安排，有详细具体的项目实施安全管理规范、保密管理措施、质量保证措施及质量管理程序，实施方案包含了工作时间进度表、工作程序和步骤、管理和协调方法、关键步骤的思路和要点等，且工作进度计划完整、科学，条理清晰。</w:t>
            </w:r>
          </w:p>
        </w:tc>
      </w:tr>
      <w:tr w14:paraId="2AF5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39261117">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c>
          <w:tcPr>
            <w:tcW w:w="1656" w:type="dxa"/>
            <w:vAlign w:val="center"/>
          </w:tcPr>
          <w:p w14:paraId="0EFF856A">
            <w:pPr>
              <w:keepNext w:val="0"/>
              <w:keepLines w:val="0"/>
              <w:suppressLineNumbers w:val="0"/>
              <w:spacing w:before="0" w:beforeAutospacing="0" w:after="0" w:afterAutospacing="0"/>
              <w:ind w:left="0" w:right="0"/>
              <w:jc w:val="center"/>
              <w:rPr>
                <w:rFonts w:hint="eastAsia" w:ascii="仿宋" w:hAnsi="仿宋" w:eastAsia="仿宋" w:cs="仿宋"/>
                <w:b/>
                <w:bCs/>
                <w:sz w:val="24"/>
                <w:lang w:eastAsia="zh-CN"/>
              </w:rPr>
            </w:pPr>
            <w:r>
              <w:rPr>
                <w:rFonts w:hint="eastAsia" w:ascii="仿宋" w:hAnsi="仿宋" w:eastAsia="仿宋" w:cs="仿宋"/>
                <w:b/>
                <w:bCs/>
                <w:sz w:val="24"/>
                <w:lang w:eastAsia="zh-CN"/>
              </w:rPr>
              <w:t>人员技能</w:t>
            </w:r>
            <w:r>
              <w:rPr>
                <w:rFonts w:hint="eastAsia" w:ascii="仿宋" w:hAnsi="仿宋" w:eastAsia="仿宋" w:cs="仿宋"/>
                <w:kern w:val="0"/>
                <w:sz w:val="24"/>
              </w:rPr>
              <w:t>（满分1</w:t>
            </w:r>
            <w:r>
              <w:rPr>
                <w:rFonts w:hint="eastAsia" w:ascii="仿宋" w:hAnsi="仿宋" w:eastAsia="仿宋" w:cs="仿宋"/>
                <w:kern w:val="0"/>
                <w:sz w:val="24"/>
                <w:lang w:val="en-US" w:eastAsia="zh-CN"/>
              </w:rPr>
              <w:t>0</w:t>
            </w:r>
            <w:r>
              <w:rPr>
                <w:rFonts w:hint="eastAsia" w:ascii="仿宋" w:hAnsi="仿宋" w:eastAsia="仿宋" w:cs="仿宋"/>
                <w:kern w:val="0"/>
                <w:sz w:val="24"/>
              </w:rPr>
              <w:t>分）</w:t>
            </w:r>
          </w:p>
        </w:tc>
        <w:tc>
          <w:tcPr>
            <w:tcW w:w="6438" w:type="dxa"/>
            <w:vAlign w:val="center"/>
          </w:tcPr>
          <w:p w14:paraId="63C278DF">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w:t>
            </w:r>
            <w:r>
              <w:rPr>
                <w:rFonts w:hint="eastAsia" w:ascii="仿宋" w:hAnsi="仿宋" w:eastAsia="仿宋" w:cs="仿宋"/>
                <w:sz w:val="24"/>
                <w:lang w:val="zh-CN"/>
              </w:rPr>
              <w:t>）</w:t>
            </w:r>
            <w:r>
              <w:rPr>
                <w:rFonts w:hint="eastAsia" w:ascii="仿宋" w:hAnsi="仿宋" w:eastAsia="仿宋" w:cs="仿宋"/>
                <w:sz w:val="24"/>
              </w:rPr>
              <w:t>拟</w:t>
            </w:r>
            <w:r>
              <w:rPr>
                <w:rFonts w:hint="eastAsia" w:ascii="仿宋" w:hAnsi="仿宋" w:eastAsia="仿宋" w:cs="仿宋"/>
                <w:sz w:val="24"/>
                <w:lang w:val="zh-CN"/>
              </w:rPr>
              <w:t>投入的</w:t>
            </w:r>
            <w:r>
              <w:rPr>
                <w:rFonts w:hint="eastAsia" w:ascii="仿宋" w:hAnsi="仿宋" w:eastAsia="仿宋" w:cs="仿宋"/>
                <w:sz w:val="24"/>
              </w:rPr>
              <w:t>项目负责人</w:t>
            </w:r>
            <w:r>
              <w:rPr>
                <w:rFonts w:hint="eastAsia" w:ascii="仿宋" w:hAnsi="仿宋" w:eastAsia="仿宋" w:cs="仿宋"/>
                <w:sz w:val="24"/>
                <w:lang w:val="zh-CN"/>
              </w:rPr>
              <w:t>具有系统集成项目管理工程师（</w:t>
            </w:r>
            <w:r>
              <w:rPr>
                <w:rFonts w:hint="eastAsia" w:ascii="仿宋" w:hAnsi="仿宋" w:eastAsia="仿宋" w:cs="仿宋"/>
                <w:sz w:val="24"/>
              </w:rPr>
              <w:t>中级或以上</w:t>
            </w:r>
            <w:r>
              <w:rPr>
                <w:rFonts w:hint="eastAsia" w:ascii="仿宋" w:hAnsi="仿宋" w:eastAsia="仿宋" w:cs="仿宋"/>
                <w:sz w:val="24"/>
                <w:lang w:val="zh-CN"/>
              </w:rPr>
              <w:t>）</w:t>
            </w:r>
            <w:r>
              <w:rPr>
                <w:rFonts w:hint="eastAsia" w:ascii="仿宋" w:hAnsi="仿宋" w:eastAsia="仿宋" w:cs="仿宋"/>
                <w:sz w:val="24"/>
              </w:rPr>
              <w:t>职称</w:t>
            </w:r>
            <w:r>
              <w:rPr>
                <w:rFonts w:hint="eastAsia" w:ascii="仿宋" w:hAnsi="仿宋" w:eastAsia="仿宋" w:cs="仿宋"/>
                <w:sz w:val="24"/>
                <w:lang w:val="zh-CN"/>
              </w:rPr>
              <w:t>证书</w:t>
            </w:r>
            <w:r>
              <w:rPr>
                <w:rFonts w:hint="eastAsia" w:ascii="仿宋" w:hAnsi="仿宋" w:eastAsia="仿宋" w:cs="仿宋"/>
                <w:sz w:val="24"/>
              </w:rPr>
              <w:t>的得3分；负责人具有信息系统项目管理师</w:t>
            </w:r>
            <w:r>
              <w:rPr>
                <w:rFonts w:hint="eastAsia" w:ascii="仿宋" w:hAnsi="仿宋" w:eastAsia="仿宋" w:cs="仿宋"/>
                <w:sz w:val="24"/>
                <w:lang w:eastAsia="zh-CN"/>
              </w:rPr>
              <w:t>（</w:t>
            </w:r>
            <w:r>
              <w:rPr>
                <w:rFonts w:hint="eastAsia" w:ascii="仿宋" w:hAnsi="仿宋" w:eastAsia="仿宋" w:cs="仿宋"/>
                <w:sz w:val="24"/>
                <w:lang w:val="en-US" w:eastAsia="zh-CN"/>
              </w:rPr>
              <w:t>高级</w:t>
            </w:r>
            <w:r>
              <w:rPr>
                <w:rFonts w:hint="eastAsia" w:ascii="仿宋" w:hAnsi="仿宋" w:eastAsia="仿宋" w:cs="仿宋"/>
                <w:sz w:val="24"/>
                <w:lang w:eastAsia="zh-CN"/>
              </w:rPr>
              <w:t>）</w:t>
            </w:r>
            <w:r>
              <w:rPr>
                <w:rFonts w:hint="eastAsia" w:ascii="仿宋" w:hAnsi="仿宋" w:eastAsia="仿宋" w:cs="仿宋"/>
                <w:sz w:val="24"/>
                <w:lang w:val="en-US" w:eastAsia="zh-CN"/>
              </w:rPr>
              <w:t>职称</w:t>
            </w:r>
            <w:r>
              <w:rPr>
                <w:rFonts w:hint="eastAsia" w:ascii="仿宋" w:hAnsi="仿宋" w:eastAsia="仿宋" w:cs="仿宋"/>
                <w:sz w:val="24"/>
                <w:lang w:val="zh-CN"/>
              </w:rPr>
              <w:t>证书</w:t>
            </w:r>
            <w:r>
              <w:rPr>
                <w:rFonts w:hint="eastAsia" w:ascii="仿宋" w:hAnsi="仿宋" w:eastAsia="仿宋" w:cs="仿宋"/>
                <w:sz w:val="24"/>
                <w:lang w:val="en-US" w:eastAsia="zh-CN"/>
              </w:rPr>
              <w:t>或者PMP证书</w:t>
            </w:r>
            <w:r>
              <w:rPr>
                <w:rFonts w:hint="eastAsia" w:ascii="仿宋" w:hAnsi="仿宋" w:eastAsia="仿宋" w:cs="仿宋"/>
                <w:sz w:val="24"/>
                <w:lang w:val="zh-CN"/>
              </w:rPr>
              <w:t>的</w:t>
            </w:r>
            <w:r>
              <w:rPr>
                <w:rFonts w:hint="eastAsia" w:ascii="仿宋" w:hAnsi="仿宋" w:eastAsia="仿宋" w:cs="仿宋"/>
                <w:sz w:val="24"/>
                <w:lang w:val="en-US" w:eastAsia="zh-CN"/>
              </w:rPr>
              <w:t>得5</w:t>
            </w:r>
            <w:r>
              <w:rPr>
                <w:rFonts w:hint="eastAsia" w:ascii="仿宋" w:hAnsi="仿宋" w:eastAsia="仿宋" w:cs="仿宋"/>
                <w:sz w:val="24"/>
                <w:lang w:val="zh-CN"/>
              </w:rPr>
              <w:t>分。</w:t>
            </w:r>
            <w:r>
              <w:rPr>
                <w:rFonts w:hint="eastAsia" w:ascii="仿宋" w:hAnsi="仿宋" w:eastAsia="仿宋" w:cs="仿宋"/>
                <w:sz w:val="24"/>
              </w:rPr>
              <w:t>此项满分5</w:t>
            </w:r>
            <w:r>
              <w:rPr>
                <w:rFonts w:hint="eastAsia" w:ascii="仿宋" w:hAnsi="仿宋" w:eastAsia="仿宋" w:cs="仿宋"/>
                <w:sz w:val="24"/>
                <w:lang w:val="zh-CN"/>
              </w:rPr>
              <w:t>分。</w:t>
            </w:r>
          </w:p>
          <w:p w14:paraId="6617A40C">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拟</w:t>
            </w:r>
            <w:r>
              <w:rPr>
                <w:rFonts w:hint="eastAsia" w:ascii="仿宋" w:hAnsi="仿宋" w:eastAsia="仿宋" w:cs="仿宋"/>
                <w:sz w:val="24"/>
                <w:lang w:val="zh-CN"/>
              </w:rPr>
              <w:t>投入</w:t>
            </w:r>
            <w:r>
              <w:rPr>
                <w:rFonts w:hint="eastAsia" w:ascii="仿宋" w:hAnsi="仿宋" w:eastAsia="仿宋" w:cs="仿宋"/>
                <w:sz w:val="24"/>
              </w:rPr>
              <w:t>团队</w:t>
            </w:r>
            <w:r>
              <w:rPr>
                <w:rFonts w:hint="eastAsia" w:ascii="仿宋" w:hAnsi="仿宋" w:eastAsia="仿宋" w:cs="仿宋"/>
                <w:sz w:val="24"/>
                <w:lang w:val="zh-CN"/>
              </w:rPr>
              <w:t>人员</w:t>
            </w:r>
            <w:r>
              <w:rPr>
                <w:rFonts w:hint="eastAsia" w:ascii="仿宋" w:hAnsi="仿宋" w:eastAsia="仿宋" w:cs="仿宋"/>
                <w:sz w:val="24"/>
              </w:rPr>
              <w:t>（除项目负责人外）</w:t>
            </w:r>
            <w:r>
              <w:rPr>
                <w:rFonts w:hint="eastAsia" w:ascii="仿宋" w:hAnsi="仿宋" w:eastAsia="仿宋" w:cs="仿宋"/>
                <w:sz w:val="24"/>
                <w:lang w:val="zh-CN"/>
              </w:rPr>
              <w:t>具有</w:t>
            </w:r>
            <w:r>
              <w:rPr>
                <w:rFonts w:hint="eastAsia" w:ascii="仿宋" w:hAnsi="仿宋" w:eastAsia="仿宋" w:cs="仿宋"/>
                <w:sz w:val="24"/>
              </w:rPr>
              <w:t>中级或以上职称</w:t>
            </w:r>
            <w:r>
              <w:rPr>
                <w:rFonts w:hint="eastAsia" w:ascii="仿宋" w:hAnsi="仿宋" w:eastAsia="仿宋" w:cs="仿宋"/>
                <w:sz w:val="24"/>
                <w:lang w:val="zh-CN"/>
              </w:rPr>
              <w:t>证书</w:t>
            </w:r>
            <w:r>
              <w:rPr>
                <w:rFonts w:hint="eastAsia" w:ascii="仿宋" w:hAnsi="仿宋" w:eastAsia="仿宋" w:cs="仿宋"/>
                <w:sz w:val="24"/>
              </w:rPr>
              <w:t>的</w:t>
            </w:r>
            <w:r>
              <w:rPr>
                <w:rFonts w:hint="eastAsia" w:ascii="仿宋" w:hAnsi="仿宋" w:eastAsia="仿宋" w:cs="仿宋"/>
                <w:sz w:val="24"/>
                <w:lang w:val="zh-CN"/>
              </w:rPr>
              <w:t>，每人得</w:t>
            </w:r>
            <w:r>
              <w:rPr>
                <w:rFonts w:hint="eastAsia" w:ascii="仿宋" w:hAnsi="仿宋" w:eastAsia="仿宋" w:cs="仿宋"/>
                <w:sz w:val="24"/>
                <w:lang w:val="en-US" w:eastAsia="zh-CN"/>
              </w:rPr>
              <w:t>1</w:t>
            </w:r>
            <w:r>
              <w:rPr>
                <w:rFonts w:hint="eastAsia" w:ascii="仿宋" w:hAnsi="仿宋" w:eastAsia="仿宋" w:cs="仿宋"/>
                <w:sz w:val="24"/>
                <w:lang w:val="zh-CN"/>
              </w:rPr>
              <w:t>分，</w:t>
            </w:r>
            <w:r>
              <w:rPr>
                <w:rFonts w:hint="eastAsia" w:ascii="仿宋" w:hAnsi="仿宋" w:eastAsia="仿宋" w:cs="仿宋"/>
                <w:sz w:val="24"/>
              </w:rPr>
              <w:t>此项满分</w:t>
            </w:r>
            <w:r>
              <w:rPr>
                <w:rFonts w:hint="eastAsia" w:ascii="仿宋" w:hAnsi="仿宋" w:eastAsia="仿宋" w:cs="仿宋"/>
                <w:sz w:val="24"/>
                <w:lang w:val="en-US" w:eastAsia="zh-CN"/>
              </w:rPr>
              <w:t>5</w:t>
            </w:r>
            <w:r>
              <w:rPr>
                <w:rFonts w:hint="eastAsia" w:ascii="仿宋" w:hAnsi="仿宋" w:eastAsia="仿宋" w:cs="仿宋"/>
                <w:sz w:val="24"/>
                <w:lang w:val="zh-CN"/>
              </w:rPr>
              <w:t>分。</w:t>
            </w:r>
          </w:p>
          <w:p w14:paraId="562E81DA">
            <w:pPr>
              <w:keepNext w:val="0"/>
              <w:keepLines w:val="0"/>
              <w:suppressLineNumbers w:val="0"/>
              <w:spacing w:before="0" w:beforeAutospacing="0" w:after="0" w:afterAutospacing="0" w:line="400" w:lineRule="exact"/>
              <w:ind w:left="0" w:right="0"/>
              <w:jc w:val="both"/>
              <w:rPr>
                <w:rFonts w:hint="eastAsia" w:ascii="仿宋" w:hAnsi="仿宋" w:eastAsia="仿宋" w:cs="仿宋"/>
                <w:sz w:val="24"/>
              </w:rPr>
            </w:pPr>
            <w:r>
              <w:rPr>
                <w:rFonts w:hint="eastAsia" w:ascii="仿宋" w:hAnsi="仿宋" w:eastAsia="仿宋" w:cs="仿宋"/>
                <w:sz w:val="24"/>
                <w:lang w:val="zh-CN"/>
              </w:rPr>
              <w:t>（</w:t>
            </w:r>
            <w:r>
              <w:rPr>
                <w:rFonts w:hint="eastAsia" w:ascii="仿宋" w:hAnsi="仿宋" w:eastAsia="仿宋" w:cs="仿宋"/>
                <w:sz w:val="24"/>
              </w:rPr>
              <w:t>注：</w:t>
            </w:r>
            <w:r>
              <w:rPr>
                <w:rFonts w:hint="eastAsia" w:ascii="仿宋" w:hAnsi="仿宋" w:eastAsia="仿宋" w:cs="仿宋"/>
                <w:color w:val="C00000"/>
                <w:sz w:val="24"/>
              </w:rPr>
              <w:t>拟投入团队人员（含项目负责人）需</w:t>
            </w:r>
            <w:r>
              <w:rPr>
                <w:rFonts w:hint="eastAsia" w:ascii="仿宋" w:hAnsi="仿宋" w:eastAsia="仿宋" w:cs="仿宋"/>
                <w:color w:val="C00000"/>
                <w:sz w:val="24"/>
                <w:lang w:val="zh-CN"/>
              </w:rPr>
              <w:t>提供</w:t>
            </w:r>
            <w:r>
              <w:rPr>
                <w:rFonts w:hint="eastAsia" w:ascii="仿宋" w:hAnsi="仿宋" w:eastAsia="仿宋" w:cs="仿宋"/>
                <w:color w:val="C00000"/>
                <w:sz w:val="24"/>
              </w:rPr>
              <w:t>近</w:t>
            </w:r>
            <w:r>
              <w:rPr>
                <w:rFonts w:hint="eastAsia" w:ascii="仿宋" w:hAnsi="仿宋" w:eastAsia="仿宋" w:cs="仿宋"/>
                <w:color w:val="C00000"/>
                <w:sz w:val="24"/>
                <w:lang w:val="en-US" w:eastAsia="zh-CN"/>
              </w:rPr>
              <w:t>3</w:t>
            </w:r>
            <w:r>
              <w:rPr>
                <w:rFonts w:hint="eastAsia" w:ascii="仿宋" w:hAnsi="仿宋" w:eastAsia="仿宋" w:cs="仿宋"/>
                <w:color w:val="C00000"/>
                <w:sz w:val="24"/>
              </w:rPr>
              <w:t>个月的社保缴交证明</w:t>
            </w:r>
            <w:r>
              <w:rPr>
                <w:rFonts w:hint="eastAsia" w:ascii="仿宋" w:hAnsi="仿宋" w:eastAsia="仿宋" w:cs="仿宋"/>
                <w:color w:val="C00000"/>
                <w:sz w:val="24"/>
                <w:lang w:val="zh-CN"/>
              </w:rPr>
              <w:t>材料</w:t>
            </w:r>
            <w:r>
              <w:rPr>
                <w:rFonts w:hint="eastAsia" w:ascii="仿宋" w:hAnsi="仿宋" w:eastAsia="仿宋" w:cs="仿宋"/>
                <w:color w:val="C00000"/>
                <w:sz w:val="24"/>
              </w:rPr>
              <w:t>并加盖单位公章</w:t>
            </w:r>
            <w:r>
              <w:rPr>
                <w:rFonts w:hint="eastAsia" w:ascii="仿宋" w:hAnsi="仿宋" w:eastAsia="仿宋" w:cs="仿宋"/>
                <w:sz w:val="24"/>
                <w:lang w:val="zh-CN"/>
              </w:rPr>
              <w:t>，否则</w:t>
            </w:r>
            <w:r>
              <w:rPr>
                <w:rFonts w:hint="eastAsia" w:ascii="仿宋" w:hAnsi="仿宋" w:eastAsia="仿宋" w:cs="仿宋"/>
                <w:sz w:val="24"/>
              </w:rPr>
              <w:t>不得</w:t>
            </w:r>
            <w:r>
              <w:rPr>
                <w:rFonts w:hint="eastAsia" w:ascii="仿宋" w:hAnsi="仿宋" w:eastAsia="仿宋" w:cs="仿宋"/>
                <w:sz w:val="24"/>
                <w:lang w:val="zh-CN"/>
              </w:rPr>
              <w:t>分）。</w:t>
            </w:r>
          </w:p>
        </w:tc>
      </w:tr>
      <w:tr w14:paraId="2988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5DB93BFC">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c>
          <w:tcPr>
            <w:tcW w:w="1656" w:type="dxa"/>
            <w:vAlign w:val="center"/>
          </w:tcPr>
          <w:p w14:paraId="7FFD3EFF">
            <w:pPr>
              <w:keepNext w:val="0"/>
              <w:keepLines w:val="0"/>
              <w:suppressLineNumbers w:val="0"/>
              <w:spacing w:before="0" w:beforeAutospacing="0" w:after="0" w:afterAutospacing="0"/>
              <w:ind w:left="0" w:right="0"/>
              <w:jc w:val="center"/>
              <w:rPr>
                <w:rFonts w:hint="eastAsia" w:ascii="仿宋" w:hAnsi="仿宋" w:eastAsia="仿宋" w:cs="仿宋"/>
                <w:b/>
                <w:bCs/>
                <w:sz w:val="24"/>
                <w:lang w:eastAsia="zh-CN"/>
              </w:rPr>
            </w:pPr>
            <w:r>
              <w:rPr>
                <w:rFonts w:hint="eastAsia" w:ascii="仿宋" w:hAnsi="仿宋" w:eastAsia="仿宋" w:cs="仿宋"/>
                <w:b/>
                <w:bCs/>
                <w:sz w:val="24"/>
                <w:lang w:eastAsia="zh-CN"/>
              </w:rPr>
              <w:t>运维服务</w:t>
            </w:r>
            <w:r>
              <w:rPr>
                <w:rFonts w:hint="eastAsia" w:ascii="仿宋" w:hAnsi="仿宋" w:eastAsia="仿宋" w:cs="仿宋"/>
                <w:kern w:val="0"/>
                <w:sz w:val="24"/>
              </w:rPr>
              <w:t>（满分1</w:t>
            </w:r>
            <w:r>
              <w:rPr>
                <w:rFonts w:hint="eastAsia" w:ascii="仿宋" w:hAnsi="仿宋" w:eastAsia="仿宋" w:cs="仿宋"/>
                <w:kern w:val="0"/>
                <w:sz w:val="24"/>
                <w:lang w:val="en-US" w:eastAsia="zh-CN"/>
              </w:rPr>
              <w:t>0</w:t>
            </w:r>
            <w:r>
              <w:rPr>
                <w:rFonts w:hint="eastAsia" w:ascii="仿宋" w:hAnsi="仿宋" w:eastAsia="仿宋" w:cs="仿宋"/>
                <w:kern w:val="0"/>
                <w:sz w:val="24"/>
              </w:rPr>
              <w:t>分）</w:t>
            </w:r>
          </w:p>
        </w:tc>
        <w:tc>
          <w:tcPr>
            <w:tcW w:w="6438" w:type="dxa"/>
            <w:vAlign w:val="center"/>
          </w:tcPr>
          <w:p w14:paraId="3394AF2C">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未提供运维服务方案或达不到一档要求的不得分。</w:t>
            </w:r>
          </w:p>
          <w:p w14:paraId="3E197CC6">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一档（4分）：运维服务方案简单，有简单的维护服务流程、维护管理方式及计划和应急保障方案，基本满足项目需求。</w:t>
            </w:r>
          </w:p>
          <w:p w14:paraId="5A917290">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二档（7分）：运维服务方案具体，有具体的维护流程、故障排查处理流程及组织架构，提出故障技术处理手段及应急保障方案，方案可行较详细及具备应急保障服务能力，较好满足项目需求。</w:t>
            </w:r>
          </w:p>
          <w:p w14:paraId="47F4BFA0">
            <w:pPr>
              <w:keepNext w:val="0"/>
              <w:keepLines w:val="0"/>
              <w:suppressLineNumbers w:val="0"/>
              <w:spacing w:before="0" w:beforeAutospacing="0" w:after="0" w:afterAutospacing="0" w:line="400" w:lineRule="exact"/>
              <w:ind w:left="0" w:right="0"/>
              <w:jc w:val="both"/>
              <w:rPr>
                <w:rFonts w:hint="eastAsia" w:ascii="仿宋" w:hAnsi="仿宋" w:eastAsia="仿宋" w:cs="仿宋"/>
                <w:sz w:val="24"/>
                <w:lang w:val="zh-CN"/>
              </w:rPr>
            </w:pPr>
            <w:r>
              <w:rPr>
                <w:rFonts w:hint="eastAsia" w:ascii="仿宋" w:hAnsi="仿宋" w:eastAsia="仿宋" w:cs="仿宋"/>
                <w:sz w:val="24"/>
                <w:lang w:val="zh-CN"/>
              </w:rPr>
              <w:t>三档（10分）：运维服务方案详细，有详细的维护流程、故障排查处理流程及组织架构，并能对本项目常见故障、系统异常、数据错误、故障修复时间等情况进行描述，提出故障技术处理手段及应急保障方案，方案科学、完整及具备应急保障服务能力，制定有详细的定期检查、升级更新方案。</w:t>
            </w:r>
          </w:p>
        </w:tc>
      </w:tr>
      <w:tr w14:paraId="1CF4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6A077A86">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6</w:t>
            </w:r>
          </w:p>
        </w:tc>
        <w:tc>
          <w:tcPr>
            <w:tcW w:w="1656" w:type="dxa"/>
            <w:vAlign w:val="center"/>
          </w:tcPr>
          <w:p w14:paraId="53994527">
            <w:pPr>
              <w:keepNext w:val="0"/>
              <w:keepLines w:val="0"/>
              <w:suppressLineNumbers w:val="0"/>
              <w:spacing w:before="0" w:beforeAutospacing="0" w:after="0" w:afterAutospacing="0"/>
              <w:ind w:left="0" w:right="0"/>
              <w:jc w:val="center"/>
              <w:rPr>
                <w:rFonts w:hint="eastAsia" w:ascii="仿宋" w:hAnsi="仿宋" w:eastAsia="仿宋" w:cs="仿宋"/>
                <w:b/>
                <w:bCs/>
                <w:sz w:val="24"/>
              </w:rPr>
            </w:pPr>
            <w:r>
              <w:rPr>
                <w:rFonts w:hint="eastAsia" w:ascii="仿宋" w:hAnsi="仿宋" w:eastAsia="仿宋" w:cs="仿宋"/>
                <w:b/>
                <w:bCs/>
                <w:sz w:val="24"/>
              </w:rPr>
              <w:t>培训及售后服务</w:t>
            </w:r>
            <w:r>
              <w:rPr>
                <w:rFonts w:hint="eastAsia" w:ascii="仿宋" w:hAnsi="仿宋" w:eastAsia="仿宋" w:cs="仿宋"/>
                <w:kern w:val="0"/>
                <w:sz w:val="24"/>
              </w:rPr>
              <w:t>（满分1</w:t>
            </w:r>
            <w:r>
              <w:rPr>
                <w:rFonts w:hint="eastAsia" w:ascii="仿宋" w:hAnsi="仿宋" w:eastAsia="仿宋" w:cs="仿宋"/>
                <w:kern w:val="0"/>
                <w:sz w:val="24"/>
                <w:lang w:val="en-US" w:eastAsia="zh-CN"/>
              </w:rPr>
              <w:t>0</w:t>
            </w:r>
            <w:r>
              <w:rPr>
                <w:rFonts w:hint="eastAsia" w:ascii="仿宋" w:hAnsi="仿宋" w:eastAsia="仿宋" w:cs="仿宋"/>
                <w:kern w:val="0"/>
                <w:sz w:val="24"/>
              </w:rPr>
              <w:t>分）</w:t>
            </w:r>
          </w:p>
        </w:tc>
        <w:tc>
          <w:tcPr>
            <w:tcW w:w="6438" w:type="dxa"/>
            <w:vAlign w:val="center"/>
          </w:tcPr>
          <w:p w14:paraId="1E3D678D">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未提供培训及售后服务方案或达不到一档要求的不得分。</w:t>
            </w:r>
          </w:p>
          <w:p w14:paraId="3C256E18">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一档（</w:t>
            </w:r>
            <w:r>
              <w:rPr>
                <w:rFonts w:hint="eastAsia" w:ascii="仿宋" w:hAnsi="仿宋" w:eastAsia="仿宋" w:cs="仿宋"/>
                <w:sz w:val="24"/>
                <w:lang w:val="en-US" w:eastAsia="zh-CN"/>
              </w:rPr>
              <w:t>4</w:t>
            </w:r>
            <w:r>
              <w:rPr>
                <w:rFonts w:hint="eastAsia" w:ascii="仿宋" w:hAnsi="仿宋" w:eastAsia="仿宋" w:cs="仿宋"/>
                <w:sz w:val="24"/>
                <w:lang w:val="zh-CN"/>
              </w:rPr>
              <w:t>分）：售后服务方案简单，可行性较差，售后技术服务方案等内容不够完善，响应时间安排不够合理；对培训方案有描述但内容简单，培训计划安排不合理，培训流程说明不明确。</w:t>
            </w:r>
          </w:p>
          <w:p w14:paraId="6CE7204D">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二档（</w:t>
            </w:r>
            <w:r>
              <w:rPr>
                <w:rFonts w:hint="default" w:ascii="仿宋" w:hAnsi="仿宋" w:eastAsia="仿宋" w:cs="仿宋"/>
                <w:sz w:val="24"/>
                <w:lang w:val="zh-CN"/>
              </w:rPr>
              <w:t>7</w:t>
            </w:r>
            <w:r>
              <w:rPr>
                <w:rFonts w:hint="eastAsia" w:ascii="仿宋" w:hAnsi="仿宋" w:eastAsia="仿宋" w:cs="仿宋"/>
                <w:sz w:val="24"/>
                <w:lang w:val="zh-CN"/>
              </w:rPr>
              <w:t>分）：售后服务方案较具体，售后技术方案内容较详细、具体，措施有效可行，响应时间安排合理；提供专门的售后服务技术支持；培训方案详细，培训计划安排合理，有详细的培训流程说明，各项培训流程、时间安排明确。</w:t>
            </w:r>
          </w:p>
          <w:p w14:paraId="7C37C65C">
            <w:pPr>
              <w:keepNext w:val="0"/>
              <w:keepLines w:val="0"/>
              <w:suppressLineNumbers w:val="0"/>
              <w:spacing w:before="0" w:beforeAutospacing="0" w:after="0" w:afterAutospacing="0" w:line="400" w:lineRule="exact"/>
              <w:ind w:left="0" w:right="0"/>
              <w:jc w:val="both"/>
              <w:rPr>
                <w:rFonts w:hint="eastAsia" w:ascii="仿宋" w:hAnsi="仿宋" w:eastAsia="仿宋" w:cs="仿宋"/>
                <w:sz w:val="24"/>
              </w:rPr>
            </w:pPr>
            <w:r>
              <w:rPr>
                <w:rFonts w:hint="eastAsia" w:ascii="仿宋" w:hAnsi="仿宋" w:eastAsia="仿宋" w:cs="仿宋"/>
                <w:sz w:val="24"/>
                <w:lang w:val="zh-CN"/>
              </w:rPr>
              <w:t>三档（1</w:t>
            </w:r>
            <w:r>
              <w:rPr>
                <w:rFonts w:hint="default" w:ascii="仿宋" w:hAnsi="仿宋" w:eastAsia="仿宋" w:cs="仿宋"/>
                <w:sz w:val="24"/>
                <w:lang w:val="zh-CN"/>
              </w:rPr>
              <w:t>0</w:t>
            </w:r>
            <w:r>
              <w:rPr>
                <w:rFonts w:hint="eastAsia" w:ascii="仿宋" w:hAnsi="仿宋" w:eastAsia="仿宋" w:cs="仿宋"/>
                <w:sz w:val="24"/>
                <w:lang w:val="zh-CN"/>
              </w:rPr>
              <w:t>分）：售后服务方案合理，方案表述清晰、完整，措施有效可行，售后技术方案内容详实、完整，具有针对性，响应时间合理及时，配备有专门的售后服务团队并提供详细的售后服务人员信息表，维护期内按季度巡查系统；培训方案在满足二档的基础上，培训方案涉及操作维护方法、系统调测、排除故障流程等各方面，满足采购人使用人员的工作需求，培训方式多样化，方案针对性及可行性强。</w:t>
            </w:r>
          </w:p>
        </w:tc>
      </w:tr>
    </w:tbl>
    <w:p w14:paraId="7BC5399B">
      <w:pPr>
        <w:spacing w:line="480" w:lineRule="exact"/>
        <w:jc w:val="left"/>
        <w:rPr>
          <w:rFonts w:ascii="仿宋" w:hAnsi="仿宋" w:eastAsia="仿宋" w:cs="仿宋"/>
          <w:b/>
          <w:bCs/>
          <w:sz w:val="28"/>
          <w:szCs w:val="28"/>
        </w:rPr>
        <w:sectPr>
          <w:pgSz w:w="11906" w:h="16838"/>
          <w:pgMar w:top="2098" w:right="1474" w:bottom="1984" w:left="1587" w:header="851" w:footer="992" w:gutter="0"/>
          <w:pgNumType w:fmt="numberInDash"/>
          <w:cols w:space="720" w:num="1"/>
          <w:docGrid w:type="lines" w:linePitch="312" w:charSpace="0"/>
        </w:sectPr>
      </w:pPr>
      <w:bookmarkStart w:id="551" w:name="_Toc19395"/>
      <w:bookmarkStart w:id="552" w:name="_Toc21685"/>
      <w:bookmarkStart w:id="553" w:name="_Toc19593"/>
      <w:bookmarkStart w:id="554" w:name="_Toc22367"/>
      <w:bookmarkStart w:id="555" w:name="_Toc24296"/>
      <w:bookmarkStart w:id="556" w:name="_Toc27525"/>
      <w:bookmarkStart w:id="557" w:name="_Toc15663"/>
      <w:bookmarkStart w:id="558" w:name="_Toc10183"/>
      <w:bookmarkStart w:id="559" w:name="_Toc19365"/>
    </w:p>
    <w:p w14:paraId="4BB1556F">
      <w:pPr>
        <w:spacing w:line="480" w:lineRule="exact"/>
        <w:jc w:val="center"/>
        <w:outlineLvl w:val="0"/>
        <w:rPr>
          <w:rFonts w:ascii="仿宋" w:hAnsi="仿宋" w:eastAsia="仿宋" w:cs="仿宋"/>
          <w:b/>
          <w:bCs/>
          <w:sz w:val="32"/>
          <w:szCs w:val="32"/>
        </w:rPr>
      </w:pPr>
      <w:bookmarkStart w:id="560" w:name="_Toc14540"/>
      <w:bookmarkStart w:id="561" w:name="_Toc9800"/>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章 中选标准</w:t>
      </w:r>
      <w:bookmarkEnd w:id="551"/>
      <w:bookmarkEnd w:id="552"/>
      <w:bookmarkEnd w:id="553"/>
      <w:bookmarkEnd w:id="554"/>
      <w:bookmarkEnd w:id="555"/>
      <w:bookmarkEnd w:id="556"/>
      <w:bookmarkEnd w:id="557"/>
      <w:bookmarkEnd w:id="558"/>
      <w:bookmarkEnd w:id="559"/>
      <w:bookmarkEnd w:id="560"/>
      <w:bookmarkEnd w:id="561"/>
    </w:p>
    <w:p w14:paraId="3DF33274">
      <w:pPr>
        <w:spacing w:line="480" w:lineRule="exact"/>
        <w:jc w:val="center"/>
        <w:rPr>
          <w:rFonts w:ascii="仿宋" w:hAnsi="仿宋" w:eastAsia="仿宋" w:cs="仿宋"/>
          <w:sz w:val="28"/>
          <w:szCs w:val="28"/>
        </w:rPr>
      </w:pPr>
    </w:p>
    <w:p w14:paraId="7B35ADB2">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评比委员会将按照综合得分由低到高进行排序，得分最高的排名第一（当综合得分相同时，按报价由低到高顺序排列；综合得分且报价相同的，按照技术部分得分由高到低顺序排列，如意见不一致时，以记名方式投票并按照多数评审意见确定）。若排名第一的中选候选人自愿放弃资格或由于不可抗力的原因不能按合同规定履约的，则推荐排名第二的中选候选人，以此类推。</w:t>
      </w:r>
    </w:p>
    <w:p w14:paraId="36D80EB1">
      <w:pPr>
        <w:pStyle w:val="6"/>
        <w:ind w:left="0" w:leftChars="0" w:firstLine="0" w:firstLineChars="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D3322">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30200" cy="175260"/>
              <wp:effectExtent l="0" t="0" r="0" b="0"/>
              <wp:wrapNone/>
              <wp:docPr id="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30200" cy="175260"/>
                      </a:xfrm>
                      <a:prstGeom prst="rect">
                        <a:avLst/>
                      </a:prstGeom>
                      <a:noFill/>
                      <a:ln>
                        <a:noFill/>
                      </a:ln>
                      <a:effectLst/>
                    </wps:spPr>
                    <wps:txbx>
                      <w:txbxContent>
                        <w:p w14:paraId="4F12982D">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- 26 -</w:t>
                          </w:r>
                          <w:r>
                            <w:rPr>
                              <w:sz w:val="24"/>
                              <w:szCs w:val="24"/>
                            </w:rP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3.8pt;width:26pt;mso-position-horizontal:center;mso-position-horizontal-relative:margin;mso-wrap-style:none;z-index:251659264;mso-width-relative:page;mso-height-relative:page;" filled="f" stroked="f" coordsize="21600,21600" o:gfxdata="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&#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qo/kjQAAAAAwEAAA8AAAAAAAAAAQAgAAAAIgAAAGRy&#10;cy9kb3ducmV2LnhtbFBLAQIUABQAAAAIAIdO4kCZfSNRDQIAABAEAAAOAAAAAAAAAAEAIAAAAB8B&#10;AABkcnMvZTJvRG9jLnhtbFBLBQYAAAAABgAGAFkBAACeBQAAAAA=&#10;">
              <v:fill on="f" focussize="0,0"/>
              <v:stroke on="f"/>
              <v:imagedata o:title=""/>
              <o:lock v:ext="edit" aspectratio="f"/>
              <v:textbox inset="0mm,0mm,0mm,0mm" style="mso-fit-shape-to-text:t;">
                <w:txbxContent>
                  <w:p w14:paraId="4F12982D">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- 26 -</w:t>
                    </w:r>
                    <w:r>
                      <w:rPr>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40F6E"/>
    <w:multiLevelType w:val="multilevel"/>
    <w:tmpl w:val="C9540F6E"/>
    <w:lvl w:ilvl="0" w:tentative="0">
      <w:start w:val="1"/>
      <w:numFmt w:val="decimal"/>
      <w:lvlText w:val="%1."/>
      <w:lvlJc w:val="left"/>
      <w:pPr>
        <w:ind w:left="-113" w:hanging="425"/>
      </w:pPr>
      <w:rPr>
        <w:rFonts w:hint="default"/>
      </w:rPr>
    </w:lvl>
    <w:lvl w:ilvl="1" w:tentative="0">
      <w:start w:val="1"/>
      <w:numFmt w:val="decimal"/>
      <w:lvlText w:val="%1.%2."/>
      <w:lvlJc w:val="left"/>
      <w:pPr>
        <w:ind w:left="77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CF4B6938"/>
    <w:multiLevelType w:val="singleLevel"/>
    <w:tmpl w:val="CF4B6938"/>
    <w:lvl w:ilvl="0" w:tentative="0">
      <w:start w:val="10"/>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30CA7"/>
    <w:rsid w:val="020C21DC"/>
    <w:rsid w:val="02C07C14"/>
    <w:rsid w:val="069A65B0"/>
    <w:rsid w:val="07F27D26"/>
    <w:rsid w:val="0A6E2124"/>
    <w:rsid w:val="0B657B87"/>
    <w:rsid w:val="0BED5407"/>
    <w:rsid w:val="103D0973"/>
    <w:rsid w:val="11D85FB3"/>
    <w:rsid w:val="129F1AD0"/>
    <w:rsid w:val="13C44916"/>
    <w:rsid w:val="1ED63AA6"/>
    <w:rsid w:val="1F4B32D7"/>
    <w:rsid w:val="200C1E7E"/>
    <w:rsid w:val="24DE36B4"/>
    <w:rsid w:val="2A0C73C6"/>
    <w:rsid w:val="2E993699"/>
    <w:rsid w:val="33C47679"/>
    <w:rsid w:val="36246F69"/>
    <w:rsid w:val="3C6C2836"/>
    <w:rsid w:val="3C6F136A"/>
    <w:rsid w:val="3F6D17C3"/>
    <w:rsid w:val="41302318"/>
    <w:rsid w:val="446146FD"/>
    <w:rsid w:val="44E2459E"/>
    <w:rsid w:val="4A061BD5"/>
    <w:rsid w:val="4A742B45"/>
    <w:rsid w:val="4A856ADE"/>
    <w:rsid w:val="584F2358"/>
    <w:rsid w:val="5A2340BC"/>
    <w:rsid w:val="5DF248EB"/>
    <w:rsid w:val="5E8F0FA0"/>
    <w:rsid w:val="5F3C606F"/>
    <w:rsid w:val="69DD2144"/>
    <w:rsid w:val="6A6E5F0E"/>
    <w:rsid w:val="6B130649"/>
    <w:rsid w:val="731816F8"/>
    <w:rsid w:val="745130F8"/>
    <w:rsid w:val="769B34C2"/>
    <w:rsid w:val="7C25650B"/>
    <w:rsid w:val="7FF64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1"/>
    <w:next w:val="1"/>
    <w:qFormat/>
    <w:uiPriority w:val="0"/>
    <w:pPr>
      <w:keepNext/>
      <w:keepLines/>
      <w:spacing w:line="374" w:lineRule="auto"/>
      <w:outlineLvl w:val="3"/>
    </w:pPr>
    <w:rPr>
      <w:rFonts w:ascii="Cambria" w:hAnsi="Cambria"/>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widowControl w:val="0"/>
      <w:jc w:val="both"/>
    </w:pPr>
    <w:rPr>
      <w:kern w:val="2"/>
      <w:sz w:val="28"/>
      <w:szCs w:val="20"/>
    </w:rPr>
  </w:style>
  <w:style w:type="paragraph" w:styleId="5">
    <w:name w:val="Body Text Indent"/>
    <w:basedOn w:val="1"/>
    <w:qFormat/>
    <w:uiPriority w:val="99"/>
    <w:pPr>
      <w:spacing w:line="200" w:lineRule="exact"/>
      <w:ind w:firstLine="301"/>
    </w:pPr>
    <w:rPr>
      <w:rFonts w:ascii="宋体" w:hAnsi="Courier New"/>
      <w:spacing w:val="-4"/>
      <w:sz w:val="18"/>
      <w:szCs w:val="20"/>
    </w:rPr>
  </w:style>
  <w:style w:type="paragraph" w:styleId="6">
    <w:name w:val="Block Text"/>
    <w:basedOn w:val="1"/>
    <w:qFormat/>
    <w:uiPriority w:val="0"/>
    <w:pPr>
      <w:adjustRightInd w:val="0"/>
      <w:spacing w:line="300" w:lineRule="auto"/>
      <w:ind w:left="958" w:right="-120" w:rightChars="-120"/>
      <w:jc w:val="left"/>
    </w:pPr>
    <w:rPr>
      <w:rFonts w:ascii="宋体" w:hAnsi="宋体" w:eastAsia="宋体" w:cs="Times New Roman"/>
      <w:sz w:val="28"/>
    </w:rPr>
  </w:style>
  <w:style w:type="paragraph" w:styleId="7">
    <w:name w:val="toc 3"/>
    <w:basedOn w:val="1"/>
    <w:next w:val="1"/>
    <w:qFormat/>
    <w:uiPriority w:val="0"/>
    <w:pPr>
      <w:ind w:left="840" w:leftChars="400"/>
    </w:pPr>
  </w:style>
  <w:style w:type="paragraph" w:styleId="8">
    <w:name w:val="Plain Text"/>
    <w:basedOn w:val="1"/>
    <w:next w:val="3"/>
    <w:qFormat/>
    <w:uiPriority w:val="0"/>
    <w:pPr>
      <w:adjustRightInd w:val="0"/>
      <w:spacing w:line="312" w:lineRule="atLeast"/>
      <w:textAlignment w:val="baseline"/>
    </w:pPr>
    <w:rPr>
      <w:rFonts w:ascii="宋体" w:hAnsi="Courier New"/>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rPr>
      <w:sz w:val="24"/>
    </w:rPr>
  </w:style>
  <w:style w:type="paragraph" w:styleId="14">
    <w:name w:val="Body Text First Indent"/>
    <w:basedOn w:val="4"/>
    <w:unhideWhenUsed/>
    <w:qFormat/>
    <w:uiPriority w:val="99"/>
    <w:pPr>
      <w:spacing w:beforeLines="0" w:afterLines="0" w:line="360" w:lineRule="auto"/>
    </w:pPr>
    <w:rPr>
      <w:rFonts w:hint="default"/>
      <w:b/>
      <w:sz w:val="28"/>
      <w:szCs w:val="22"/>
    </w:rPr>
  </w:style>
  <w:style w:type="paragraph" w:styleId="15">
    <w:name w:val="Body Text First Indent 2"/>
    <w:basedOn w:val="5"/>
    <w:qFormat/>
    <w:uiPriority w:val="99"/>
    <w:pPr>
      <w:widowControl/>
      <w:spacing w:after="120" w:line="560" w:lineRule="exact"/>
      <w:ind w:left="420" w:leftChars="200" w:firstLine="420" w:firstLineChars="200"/>
      <w:jc w:val="left"/>
    </w:pPr>
    <w:rPr>
      <w:rFonts w:ascii="Calibri" w:hAnsi="Calibri"/>
      <w:spacing w:val="0"/>
      <w:sz w:val="21"/>
      <w:szCs w:val="24"/>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9">
    <w:name w:val="列出段落1"/>
    <w:basedOn w:val="1"/>
    <w:qFormat/>
    <w:uiPriority w:val="34"/>
    <w:pPr>
      <w:ind w:firstLine="420" w:firstLineChars="200"/>
    </w:p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WPSOffice手动目录 2"/>
    <w:qFormat/>
    <w:uiPriority w:val="0"/>
    <w:pPr>
      <w:ind w:leftChars="200"/>
    </w:pPr>
    <w:rPr>
      <w:rFonts w:asciiTheme="minorHAnsi" w:hAnsiTheme="minorHAnsi" w:eastAsiaTheme="minorEastAsia" w:cstheme="minorBidi"/>
      <w:sz w:val="20"/>
      <w:szCs w:val="20"/>
    </w:rPr>
  </w:style>
  <w:style w:type="paragraph" w:customStyle="1" w:styleId="22">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emf"/><Relationship Id="rId16" Type="http://schemas.openxmlformats.org/officeDocument/2006/relationships/oleObject" Target="embeddings/oleObject3.bin"/><Relationship Id="rId15" Type="http://schemas.openxmlformats.org/officeDocument/2006/relationships/image" Target="media/image9.emf"/><Relationship Id="rId14" Type="http://schemas.openxmlformats.org/officeDocument/2006/relationships/oleObject" Target="embeddings/oleObject2.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10102</Words>
  <Characters>10899</Characters>
  <Lines>0</Lines>
  <Paragraphs>0</Paragraphs>
  <TotalTime>4</TotalTime>
  <ScaleCrop>false</ScaleCrop>
  <LinksUpToDate>false</LinksUpToDate>
  <CharactersWithSpaces>11601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2024-11-19T09:25:00Z</dcterms:created>
  <dc:creator>T470S</dc:creator>
  <cp:lastModifiedBy>综合部</cp:lastModifiedBy>
  <dcterms:modified xsi:type="dcterms:W3CDTF">2024-11-21T08:08:00Z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5B87D647B2064E43AB2A66AEA7B5D412_12</vt:lpwstr>
  </property>
</Properties>
</file>