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2D5BE">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南宁轨道数智科技有限公司</w:t>
      </w:r>
    </w:p>
    <w:p w14:paraId="1CAB019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数字档案管理系统项目</w:t>
      </w:r>
    </w:p>
    <w:p w14:paraId="2361B6A9">
      <w:pPr>
        <w:rPr>
          <w:rFonts w:ascii="方正小标宋简体" w:hAnsi="方正小标宋简体" w:eastAsia="方正小标宋简体" w:cs="方正小标宋简体"/>
          <w:sz w:val="44"/>
          <w:szCs w:val="44"/>
        </w:rPr>
      </w:pPr>
    </w:p>
    <w:p w14:paraId="2254165D">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比选文件</w:t>
      </w:r>
    </w:p>
    <w:p w14:paraId="48A92E59">
      <w:pPr>
        <w:rPr>
          <w:rFonts w:ascii="方正小标宋简体" w:hAnsi="方正小标宋简体" w:eastAsia="方正小标宋简体" w:cs="方正小标宋简体"/>
          <w:sz w:val="44"/>
          <w:szCs w:val="44"/>
        </w:rPr>
      </w:pPr>
    </w:p>
    <w:p w14:paraId="24041F97">
      <w:pPr>
        <w:rPr>
          <w:rFonts w:ascii="方正小标宋简体" w:hAnsi="方正小标宋简体" w:eastAsia="方正小标宋简体" w:cs="方正小标宋简体"/>
          <w:sz w:val="44"/>
          <w:szCs w:val="44"/>
        </w:rPr>
      </w:pPr>
    </w:p>
    <w:p w14:paraId="66190E35">
      <w:pPr>
        <w:rPr>
          <w:rFonts w:ascii="方正小标宋简体" w:hAnsi="方正小标宋简体" w:eastAsia="方正小标宋简体" w:cs="方正小标宋简体"/>
          <w:sz w:val="44"/>
          <w:szCs w:val="44"/>
        </w:rPr>
      </w:pPr>
    </w:p>
    <w:p w14:paraId="090FF44B">
      <w:pPr>
        <w:rPr>
          <w:rFonts w:ascii="方正小标宋简体" w:hAnsi="方正小标宋简体" w:eastAsia="方正小标宋简体" w:cs="方正小标宋简体"/>
          <w:sz w:val="44"/>
          <w:szCs w:val="44"/>
        </w:rPr>
      </w:pPr>
    </w:p>
    <w:p w14:paraId="3FC89A8E">
      <w:pPr>
        <w:rPr>
          <w:rFonts w:ascii="方正小标宋简体" w:hAnsi="方正小标宋简体" w:eastAsia="方正小标宋简体" w:cs="方正小标宋简体"/>
          <w:sz w:val="44"/>
          <w:szCs w:val="44"/>
        </w:rPr>
      </w:pPr>
    </w:p>
    <w:p w14:paraId="0BC9FD9D">
      <w:pPr>
        <w:rPr>
          <w:rFonts w:ascii="方正小标宋简体" w:hAnsi="方正小标宋简体" w:eastAsia="方正小标宋简体" w:cs="方正小标宋简体"/>
          <w:sz w:val="44"/>
          <w:szCs w:val="44"/>
        </w:rPr>
      </w:pPr>
    </w:p>
    <w:p w14:paraId="3C99E95F">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比选发起人：南宁轨道数智科技有限公司</w:t>
      </w:r>
    </w:p>
    <w:p w14:paraId="01E6EC6B">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二〇二四年</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月</w:t>
      </w:r>
    </w:p>
    <w:p w14:paraId="73A170C0">
      <w:pPr>
        <w:jc w:val="center"/>
        <w:rPr>
          <w:rFonts w:ascii="仿宋" w:hAnsi="仿宋" w:eastAsia="仿宋" w:cs="仿宋"/>
          <w:b/>
          <w:bCs/>
          <w:sz w:val="32"/>
          <w:szCs w:val="32"/>
        </w:rPr>
      </w:pPr>
    </w:p>
    <w:p w14:paraId="787D96D2">
      <w:pPr>
        <w:jc w:val="center"/>
        <w:rPr>
          <w:rFonts w:ascii="仿宋" w:hAnsi="仿宋" w:eastAsia="仿宋" w:cs="仿宋"/>
          <w:b/>
          <w:bCs/>
          <w:sz w:val="32"/>
          <w:szCs w:val="32"/>
        </w:rPr>
      </w:pPr>
    </w:p>
    <w:p w14:paraId="54DBBACF">
      <w:pPr>
        <w:jc w:val="center"/>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242F0410">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 录</w:t>
      </w:r>
    </w:p>
    <w:p w14:paraId="55A28A83">
      <w:pPr>
        <w:pStyle w:val="15"/>
        <w:tabs>
          <w:tab w:val="right" w:leader="dot" w:pos="8845"/>
        </w:tabs>
        <w:rPr>
          <w:rFonts w:ascii="宋体" w:hAnsi="宋体" w:cs="宋体"/>
          <w:szCs w:val="28"/>
        </w:rPr>
      </w:pPr>
    </w:p>
    <w:p w14:paraId="385A69F6">
      <w:pPr>
        <w:pStyle w:val="15"/>
        <w:tabs>
          <w:tab w:val="right" w:leader="dot" w:pos="8845"/>
        </w:tabs>
        <w:spacing w:line="440" w:lineRule="exac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TOC \o "1-2" \h \z \u </w:instrText>
      </w:r>
      <w:r>
        <w:rPr>
          <w:rFonts w:hint="eastAsia" w:ascii="仿宋" w:hAnsi="仿宋" w:eastAsia="仿宋" w:cs="仿宋"/>
          <w:sz w:val="24"/>
        </w:rPr>
        <w:fldChar w:fldCharType="separate"/>
      </w:r>
      <w:r>
        <w:fldChar w:fldCharType="begin"/>
      </w:r>
      <w:r>
        <w:instrText xml:space="preserve"> HYPERLINK \l "_Toc2182" </w:instrText>
      </w:r>
      <w:r>
        <w:fldChar w:fldCharType="separate"/>
      </w:r>
      <w:r>
        <w:rPr>
          <w:rFonts w:hint="eastAsia" w:ascii="仿宋" w:hAnsi="仿宋" w:eastAsia="仿宋" w:cs="仿宋"/>
          <w:bCs/>
          <w:sz w:val="24"/>
        </w:rPr>
        <w:t>第一章 比选须知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_Toc2182 \h </w:instrText>
      </w:r>
      <w:r>
        <w:rPr>
          <w:rFonts w:hint="eastAsia" w:ascii="仿宋" w:hAnsi="仿宋" w:eastAsia="仿宋" w:cs="仿宋"/>
          <w:sz w:val="24"/>
        </w:rPr>
        <w:fldChar w:fldCharType="separate"/>
      </w:r>
      <w:r>
        <w:rPr>
          <w:rFonts w:hint="eastAsia" w:ascii="仿宋" w:hAnsi="仿宋" w:eastAsia="仿宋" w:cs="仿宋"/>
          <w:sz w:val="24"/>
        </w:rPr>
        <w:t>- 1 -</w:t>
      </w:r>
      <w:r>
        <w:rPr>
          <w:rFonts w:hint="eastAsia" w:ascii="仿宋" w:hAnsi="仿宋" w:eastAsia="仿宋" w:cs="仿宋"/>
          <w:sz w:val="24"/>
        </w:rPr>
        <w:fldChar w:fldCharType="end"/>
      </w:r>
      <w:r>
        <w:rPr>
          <w:rFonts w:hint="eastAsia" w:ascii="仿宋" w:hAnsi="仿宋" w:eastAsia="仿宋" w:cs="仿宋"/>
          <w:sz w:val="24"/>
        </w:rPr>
        <w:fldChar w:fldCharType="end"/>
      </w:r>
    </w:p>
    <w:p w14:paraId="4AD75B9E">
      <w:pPr>
        <w:pStyle w:val="16"/>
        <w:tabs>
          <w:tab w:val="right" w:leader="dot" w:pos="8845"/>
        </w:tabs>
        <w:spacing w:line="440" w:lineRule="exact"/>
        <w:rPr>
          <w:rFonts w:ascii="仿宋" w:hAnsi="仿宋" w:eastAsia="仿宋" w:cs="仿宋"/>
          <w:sz w:val="24"/>
        </w:rPr>
      </w:pPr>
      <w:r>
        <w:fldChar w:fldCharType="begin"/>
      </w:r>
      <w:r>
        <w:instrText xml:space="preserve"> HYPERLINK \l "_Toc27355" </w:instrText>
      </w:r>
      <w:r>
        <w:fldChar w:fldCharType="separate"/>
      </w:r>
      <w:r>
        <w:rPr>
          <w:rFonts w:hint="eastAsia" w:ascii="仿宋" w:hAnsi="仿宋" w:eastAsia="仿宋" w:cs="仿宋"/>
          <w:bCs/>
          <w:sz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_Toc27355 \h </w:instrText>
      </w:r>
      <w:r>
        <w:rPr>
          <w:rFonts w:hint="eastAsia" w:ascii="仿宋" w:hAnsi="仿宋" w:eastAsia="仿宋" w:cs="仿宋"/>
          <w:sz w:val="24"/>
        </w:rPr>
        <w:fldChar w:fldCharType="separate"/>
      </w:r>
      <w:r>
        <w:rPr>
          <w:rFonts w:hint="eastAsia" w:ascii="仿宋" w:hAnsi="仿宋" w:eastAsia="仿宋" w:cs="仿宋"/>
          <w:sz w:val="24"/>
        </w:rPr>
        <w:t>- 3 -</w:t>
      </w:r>
      <w:r>
        <w:rPr>
          <w:rFonts w:hint="eastAsia" w:ascii="仿宋" w:hAnsi="仿宋" w:eastAsia="仿宋" w:cs="仿宋"/>
          <w:sz w:val="24"/>
        </w:rPr>
        <w:fldChar w:fldCharType="end"/>
      </w:r>
      <w:r>
        <w:rPr>
          <w:rFonts w:hint="eastAsia" w:ascii="仿宋" w:hAnsi="仿宋" w:eastAsia="仿宋" w:cs="仿宋"/>
          <w:sz w:val="24"/>
        </w:rPr>
        <w:fldChar w:fldCharType="end"/>
      </w:r>
    </w:p>
    <w:p w14:paraId="54B8B938">
      <w:pPr>
        <w:pStyle w:val="16"/>
        <w:tabs>
          <w:tab w:val="right" w:leader="dot" w:pos="8845"/>
        </w:tabs>
        <w:spacing w:line="440" w:lineRule="exact"/>
        <w:rPr>
          <w:rFonts w:ascii="仿宋" w:hAnsi="仿宋" w:eastAsia="仿宋" w:cs="仿宋"/>
          <w:sz w:val="24"/>
        </w:rPr>
      </w:pPr>
      <w:r>
        <w:fldChar w:fldCharType="begin"/>
      </w:r>
      <w:r>
        <w:instrText xml:space="preserve"> HYPERLINK \l "_Toc2924" </w:instrText>
      </w:r>
      <w:r>
        <w:fldChar w:fldCharType="separate"/>
      </w:r>
      <w:r>
        <w:rPr>
          <w:rFonts w:hint="eastAsia" w:ascii="仿宋" w:hAnsi="仿宋" w:eastAsia="仿宋" w:cs="仿宋"/>
          <w:bCs/>
          <w:sz w:val="24"/>
        </w:rPr>
        <w:t>二、比选文件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_Toc2924 \h </w:instrText>
      </w:r>
      <w:r>
        <w:rPr>
          <w:rFonts w:hint="eastAsia" w:ascii="仿宋" w:hAnsi="仿宋" w:eastAsia="仿宋" w:cs="仿宋"/>
          <w:sz w:val="24"/>
        </w:rPr>
        <w:fldChar w:fldCharType="separate"/>
      </w:r>
      <w:r>
        <w:rPr>
          <w:rFonts w:hint="eastAsia" w:ascii="仿宋" w:hAnsi="仿宋" w:eastAsia="仿宋" w:cs="仿宋"/>
          <w:sz w:val="24"/>
        </w:rPr>
        <w:t>- 3 -</w:t>
      </w:r>
      <w:r>
        <w:rPr>
          <w:rFonts w:hint="eastAsia" w:ascii="仿宋" w:hAnsi="仿宋" w:eastAsia="仿宋" w:cs="仿宋"/>
          <w:sz w:val="24"/>
        </w:rPr>
        <w:fldChar w:fldCharType="end"/>
      </w:r>
      <w:r>
        <w:rPr>
          <w:rFonts w:hint="eastAsia" w:ascii="仿宋" w:hAnsi="仿宋" w:eastAsia="仿宋" w:cs="仿宋"/>
          <w:sz w:val="24"/>
        </w:rPr>
        <w:fldChar w:fldCharType="end"/>
      </w:r>
    </w:p>
    <w:p w14:paraId="2495618B">
      <w:pPr>
        <w:pStyle w:val="16"/>
        <w:tabs>
          <w:tab w:val="right" w:leader="dot" w:pos="8845"/>
        </w:tabs>
        <w:spacing w:line="440" w:lineRule="exact"/>
        <w:rPr>
          <w:rFonts w:ascii="仿宋" w:hAnsi="仿宋" w:eastAsia="仿宋" w:cs="仿宋"/>
          <w:sz w:val="24"/>
        </w:rPr>
      </w:pPr>
      <w:r>
        <w:fldChar w:fldCharType="begin"/>
      </w:r>
      <w:r>
        <w:instrText xml:space="preserve"> HYPERLINK \l "_Toc21566" </w:instrText>
      </w:r>
      <w:r>
        <w:fldChar w:fldCharType="separate"/>
      </w:r>
      <w:r>
        <w:rPr>
          <w:rFonts w:hint="eastAsia" w:ascii="仿宋" w:hAnsi="仿宋" w:eastAsia="仿宋" w:cs="仿宋"/>
          <w:bCs/>
          <w:sz w:val="24"/>
        </w:rPr>
        <w:t>三、申请比选报价说明</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_Toc21566 \h </w:instrText>
      </w:r>
      <w:r>
        <w:rPr>
          <w:rFonts w:hint="eastAsia" w:ascii="仿宋" w:hAnsi="仿宋" w:eastAsia="仿宋" w:cs="仿宋"/>
          <w:sz w:val="24"/>
        </w:rPr>
        <w:fldChar w:fldCharType="separate"/>
      </w:r>
      <w:r>
        <w:rPr>
          <w:rFonts w:hint="eastAsia" w:ascii="仿宋" w:hAnsi="仿宋" w:eastAsia="仿宋" w:cs="仿宋"/>
          <w:sz w:val="24"/>
        </w:rPr>
        <w:t>- 4 -</w:t>
      </w:r>
      <w:r>
        <w:rPr>
          <w:rFonts w:hint="eastAsia" w:ascii="仿宋" w:hAnsi="仿宋" w:eastAsia="仿宋" w:cs="仿宋"/>
          <w:sz w:val="24"/>
        </w:rPr>
        <w:fldChar w:fldCharType="end"/>
      </w:r>
      <w:r>
        <w:rPr>
          <w:rFonts w:hint="eastAsia" w:ascii="仿宋" w:hAnsi="仿宋" w:eastAsia="仿宋" w:cs="仿宋"/>
          <w:sz w:val="24"/>
        </w:rPr>
        <w:fldChar w:fldCharType="end"/>
      </w:r>
    </w:p>
    <w:p w14:paraId="632BE437">
      <w:pPr>
        <w:pStyle w:val="16"/>
        <w:tabs>
          <w:tab w:val="right" w:leader="dot" w:pos="8845"/>
        </w:tabs>
        <w:spacing w:line="440" w:lineRule="exact"/>
        <w:rPr>
          <w:rFonts w:ascii="仿宋" w:hAnsi="仿宋" w:eastAsia="仿宋" w:cs="仿宋"/>
          <w:sz w:val="24"/>
        </w:rPr>
      </w:pPr>
      <w:r>
        <w:fldChar w:fldCharType="begin"/>
      </w:r>
      <w:r>
        <w:instrText xml:space="preserve"> HYPERLINK \l "_Toc13994" </w:instrText>
      </w:r>
      <w:r>
        <w:fldChar w:fldCharType="separate"/>
      </w:r>
      <w:r>
        <w:rPr>
          <w:rFonts w:hint="eastAsia" w:ascii="仿宋" w:hAnsi="仿宋" w:eastAsia="仿宋" w:cs="仿宋"/>
          <w:bCs/>
          <w:sz w:val="24"/>
        </w:rPr>
        <w:t>四、比选申请文件的编制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_Toc13994 \h </w:instrText>
      </w:r>
      <w:r>
        <w:rPr>
          <w:rFonts w:hint="eastAsia" w:ascii="仿宋" w:hAnsi="仿宋" w:eastAsia="仿宋" w:cs="仿宋"/>
          <w:sz w:val="24"/>
        </w:rPr>
        <w:fldChar w:fldCharType="separate"/>
      </w:r>
      <w:r>
        <w:rPr>
          <w:rFonts w:hint="eastAsia" w:ascii="仿宋" w:hAnsi="仿宋" w:eastAsia="仿宋" w:cs="仿宋"/>
          <w:sz w:val="24"/>
        </w:rPr>
        <w:t>- 4 -</w:t>
      </w:r>
      <w:r>
        <w:rPr>
          <w:rFonts w:hint="eastAsia" w:ascii="仿宋" w:hAnsi="仿宋" w:eastAsia="仿宋" w:cs="仿宋"/>
          <w:sz w:val="24"/>
        </w:rPr>
        <w:fldChar w:fldCharType="end"/>
      </w:r>
      <w:r>
        <w:rPr>
          <w:rFonts w:hint="eastAsia" w:ascii="仿宋" w:hAnsi="仿宋" w:eastAsia="仿宋" w:cs="仿宋"/>
          <w:sz w:val="24"/>
        </w:rPr>
        <w:fldChar w:fldCharType="end"/>
      </w:r>
    </w:p>
    <w:p w14:paraId="43FC86F3">
      <w:pPr>
        <w:pStyle w:val="16"/>
        <w:tabs>
          <w:tab w:val="right" w:leader="dot" w:pos="8845"/>
        </w:tabs>
        <w:spacing w:line="440" w:lineRule="exact"/>
        <w:rPr>
          <w:rFonts w:ascii="仿宋" w:hAnsi="仿宋" w:eastAsia="仿宋" w:cs="仿宋"/>
          <w:sz w:val="24"/>
        </w:rPr>
      </w:pPr>
      <w:r>
        <w:fldChar w:fldCharType="begin"/>
      </w:r>
      <w:r>
        <w:instrText xml:space="preserve"> HYPERLINK \l "_Toc25452" </w:instrText>
      </w:r>
      <w:r>
        <w:fldChar w:fldCharType="separate"/>
      </w:r>
      <w:r>
        <w:rPr>
          <w:rFonts w:hint="eastAsia" w:ascii="仿宋" w:hAnsi="仿宋" w:eastAsia="仿宋" w:cs="仿宋"/>
          <w:bCs/>
          <w:sz w:val="24"/>
        </w:rPr>
        <w:t>五、比选申请文件的递交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_Toc25452 \h </w:instrText>
      </w:r>
      <w:r>
        <w:rPr>
          <w:rFonts w:hint="eastAsia" w:ascii="仿宋" w:hAnsi="仿宋" w:eastAsia="仿宋" w:cs="仿宋"/>
          <w:sz w:val="24"/>
        </w:rPr>
        <w:fldChar w:fldCharType="separate"/>
      </w:r>
      <w:r>
        <w:rPr>
          <w:rFonts w:hint="eastAsia" w:ascii="仿宋" w:hAnsi="仿宋" w:eastAsia="仿宋" w:cs="仿宋"/>
          <w:sz w:val="24"/>
        </w:rPr>
        <w:t>- 7 -</w:t>
      </w:r>
      <w:r>
        <w:rPr>
          <w:rFonts w:hint="eastAsia" w:ascii="仿宋" w:hAnsi="仿宋" w:eastAsia="仿宋" w:cs="仿宋"/>
          <w:sz w:val="24"/>
        </w:rPr>
        <w:fldChar w:fldCharType="end"/>
      </w:r>
      <w:r>
        <w:rPr>
          <w:rFonts w:hint="eastAsia" w:ascii="仿宋" w:hAnsi="仿宋" w:eastAsia="仿宋" w:cs="仿宋"/>
          <w:sz w:val="24"/>
        </w:rPr>
        <w:fldChar w:fldCharType="end"/>
      </w:r>
    </w:p>
    <w:p w14:paraId="23A7E824">
      <w:pPr>
        <w:pStyle w:val="16"/>
        <w:tabs>
          <w:tab w:val="right" w:leader="dot" w:pos="8845"/>
        </w:tabs>
        <w:spacing w:line="440" w:lineRule="exact"/>
        <w:rPr>
          <w:rFonts w:ascii="仿宋" w:hAnsi="仿宋" w:eastAsia="仿宋" w:cs="仿宋"/>
          <w:sz w:val="24"/>
        </w:rPr>
      </w:pPr>
      <w:r>
        <w:fldChar w:fldCharType="begin"/>
      </w:r>
      <w:r>
        <w:instrText xml:space="preserve"> HYPERLINK \l "_Toc257" </w:instrText>
      </w:r>
      <w:r>
        <w:fldChar w:fldCharType="separate"/>
      </w:r>
      <w:r>
        <w:rPr>
          <w:rFonts w:hint="eastAsia" w:ascii="仿宋" w:hAnsi="仿宋" w:eastAsia="仿宋" w:cs="仿宋"/>
          <w:bCs/>
          <w:sz w:val="24"/>
        </w:rPr>
        <w:t>六、评比</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_Toc257 \h </w:instrText>
      </w:r>
      <w:r>
        <w:rPr>
          <w:rFonts w:hint="eastAsia" w:ascii="仿宋" w:hAnsi="仿宋" w:eastAsia="仿宋" w:cs="仿宋"/>
          <w:sz w:val="24"/>
        </w:rPr>
        <w:fldChar w:fldCharType="separate"/>
      </w:r>
      <w:r>
        <w:rPr>
          <w:rFonts w:hint="eastAsia" w:ascii="仿宋" w:hAnsi="仿宋" w:eastAsia="仿宋" w:cs="仿宋"/>
          <w:sz w:val="24"/>
        </w:rPr>
        <w:t>- 7 -</w:t>
      </w:r>
      <w:r>
        <w:rPr>
          <w:rFonts w:hint="eastAsia" w:ascii="仿宋" w:hAnsi="仿宋" w:eastAsia="仿宋" w:cs="仿宋"/>
          <w:sz w:val="24"/>
        </w:rPr>
        <w:fldChar w:fldCharType="end"/>
      </w:r>
      <w:r>
        <w:rPr>
          <w:rFonts w:hint="eastAsia" w:ascii="仿宋" w:hAnsi="仿宋" w:eastAsia="仿宋" w:cs="仿宋"/>
          <w:sz w:val="24"/>
        </w:rPr>
        <w:fldChar w:fldCharType="end"/>
      </w:r>
    </w:p>
    <w:p w14:paraId="3EB75962">
      <w:pPr>
        <w:pStyle w:val="16"/>
        <w:tabs>
          <w:tab w:val="right" w:leader="dot" w:pos="8845"/>
        </w:tabs>
        <w:spacing w:line="440" w:lineRule="exact"/>
        <w:rPr>
          <w:rFonts w:ascii="仿宋" w:hAnsi="仿宋" w:eastAsia="仿宋" w:cs="仿宋"/>
          <w:sz w:val="24"/>
        </w:rPr>
      </w:pPr>
      <w:r>
        <w:fldChar w:fldCharType="begin"/>
      </w:r>
      <w:r>
        <w:instrText xml:space="preserve"> HYPERLINK \l "_Toc7395" </w:instrText>
      </w:r>
      <w:r>
        <w:fldChar w:fldCharType="separate"/>
      </w:r>
      <w:r>
        <w:rPr>
          <w:rFonts w:hint="eastAsia" w:ascii="仿宋" w:hAnsi="仿宋" w:eastAsia="仿宋" w:cs="仿宋"/>
          <w:bCs/>
          <w:sz w:val="24"/>
        </w:rPr>
        <w:t>七、授予合同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_Toc7395 \h </w:instrText>
      </w:r>
      <w:r>
        <w:rPr>
          <w:rFonts w:hint="eastAsia" w:ascii="仿宋" w:hAnsi="仿宋" w:eastAsia="仿宋" w:cs="仿宋"/>
          <w:sz w:val="24"/>
        </w:rPr>
        <w:fldChar w:fldCharType="separate"/>
      </w:r>
      <w:r>
        <w:rPr>
          <w:rFonts w:hint="eastAsia" w:ascii="仿宋" w:hAnsi="仿宋" w:eastAsia="仿宋" w:cs="仿宋"/>
          <w:sz w:val="24"/>
        </w:rPr>
        <w:t>- 11 -</w:t>
      </w:r>
      <w:r>
        <w:rPr>
          <w:rFonts w:hint="eastAsia" w:ascii="仿宋" w:hAnsi="仿宋" w:eastAsia="仿宋" w:cs="仿宋"/>
          <w:sz w:val="24"/>
        </w:rPr>
        <w:fldChar w:fldCharType="end"/>
      </w:r>
      <w:r>
        <w:rPr>
          <w:rFonts w:hint="eastAsia" w:ascii="仿宋" w:hAnsi="仿宋" w:eastAsia="仿宋" w:cs="仿宋"/>
          <w:sz w:val="24"/>
        </w:rPr>
        <w:fldChar w:fldCharType="end"/>
      </w:r>
    </w:p>
    <w:p w14:paraId="13C21CF6">
      <w:pPr>
        <w:pStyle w:val="15"/>
        <w:tabs>
          <w:tab w:val="right" w:leader="dot" w:pos="8845"/>
        </w:tabs>
        <w:spacing w:line="440" w:lineRule="exact"/>
        <w:rPr>
          <w:rFonts w:ascii="仿宋" w:hAnsi="仿宋" w:eastAsia="仿宋" w:cs="仿宋"/>
          <w:sz w:val="24"/>
        </w:rPr>
      </w:pPr>
      <w:r>
        <w:fldChar w:fldCharType="begin"/>
      </w:r>
      <w:r>
        <w:instrText xml:space="preserve"> HYPERLINK \l "_Toc2762" </w:instrText>
      </w:r>
      <w:r>
        <w:fldChar w:fldCharType="separate"/>
      </w:r>
      <w:r>
        <w:rPr>
          <w:rFonts w:hint="eastAsia" w:ascii="仿宋" w:hAnsi="仿宋" w:eastAsia="仿宋" w:cs="仿宋"/>
          <w:bCs/>
          <w:sz w:val="24"/>
        </w:rPr>
        <w:t>第二章 合同条款</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_Toc2762 \h </w:instrText>
      </w:r>
      <w:r>
        <w:rPr>
          <w:rFonts w:hint="eastAsia" w:ascii="仿宋" w:hAnsi="仿宋" w:eastAsia="仿宋" w:cs="仿宋"/>
          <w:sz w:val="24"/>
        </w:rPr>
        <w:fldChar w:fldCharType="separate"/>
      </w:r>
      <w:r>
        <w:rPr>
          <w:rFonts w:hint="eastAsia" w:ascii="仿宋" w:hAnsi="仿宋" w:eastAsia="仿宋" w:cs="仿宋"/>
          <w:sz w:val="24"/>
        </w:rPr>
        <w:t>- 12 -</w:t>
      </w:r>
      <w:r>
        <w:rPr>
          <w:rFonts w:hint="eastAsia" w:ascii="仿宋" w:hAnsi="仿宋" w:eastAsia="仿宋" w:cs="仿宋"/>
          <w:sz w:val="24"/>
        </w:rPr>
        <w:fldChar w:fldCharType="end"/>
      </w:r>
      <w:r>
        <w:rPr>
          <w:rFonts w:hint="eastAsia" w:ascii="仿宋" w:hAnsi="仿宋" w:eastAsia="仿宋" w:cs="仿宋"/>
          <w:sz w:val="24"/>
        </w:rPr>
        <w:fldChar w:fldCharType="end"/>
      </w:r>
    </w:p>
    <w:p w14:paraId="6758E48C">
      <w:pPr>
        <w:pStyle w:val="15"/>
        <w:tabs>
          <w:tab w:val="right" w:leader="dot" w:pos="8845"/>
        </w:tabs>
        <w:spacing w:line="440" w:lineRule="exact"/>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\l _Toc24094 </w:instrText>
      </w:r>
      <w:r>
        <w:rPr>
          <w:rFonts w:hint="eastAsia" w:ascii="仿宋" w:hAnsi="仿宋" w:eastAsia="仿宋" w:cs="仿宋"/>
          <w:sz w:val="24"/>
        </w:rPr>
        <w:fldChar w:fldCharType="separate"/>
      </w:r>
      <w:r>
        <w:rPr>
          <w:rFonts w:hint="eastAsia" w:ascii="仿宋" w:hAnsi="仿宋" w:eastAsia="仿宋" w:cs="仿宋"/>
          <w:bCs/>
          <w:sz w:val="24"/>
        </w:rPr>
        <w:t>第三章 服务需求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_Toc2762 \h </w:instrText>
      </w:r>
      <w:r>
        <w:rPr>
          <w:rFonts w:hint="eastAsia" w:ascii="仿宋" w:hAnsi="仿宋" w:eastAsia="仿宋" w:cs="仿宋"/>
          <w:sz w:val="24"/>
        </w:rPr>
        <w:fldChar w:fldCharType="separate"/>
      </w:r>
      <w:r>
        <w:rPr>
          <w:rFonts w:hint="eastAsia" w:ascii="仿宋" w:hAnsi="仿宋" w:eastAsia="仿宋" w:cs="仿宋"/>
          <w:sz w:val="24"/>
        </w:rPr>
        <w:t>- 12 -</w:t>
      </w:r>
      <w:r>
        <w:rPr>
          <w:rFonts w:hint="eastAsia" w:ascii="仿宋" w:hAnsi="仿宋" w:eastAsia="仿宋" w:cs="仿宋"/>
          <w:sz w:val="24"/>
        </w:rPr>
        <w:fldChar w:fldCharType="end"/>
      </w:r>
    </w:p>
    <w:p w14:paraId="139FCD34">
      <w:pPr>
        <w:pStyle w:val="15"/>
        <w:tabs>
          <w:tab w:val="right" w:leader="dot" w:pos="8845"/>
        </w:tabs>
        <w:spacing w:line="440" w:lineRule="exact"/>
        <w:rPr>
          <w:rFonts w:ascii="仿宋" w:hAnsi="仿宋" w:eastAsia="仿宋" w:cs="仿宋"/>
          <w:sz w:val="24"/>
        </w:rPr>
      </w:pPr>
      <w:r>
        <w:rPr>
          <w:rFonts w:hint="eastAsia" w:ascii="仿宋" w:hAnsi="仿宋" w:eastAsia="仿宋" w:cs="仿宋"/>
          <w:bCs/>
          <w:sz w:val="24"/>
        </w:rPr>
        <w:t>第四章 比选申请文件（格式）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_Toc24094 \h </w:instrText>
      </w:r>
      <w:r>
        <w:rPr>
          <w:rFonts w:hint="eastAsia" w:ascii="仿宋" w:hAnsi="仿宋" w:eastAsia="仿宋" w:cs="仿宋"/>
          <w:sz w:val="24"/>
        </w:rPr>
        <w:fldChar w:fldCharType="separate"/>
      </w:r>
      <w:r>
        <w:rPr>
          <w:rFonts w:hint="eastAsia" w:ascii="仿宋" w:hAnsi="仿宋" w:eastAsia="仿宋" w:cs="仿宋"/>
          <w:sz w:val="24"/>
        </w:rPr>
        <w:t>- 22 -</w:t>
      </w:r>
      <w:r>
        <w:rPr>
          <w:rFonts w:hint="eastAsia" w:ascii="仿宋" w:hAnsi="仿宋" w:eastAsia="仿宋" w:cs="仿宋"/>
          <w:sz w:val="24"/>
        </w:rPr>
        <w:fldChar w:fldCharType="end"/>
      </w:r>
      <w:r>
        <w:rPr>
          <w:rFonts w:hint="eastAsia" w:ascii="仿宋" w:hAnsi="仿宋" w:eastAsia="仿宋" w:cs="仿宋"/>
          <w:sz w:val="24"/>
        </w:rPr>
        <w:fldChar w:fldCharType="end"/>
      </w:r>
    </w:p>
    <w:p w14:paraId="25F86412">
      <w:pPr>
        <w:pStyle w:val="16"/>
        <w:tabs>
          <w:tab w:val="right" w:leader="dot" w:pos="8845"/>
        </w:tabs>
        <w:spacing w:line="440" w:lineRule="exact"/>
        <w:rPr>
          <w:rFonts w:ascii="仿宋" w:hAnsi="仿宋" w:eastAsia="仿宋" w:cs="仿宋"/>
          <w:sz w:val="24"/>
        </w:rPr>
      </w:pPr>
      <w:r>
        <w:fldChar w:fldCharType="begin"/>
      </w:r>
      <w:r>
        <w:instrText xml:space="preserve"> HYPERLINK \l "_Toc8907" </w:instrText>
      </w:r>
      <w:r>
        <w:fldChar w:fldCharType="separate"/>
      </w:r>
      <w:r>
        <w:rPr>
          <w:rFonts w:hint="eastAsia" w:ascii="仿宋" w:hAnsi="仿宋" w:eastAsia="仿宋" w:cs="仿宋"/>
          <w:bCs/>
          <w:sz w:val="24"/>
        </w:rPr>
        <w:t>一、资格审查章节目录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_Toc8907 \h </w:instrText>
      </w:r>
      <w:r>
        <w:rPr>
          <w:rFonts w:hint="eastAsia" w:ascii="仿宋" w:hAnsi="仿宋" w:eastAsia="仿宋" w:cs="仿宋"/>
          <w:sz w:val="24"/>
        </w:rPr>
        <w:fldChar w:fldCharType="separate"/>
      </w:r>
      <w:r>
        <w:rPr>
          <w:rFonts w:hint="eastAsia" w:ascii="仿宋" w:hAnsi="仿宋" w:eastAsia="仿宋" w:cs="仿宋"/>
          <w:sz w:val="24"/>
        </w:rPr>
        <w:t>- 23 -</w:t>
      </w:r>
      <w:r>
        <w:rPr>
          <w:rFonts w:hint="eastAsia" w:ascii="仿宋" w:hAnsi="仿宋" w:eastAsia="仿宋" w:cs="仿宋"/>
          <w:sz w:val="24"/>
        </w:rPr>
        <w:fldChar w:fldCharType="end"/>
      </w:r>
      <w:r>
        <w:rPr>
          <w:rFonts w:hint="eastAsia" w:ascii="仿宋" w:hAnsi="仿宋" w:eastAsia="仿宋" w:cs="仿宋"/>
          <w:sz w:val="24"/>
        </w:rPr>
        <w:fldChar w:fldCharType="end"/>
      </w:r>
    </w:p>
    <w:p w14:paraId="64E52DEE">
      <w:pPr>
        <w:pStyle w:val="16"/>
        <w:tabs>
          <w:tab w:val="right" w:leader="dot" w:pos="8845"/>
        </w:tabs>
        <w:spacing w:line="440" w:lineRule="exact"/>
        <w:rPr>
          <w:rFonts w:ascii="仿宋" w:hAnsi="仿宋" w:eastAsia="仿宋" w:cs="仿宋"/>
          <w:sz w:val="24"/>
        </w:rPr>
      </w:pPr>
      <w:r>
        <w:fldChar w:fldCharType="begin"/>
      </w:r>
      <w:r>
        <w:instrText xml:space="preserve"> HYPERLINK \l "_Toc559" </w:instrText>
      </w:r>
      <w:r>
        <w:fldChar w:fldCharType="separate"/>
      </w:r>
      <w:r>
        <w:rPr>
          <w:rFonts w:hint="eastAsia" w:ascii="仿宋" w:hAnsi="仿宋" w:eastAsia="仿宋" w:cs="仿宋"/>
          <w:bCs/>
          <w:sz w:val="24"/>
        </w:rPr>
        <w:t>二、技术部分材料目录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_Toc559 \h </w:instrText>
      </w:r>
      <w:r>
        <w:rPr>
          <w:rFonts w:hint="eastAsia" w:ascii="仿宋" w:hAnsi="仿宋" w:eastAsia="仿宋" w:cs="仿宋"/>
          <w:sz w:val="24"/>
        </w:rPr>
        <w:fldChar w:fldCharType="separate"/>
      </w:r>
      <w:r>
        <w:rPr>
          <w:rFonts w:hint="eastAsia" w:ascii="仿宋" w:hAnsi="仿宋" w:eastAsia="仿宋" w:cs="仿宋"/>
          <w:sz w:val="24"/>
        </w:rPr>
        <w:t>- 32 -</w:t>
      </w:r>
      <w:r>
        <w:rPr>
          <w:rFonts w:hint="eastAsia" w:ascii="仿宋" w:hAnsi="仿宋" w:eastAsia="仿宋" w:cs="仿宋"/>
          <w:sz w:val="24"/>
        </w:rPr>
        <w:fldChar w:fldCharType="end"/>
      </w:r>
      <w:r>
        <w:rPr>
          <w:rFonts w:hint="eastAsia" w:ascii="仿宋" w:hAnsi="仿宋" w:eastAsia="仿宋" w:cs="仿宋"/>
          <w:sz w:val="24"/>
        </w:rPr>
        <w:fldChar w:fldCharType="end"/>
      </w:r>
    </w:p>
    <w:p w14:paraId="7F3A3EE9">
      <w:pPr>
        <w:pStyle w:val="16"/>
        <w:tabs>
          <w:tab w:val="right" w:leader="dot" w:pos="8845"/>
        </w:tabs>
        <w:spacing w:line="440" w:lineRule="exact"/>
        <w:rPr>
          <w:rFonts w:ascii="仿宋" w:hAnsi="仿宋" w:eastAsia="仿宋" w:cs="仿宋"/>
          <w:sz w:val="24"/>
        </w:rPr>
      </w:pPr>
      <w:r>
        <w:fldChar w:fldCharType="begin"/>
      </w:r>
      <w:r>
        <w:instrText xml:space="preserve"> HYPERLINK \l "_Toc14893" </w:instrText>
      </w:r>
      <w:r>
        <w:fldChar w:fldCharType="separate"/>
      </w:r>
      <w:r>
        <w:rPr>
          <w:rFonts w:hint="eastAsia" w:ascii="仿宋" w:hAnsi="仿宋" w:eastAsia="仿宋" w:cs="仿宋"/>
          <w:bCs/>
          <w:sz w:val="24"/>
        </w:rPr>
        <w:t>三、商务部分材料目录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_Toc14893 \h </w:instrText>
      </w:r>
      <w:r>
        <w:rPr>
          <w:rFonts w:hint="eastAsia" w:ascii="仿宋" w:hAnsi="仿宋" w:eastAsia="仿宋" w:cs="仿宋"/>
          <w:sz w:val="24"/>
        </w:rPr>
        <w:fldChar w:fldCharType="separate"/>
      </w:r>
      <w:r>
        <w:rPr>
          <w:rFonts w:hint="eastAsia" w:ascii="仿宋" w:hAnsi="仿宋" w:eastAsia="仿宋" w:cs="仿宋"/>
          <w:sz w:val="24"/>
        </w:rPr>
        <w:t>- 34 -</w:t>
      </w:r>
      <w:r>
        <w:rPr>
          <w:rFonts w:hint="eastAsia" w:ascii="仿宋" w:hAnsi="仿宋" w:eastAsia="仿宋" w:cs="仿宋"/>
          <w:sz w:val="24"/>
        </w:rPr>
        <w:fldChar w:fldCharType="end"/>
      </w:r>
      <w:r>
        <w:rPr>
          <w:rFonts w:hint="eastAsia" w:ascii="仿宋" w:hAnsi="仿宋" w:eastAsia="仿宋" w:cs="仿宋"/>
          <w:sz w:val="24"/>
        </w:rPr>
        <w:fldChar w:fldCharType="end"/>
      </w:r>
    </w:p>
    <w:p w14:paraId="33175C75">
      <w:pPr>
        <w:pStyle w:val="15"/>
        <w:tabs>
          <w:tab w:val="right" w:leader="dot" w:pos="8845"/>
        </w:tabs>
        <w:spacing w:line="440" w:lineRule="exact"/>
        <w:rPr>
          <w:rFonts w:ascii="仿宋" w:hAnsi="仿宋" w:eastAsia="仿宋" w:cs="仿宋"/>
          <w:sz w:val="24"/>
        </w:rPr>
      </w:pPr>
      <w:r>
        <w:fldChar w:fldCharType="begin"/>
      </w:r>
      <w:r>
        <w:instrText xml:space="preserve"> HYPERLINK \l "_Toc15166" </w:instrText>
      </w:r>
      <w:r>
        <w:fldChar w:fldCharType="separate"/>
      </w:r>
      <w:r>
        <w:rPr>
          <w:rFonts w:hint="eastAsia" w:ascii="仿宋" w:hAnsi="仿宋" w:eastAsia="仿宋" w:cs="仿宋"/>
          <w:bCs/>
          <w:sz w:val="24"/>
        </w:rPr>
        <w:t>第五章 评比办法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_Toc15166 \h </w:instrText>
      </w:r>
      <w:r>
        <w:rPr>
          <w:rFonts w:hint="eastAsia" w:ascii="仿宋" w:hAnsi="仿宋" w:eastAsia="仿宋" w:cs="仿宋"/>
          <w:sz w:val="24"/>
        </w:rPr>
        <w:fldChar w:fldCharType="separate"/>
      </w:r>
      <w:r>
        <w:rPr>
          <w:rFonts w:hint="eastAsia" w:ascii="仿宋" w:hAnsi="仿宋" w:eastAsia="仿宋" w:cs="仿宋"/>
          <w:sz w:val="24"/>
        </w:rPr>
        <w:t>- 35 -</w:t>
      </w:r>
      <w:r>
        <w:rPr>
          <w:rFonts w:hint="eastAsia" w:ascii="仿宋" w:hAnsi="仿宋" w:eastAsia="仿宋" w:cs="仿宋"/>
          <w:sz w:val="24"/>
        </w:rPr>
        <w:fldChar w:fldCharType="end"/>
      </w:r>
      <w:r>
        <w:rPr>
          <w:rFonts w:hint="eastAsia" w:ascii="仿宋" w:hAnsi="仿宋" w:eastAsia="仿宋" w:cs="仿宋"/>
          <w:sz w:val="24"/>
        </w:rPr>
        <w:fldChar w:fldCharType="end"/>
      </w:r>
    </w:p>
    <w:p w14:paraId="26C21D3E">
      <w:pPr>
        <w:pStyle w:val="15"/>
        <w:tabs>
          <w:tab w:val="right" w:leader="dot" w:pos="8845"/>
        </w:tabs>
        <w:spacing w:line="440" w:lineRule="exact"/>
        <w:rPr>
          <w:rFonts w:ascii="仿宋" w:hAnsi="仿宋" w:eastAsia="仿宋" w:cs="仿宋"/>
          <w:sz w:val="24"/>
        </w:rPr>
      </w:pPr>
      <w:r>
        <w:fldChar w:fldCharType="begin"/>
      </w:r>
      <w:r>
        <w:instrText xml:space="preserve"> HYPERLINK \l "_Toc2271" </w:instrText>
      </w:r>
      <w:r>
        <w:fldChar w:fldCharType="separate"/>
      </w:r>
      <w:r>
        <w:rPr>
          <w:rFonts w:hint="eastAsia" w:ascii="仿宋" w:hAnsi="仿宋" w:eastAsia="仿宋" w:cs="仿宋"/>
          <w:bCs/>
          <w:sz w:val="24"/>
        </w:rPr>
        <w:t>第六章 中选标准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_Toc2271 \h </w:instrText>
      </w:r>
      <w:r>
        <w:rPr>
          <w:rFonts w:hint="eastAsia" w:ascii="仿宋" w:hAnsi="仿宋" w:eastAsia="仿宋" w:cs="仿宋"/>
          <w:sz w:val="24"/>
        </w:rPr>
        <w:fldChar w:fldCharType="separate"/>
      </w:r>
      <w:r>
        <w:rPr>
          <w:rFonts w:hint="eastAsia" w:ascii="仿宋" w:hAnsi="仿宋" w:eastAsia="仿宋" w:cs="仿宋"/>
          <w:sz w:val="24"/>
        </w:rPr>
        <w:t>- 38 -</w:t>
      </w:r>
      <w:r>
        <w:rPr>
          <w:rFonts w:hint="eastAsia" w:ascii="仿宋" w:hAnsi="仿宋" w:eastAsia="仿宋" w:cs="仿宋"/>
          <w:sz w:val="24"/>
        </w:rPr>
        <w:fldChar w:fldCharType="end"/>
      </w:r>
      <w:r>
        <w:rPr>
          <w:rFonts w:hint="eastAsia" w:ascii="仿宋" w:hAnsi="仿宋" w:eastAsia="仿宋" w:cs="仿宋"/>
          <w:sz w:val="24"/>
        </w:rPr>
        <w:fldChar w:fldCharType="end"/>
      </w:r>
    </w:p>
    <w:p w14:paraId="210BC221">
      <w:pPr>
        <w:tabs>
          <w:tab w:val="right" w:leader="dot" w:pos="9219"/>
        </w:tabs>
        <w:spacing w:line="440" w:lineRule="exact"/>
        <w:jc w:val="left"/>
        <w:outlineLvl w:val="2"/>
        <w:rPr>
          <w:rFonts w:ascii="宋体" w:hAnsi="宋体" w:cs="宋体"/>
          <w:szCs w:val="28"/>
        </w:rPr>
      </w:pPr>
      <w:r>
        <w:rPr>
          <w:rFonts w:hint="eastAsia" w:ascii="仿宋" w:hAnsi="仿宋" w:eastAsia="仿宋" w:cs="仿宋"/>
          <w:sz w:val="24"/>
        </w:rPr>
        <w:fldChar w:fldCharType="end"/>
      </w:r>
    </w:p>
    <w:p w14:paraId="3653E7E6">
      <w:pPr>
        <w:jc w:val="left"/>
        <w:rPr>
          <w:rFonts w:ascii="宋体" w:hAnsi="宋体" w:cs="宋体"/>
          <w:szCs w:val="28"/>
        </w:rPr>
      </w:pPr>
    </w:p>
    <w:p w14:paraId="19126331">
      <w:pPr>
        <w:jc w:val="left"/>
        <w:rPr>
          <w:rFonts w:ascii="宋体" w:hAnsi="宋体" w:cs="宋体"/>
          <w:szCs w:val="28"/>
        </w:rPr>
      </w:pPr>
    </w:p>
    <w:p w14:paraId="4B1B3CE1">
      <w:pPr>
        <w:jc w:val="center"/>
        <w:rPr>
          <w:rFonts w:ascii="方正小标宋简体" w:hAnsi="方正小标宋简体" w:eastAsia="方正小标宋简体" w:cs="方正小标宋简体"/>
          <w:sz w:val="44"/>
          <w:szCs w:val="44"/>
        </w:rPr>
        <w:sectPr>
          <w:footerReference r:id="rId3" w:type="default"/>
          <w:pgSz w:w="11906" w:h="16838"/>
          <w:pgMar w:top="2098" w:right="1474" w:bottom="1984" w:left="1587" w:header="851" w:footer="992" w:gutter="0"/>
          <w:pgNumType w:fmt="numberInDash" w:start="1"/>
          <w:cols w:space="720" w:num="1"/>
          <w:docGrid w:type="lines" w:linePitch="312" w:charSpace="0"/>
        </w:sectPr>
      </w:pPr>
      <w:bookmarkStart w:id="0" w:name="_Toc20342"/>
      <w:bookmarkStart w:id="1" w:name="_Toc9092"/>
      <w:bookmarkStart w:id="2" w:name="_Toc24752"/>
      <w:bookmarkStart w:id="3" w:name="_Toc14177"/>
      <w:bookmarkStart w:id="4" w:name="_Toc30578"/>
      <w:bookmarkStart w:id="5" w:name="_Toc27762"/>
      <w:bookmarkStart w:id="6" w:name="_Toc12557"/>
      <w:bookmarkStart w:id="7" w:name="_Toc32719"/>
      <w:bookmarkStart w:id="8" w:name="_Toc24235"/>
      <w:bookmarkStart w:id="9" w:name="_Toc11052"/>
      <w:bookmarkStart w:id="10" w:name="_Toc32556"/>
      <w:bookmarkStart w:id="11" w:name="_Toc461525294"/>
      <w:bookmarkStart w:id="12" w:name="_Toc14897"/>
    </w:p>
    <w:p w14:paraId="1A3BF012">
      <w:pPr>
        <w:spacing w:line="560" w:lineRule="exact"/>
        <w:jc w:val="center"/>
        <w:outlineLvl w:val="0"/>
        <w:rPr>
          <w:rFonts w:ascii="黑体" w:hAnsi="黑体" w:eastAsia="黑体" w:cs="黑体"/>
          <w:b/>
          <w:bCs/>
          <w:sz w:val="32"/>
          <w:szCs w:val="32"/>
        </w:rPr>
      </w:pPr>
      <w:bookmarkStart w:id="13" w:name="_Toc2182"/>
      <w:r>
        <w:rPr>
          <w:rFonts w:hint="eastAsia" w:ascii="黑体" w:hAnsi="黑体" w:eastAsia="黑体" w:cs="黑体"/>
          <w:b/>
          <w:bCs/>
          <w:sz w:val="32"/>
          <w:szCs w:val="32"/>
        </w:rPr>
        <w:t>第一章 比选须知</w:t>
      </w:r>
      <w:bookmarkEnd w:id="0"/>
      <w:bookmarkEnd w:id="1"/>
      <w:bookmarkEnd w:id="2"/>
      <w:bookmarkEnd w:id="3"/>
      <w:bookmarkEnd w:id="4"/>
      <w:bookmarkEnd w:id="5"/>
      <w:bookmarkEnd w:id="6"/>
      <w:bookmarkEnd w:id="7"/>
      <w:bookmarkEnd w:id="8"/>
      <w:bookmarkEnd w:id="9"/>
      <w:bookmarkEnd w:id="10"/>
      <w:bookmarkEnd w:id="11"/>
      <w:bookmarkEnd w:id="12"/>
      <w:bookmarkEnd w:id="13"/>
    </w:p>
    <w:p w14:paraId="676FDB0C">
      <w:pPr>
        <w:spacing w:line="560" w:lineRule="exact"/>
        <w:jc w:val="left"/>
        <w:rPr>
          <w:rFonts w:ascii="宋体" w:hAnsi="宋体" w:cs="宋体"/>
          <w:sz w:val="32"/>
          <w:szCs w:val="32"/>
        </w:rPr>
      </w:pPr>
      <w:bookmarkStart w:id="14" w:name="_Toc31166"/>
      <w:bookmarkStart w:id="15" w:name="_Toc2242"/>
      <w:bookmarkStart w:id="16" w:name="_Toc2162"/>
      <w:bookmarkStart w:id="17" w:name="_Toc461525295"/>
      <w:bookmarkStart w:id="18" w:name="_Toc17254"/>
      <w:bookmarkStart w:id="19" w:name="_Toc18263"/>
      <w:bookmarkStart w:id="20" w:name="_Toc24239"/>
      <w:bookmarkStart w:id="21" w:name="_Toc17641"/>
      <w:bookmarkStart w:id="22" w:name="_Toc14510"/>
      <w:bookmarkStart w:id="23" w:name="_Toc32591"/>
      <w:bookmarkStart w:id="24" w:name="_Toc21327"/>
      <w:bookmarkStart w:id="25" w:name="_Toc11329"/>
      <w:bookmarkStart w:id="26" w:name="_Toc11337"/>
    </w:p>
    <w:p w14:paraId="42965505">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比选须知前附表</w:t>
      </w:r>
      <w:bookmarkEnd w:id="14"/>
      <w:bookmarkEnd w:id="15"/>
      <w:bookmarkEnd w:id="16"/>
      <w:bookmarkEnd w:id="17"/>
      <w:bookmarkEnd w:id="18"/>
      <w:bookmarkEnd w:id="19"/>
      <w:bookmarkEnd w:id="20"/>
      <w:bookmarkEnd w:id="21"/>
      <w:bookmarkEnd w:id="22"/>
      <w:bookmarkEnd w:id="23"/>
      <w:bookmarkEnd w:id="24"/>
      <w:bookmarkEnd w:id="25"/>
      <w:bookmarkEnd w:id="26"/>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95"/>
        <w:gridCol w:w="6822"/>
      </w:tblGrid>
      <w:tr w14:paraId="4B80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48DCFD6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595" w:type="dxa"/>
            <w:vAlign w:val="center"/>
          </w:tcPr>
          <w:p w14:paraId="7B242B3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项目分类</w:t>
            </w:r>
          </w:p>
        </w:tc>
        <w:tc>
          <w:tcPr>
            <w:tcW w:w="6822" w:type="dxa"/>
            <w:vAlign w:val="center"/>
          </w:tcPr>
          <w:p w14:paraId="5606545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内容规定</w:t>
            </w:r>
          </w:p>
        </w:tc>
      </w:tr>
      <w:tr w14:paraId="6C94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92B89A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w:t>
            </w:r>
          </w:p>
        </w:tc>
        <w:tc>
          <w:tcPr>
            <w:tcW w:w="1595" w:type="dxa"/>
            <w:vAlign w:val="center"/>
          </w:tcPr>
          <w:p w14:paraId="6A920ED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项目名称</w:t>
            </w:r>
          </w:p>
        </w:tc>
        <w:tc>
          <w:tcPr>
            <w:tcW w:w="6822" w:type="dxa"/>
            <w:vAlign w:val="center"/>
          </w:tcPr>
          <w:p w14:paraId="70D2611D">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bCs/>
                <w:sz w:val="24"/>
              </w:rPr>
              <w:t>南宁轨道数智科技有限公司数字档案管理系统项目</w:t>
            </w:r>
          </w:p>
        </w:tc>
      </w:tr>
      <w:tr w14:paraId="4808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A97D2E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2</w:t>
            </w:r>
          </w:p>
        </w:tc>
        <w:tc>
          <w:tcPr>
            <w:tcW w:w="1595" w:type="dxa"/>
            <w:vAlign w:val="center"/>
          </w:tcPr>
          <w:p w14:paraId="5959656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项目范围</w:t>
            </w:r>
          </w:p>
        </w:tc>
        <w:tc>
          <w:tcPr>
            <w:tcW w:w="6822" w:type="dxa"/>
            <w:vAlign w:val="center"/>
          </w:tcPr>
          <w:p w14:paraId="645CD54A">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南宁轨道数智科技有限公司</w:t>
            </w:r>
            <w:r>
              <w:rPr>
                <w:rFonts w:hint="eastAsia" w:ascii="仿宋_GB2312" w:hAnsi="仿宋_GB2312" w:eastAsia="仿宋_GB2312" w:cs="仿宋_GB2312"/>
                <w:bCs/>
                <w:sz w:val="24"/>
              </w:rPr>
              <w:t>数字档案管理系统</w:t>
            </w:r>
            <w:r>
              <w:rPr>
                <w:rFonts w:hint="eastAsia" w:ascii="仿宋_GB2312" w:hAnsi="仿宋_GB2312" w:eastAsia="仿宋_GB2312" w:cs="仿宋_GB2312"/>
                <w:sz w:val="24"/>
              </w:rPr>
              <w:t>采购</w:t>
            </w:r>
          </w:p>
        </w:tc>
      </w:tr>
      <w:tr w14:paraId="5762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7511BD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3</w:t>
            </w:r>
          </w:p>
        </w:tc>
        <w:tc>
          <w:tcPr>
            <w:tcW w:w="1595" w:type="dxa"/>
            <w:vAlign w:val="center"/>
          </w:tcPr>
          <w:p w14:paraId="189F007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项目内容</w:t>
            </w:r>
          </w:p>
        </w:tc>
        <w:tc>
          <w:tcPr>
            <w:tcW w:w="6822" w:type="dxa"/>
          </w:tcPr>
          <w:p w14:paraId="245E9DE6">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根据项目所需的产品按技术需求及数量完成设计及</w:t>
            </w:r>
            <w:r>
              <w:rPr>
                <w:rFonts w:hint="eastAsia" w:ascii="仿宋_GB2312" w:hAnsi="仿宋_GB2312" w:eastAsia="仿宋_GB2312" w:cs="仿宋_GB2312"/>
                <w:sz w:val="24"/>
                <w:lang w:val="en-US" w:eastAsia="zh-CN"/>
              </w:rPr>
              <w:t>开发</w:t>
            </w:r>
            <w:r>
              <w:rPr>
                <w:rFonts w:hint="eastAsia" w:ascii="仿宋_GB2312" w:hAnsi="仿宋_GB2312" w:eastAsia="仿宋_GB2312" w:cs="仿宋_GB2312"/>
                <w:sz w:val="24"/>
              </w:rPr>
              <w:t>（具体服务内容详见比选文件中合同条款）</w:t>
            </w:r>
          </w:p>
        </w:tc>
      </w:tr>
      <w:tr w14:paraId="66E7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4817A2A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4</w:t>
            </w:r>
          </w:p>
        </w:tc>
        <w:tc>
          <w:tcPr>
            <w:tcW w:w="1595" w:type="dxa"/>
            <w:shd w:val="clear" w:color="auto" w:fill="FFFFFF"/>
            <w:vAlign w:val="center"/>
          </w:tcPr>
          <w:p w14:paraId="118DEA1C">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资金来源</w:t>
            </w:r>
          </w:p>
        </w:tc>
        <w:tc>
          <w:tcPr>
            <w:tcW w:w="6822" w:type="dxa"/>
            <w:shd w:val="clear" w:color="auto" w:fill="FFFFFF"/>
            <w:vAlign w:val="center"/>
          </w:tcPr>
          <w:p w14:paraId="68D58C37">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企业自筹资金</w:t>
            </w:r>
          </w:p>
        </w:tc>
      </w:tr>
      <w:tr w14:paraId="2774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424424F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5</w:t>
            </w:r>
          </w:p>
        </w:tc>
        <w:tc>
          <w:tcPr>
            <w:tcW w:w="1595" w:type="dxa"/>
            <w:vAlign w:val="center"/>
          </w:tcPr>
          <w:p w14:paraId="70DB8CE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计费方式</w:t>
            </w:r>
          </w:p>
        </w:tc>
        <w:tc>
          <w:tcPr>
            <w:tcW w:w="6822" w:type="dxa"/>
            <w:vAlign w:val="center"/>
          </w:tcPr>
          <w:p w14:paraId="1774F3F5">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bCs/>
                <w:sz w:val="24"/>
                <w:lang w:val="en-US" w:eastAsia="zh-CN"/>
              </w:rPr>
              <w:t>数字</w:t>
            </w:r>
            <w:r>
              <w:rPr>
                <w:rFonts w:hint="eastAsia" w:ascii="仿宋_GB2312" w:hAnsi="仿宋_GB2312" w:eastAsia="仿宋_GB2312" w:cs="仿宋_GB2312"/>
                <w:bCs/>
                <w:sz w:val="24"/>
              </w:rPr>
              <w:t>档案管理系统</w:t>
            </w:r>
            <w:r>
              <w:rPr>
                <w:rFonts w:hint="eastAsia" w:ascii="仿宋_GB2312" w:hAnsi="仿宋_GB2312" w:eastAsia="仿宋_GB2312" w:cs="仿宋_GB2312"/>
                <w:sz w:val="24"/>
              </w:rPr>
              <w:t>采购采用总价包干，费用不予调整。</w:t>
            </w:r>
          </w:p>
        </w:tc>
      </w:tr>
      <w:tr w14:paraId="537F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4693ED3F">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6</w:t>
            </w:r>
          </w:p>
        </w:tc>
        <w:tc>
          <w:tcPr>
            <w:tcW w:w="1595" w:type="dxa"/>
            <w:vAlign w:val="center"/>
          </w:tcPr>
          <w:p w14:paraId="4129E16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上限价</w:t>
            </w:r>
          </w:p>
        </w:tc>
        <w:tc>
          <w:tcPr>
            <w:tcW w:w="6822" w:type="dxa"/>
            <w:vAlign w:val="center"/>
          </w:tcPr>
          <w:p w14:paraId="322EEAB8">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bCs/>
                <w:sz w:val="24"/>
                <w:lang w:val="en-US" w:eastAsia="zh-CN"/>
              </w:rPr>
              <w:t>数字</w:t>
            </w:r>
            <w:r>
              <w:rPr>
                <w:rFonts w:hint="eastAsia" w:ascii="仿宋_GB2312" w:hAnsi="仿宋_GB2312" w:eastAsia="仿宋_GB2312" w:cs="仿宋_GB2312"/>
                <w:bCs/>
                <w:sz w:val="24"/>
              </w:rPr>
              <w:t>档案管理系统</w:t>
            </w:r>
            <w:r>
              <w:rPr>
                <w:rFonts w:hint="eastAsia" w:ascii="仿宋_GB2312" w:hAnsi="仿宋_GB2312" w:eastAsia="仿宋_GB2312" w:cs="仿宋_GB2312"/>
                <w:sz w:val="24"/>
              </w:rPr>
              <w:t>采购含税上限价：大写：</w:t>
            </w:r>
            <w:r>
              <w:rPr>
                <w:rFonts w:hint="eastAsia" w:ascii="仿宋_GB2312" w:hAnsi="仿宋_GB2312" w:eastAsia="仿宋_GB2312" w:cs="仿宋_GB2312"/>
                <w:sz w:val="24"/>
                <w:highlight w:val="none"/>
              </w:rPr>
              <w:t>陆拾万零柒仟捌佰元整</w:t>
            </w:r>
            <w:r>
              <w:rPr>
                <w:rFonts w:hint="eastAsia" w:ascii="仿宋_GB2312" w:hAnsi="仿宋_GB2312" w:eastAsia="仿宋_GB2312" w:cs="仿宋_GB2312"/>
                <w:sz w:val="24"/>
              </w:rPr>
              <w:t xml:space="preserve">整（小写：¥ </w:t>
            </w:r>
            <w:r>
              <w:rPr>
                <w:rFonts w:hint="eastAsia" w:ascii="仿宋_GB2312" w:hAnsi="仿宋_GB2312" w:eastAsia="仿宋_GB2312" w:cs="仿宋_GB2312"/>
                <w:sz w:val="24"/>
                <w:highlight w:val="none"/>
                <w:lang w:val="en-US" w:eastAsia="zh-CN"/>
              </w:rPr>
              <w:t>607800</w:t>
            </w:r>
            <w:r>
              <w:rPr>
                <w:rFonts w:hint="eastAsia" w:ascii="仿宋_GB2312" w:hAnsi="仿宋_GB2312" w:eastAsia="仿宋_GB2312" w:cs="仿宋_GB2312"/>
                <w:sz w:val="24"/>
                <w:highlight w:val="none"/>
              </w:rPr>
              <w:t>元</w:t>
            </w:r>
            <w:r>
              <w:rPr>
                <w:rFonts w:hint="eastAsia" w:ascii="仿宋_GB2312" w:hAnsi="仿宋_GB2312" w:eastAsia="仿宋_GB2312" w:cs="仿宋_GB2312"/>
                <w:sz w:val="24"/>
              </w:rPr>
              <w:t>）。</w:t>
            </w:r>
          </w:p>
        </w:tc>
      </w:tr>
      <w:tr w14:paraId="66D1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1F3D9A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7</w:t>
            </w:r>
          </w:p>
        </w:tc>
        <w:tc>
          <w:tcPr>
            <w:tcW w:w="1595" w:type="dxa"/>
            <w:vAlign w:val="center"/>
          </w:tcPr>
          <w:p w14:paraId="51EBE70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报价方式</w:t>
            </w:r>
          </w:p>
        </w:tc>
        <w:tc>
          <w:tcPr>
            <w:tcW w:w="6822" w:type="dxa"/>
            <w:vAlign w:val="center"/>
          </w:tcPr>
          <w:p w14:paraId="74AA77CA">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比选申请人必须对比选项目内容中所有工作内容做完整唯一的报价</w:t>
            </w:r>
          </w:p>
        </w:tc>
      </w:tr>
      <w:tr w14:paraId="339F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4EF0539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8</w:t>
            </w:r>
          </w:p>
        </w:tc>
        <w:tc>
          <w:tcPr>
            <w:tcW w:w="1595" w:type="dxa"/>
            <w:vAlign w:val="center"/>
          </w:tcPr>
          <w:p w14:paraId="3EA7B97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合同期限</w:t>
            </w:r>
          </w:p>
        </w:tc>
        <w:tc>
          <w:tcPr>
            <w:tcW w:w="6822" w:type="dxa"/>
            <w:vAlign w:val="center"/>
          </w:tcPr>
          <w:p w14:paraId="3058C31B">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15</w:t>
            </w:r>
            <w:r>
              <w:rPr>
                <w:rFonts w:hint="eastAsia" w:ascii="仿宋_GB2312" w:hAnsi="仿宋_GB2312" w:eastAsia="仿宋_GB2312" w:cs="仿宋_GB2312"/>
                <w:sz w:val="24"/>
              </w:rPr>
              <w:t>个月（具体时间以合同签订时间为准）</w:t>
            </w:r>
          </w:p>
        </w:tc>
      </w:tr>
      <w:tr w14:paraId="2A6D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06033CF">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9</w:t>
            </w:r>
          </w:p>
        </w:tc>
        <w:tc>
          <w:tcPr>
            <w:tcW w:w="1595" w:type="dxa"/>
            <w:vAlign w:val="center"/>
          </w:tcPr>
          <w:p w14:paraId="77345B1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比选申请人资格要求</w:t>
            </w:r>
          </w:p>
        </w:tc>
        <w:tc>
          <w:tcPr>
            <w:tcW w:w="6822" w:type="dxa"/>
            <w:vAlign w:val="center"/>
          </w:tcPr>
          <w:p w14:paraId="4F994B89">
            <w:pPr>
              <w:pStyle w:val="17"/>
              <w:keepNext w:val="0"/>
              <w:keepLines w:val="0"/>
              <w:suppressLineNumbers w:val="0"/>
              <w:shd w:val="clear" w:color="auto" w:fill="FFFFFF"/>
              <w:spacing w:before="0" w:beforeAutospacing="0" w:after="0" w:afterAutospacing="0"/>
              <w:ind w:left="0" w:right="0"/>
              <w:rPr>
                <w:rFonts w:hint="default" w:ascii="仿宋_GB2312" w:hAnsi="仿宋_GB2312" w:eastAsia="仿宋_GB2312" w:cs="仿宋_GB2312"/>
                <w:kern w:val="0"/>
              </w:rPr>
            </w:pPr>
            <w:r>
              <w:rPr>
                <w:rFonts w:hint="eastAsia" w:ascii="仿宋_GB2312" w:hAnsi="仿宋_GB2312" w:eastAsia="仿宋_GB2312" w:cs="仿宋_GB2312"/>
                <w:kern w:val="0"/>
              </w:rPr>
              <w:t>1.中华人民共和国境内依法成立的公司，符合生产或经营本次比选服务，企业人员、设备、资金等方面具有相应能力。</w:t>
            </w:r>
          </w:p>
          <w:p w14:paraId="41DC1976">
            <w:pPr>
              <w:pStyle w:val="17"/>
              <w:keepNext w:val="0"/>
              <w:keepLines w:val="0"/>
              <w:suppressLineNumbers w:val="0"/>
              <w:shd w:val="clear" w:color="auto" w:fill="FFFFFF"/>
              <w:spacing w:before="0" w:beforeAutospacing="0" w:after="0" w:afterAutospacing="0" w:line="360" w:lineRule="exact"/>
              <w:ind w:left="0" w:right="0"/>
              <w:rPr>
                <w:rFonts w:hint="default" w:ascii="仿宋_GB2312" w:hAnsi="仿宋_GB2312" w:eastAsia="仿宋_GB2312" w:cs="仿宋_GB2312"/>
                <w:kern w:val="0"/>
              </w:rPr>
            </w:pPr>
            <w:r>
              <w:rPr>
                <w:rFonts w:hint="eastAsia" w:ascii="仿宋_GB2312" w:hAnsi="仿宋_GB2312" w:eastAsia="仿宋_GB2312" w:cs="仿宋_GB2312"/>
                <w:kern w:val="0"/>
              </w:rPr>
              <w:t>2.最近3年内没有受到行政处罚或行业处分。</w:t>
            </w:r>
          </w:p>
          <w:p w14:paraId="0236F7DF">
            <w:pPr>
              <w:pStyle w:val="17"/>
              <w:keepNext w:val="0"/>
              <w:keepLines w:val="0"/>
              <w:suppressLineNumbers w:val="0"/>
              <w:shd w:val="clear" w:color="auto" w:fill="FFFFFF"/>
              <w:spacing w:before="0" w:beforeAutospacing="0" w:after="0" w:afterAutospacing="0" w:line="360" w:lineRule="exact"/>
              <w:ind w:left="0" w:right="0"/>
              <w:rPr>
                <w:rFonts w:hint="default" w:ascii="仿宋_GB2312" w:hAnsi="仿宋_GB2312" w:eastAsia="仿宋_GB2312" w:cs="仿宋_GB2312"/>
                <w:kern w:val="0"/>
              </w:rPr>
            </w:pPr>
            <w:r>
              <w:rPr>
                <w:rFonts w:hint="eastAsia" w:ascii="仿宋_GB2312" w:hAnsi="仿宋_GB2312" w:eastAsia="仿宋_GB2312" w:cs="仿宋_GB2312"/>
                <w:kern w:val="0"/>
              </w:rPr>
              <w:t>3.未被国家、广西壮族自治区、南宁市相关行政主管部门通报停止投标活动，无犯罪行贿记录。</w:t>
            </w:r>
          </w:p>
          <w:p w14:paraId="138BB2D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kern w:val="0"/>
                <w:sz w:val="24"/>
              </w:rPr>
              <w:t>4.本次比选不接受联合体报价。</w:t>
            </w:r>
          </w:p>
        </w:tc>
      </w:tr>
      <w:tr w14:paraId="5C99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5F12FC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10</w:t>
            </w:r>
          </w:p>
        </w:tc>
        <w:tc>
          <w:tcPr>
            <w:tcW w:w="1595" w:type="dxa"/>
            <w:vAlign w:val="center"/>
          </w:tcPr>
          <w:p w14:paraId="6E24256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获取比选文件的时间、地点、方式及比选文件售价</w:t>
            </w:r>
          </w:p>
        </w:tc>
        <w:tc>
          <w:tcPr>
            <w:tcW w:w="6822" w:type="dxa"/>
            <w:vAlign w:val="center"/>
          </w:tcPr>
          <w:p w14:paraId="530FA051">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时间：自公告发布之日起。</w:t>
            </w:r>
          </w:p>
          <w:p w14:paraId="209125A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地点：南宁轨道数智科技有限公司官网。</w:t>
            </w:r>
          </w:p>
          <w:p w14:paraId="1F9A80F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方式：本项目实行网上发布电子版比选文件，凡有意参与的潜在比选申请人，请登录南宁轨道数智科技有限公司（https://www.nnsmk.com/）的新闻中心中最新公告处下载比选文件。</w:t>
            </w:r>
          </w:p>
          <w:p w14:paraId="380DC65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售价：比选文件不收取费用。</w:t>
            </w:r>
          </w:p>
        </w:tc>
      </w:tr>
      <w:tr w14:paraId="75F1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F452D8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11</w:t>
            </w:r>
          </w:p>
        </w:tc>
        <w:tc>
          <w:tcPr>
            <w:tcW w:w="1595" w:type="dxa"/>
            <w:vAlign w:val="center"/>
          </w:tcPr>
          <w:p w14:paraId="5E2376BC">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比选有效期</w:t>
            </w:r>
          </w:p>
        </w:tc>
        <w:tc>
          <w:tcPr>
            <w:tcW w:w="6822" w:type="dxa"/>
            <w:vAlign w:val="center"/>
          </w:tcPr>
          <w:p w14:paraId="3730213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90天（比选有效期是指为保证比选发起人有足够的时间完成评审和与中选人签订合同而在一定时间内保持有效的期限。比选有效期从比选申请文件递交截止之日算起。）</w:t>
            </w:r>
          </w:p>
        </w:tc>
      </w:tr>
      <w:tr w14:paraId="03BE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448FFA26">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12</w:t>
            </w:r>
          </w:p>
        </w:tc>
        <w:tc>
          <w:tcPr>
            <w:tcW w:w="1595" w:type="dxa"/>
            <w:vAlign w:val="center"/>
          </w:tcPr>
          <w:p w14:paraId="1A78829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比选申请文件份数</w:t>
            </w:r>
          </w:p>
        </w:tc>
        <w:tc>
          <w:tcPr>
            <w:tcW w:w="6822" w:type="dxa"/>
            <w:vAlign w:val="center"/>
          </w:tcPr>
          <w:p w14:paraId="6DD5504C">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纸质版一式伍份，其中正本壹份、副本肆份（中选后提交扫描件电子版）</w:t>
            </w:r>
          </w:p>
        </w:tc>
      </w:tr>
      <w:tr w14:paraId="5429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4BE96B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13</w:t>
            </w:r>
          </w:p>
        </w:tc>
        <w:tc>
          <w:tcPr>
            <w:tcW w:w="1595" w:type="dxa"/>
            <w:vAlign w:val="center"/>
          </w:tcPr>
          <w:p w14:paraId="3167E77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比选申请文件递交地址</w:t>
            </w:r>
          </w:p>
        </w:tc>
        <w:tc>
          <w:tcPr>
            <w:tcW w:w="6822" w:type="dxa"/>
            <w:vAlign w:val="center"/>
          </w:tcPr>
          <w:p w14:paraId="75D8F7D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现场递交地点：南宁市青秀区凤岭北路111号国际旅游中心C座19楼南宁轨道数智科技有限公司综合部</w:t>
            </w:r>
          </w:p>
          <w:p w14:paraId="1583940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邮寄递交地址：南宁市青秀区凤岭北路111号国际旅游中心C座19楼南宁轨道数智科技有限公司综合部</w:t>
            </w:r>
          </w:p>
        </w:tc>
      </w:tr>
      <w:tr w14:paraId="7F5D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109667B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14</w:t>
            </w:r>
          </w:p>
        </w:tc>
        <w:tc>
          <w:tcPr>
            <w:tcW w:w="1595" w:type="dxa"/>
            <w:shd w:val="clear" w:color="auto" w:fill="FFFFFF"/>
            <w:vAlign w:val="center"/>
          </w:tcPr>
          <w:p w14:paraId="4729C6F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比选申请文件递交时间</w:t>
            </w:r>
          </w:p>
        </w:tc>
        <w:tc>
          <w:tcPr>
            <w:tcW w:w="6822" w:type="dxa"/>
            <w:shd w:val="clear" w:color="auto" w:fill="FFFFFF"/>
            <w:vAlign w:val="center"/>
          </w:tcPr>
          <w:p w14:paraId="279CFC19">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bCs/>
                <w:sz w:val="24"/>
              </w:rPr>
            </w:pPr>
            <w:r>
              <w:rPr>
                <w:rFonts w:hint="eastAsia" w:ascii="仿宋_GB2312" w:hAnsi="仿宋_GB2312" w:eastAsia="仿宋_GB2312" w:cs="仿宋_GB2312"/>
                <w:sz w:val="24"/>
              </w:rPr>
              <w:t>截止日期：2024</w:t>
            </w:r>
            <w:r>
              <w:rPr>
                <w:rFonts w:hint="eastAsia" w:ascii="仿宋_GB2312" w:hAnsi="仿宋_GB2312" w:eastAsia="仿宋_GB2312" w:cs="仿宋_GB2312"/>
                <w:sz w:val="24"/>
                <w:highlight w:val="red"/>
              </w:rPr>
              <w:t>年</w:t>
            </w:r>
            <w:r>
              <w:rPr>
                <w:rFonts w:hint="eastAsia" w:ascii="仿宋_GB2312" w:hAnsi="仿宋_GB2312" w:eastAsia="仿宋_GB2312" w:cs="仿宋_GB2312"/>
                <w:sz w:val="24"/>
                <w:highlight w:val="red"/>
                <w:lang w:val="en-US" w:eastAsia="zh-CN"/>
              </w:rPr>
              <w:t>11</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28</w:t>
            </w:r>
            <w:r>
              <w:rPr>
                <w:rFonts w:hint="eastAsia" w:ascii="仿宋_GB2312" w:hAnsi="仿宋_GB2312" w:eastAsia="仿宋_GB2312" w:cs="仿宋_GB2312"/>
                <w:sz w:val="24"/>
              </w:rPr>
              <w:t>日 上午9:30前（5个工作日）</w:t>
            </w:r>
          </w:p>
          <w:p w14:paraId="4B03E6E6">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rPr>
              <w:t>现场递交时间：2024年</w:t>
            </w:r>
            <w:r>
              <w:rPr>
                <w:rFonts w:hint="eastAsia" w:ascii="仿宋_GB2312" w:hAnsi="仿宋_GB2312" w:eastAsia="仿宋_GB2312" w:cs="仿宋_GB2312"/>
                <w:sz w:val="24"/>
                <w:highlight w:val="red"/>
                <w:lang w:val="en-US" w:eastAsia="zh-CN"/>
              </w:rPr>
              <w:t>11</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28</w:t>
            </w:r>
            <w:r>
              <w:rPr>
                <w:rFonts w:hint="eastAsia" w:ascii="仿宋_GB2312" w:hAnsi="仿宋_GB2312" w:eastAsia="仿宋_GB2312" w:cs="仿宋_GB2312"/>
                <w:sz w:val="24"/>
              </w:rPr>
              <w:t>日 上午9:30前</w:t>
            </w:r>
          </w:p>
        </w:tc>
      </w:tr>
      <w:tr w14:paraId="1C0A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34C7F76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15</w:t>
            </w:r>
          </w:p>
        </w:tc>
        <w:tc>
          <w:tcPr>
            <w:tcW w:w="1595" w:type="dxa"/>
            <w:shd w:val="clear" w:color="auto" w:fill="FFFFFF"/>
            <w:vAlign w:val="center"/>
          </w:tcPr>
          <w:p w14:paraId="15EF5B6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比选时间、地点</w:t>
            </w:r>
          </w:p>
        </w:tc>
        <w:tc>
          <w:tcPr>
            <w:tcW w:w="6822" w:type="dxa"/>
            <w:shd w:val="clear" w:color="auto" w:fill="FFFFFF"/>
            <w:vAlign w:val="center"/>
          </w:tcPr>
          <w:p w14:paraId="0FEB9E3C">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时间：2024年</w:t>
            </w:r>
            <w:r>
              <w:rPr>
                <w:rFonts w:hint="eastAsia" w:ascii="仿宋_GB2312" w:hAnsi="仿宋_GB2312" w:eastAsia="仿宋_GB2312" w:cs="仿宋_GB2312"/>
                <w:sz w:val="24"/>
                <w:highlight w:val="red"/>
                <w:lang w:val="en-US" w:eastAsia="zh-CN"/>
              </w:rPr>
              <w:t>11</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28</w:t>
            </w:r>
            <w:r>
              <w:rPr>
                <w:rFonts w:hint="eastAsia" w:ascii="仿宋_GB2312" w:hAnsi="仿宋_GB2312" w:eastAsia="仿宋_GB2312" w:cs="仿宋_GB2312"/>
                <w:sz w:val="24"/>
              </w:rPr>
              <w:t>日 上午9:30</w:t>
            </w:r>
          </w:p>
          <w:p w14:paraId="218F8140">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rPr>
              <w:t>地点：南宁市青秀区凤岭北路111号国际旅游中心C座19楼南宁轨道数智科技有限公司会议室</w:t>
            </w:r>
          </w:p>
        </w:tc>
      </w:tr>
      <w:tr w14:paraId="60C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700456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16</w:t>
            </w:r>
          </w:p>
        </w:tc>
        <w:tc>
          <w:tcPr>
            <w:tcW w:w="1595" w:type="dxa"/>
            <w:vAlign w:val="center"/>
          </w:tcPr>
          <w:p w14:paraId="265FE83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评比办法</w:t>
            </w:r>
          </w:p>
        </w:tc>
        <w:tc>
          <w:tcPr>
            <w:tcW w:w="6822" w:type="dxa"/>
            <w:vAlign w:val="center"/>
          </w:tcPr>
          <w:p w14:paraId="559FDD46">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综合评分办法（详见第四章）</w:t>
            </w:r>
          </w:p>
        </w:tc>
      </w:tr>
      <w:tr w14:paraId="2B6D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655195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17</w:t>
            </w:r>
          </w:p>
        </w:tc>
        <w:tc>
          <w:tcPr>
            <w:tcW w:w="1595" w:type="dxa"/>
            <w:vAlign w:val="center"/>
          </w:tcPr>
          <w:p w14:paraId="0239C31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中选通知</w:t>
            </w:r>
          </w:p>
        </w:tc>
        <w:tc>
          <w:tcPr>
            <w:tcW w:w="6822" w:type="dxa"/>
          </w:tcPr>
          <w:p w14:paraId="591B9480">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比选人根据评比委员会的评比结果在比</w:t>
            </w:r>
            <w:bookmarkStart w:id="445" w:name="_GoBack"/>
            <w:bookmarkEnd w:id="445"/>
            <w:r>
              <w:rPr>
                <w:rFonts w:hint="eastAsia" w:ascii="仿宋_GB2312" w:hAnsi="仿宋_GB2312" w:eastAsia="仿宋_GB2312" w:cs="仿宋_GB2312"/>
                <w:sz w:val="24"/>
              </w:rPr>
              <w:t>选有效期内向中选的比选申请人发出中选通知书。</w:t>
            </w:r>
          </w:p>
          <w:p w14:paraId="2FAF60D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比选人无义务向未中选的比选申请人解释未中选原因和退还其比选文件。</w:t>
            </w:r>
          </w:p>
        </w:tc>
      </w:tr>
      <w:tr w14:paraId="1D21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E70A9E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18</w:t>
            </w:r>
          </w:p>
        </w:tc>
        <w:tc>
          <w:tcPr>
            <w:tcW w:w="1595" w:type="dxa"/>
            <w:vAlign w:val="center"/>
          </w:tcPr>
          <w:p w14:paraId="489589E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联系方式</w:t>
            </w:r>
          </w:p>
        </w:tc>
        <w:tc>
          <w:tcPr>
            <w:tcW w:w="6822" w:type="dxa"/>
            <w:vAlign w:val="center"/>
          </w:tcPr>
          <w:p w14:paraId="79FCF5E6">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蔡女士 0771-2277888-1600</w:t>
            </w:r>
          </w:p>
        </w:tc>
      </w:tr>
      <w:tr w14:paraId="314E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096558E">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19</w:t>
            </w:r>
          </w:p>
        </w:tc>
        <w:tc>
          <w:tcPr>
            <w:tcW w:w="1595" w:type="dxa"/>
            <w:vAlign w:val="center"/>
          </w:tcPr>
          <w:p w14:paraId="6E7D6E1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其他事项</w:t>
            </w:r>
          </w:p>
        </w:tc>
        <w:tc>
          <w:tcPr>
            <w:tcW w:w="6822" w:type="dxa"/>
            <w:vAlign w:val="center"/>
          </w:tcPr>
          <w:p w14:paraId="2AF132D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中选单位如放弃中选资格，则比选发起人有权将其列入不良行为记录名单，三年内禁止其参加比选发起人的任何采购活动。</w:t>
            </w:r>
          </w:p>
        </w:tc>
      </w:tr>
    </w:tbl>
    <w:p w14:paraId="6D58A172">
      <w:pPr>
        <w:spacing w:line="480" w:lineRule="exact"/>
        <w:jc w:val="center"/>
        <w:rPr>
          <w:rFonts w:eastAsia="仿宋"/>
          <w:b/>
          <w:bCs/>
          <w:sz w:val="28"/>
          <w:szCs w:val="28"/>
        </w:rPr>
        <w:sectPr>
          <w:footerReference r:id="rId4" w:type="default"/>
          <w:pgSz w:w="11906" w:h="16838"/>
          <w:pgMar w:top="2098" w:right="1474" w:bottom="1984" w:left="1587" w:header="851" w:footer="992" w:gutter="0"/>
          <w:pgNumType w:fmt="numberInDash" w:start="1"/>
          <w:cols w:space="720" w:num="1"/>
          <w:docGrid w:type="lines" w:linePitch="312" w:charSpace="0"/>
        </w:sectPr>
      </w:pPr>
      <w:bookmarkStart w:id="27" w:name="_Toc32363"/>
      <w:bookmarkStart w:id="28" w:name="_Toc16198"/>
      <w:bookmarkStart w:id="29" w:name="_Toc26201"/>
      <w:bookmarkStart w:id="30" w:name="_Toc12506"/>
      <w:bookmarkStart w:id="31" w:name="_Toc20803"/>
      <w:bookmarkStart w:id="32" w:name="_Toc461525297"/>
      <w:bookmarkStart w:id="33" w:name="_Toc336"/>
      <w:bookmarkStart w:id="34" w:name="_Toc30162"/>
      <w:bookmarkStart w:id="35" w:name="_Toc3861"/>
      <w:bookmarkStart w:id="36" w:name="_Toc6681"/>
      <w:bookmarkStart w:id="37" w:name="_Toc28086"/>
      <w:bookmarkStart w:id="38" w:name="_Toc18983"/>
      <w:bookmarkStart w:id="39" w:name="_Toc12419"/>
    </w:p>
    <w:p w14:paraId="2D8955B8">
      <w:pPr>
        <w:spacing w:line="480" w:lineRule="exact"/>
        <w:jc w:val="center"/>
        <w:outlineLvl w:val="1"/>
        <w:rPr>
          <w:rFonts w:eastAsia="仿宋"/>
          <w:b/>
          <w:sz w:val="28"/>
          <w:szCs w:val="28"/>
        </w:rPr>
      </w:pPr>
      <w:bookmarkStart w:id="40" w:name="_Toc27355"/>
      <w:r>
        <w:rPr>
          <w:rFonts w:hint="eastAsia" w:ascii="楷体" w:hAnsi="楷体" w:eastAsia="楷体" w:cs="楷体"/>
          <w:b/>
          <w:bCs/>
          <w:sz w:val="32"/>
          <w:szCs w:val="32"/>
        </w:rPr>
        <w:t>一、总则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Toc114052340"/>
      <w:bookmarkStart w:id="42" w:name="_Toc310318572"/>
      <w:bookmarkStart w:id="43" w:name="_Toc286386834"/>
      <w:bookmarkStart w:id="44" w:name="_Toc114052414"/>
    </w:p>
    <w:p w14:paraId="641539F5">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1.项目比选说明</w:t>
      </w:r>
      <w:bookmarkEnd w:id="41"/>
      <w:bookmarkEnd w:id="42"/>
      <w:bookmarkEnd w:id="43"/>
      <w:bookmarkEnd w:id="44"/>
    </w:p>
    <w:p w14:paraId="0163D695">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 项目比选的说明见比选须知前附表（以下称“比选须知前附表”）第1项～第19项所述。</w:t>
      </w:r>
    </w:p>
    <w:p w14:paraId="07FF04B0">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 上述项目按照国家有关的法律、法规作为依据，并按照南宁市政府现行有关规定执行，南宁轨道数智科技有限公司现通过公开比选来择优选定服务单位。</w:t>
      </w:r>
    </w:p>
    <w:p w14:paraId="28BAA076">
      <w:pPr>
        <w:spacing w:line="48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2.工作内容</w:t>
      </w:r>
    </w:p>
    <w:p w14:paraId="3277F748">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为南宁轨道数智科技有限公司数字档案管理系统项目，服务内容包括：根据项目所需的产品按技术需求及数量完成设计及</w:t>
      </w:r>
      <w:r>
        <w:rPr>
          <w:rFonts w:hint="eastAsia" w:ascii="仿宋_GB2312" w:hAnsi="仿宋_GB2312" w:eastAsia="仿宋_GB2312" w:cs="仿宋_GB2312"/>
          <w:sz w:val="28"/>
          <w:szCs w:val="28"/>
          <w:lang w:val="en-US" w:eastAsia="zh-CN"/>
        </w:rPr>
        <w:t>开发</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rPr>
        <w:t>（具体服务内容详见比选文件中合同条款）</w:t>
      </w:r>
    </w:p>
    <w:p w14:paraId="0B6D0622">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3.资金来源</w:t>
      </w:r>
    </w:p>
    <w:p w14:paraId="7F0094E3">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资金来源见前附表第4项所述。</w:t>
      </w:r>
    </w:p>
    <w:p w14:paraId="0DBD3D3C">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w:t>
      </w:r>
      <w:bookmarkStart w:id="45" w:name="_Toc114052342"/>
      <w:bookmarkStart w:id="46" w:name="_Toc286386836"/>
      <w:bookmarkStart w:id="47" w:name="_Toc310318574"/>
      <w:bookmarkStart w:id="48" w:name="_Toc114052416"/>
      <w:r>
        <w:rPr>
          <w:rFonts w:hint="eastAsia" w:ascii="仿宋_GB2312" w:hAnsi="仿宋_GB2312" w:eastAsia="仿宋_GB2312" w:cs="仿宋_GB2312"/>
          <w:b/>
          <w:sz w:val="28"/>
          <w:szCs w:val="28"/>
        </w:rPr>
        <w:t>比选申请人资格要求</w:t>
      </w:r>
      <w:bookmarkEnd w:id="45"/>
      <w:bookmarkEnd w:id="46"/>
      <w:bookmarkEnd w:id="47"/>
      <w:bookmarkEnd w:id="48"/>
    </w:p>
    <w:p w14:paraId="0FB7141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比选申请人必须具有前附表第9项相应的资质及要求。</w:t>
      </w:r>
    </w:p>
    <w:p w14:paraId="67D8D029">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5.</w:t>
      </w:r>
      <w:bookmarkStart w:id="49" w:name="_Toc310318575"/>
      <w:bookmarkStart w:id="50" w:name="_Toc114052417"/>
      <w:bookmarkStart w:id="51" w:name="_Toc114052343"/>
      <w:bookmarkStart w:id="52" w:name="_Toc286386837"/>
      <w:r>
        <w:rPr>
          <w:rFonts w:hint="eastAsia" w:ascii="仿宋_GB2312" w:hAnsi="仿宋_GB2312" w:eastAsia="仿宋_GB2312" w:cs="仿宋_GB2312"/>
          <w:b/>
          <w:sz w:val="28"/>
          <w:szCs w:val="28"/>
        </w:rPr>
        <w:t>申请比选费用</w:t>
      </w:r>
      <w:bookmarkEnd w:id="49"/>
      <w:bookmarkEnd w:id="50"/>
      <w:bookmarkEnd w:id="51"/>
      <w:bookmarkEnd w:id="52"/>
    </w:p>
    <w:p w14:paraId="5F1CA512">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比选申请人应承担其编制文件与递交文件所涉及的一切费用。不管评比结果如何，比选人对上述费用不负任何责任。</w:t>
      </w:r>
      <w:bookmarkStart w:id="53" w:name="_Toc26141"/>
      <w:bookmarkStart w:id="54" w:name="_Toc5207"/>
      <w:bookmarkStart w:id="55" w:name="_Toc17323"/>
      <w:bookmarkStart w:id="56" w:name="_Toc3066"/>
      <w:bookmarkStart w:id="57" w:name="_Toc461525298"/>
      <w:bookmarkStart w:id="58" w:name="_Toc15439"/>
      <w:bookmarkStart w:id="59" w:name="_Toc22143"/>
      <w:bookmarkStart w:id="60" w:name="_Toc6541"/>
      <w:bookmarkStart w:id="61" w:name="_Toc25256"/>
      <w:bookmarkStart w:id="62" w:name="_Toc16023"/>
      <w:bookmarkStart w:id="63" w:name="_Toc8029"/>
      <w:bookmarkStart w:id="64" w:name="_Toc17725"/>
      <w:bookmarkStart w:id="65" w:name="_Toc18809"/>
    </w:p>
    <w:p w14:paraId="620A4218">
      <w:pPr>
        <w:spacing w:line="480" w:lineRule="exact"/>
        <w:ind w:right="754" w:firstLine="560" w:firstLineChars="200"/>
        <w:jc w:val="left"/>
        <w:rPr>
          <w:rFonts w:ascii="仿宋_GB2312" w:hAnsi="仿宋_GB2312" w:eastAsia="仿宋_GB2312" w:cs="仿宋_GB2312"/>
          <w:sz w:val="28"/>
          <w:szCs w:val="28"/>
        </w:rPr>
      </w:pPr>
    </w:p>
    <w:p w14:paraId="76B9E30C">
      <w:pPr>
        <w:spacing w:line="480" w:lineRule="exact"/>
        <w:jc w:val="center"/>
        <w:outlineLvl w:val="1"/>
        <w:rPr>
          <w:rFonts w:eastAsia="仿宋"/>
          <w:b/>
          <w:sz w:val="28"/>
          <w:szCs w:val="28"/>
        </w:rPr>
      </w:pPr>
      <w:bookmarkStart w:id="66" w:name="_Toc2924"/>
      <w:r>
        <w:rPr>
          <w:rFonts w:hint="eastAsia" w:ascii="楷体" w:hAnsi="楷体" w:eastAsia="楷体" w:cs="楷体"/>
          <w:b/>
          <w:bCs/>
          <w:sz w:val="32"/>
          <w:szCs w:val="32"/>
        </w:rPr>
        <w:t>二、比选文件</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FC15887">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w:t>
      </w:r>
      <w:bookmarkStart w:id="67" w:name="_Toc286386839"/>
      <w:bookmarkStart w:id="68" w:name="_Toc310318577"/>
      <w:bookmarkStart w:id="69" w:name="_Toc114052345"/>
      <w:bookmarkStart w:id="70" w:name="_Toc114052419"/>
      <w:r>
        <w:rPr>
          <w:rFonts w:hint="eastAsia" w:ascii="仿宋_GB2312" w:hAnsi="仿宋_GB2312" w:eastAsia="仿宋_GB2312" w:cs="仿宋_GB2312"/>
          <w:b/>
          <w:sz w:val="28"/>
          <w:szCs w:val="28"/>
        </w:rPr>
        <w:t>比选文件的组成</w:t>
      </w:r>
      <w:bookmarkEnd w:id="67"/>
      <w:bookmarkEnd w:id="68"/>
      <w:bookmarkEnd w:id="69"/>
      <w:bookmarkEnd w:id="70"/>
    </w:p>
    <w:p w14:paraId="4AE197C6">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6.1比选文件包括比选须知前附表、比选须知、合同条款（格式）、比选申请文件格式、评比办法。</w:t>
      </w:r>
    </w:p>
    <w:p w14:paraId="1E52AAA7">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5B68EAC3">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7.</w:t>
      </w:r>
      <w:bookmarkStart w:id="71" w:name="_Toc286386840"/>
      <w:bookmarkStart w:id="72" w:name="_Toc114052346"/>
      <w:bookmarkStart w:id="73" w:name="_Toc114052420"/>
      <w:bookmarkStart w:id="74" w:name="_Toc310318578"/>
      <w:r>
        <w:rPr>
          <w:rFonts w:hint="eastAsia" w:ascii="仿宋_GB2312" w:hAnsi="仿宋_GB2312" w:eastAsia="仿宋_GB2312" w:cs="仿宋_GB2312"/>
          <w:b/>
          <w:sz w:val="28"/>
          <w:szCs w:val="28"/>
        </w:rPr>
        <w:t>比选文件的解释</w:t>
      </w:r>
      <w:bookmarkEnd w:id="71"/>
      <w:bookmarkEnd w:id="72"/>
      <w:bookmarkEnd w:id="73"/>
      <w:bookmarkEnd w:id="74"/>
    </w:p>
    <w:p w14:paraId="060C388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7.1比选申请人在获取比选文件后，若有问题需要澄清，均应在递交文件截止时间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0775A9B6">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8.</w:t>
      </w:r>
      <w:bookmarkStart w:id="75" w:name="_Toc114052347"/>
      <w:bookmarkStart w:id="76" w:name="_Toc114052421"/>
      <w:bookmarkStart w:id="77" w:name="_Toc310318579"/>
      <w:bookmarkStart w:id="78" w:name="_Toc286386841"/>
      <w:r>
        <w:rPr>
          <w:rFonts w:hint="eastAsia" w:ascii="仿宋_GB2312" w:hAnsi="仿宋_GB2312" w:eastAsia="仿宋_GB2312" w:cs="仿宋_GB2312"/>
          <w:b/>
          <w:sz w:val="28"/>
          <w:szCs w:val="28"/>
        </w:rPr>
        <w:t>比选文件的修改</w:t>
      </w:r>
      <w:bookmarkEnd w:id="75"/>
      <w:bookmarkEnd w:id="76"/>
      <w:bookmarkEnd w:id="77"/>
      <w:bookmarkEnd w:id="78"/>
    </w:p>
    <w:p w14:paraId="475EBFC4">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8.1 在递交文件截止日期前2天，比选人可以采用补充通知的方式修改比选文件。</w:t>
      </w:r>
    </w:p>
    <w:p w14:paraId="2CF0473D">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8.2 补充通知将以书面形式，在比选人官网发布，补充通知作为比选文件的组成部分，对比选申请人起约束作用。</w:t>
      </w:r>
      <w:bookmarkStart w:id="79" w:name="_Toc19209"/>
      <w:bookmarkStart w:id="80" w:name="_Toc18772"/>
      <w:bookmarkStart w:id="81" w:name="_Toc461525299"/>
      <w:bookmarkStart w:id="82" w:name="_Toc9199"/>
      <w:bookmarkStart w:id="83" w:name="_Toc24574"/>
      <w:bookmarkStart w:id="84" w:name="_Toc30617"/>
      <w:bookmarkStart w:id="85" w:name="_Toc8400"/>
      <w:bookmarkStart w:id="86" w:name="_Toc9684"/>
      <w:bookmarkStart w:id="87" w:name="_Toc9453"/>
      <w:bookmarkStart w:id="88" w:name="_Toc10523"/>
      <w:bookmarkStart w:id="89" w:name="_Toc6395"/>
      <w:bookmarkStart w:id="90" w:name="_Toc29216"/>
      <w:bookmarkStart w:id="91" w:name="_Toc26897"/>
    </w:p>
    <w:p w14:paraId="3F6E1C6B">
      <w:pPr>
        <w:spacing w:line="480" w:lineRule="exact"/>
        <w:ind w:right="-23" w:firstLine="560" w:firstLineChars="200"/>
        <w:jc w:val="left"/>
        <w:rPr>
          <w:rFonts w:ascii="仿宋_GB2312" w:hAnsi="仿宋_GB2312" w:eastAsia="仿宋_GB2312" w:cs="仿宋_GB2312"/>
          <w:sz w:val="28"/>
          <w:szCs w:val="28"/>
        </w:rPr>
      </w:pPr>
    </w:p>
    <w:p w14:paraId="252FC1BF">
      <w:pPr>
        <w:spacing w:line="480" w:lineRule="exact"/>
        <w:jc w:val="center"/>
        <w:outlineLvl w:val="1"/>
        <w:rPr>
          <w:rFonts w:eastAsia="仿宋"/>
          <w:b/>
          <w:sz w:val="28"/>
          <w:szCs w:val="28"/>
        </w:rPr>
      </w:pPr>
      <w:bookmarkStart w:id="92" w:name="_Toc21566"/>
      <w:r>
        <w:rPr>
          <w:rFonts w:hint="eastAsia" w:ascii="楷体" w:hAnsi="楷体" w:eastAsia="楷体" w:cs="楷体"/>
          <w:b/>
          <w:bCs/>
          <w:sz w:val="32"/>
          <w:szCs w:val="32"/>
        </w:rPr>
        <w:t>三、申请比选报价说明</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95787E7">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9.</w:t>
      </w:r>
      <w:bookmarkStart w:id="93" w:name="_Toc286386843"/>
      <w:bookmarkStart w:id="94" w:name="_Toc114052423"/>
      <w:bookmarkStart w:id="95" w:name="_Toc114052349"/>
      <w:bookmarkStart w:id="96" w:name="_Toc310318581"/>
      <w:r>
        <w:rPr>
          <w:rFonts w:hint="eastAsia" w:ascii="仿宋_GB2312" w:hAnsi="仿宋_GB2312" w:eastAsia="仿宋_GB2312" w:cs="仿宋_GB2312"/>
          <w:b/>
          <w:sz w:val="28"/>
          <w:szCs w:val="28"/>
        </w:rPr>
        <w:t>申请比选</w:t>
      </w:r>
      <w:bookmarkEnd w:id="93"/>
      <w:bookmarkEnd w:id="94"/>
      <w:bookmarkEnd w:id="95"/>
      <w:r>
        <w:rPr>
          <w:rFonts w:hint="eastAsia" w:ascii="仿宋_GB2312" w:hAnsi="仿宋_GB2312" w:eastAsia="仿宋_GB2312" w:cs="仿宋_GB2312"/>
          <w:b/>
          <w:sz w:val="28"/>
          <w:szCs w:val="28"/>
        </w:rPr>
        <w:t>报价</w:t>
      </w:r>
      <w:bookmarkEnd w:id="96"/>
    </w:p>
    <w:p w14:paraId="5005CADF">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9.1申请比选报价见比选须知前附表第7项所述。</w:t>
      </w:r>
      <w:bookmarkStart w:id="97" w:name="_Toc17188"/>
      <w:bookmarkStart w:id="98" w:name="_Toc23455"/>
      <w:bookmarkStart w:id="99" w:name="_Toc17722"/>
      <w:bookmarkStart w:id="100" w:name="_Toc26723"/>
      <w:bookmarkStart w:id="101" w:name="_Toc17259"/>
      <w:bookmarkStart w:id="102" w:name="_Toc23191"/>
      <w:bookmarkStart w:id="103" w:name="_Toc25856"/>
      <w:bookmarkStart w:id="104" w:name="_Toc5583"/>
      <w:bookmarkStart w:id="105" w:name="_Toc31461"/>
      <w:bookmarkStart w:id="106" w:name="_Toc2346"/>
      <w:bookmarkStart w:id="107" w:name="_Toc461525300"/>
      <w:bookmarkStart w:id="108" w:name="_Toc11943"/>
      <w:bookmarkStart w:id="109" w:name="_Toc18607"/>
    </w:p>
    <w:p w14:paraId="626D1A0E">
      <w:pPr>
        <w:spacing w:line="480" w:lineRule="exact"/>
        <w:ind w:right="753" w:firstLine="560" w:firstLineChars="200"/>
        <w:jc w:val="left"/>
        <w:rPr>
          <w:rFonts w:eastAsia="仿宋"/>
          <w:sz w:val="28"/>
          <w:szCs w:val="28"/>
        </w:rPr>
      </w:pPr>
    </w:p>
    <w:p w14:paraId="04C02692">
      <w:pPr>
        <w:spacing w:line="480" w:lineRule="exact"/>
        <w:jc w:val="center"/>
        <w:outlineLvl w:val="1"/>
        <w:rPr>
          <w:rFonts w:ascii="楷体" w:hAnsi="楷体" w:eastAsia="楷体" w:cs="楷体"/>
          <w:b/>
          <w:sz w:val="28"/>
          <w:szCs w:val="28"/>
        </w:rPr>
      </w:pPr>
      <w:bookmarkStart w:id="110" w:name="_Toc13994"/>
      <w:r>
        <w:rPr>
          <w:rFonts w:hint="eastAsia" w:ascii="楷体" w:hAnsi="楷体" w:eastAsia="楷体" w:cs="楷体"/>
          <w:b/>
          <w:bCs/>
          <w:sz w:val="32"/>
          <w:szCs w:val="32"/>
        </w:rPr>
        <w:t>四、比选申请文件的编制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0CDD7A7">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10.</w:t>
      </w:r>
      <w:bookmarkStart w:id="111" w:name="_Toc310318583"/>
      <w:bookmarkStart w:id="112" w:name="_Toc286386845"/>
      <w:r>
        <w:rPr>
          <w:rFonts w:hint="eastAsia" w:ascii="仿宋_GB2312" w:hAnsi="仿宋_GB2312" w:eastAsia="仿宋_GB2312" w:cs="仿宋_GB2312"/>
          <w:b/>
          <w:sz w:val="28"/>
          <w:szCs w:val="28"/>
        </w:rPr>
        <w:t>比选申请文件编写注意事项</w:t>
      </w:r>
      <w:bookmarkEnd w:id="111"/>
      <w:bookmarkEnd w:id="112"/>
    </w:p>
    <w:p w14:paraId="6760308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2793165A">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10.2比选文件提出的实质性要求和条件是指本比选项目所涉及的最低人员配置、价格、服务及其它要求、合同条款等内容。</w:t>
      </w:r>
    </w:p>
    <w:p w14:paraId="61EFAC52">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10.3比选申请人的比选申请文件所有来往函件统一使用中文(特别规定除外)。</w:t>
      </w:r>
    </w:p>
    <w:p w14:paraId="10BE83C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10.4比选申请文件中使用的计量单位除比选文件中有特殊规定外，一律使用法定计量单位。</w:t>
      </w:r>
    </w:p>
    <w:p w14:paraId="2C35E8FE">
      <w:pPr>
        <w:kinsoku w:val="0"/>
        <w:overflowPunct w:val="0"/>
        <w:autoSpaceDE w:val="0"/>
        <w:autoSpaceDN w:val="0"/>
        <w:adjustRightInd w:val="0"/>
        <w:snapToGrid w:val="0"/>
        <w:spacing w:line="480" w:lineRule="exact"/>
        <w:ind w:left="562" w:right="754" w:hanging="562" w:hanging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11.比选申请文件的组成</w:t>
      </w:r>
    </w:p>
    <w:p w14:paraId="7547B79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11.1 比选申请文件</w:t>
      </w:r>
      <w:r>
        <w:rPr>
          <w:rFonts w:hint="eastAsia" w:ascii="仿宋_GB2312" w:hAnsi="仿宋_GB2312" w:eastAsia="仿宋_GB2312" w:cs="仿宋_GB2312"/>
          <w:b/>
          <w:sz w:val="28"/>
          <w:szCs w:val="28"/>
        </w:rPr>
        <w:t>由资格审查部分、技术部分、商务部分三部分组成，</w:t>
      </w:r>
      <w:r>
        <w:rPr>
          <w:rFonts w:hint="eastAsia" w:ascii="仿宋_GB2312" w:hAnsi="仿宋_GB2312" w:eastAsia="仿宋_GB2312" w:cs="仿宋_GB2312"/>
          <w:b/>
          <w:bCs/>
          <w:sz w:val="28"/>
          <w:szCs w:val="28"/>
        </w:rPr>
        <w:t>详细要求与部分格式详见第三章。</w:t>
      </w:r>
    </w:p>
    <w:p w14:paraId="2A681C4A">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 比选申请文件应按以下顺序分三个章节进行编制，主要包括下列内容：</w:t>
      </w:r>
    </w:p>
    <w:p w14:paraId="090E9F84">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11.2.1 资格审查章节主要包括下列内容</w:t>
      </w:r>
    </w:p>
    <w:p w14:paraId="6FD4B5E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（1）诚信声明（原件）；</w:t>
      </w:r>
    </w:p>
    <w:p w14:paraId="7834FBDB">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（2）比选函（原件）；</w:t>
      </w:r>
    </w:p>
    <w:p w14:paraId="2C12CED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（3）公司营业执照（复印件加盖公章）；</w:t>
      </w:r>
    </w:p>
    <w:p w14:paraId="70D1134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（4）公司法人身份证明（复印件加盖公章）；</w:t>
      </w:r>
    </w:p>
    <w:p w14:paraId="020F7D40">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（5）比选申请文件签署授权委托书（原件）；</w:t>
      </w:r>
    </w:p>
    <w:p w14:paraId="5A67ADCC">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（6）授权代表人身份证（复印件加盖公章）。</w:t>
      </w:r>
    </w:p>
    <w:p w14:paraId="6DD86F5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11.2.2 技术章节主要包括下列内容：</w:t>
      </w:r>
    </w:p>
    <w:p w14:paraId="2B020D8F">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项目技术需求响应表；</w:t>
      </w:r>
    </w:p>
    <w:p w14:paraId="2052282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11.2.3 商务章节主要包括下列内容：</w:t>
      </w:r>
    </w:p>
    <w:p w14:paraId="02F20B0A">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p>
    <w:p w14:paraId="6A25666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11.3 比选申请人需按照比选人提供的比选申请文件格式和顺序另行编制比选申请文件，但表格可以按同样格式扩展。</w:t>
      </w:r>
    </w:p>
    <w:p w14:paraId="3C6FCCE6">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12.</w:t>
      </w:r>
      <w:bookmarkStart w:id="113" w:name="_Toc114052427"/>
      <w:bookmarkStart w:id="114" w:name="_Toc114052363"/>
      <w:bookmarkStart w:id="115" w:name="_Toc310318585"/>
      <w:bookmarkStart w:id="116" w:name="_Toc286386847"/>
      <w:r>
        <w:rPr>
          <w:rFonts w:hint="eastAsia" w:ascii="仿宋_GB2312" w:hAnsi="仿宋_GB2312" w:eastAsia="仿宋_GB2312" w:cs="仿宋_GB2312"/>
          <w:b/>
          <w:sz w:val="28"/>
          <w:szCs w:val="28"/>
        </w:rPr>
        <w:t>比选有效期</w:t>
      </w:r>
      <w:bookmarkEnd w:id="113"/>
      <w:bookmarkEnd w:id="114"/>
      <w:bookmarkEnd w:id="115"/>
      <w:bookmarkEnd w:id="116"/>
    </w:p>
    <w:p w14:paraId="4897D3A3">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12.1 比选申请文件在前附表第14条规定的递交比选申请文件日期之后的90天内有效。</w:t>
      </w:r>
    </w:p>
    <w:p w14:paraId="361DFFFD">
      <w:pPr>
        <w:spacing w:line="480" w:lineRule="exact"/>
        <w:ind w:right="-21"/>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13.比选保证金</w:t>
      </w:r>
    </w:p>
    <w:p w14:paraId="5B723321">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13.1本次比选不需要缴纳申请比选保证金。</w:t>
      </w:r>
    </w:p>
    <w:p w14:paraId="0C3CE9B8">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14.</w:t>
      </w:r>
      <w:bookmarkStart w:id="117" w:name="_Toc114052365"/>
      <w:bookmarkStart w:id="118" w:name="_Toc114052429"/>
      <w:bookmarkStart w:id="119" w:name="_Toc286386849"/>
      <w:bookmarkStart w:id="120" w:name="_Toc310318587"/>
      <w:r>
        <w:rPr>
          <w:rFonts w:hint="eastAsia" w:ascii="仿宋_GB2312" w:hAnsi="仿宋_GB2312" w:eastAsia="仿宋_GB2312" w:cs="仿宋_GB2312"/>
          <w:b/>
          <w:sz w:val="28"/>
          <w:szCs w:val="28"/>
        </w:rPr>
        <w:t>比选答疑</w:t>
      </w:r>
      <w:bookmarkEnd w:id="117"/>
      <w:bookmarkEnd w:id="118"/>
      <w:bookmarkEnd w:id="119"/>
      <w:bookmarkEnd w:id="120"/>
    </w:p>
    <w:p w14:paraId="0D32CB96">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2EFC3118">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14.2比选补遗文件包括所有问题和答复，比选人将于递交文件截止时间2天前以书面形式,在比选人官网发布，予以答复。</w:t>
      </w:r>
    </w:p>
    <w:p w14:paraId="7DFEE394">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15.</w:t>
      </w:r>
      <w:bookmarkStart w:id="121" w:name="_Toc310318588"/>
      <w:bookmarkStart w:id="122" w:name="_Toc286386850"/>
      <w:bookmarkStart w:id="123" w:name="_Toc114052430"/>
      <w:bookmarkStart w:id="124" w:name="_Toc114052366"/>
      <w:r>
        <w:rPr>
          <w:rFonts w:hint="eastAsia" w:ascii="仿宋_GB2312" w:hAnsi="仿宋_GB2312" w:eastAsia="仿宋_GB2312" w:cs="仿宋_GB2312"/>
          <w:b/>
          <w:sz w:val="28"/>
          <w:szCs w:val="28"/>
        </w:rPr>
        <w:t>比选申请文件的份数</w:t>
      </w:r>
      <w:bookmarkEnd w:id="121"/>
      <w:bookmarkEnd w:id="122"/>
      <w:bookmarkEnd w:id="123"/>
      <w:bookmarkEnd w:id="124"/>
      <w:r>
        <w:rPr>
          <w:rFonts w:hint="eastAsia" w:ascii="仿宋_GB2312" w:hAnsi="仿宋_GB2312" w:eastAsia="仿宋_GB2312" w:cs="仿宋_GB2312"/>
          <w:b/>
          <w:sz w:val="28"/>
          <w:szCs w:val="28"/>
        </w:rPr>
        <w:t>和签署</w:t>
      </w:r>
    </w:p>
    <w:p w14:paraId="54F27BB3">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15.1比选申请人按比选文件规定，编制壹份比选申请文件“正本”和肆份比选申请文件“副本”，并标明“比选申请文件正本”和“比选申请文件副本”。比选申请文件正本和副本如有不一致之处，以正本为准。</w:t>
      </w:r>
    </w:p>
    <w:p w14:paraId="6FFC23FF">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15.2比选申请文件正本与副本均应使用不能擦去的黑色墨水打印或书写，装订成册，由比选申请人负责人或授权委托代理人亲自签署或加盖印鉴，并加盖比选申请人单位公章。</w:t>
      </w:r>
    </w:p>
    <w:p w14:paraId="25B3C75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15.3全套比选申请文件应无涂改和行间插字，除非这些删改是根据比选人指示进行的；或者是比选申请人造成的必须修改的错误，但修改处应由比选申请文件签字人签字证明，否则修改无效。</w:t>
      </w:r>
    </w:p>
    <w:p w14:paraId="205BE74D">
      <w:pPr>
        <w:spacing w:line="480" w:lineRule="exact"/>
        <w:rPr>
          <w:rFonts w:eastAsia="仿宋"/>
          <w:b/>
          <w:bCs/>
          <w:sz w:val="28"/>
          <w:szCs w:val="28"/>
        </w:rPr>
      </w:pPr>
      <w:bookmarkStart w:id="125" w:name="_Toc31804"/>
      <w:bookmarkStart w:id="126" w:name="_Toc28652"/>
      <w:bookmarkStart w:id="127" w:name="_Toc23101"/>
      <w:bookmarkStart w:id="128" w:name="_Toc25460"/>
      <w:bookmarkStart w:id="129" w:name="_Toc2153"/>
      <w:bookmarkStart w:id="130" w:name="_Toc461525301"/>
      <w:bookmarkStart w:id="131" w:name="_Toc11391"/>
      <w:bookmarkStart w:id="132" w:name="_Toc14726"/>
      <w:bookmarkStart w:id="133" w:name="_Toc23604"/>
      <w:bookmarkStart w:id="134" w:name="_Toc19276"/>
      <w:bookmarkStart w:id="135" w:name="_Toc15955"/>
      <w:bookmarkStart w:id="136" w:name="_Toc16937"/>
      <w:bookmarkStart w:id="137" w:name="_Toc28307"/>
    </w:p>
    <w:p w14:paraId="08E4D22B">
      <w:pPr>
        <w:spacing w:line="480" w:lineRule="exact"/>
        <w:jc w:val="center"/>
        <w:outlineLvl w:val="1"/>
        <w:rPr>
          <w:rFonts w:eastAsia="仿宋"/>
          <w:b/>
          <w:sz w:val="28"/>
          <w:szCs w:val="28"/>
        </w:rPr>
      </w:pPr>
      <w:bookmarkStart w:id="138" w:name="_Toc25452"/>
      <w:r>
        <w:rPr>
          <w:rFonts w:hint="eastAsia" w:ascii="楷体" w:hAnsi="楷体" w:eastAsia="楷体" w:cs="楷体"/>
          <w:b/>
          <w:bCs/>
          <w:sz w:val="32"/>
          <w:szCs w:val="32"/>
        </w:rPr>
        <w:t>五、比选申请文件的递交</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DA8A239">
      <w:pPr>
        <w:spacing w:line="48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16.比选申请文件的密封与标志</w:t>
      </w:r>
    </w:p>
    <w:p w14:paraId="3ED35DA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16.1比选申请文件装订要求：比选申请文件中资格审查部分、技术部分、商务部分一起装订。</w:t>
      </w:r>
    </w:p>
    <w:p w14:paraId="371DDAE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16.2比选申请文件密封在一个比选文件密封袋中。</w:t>
      </w:r>
    </w:p>
    <w:p w14:paraId="081CA0D3">
      <w:pPr>
        <w:tabs>
          <w:tab w:val="left" w:pos="8610"/>
        </w:tabs>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16.3密封袋封口处都应加盖比选申请人公章或粘贴加盖公章的密封条，若密封袋没有加盖公章或破损严重，有可能导致比选申请文件被比选人拒收。</w:t>
      </w:r>
    </w:p>
    <w:p w14:paraId="2458E42C">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17.递交比选文件截止期</w:t>
      </w:r>
    </w:p>
    <w:p w14:paraId="18FDB748">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17.1比选申请人应在前附表第14项所述规定的时间，将比选申请文件递交至前附表第13项所述的单位和地址。</w:t>
      </w:r>
    </w:p>
    <w:p w14:paraId="50D3DD1D">
      <w:pPr>
        <w:spacing w:line="480" w:lineRule="exact"/>
        <w:rPr>
          <w:rFonts w:eastAsia="仿宋"/>
          <w:b/>
          <w:bCs/>
          <w:sz w:val="28"/>
          <w:szCs w:val="28"/>
        </w:rPr>
      </w:pPr>
      <w:bookmarkStart w:id="139" w:name="_Toc29047"/>
      <w:bookmarkStart w:id="140" w:name="_Toc20601"/>
      <w:bookmarkStart w:id="141" w:name="_Toc32687"/>
      <w:bookmarkStart w:id="142" w:name="_Toc31034"/>
      <w:bookmarkStart w:id="143" w:name="_Toc30232"/>
      <w:bookmarkStart w:id="144" w:name="_Toc27095"/>
      <w:bookmarkStart w:id="145" w:name="_Toc20356"/>
      <w:bookmarkStart w:id="146" w:name="_Toc461525302"/>
      <w:bookmarkStart w:id="147" w:name="_Toc17217"/>
      <w:bookmarkStart w:id="148" w:name="_Toc6376"/>
      <w:bookmarkStart w:id="149" w:name="_Toc22118"/>
      <w:bookmarkStart w:id="150" w:name="_Toc1057"/>
      <w:bookmarkStart w:id="151" w:name="_Toc31139"/>
    </w:p>
    <w:p w14:paraId="3258B66C">
      <w:pPr>
        <w:spacing w:line="480" w:lineRule="exact"/>
        <w:jc w:val="center"/>
        <w:outlineLvl w:val="1"/>
        <w:rPr>
          <w:rFonts w:eastAsia="仿宋"/>
          <w:b/>
          <w:sz w:val="28"/>
          <w:szCs w:val="28"/>
        </w:rPr>
      </w:pPr>
      <w:bookmarkStart w:id="152" w:name="_Toc257"/>
      <w:r>
        <w:rPr>
          <w:rFonts w:hint="eastAsia" w:ascii="楷体" w:hAnsi="楷体" w:eastAsia="楷体" w:cs="楷体"/>
          <w:b/>
          <w:bCs/>
          <w:sz w:val="32"/>
          <w:szCs w:val="32"/>
        </w:rPr>
        <w:t>六、评</w:t>
      </w:r>
      <w:bookmarkEnd w:id="139"/>
      <w:bookmarkEnd w:id="140"/>
      <w:bookmarkEnd w:id="141"/>
      <w:r>
        <w:rPr>
          <w:rFonts w:hint="eastAsia" w:ascii="楷体" w:hAnsi="楷体" w:eastAsia="楷体" w:cs="楷体"/>
          <w:b/>
          <w:bCs/>
          <w:sz w:val="32"/>
          <w:szCs w:val="32"/>
        </w:rPr>
        <w:t>比</w:t>
      </w:r>
      <w:bookmarkEnd w:id="142"/>
      <w:bookmarkEnd w:id="143"/>
      <w:bookmarkEnd w:id="144"/>
      <w:bookmarkEnd w:id="145"/>
      <w:bookmarkEnd w:id="146"/>
      <w:bookmarkEnd w:id="147"/>
      <w:bookmarkEnd w:id="148"/>
      <w:bookmarkEnd w:id="149"/>
      <w:bookmarkEnd w:id="150"/>
      <w:bookmarkEnd w:id="151"/>
      <w:bookmarkEnd w:id="152"/>
    </w:p>
    <w:p w14:paraId="03C98A6A">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18.评比委员会</w:t>
      </w:r>
    </w:p>
    <w:p w14:paraId="22D493D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18.1本项目的评比委员会由5名经济、技术专家组成。</w:t>
      </w:r>
    </w:p>
    <w:p w14:paraId="7C2F378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18.2评比委员会成员独立、客观、公正地履行职责，遵守职业道德，对所提出的评比意见承担个人责任；评比委员会成员应对整个评比活动保密。</w:t>
      </w:r>
    </w:p>
    <w:p w14:paraId="652887E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6F84788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18.4严禁任何单位或个人以任何形式操纵、干预评比过程和评比结果。</w:t>
      </w:r>
    </w:p>
    <w:p w14:paraId="359C8973">
      <w:pPr>
        <w:spacing w:line="480" w:lineRule="exact"/>
        <w:ind w:right="753"/>
        <w:jc w:val="left"/>
        <w:rPr>
          <w:rFonts w:ascii="仿宋_GB2312" w:hAnsi="仿宋_GB2312" w:eastAsia="仿宋_GB2312" w:cs="仿宋_GB2312"/>
          <w:b/>
          <w:sz w:val="28"/>
          <w:szCs w:val="28"/>
        </w:rPr>
      </w:pPr>
      <w:bookmarkStart w:id="153" w:name="_Toc310318596"/>
      <w:r>
        <w:rPr>
          <w:rFonts w:hint="eastAsia" w:ascii="仿宋_GB2312" w:hAnsi="仿宋_GB2312" w:eastAsia="仿宋_GB2312" w:cs="仿宋_GB2312"/>
          <w:b/>
          <w:sz w:val="28"/>
          <w:szCs w:val="28"/>
        </w:rPr>
        <w:t xml:space="preserve"> 19.评比</w:t>
      </w:r>
      <w:bookmarkEnd w:id="153"/>
    </w:p>
    <w:p w14:paraId="74772E8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19.1比选人将于前附表第13、14项规定的时间、地点递交比选材料，参加评比的比选申请人负责人或授权委托代理人应签名报到，并携带有效证明材料前往，以证实其身份。如比选申请人负责人或授权代理人未能在前附表第13、14项所述的时间、地点递交材料并证明其身份，将视同其放弃本次评比机会。</w:t>
      </w:r>
    </w:p>
    <w:p w14:paraId="780BA69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19.2评比会议程序：</w:t>
      </w:r>
    </w:p>
    <w:p w14:paraId="000FB74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19.2.1由主持人宣布评比会议开始，评比委员会确认文件是否密封。</w:t>
      </w:r>
    </w:p>
    <w:p w14:paraId="67770E9B">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19.2.2评比委员会审查比选申请文件的资格审查部分，并进行评审。</w:t>
      </w:r>
    </w:p>
    <w:p w14:paraId="65D994F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19.2.3由主持人当众宣布审查结果，并宣读有效的比选申请人名称以及比选人认为需要的其他内容。</w:t>
      </w:r>
    </w:p>
    <w:p w14:paraId="086BEA2E">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19.2.4评比委员会审查已通过资格审查的比选申请文件的技术部分，并进行综合评审。</w:t>
      </w:r>
    </w:p>
    <w:p w14:paraId="4DB79C78">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19.2.5评比委员会审查已通过资格审查的比选申请文件的商务部分，并进行评审。</w:t>
      </w:r>
    </w:p>
    <w:p w14:paraId="286D400C">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19.2.6在评比过程中，评比委员、记录人等有关人员在比选记录表上签字确认，主持人宣读比选结果。</w:t>
      </w:r>
    </w:p>
    <w:p w14:paraId="5ECA89D4">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19.2.7评比结束</w:t>
      </w:r>
    </w:p>
    <w:p w14:paraId="5B1891EA">
      <w:pPr>
        <w:spacing w:line="480" w:lineRule="exact"/>
        <w:ind w:right="753"/>
        <w:jc w:val="left"/>
        <w:rPr>
          <w:rFonts w:ascii="仿宋_GB2312" w:hAnsi="仿宋_GB2312" w:eastAsia="仿宋_GB2312" w:cs="仿宋_GB2312"/>
          <w:b/>
          <w:sz w:val="28"/>
          <w:szCs w:val="28"/>
        </w:rPr>
      </w:pPr>
      <w:bookmarkStart w:id="154" w:name="_Toc286386859"/>
      <w:bookmarkStart w:id="155" w:name="_Toc114052375"/>
      <w:bookmarkStart w:id="156" w:name="_Toc310318597"/>
      <w:bookmarkStart w:id="157" w:name="_Toc114052439"/>
      <w:r>
        <w:rPr>
          <w:rFonts w:hint="eastAsia" w:ascii="仿宋_GB2312" w:hAnsi="仿宋_GB2312" w:eastAsia="仿宋_GB2312" w:cs="仿宋_GB2312"/>
          <w:b/>
          <w:sz w:val="28"/>
          <w:szCs w:val="28"/>
        </w:rPr>
        <w:t>20.评比</w:t>
      </w:r>
      <w:bookmarkEnd w:id="154"/>
      <w:bookmarkEnd w:id="155"/>
      <w:bookmarkEnd w:id="156"/>
      <w:bookmarkEnd w:id="157"/>
      <w:r>
        <w:rPr>
          <w:rFonts w:hint="eastAsia" w:ascii="仿宋_GB2312" w:hAnsi="仿宋_GB2312" w:eastAsia="仿宋_GB2312" w:cs="仿宋_GB2312"/>
          <w:b/>
          <w:sz w:val="28"/>
          <w:szCs w:val="28"/>
        </w:rPr>
        <w:t>工作相关要求</w:t>
      </w:r>
    </w:p>
    <w:p w14:paraId="276728DE">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20.1本次比选的工作由评比委员会负责。</w:t>
      </w:r>
    </w:p>
    <w:p w14:paraId="7DADA18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20.2出现下列特殊情况之一，本次比选无效，本公司将重新组织比选：</w:t>
      </w:r>
    </w:p>
    <w:p w14:paraId="33D86C66">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20.2.1在比选申请文件递交截止时间到达时提交比选申请文件的比选申请人少于3家的；</w:t>
      </w:r>
    </w:p>
    <w:p w14:paraId="4101224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20.2.2比选申请文件有效的比选申请人仅有2家，且评委认为没有竞争力的；</w:t>
      </w:r>
    </w:p>
    <w:p w14:paraId="512FC882">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20.2.3有效比选申请文件只有1家或0家的；</w:t>
      </w:r>
    </w:p>
    <w:p w14:paraId="378FF302">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20.3评比过程的保密性。评比委员会成员、有关工作人员及其他知情人不得透露对比选申请文件的评比和比较、中选候选人的推荐情况以及与比选有关的其他情况。</w:t>
      </w:r>
    </w:p>
    <w:p w14:paraId="66B31D62">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20.4比选申请人在评比过程中所进行的力图影响评比公正性的活动，可能导致其中选无效。</w:t>
      </w:r>
    </w:p>
    <w:p w14:paraId="71292DA8">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20.5比选申请文件的澄清或说明</w:t>
      </w:r>
    </w:p>
    <w:p w14:paraId="1EB06C6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20.5.1评比时评比委员会将以书面形式要求比选申请人就其比选申请文件中含义不明确、同类问题表述不一致或有明显文字错误等的内容予以澄清或说明。</w:t>
      </w:r>
    </w:p>
    <w:p w14:paraId="355E7578">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20.5.2比选申请人对要求澄清或说明的内容应在评比委员会规定的时间内以书面形式予以澄清，该澄清或说明函应有比选申请人负责人或其委托代理人的签名。</w:t>
      </w:r>
    </w:p>
    <w:p w14:paraId="6FB97DA3">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20.5.3比选申请人的澄清或说明函作为比选申请文件的组成部分。</w:t>
      </w:r>
    </w:p>
    <w:p w14:paraId="718AE4F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20.5.4比选申请人对比选申请文件的澄清或说明不得超出比选申请文件的范围或改变投标的实质内容。</w:t>
      </w:r>
    </w:p>
    <w:p w14:paraId="1CD3CEAD">
      <w:pPr>
        <w:spacing w:line="480" w:lineRule="exact"/>
        <w:ind w:right="753"/>
        <w:jc w:val="left"/>
        <w:rPr>
          <w:rFonts w:ascii="仿宋_GB2312" w:hAnsi="仿宋_GB2312" w:eastAsia="仿宋_GB2312" w:cs="仿宋_GB2312"/>
          <w:sz w:val="28"/>
          <w:szCs w:val="28"/>
        </w:rPr>
      </w:pPr>
      <w:bookmarkStart w:id="158" w:name="_Toc310318598"/>
      <w:r>
        <w:rPr>
          <w:rFonts w:hint="eastAsia" w:ascii="仿宋_GB2312" w:hAnsi="仿宋_GB2312" w:eastAsia="仿宋_GB2312" w:cs="仿宋_GB2312"/>
          <w:b/>
          <w:sz w:val="28"/>
          <w:szCs w:val="28"/>
        </w:rPr>
        <w:t>21.比选申请文件评比</w:t>
      </w:r>
      <w:bookmarkEnd w:id="158"/>
      <w:r>
        <w:rPr>
          <w:rFonts w:hint="eastAsia" w:ascii="仿宋_GB2312" w:hAnsi="仿宋_GB2312" w:eastAsia="仿宋_GB2312" w:cs="仿宋_GB2312"/>
          <w:b/>
          <w:sz w:val="28"/>
          <w:szCs w:val="28"/>
        </w:rPr>
        <w:t>相关要求</w:t>
      </w:r>
    </w:p>
    <w:p w14:paraId="1F04415B">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21.1比选申请人资格审查</w:t>
      </w:r>
    </w:p>
    <w:p w14:paraId="60F9B9D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只有通过资格审查才能进入下一步的评比，资格审查资料有任何一项不合格者其资格审查视为不通过。</w:t>
      </w:r>
    </w:p>
    <w:p w14:paraId="76546B90">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21.2比选申请人或其比选文件有下列情况之一者，其比选申请文件将视为无效或作废处理：</w:t>
      </w:r>
    </w:p>
    <w:p w14:paraId="1FCA21EF">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（1）比选申请文件未按照规定的要求装订、密封和标记的；</w:t>
      </w:r>
    </w:p>
    <w:p w14:paraId="4CB9D40F">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（2）本须知第11条规定的比选申请文件有关内容未按本须知第15条规定加盖比选申请人公章、未经比选申请人负责人或其委托代理人签字或盖章的；</w:t>
      </w:r>
    </w:p>
    <w:p w14:paraId="3E0E01BF">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（3）不按本须知第11条内容提供资料的；逾期递交比选申请文件的；</w:t>
      </w:r>
    </w:p>
    <w:p w14:paraId="0DCCA03D">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（4）比选申请文件内容不真实的；</w:t>
      </w:r>
    </w:p>
    <w:p w14:paraId="5A9D2D7B">
      <w:pPr>
        <w:spacing w:line="48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（5）比选申请文件实质上没有响应比选文件的要求的；（包括以下内容：比选项目所涉及的价格、技术需求、服务内容、合同条款等）</w:t>
      </w:r>
    </w:p>
    <w:p w14:paraId="25412CB9">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（6）比选申请人报价超过上控价的；</w:t>
      </w:r>
    </w:p>
    <w:p w14:paraId="724731F4">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（7）比选申请人不符合前附表第9条所述资格要求。</w:t>
      </w:r>
    </w:p>
    <w:p w14:paraId="76F01780">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21.2评比细则</w:t>
      </w:r>
    </w:p>
    <w:p w14:paraId="71EBDB8A">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详见第四章。</w:t>
      </w:r>
    </w:p>
    <w:p w14:paraId="771151AC">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21.3确定中选人</w:t>
      </w:r>
    </w:p>
    <w:p w14:paraId="7ECACB72">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6399917D">
      <w:pPr>
        <w:spacing w:line="480" w:lineRule="exact"/>
        <w:ind w:right="753"/>
        <w:jc w:val="left"/>
        <w:rPr>
          <w:rFonts w:ascii="仿宋_GB2312" w:hAnsi="仿宋_GB2312" w:eastAsia="仿宋_GB2312" w:cs="仿宋_GB2312"/>
          <w:b/>
          <w:sz w:val="28"/>
          <w:szCs w:val="28"/>
        </w:rPr>
      </w:pPr>
      <w:bookmarkStart w:id="159" w:name="_Toc286386861"/>
      <w:bookmarkStart w:id="160" w:name="_Toc114052441"/>
      <w:bookmarkStart w:id="161" w:name="_Toc310318599"/>
      <w:bookmarkStart w:id="162" w:name="_Toc114052377"/>
      <w:r>
        <w:rPr>
          <w:rFonts w:hint="eastAsia" w:ascii="仿宋_GB2312" w:hAnsi="仿宋_GB2312" w:eastAsia="仿宋_GB2312" w:cs="仿宋_GB2312"/>
          <w:b/>
          <w:sz w:val="28"/>
          <w:szCs w:val="28"/>
        </w:rPr>
        <w:t>22.评比结果公示</w:t>
      </w:r>
      <w:bookmarkEnd w:id="159"/>
      <w:bookmarkEnd w:id="160"/>
      <w:bookmarkEnd w:id="161"/>
      <w:bookmarkEnd w:id="162"/>
    </w:p>
    <w:p w14:paraId="22E39D8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22.1在评比结束后，比选人将在南宁轨道数智科技有限公司（https://www.nnsmk.com/）的新闻中心中最新公告处的公示评比结果。</w:t>
      </w:r>
    </w:p>
    <w:p w14:paraId="23F45E7E">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22.2比选申请人如对评比结果有异议，在评比结果公示三天内，可以书面形式向比选人提出质疑。比选人应当在收到比选申请人的书面质疑后五个工作日内做出答复，但答复的内容不得涉及商业秘密。</w:t>
      </w:r>
    </w:p>
    <w:p w14:paraId="1922219B">
      <w:pPr>
        <w:spacing w:line="480" w:lineRule="exact"/>
        <w:rPr>
          <w:rFonts w:eastAsia="仿宋"/>
          <w:b/>
          <w:bCs/>
          <w:sz w:val="28"/>
          <w:szCs w:val="28"/>
        </w:rPr>
      </w:pPr>
      <w:bookmarkStart w:id="163" w:name="_Toc461525303"/>
      <w:bookmarkStart w:id="164" w:name="_Toc24212"/>
      <w:bookmarkStart w:id="165" w:name="_Toc16935"/>
      <w:bookmarkStart w:id="166" w:name="_Toc20403"/>
      <w:bookmarkStart w:id="167" w:name="_Toc8363"/>
      <w:bookmarkStart w:id="168" w:name="_Toc30023"/>
      <w:bookmarkStart w:id="169" w:name="_Toc17996"/>
      <w:bookmarkStart w:id="170" w:name="_Toc24316"/>
      <w:bookmarkStart w:id="171" w:name="_Toc529"/>
      <w:bookmarkStart w:id="172" w:name="_Toc12010"/>
      <w:bookmarkStart w:id="173" w:name="_Toc19549"/>
      <w:bookmarkStart w:id="174" w:name="_Toc6141"/>
      <w:bookmarkStart w:id="175" w:name="_Toc16746"/>
    </w:p>
    <w:p w14:paraId="2F4AD578">
      <w:pPr>
        <w:spacing w:line="480" w:lineRule="exact"/>
        <w:jc w:val="center"/>
        <w:outlineLvl w:val="1"/>
        <w:rPr>
          <w:rFonts w:eastAsia="仿宋"/>
          <w:b/>
          <w:sz w:val="28"/>
          <w:szCs w:val="28"/>
        </w:rPr>
      </w:pPr>
      <w:bookmarkStart w:id="176" w:name="_Toc7395"/>
      <w:r>
        <w:rPr>
          <w:rFonts w:hint="eastAsia" w:ascii="楷体" w:hAnsi="楷体" w:eastAsia="楷体" w:cs="楷体"/>
          <w:b/>
          <w:bCs/>
          <w:sz w:val="32"/>
          <w:szCs w:val="32"/>
        </w:rPr>
        <w:t>七、授予合同</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AFC6B3D">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23.中选通知书</w:t>
      </w:r>
    </w:p>
    <w:p w14:paraId="66B7586F">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23.1比选人将向中选人发出中选通知书。</w:t>
      </w:r>
    </w:p>
    <w:p w14:paraId="707F3FD5">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23.2比选人无义务向落选的比选申请人解释落选原因和退还比选申请文件。</w:t>
      </w:r>
    </w:p>
    <w:p w14:paraId="6D8399B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23.3中选通知书作为合同的组成部分。</w:t>
      </w:r>
    </w:p>
    <w:p w14:paraId="69FC6A61">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24.合同的签署</w:t>
      </w:r>
    </w:p>
    <w:p w14:paraId="124BC870">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24.1中选人应按中选通知书中的相关要求，由中选人负责人或授权代表前往比选人处与比选人进行签订合同。</w:t>
      </w:r>
    </w:p>
    <w:p w14:paraId="77399BCB">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24.2中选人如放弃中选资格，则比选人有权将其列入不良行为记录名单、三年内禁止其参加比选人发起的任何采购活动。</w:t>
      </w:r>
    </w:p>
    <w:p w14:paraId="453880EF">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24.3中选人被废除中选资格后，比选人有权按比选结果排名顺延中选人。</w:t>
      </w:r>
    </w:p>
    <w:p w14:paraId="555BF2B6">
      <w:pPr>
        <w:spacing w:line="480" w:lineRule="exact"/>
        <w:jc w:val="center"/>
        <w:outlineLvl w:val="0"/>
        <w:rPr>
          <w:sz w:val="20"/>
          <w:szCs w:val="22"/>
        </w:rPr>
      </w:pPr>
      <w:r>
        <w:rPr>
          <w:rFonts w:eastAsia="仿宋"/>
          <w:b/>
          <w:bCs/>
          <w:sz w:val="32"/>
          <w:szCs w:val="32"/>
        </w:rPr>
        <w:br w:type="page"/>
      </w:r>
      <w:bookmarkStart w:id="177" w:name="_Toc21670"/>
      <w:bookmarkStart w:id="178" w:name="_Toc461525304"/>
      <w:bookmarkStart w:id="179" w:name="_Toc2960"/>
      <w:bookmarkStart w:id="180" w:name="_Toc4769"/>
      <w:bookmarkStart w:id="181" w:name="_Toc2762"/>
      <w:bookmarkStart w:id="182" w:name="_Toc1354"/>
      <w:bookmarkStart w:id="183" w:name="_Toc5964"/>
      <w:bookmarkStart w:id="184" w:name="_Toc16062"/>
      <w:bookmarkStart w:id="185" w:name="_Toc12854"/>
      <w:bookmarkStart w:id="186" w:name="_Toc31070"/>
      <w:bookmarkStart w:id="187" w:name="_Toc21358"/>
      <w:r>
        <w:rPr>
          <w:rFonts w:hint="eastAsia" w:ascii="黑体" w:hAnsi="黑体" w:eastAsia="黑体" w:cs="黑体"/>
          <w:b/>
          <w:bCs/>
          <w:sz w:val="32"/>
          <w:szCs w:val="32"/>
        </w:rPr>
        <w:t>第二章 合同条款</w:t>
      </w:r>
      <w:bookmarkEnd w:id="177"/>
      <w:bookmarkEnd w:id="178"/>
      <w:bookmarkEnd w:id="179"/>
      <w:bookmarkEnd w:id="180"/>
      <w:bookmarkEnd w:id="181"/>
      <w:bookmarkEnd w:id="182"/>
      <w:bookmarkEnd w:id="183"/>
      <w:bookmarkEnd w:id="184"/>
      <w:bookmarkEnd w:id="185"/>
      <w:bookmarkEnd w:id="186"/>
      <w:bookmarkEnd w:id="187"/>
    </w:p>
    <w:p w14:paraId="32584B4F">
      <w:pPr>
        <w:spacing w:line="480" w:lineRule="exact"/>
        <w:jc w:val="center"/>
        <w:outlineLvl w:val="9"/>
        <w:rPr>
          <w:sz w:val="22"/>
          <w:szCs w:val="22"/>
        </w:rPr>
      </w:pPr>
      <w:r>
        <w:rPr>
          <w:rFonts w:hint="eastAsia"/>
          <w:sz w:val="22"/>
          <w:szCs w:val="22"/>
        </w:rPr>
        <w:t xml:space="preserve">                             </w:t>
      </w:r>
      <w:bookmarkStart w:id="188" w:name="_Toc6779"/>
      <w:bookmarkStart w:id="189" w:name="_Toc24668"/>
      <w:bookmarkStart w:id="190" w:name="_Toc26692"/>
      <w:bookmarkStart w:id="191" w:name="_Toc24094"/>
      <w:bookmarkStart w:id="192" w:name="_Toc23661"/>
      <w:bookmarkStart w:id="193" w:name="_Toc29471"/>
      <w:bookmarkStart w:id="194" w:name="_Toc16386"/>
      <w:bookmarkStart w:id="195" w:name="_Toc15172"/>
      <w:bookmarkStart w:id="196" w:name="_Toc1897"/>
      <w:bookmarkStart w:id="197" w:name="_Toc20710"/>
      <w:bookmarkStart w:id="198" w:name="_Toc27378"/>
      <w:bookmarkStart w:id="199" w:name="_Toc32280"/>
      <w:bookmarkStart w:id="200" w:name="_Toc461525321"/>
    </w:p>
    <w:p w14:paraId="65AFADA3">
      <w:pPr>
        <w:snapToGrid w:val="0"/>
        <w:spacing w:line="360" w:lineRule="auto"/>
        <w:ind w:right="480" w:firstLine="480" w:firstLineChars="200"/>
        <w:rPr>
          <w:rFonts w:ascii="宋体" w:hAnsi="宋体" w:cs="宋体"/>
          <w:sz w:val="24"/>
        </w:rPr>
      </w:pPr>
      <w:r>
        <w:rPr>
          <w:rFonts w:hint="eastAsia" w:ascii="宋体" w:hAnsi="宋体" w:cs="宋体"/>
          <w:sz w:val="24"/>
        </w:rPr>
        <w:t>根据国家法律、法规规定，甲乙双方在平等、自愿、公平、诚实信用的基础上，经友好协商一致，就乙方为甲方提供南宁轨道数智科技有限公司档案信息管理系统开发之事宜，达成如下合同条款：</w:t>
      </w:r>
    </w:p>
    <w:p w14:paraId="004A64BC">
      <w:pPr>
        <w:adjustRightInd w:val="0"/>
        <w:snapToGrid w:val="0"/>
        <w:spacing w:before="156" w:beforeLines="50" w:line="480" w:lineRule="auto"/>
        <w:ind w:firstLine="482" w:firstLineChars="200"/>
        <w:outlineLvl w:val="1"/>
        <w:rPr>
          <w:rFonts w:ascii="宋体" w:hAnsi="宋体" w:cs="宋体"/>
          <w:b/>
          <w:bCs/>
          <w:sz w:val="24"/>
        </w:rPr>
      </w:pPr>
      <w:bookmarkStart w:id="201" w:name="_Toc13153"/>
      <w:bookmarkStart w:id="202" w:name="_Toc28806"/>
      <w:r>
        <w:rPr>
          <w:rFonts w:hint="eastAsia" w:ascii="宋体" w:hAnsi="宋体" w:cs="宋体"/>
          <w:b/>
          <w:bCs/>
          <w:sz w:val="24"/>
        </w:rPr>
        <w:t>第一条</w:t>
      </w:r>
      <w:r>
        <w:rPr>
          <w:rFonts w:ascii="宋体" w:hAnsi="宋体" w:cs="宋体"/>
          <w:b/>
          <w:bCs/>
          <w:sz w:val="24"/>
        </w:rPr>
        <w:t xml:space="preserve"> </w:t>
      </w:r>
      <w:r>
        <w:rPr>
          <w:rFonts w:hint="eastAsia" w:ascii="宋体" w:hAnsi="宋体" w:cs="宋体"/>
          <w:b/>
          <w:bCs/>
          <w:sz w:val="24"/>
        </w:rPr>
        <w:t>项目概述</w:t>
      </w:r>
      <w:bookmarkEnd w:id="201"/>
      <w:bookmarkEnd w:id="202"/>
    </w:p>
    <w:p w14:paraId="193031FF">
      <w:pPr>
        <w:snapToGrid w:val="0"/>
        <w:spacing w:line="360" w:lineRule="auto"/>
        <w:ind w:right="480" w:firstLine="480" w:firstLineChars="200"/>
        <w:outlineLvl w:val="1"/>
        <w:rPr>
          <w:rFonts w:ascii="宋体" w:hAnsi="宋体" w:cs="宋体"/>
          <w:sz w:val="24"/>
        </w:rPr>
      </w:pPr>
      <w:bookmarkStart w:id="203" w:name="_Toc16387"/>
      <w:bookmarkStart w:id="204" w:name="_Toc14771"/>
      <w:bookmarkStart w:id="205" w:name="_Toc8674"/>
      <w:bookmarkStart w:id="206" w:name="_Toc2130"/>
      <w:r>
        <w:rPr>
          <w:rFonts w:hint="eastAsia" w:ascii="宋体" w:hAnsi="宋体" w:cs="宋体"/>
          <w:sz w:val="24"/>
        </w:rPr>
        <w:t>（一）建设目标</w:t>
      </w:r>
      <w:bookmarkEnd w:id="203"/>
      <w:bookmarkEnd w:id="204"/>
      <w:bookmarkEnd w:id="205"/>
      <w:bookmarkEnd w:id="206"/>
    </w:p>
    <w:p w14:paraId="0C5789AD">
      <w:pPr>
        <w:snapToGrid w:val="0"/>
        <w:spacing w:line="360" w:lineRule="auto"/>
        <w:ind w:right="480" w:firstLine="480" w:firstLineChars="200"/>
        <w:rPr>
          <w:rFonts w:ascii="宋体" w:hAnsi="宋体" w:cs="宋体"/>
          <w:sz w:val="24"/>
        </w:rPr>
      </w:pPr>
      <w:r>
        <w:rPr>
          <w:rFonts w:hint="eastAsia" w:ascii="宋体" w:hAnsi="宋体" w:cs="宋体"/>
          <w:sz w:val="24"/>
        </w:rPr>
        <w:t>建立南宁轨道数智科技有限公司</w:t>
      </w:r>
      <w:r>
        <w:rPr>
          <w:rFonts w:hint="eastAsia" w:ascii="宋体" w:hAnsi="宋体" w:cs="宋体"/>
          <w:sz w:val="24"/>
          <w:lang w:val="en-US" w:eastAsia="zh-CN"/>
        </w:rPr>
        <w:t>数字</w:t>
      </w:r>
      <w:r>
        <w:rPr>
          <w:rFonts w:hint="eastAsia" w:ascii="宋体" w:hAnsi="宋体" w:cs="宋体"/>
          <w:sz w:val="24"/>
        </w:rPr>
        <w:t>档案信息管理系统（数字档案室），实现数字档案信息资源智能“收集、管理、存储、利用”，推进</w:t>
      </w:r>
      <w:r>
        <w:rPr>
          <w:rFonts w:hint="eastAsia" w:ascii="宋体" w:hAnsi="宋体" w:cs="宋体"/>
          <w:sz w:val="24"/>
          <w:lang w:val="en-US" w:eastAsia="zh-CN"/>
        </w:rPr>
        <w:t>数字</w:t>
      </w:r>
      <w:r>
        <w:rPr>
          <w:rFonts w:hint="eastAsia" w:ascii="宋体" w:hAnsi="宋体" w:cs="宋体"/>
          <w:sz w:val="24"/>
        </w:rPr>
        <w:t>档案管理系统和公司其它业务信息系统的数据有效对接，实现信息资源有效整合。改变档案管理人员传统档案接收和利用等工作模式，为公司员工提供方便快捷的档案资料查询和借阅方式，提高公司档案资源的利用率，促进知识创新和利用。</w:t>
      </w:r>
    </w:p>
    <w:p w14:paraId="5355A292">
      <w:pPr>
        <w:snapToGrid w:val="0"/>
        <w:spacing w:line="360" w:lineRule="auto"/>
        <w:ind w:right="480" w:firstLine="480" w:firstLineChars="200"/>
        <w:outlineLvl w:val="1"/>
        <w:rPr>
          <w:rFonts w:ascii="宋体" w:hAnsi="宋体" w:cs="宋体"/>
          <w:sz w:val="24"/>
        </w:rPr>
      </w:pPr>
      <w:bookmarkStart w:id="207" w:name="_Toc21842"/>
      <w:bookmarkStart w:id="208" w:name="_Toc1260"/>
      <w:bookmarkStart w:id="209" w:name="_Toc380"/>
      <w:bookmarkStart w:id="210" w:name="_Toc27888"/>
      <w:r>
        <w:rPr>
          <w:rFonts w:hint="eastAsia" w:ascii="宋体" w:hAnsi="宋体" w:cs="宋体"/>
          <w:sz w:val="24"/>
        </w:rPr>
        <w:t>（二）建设内容</w:t>
      </w:r>
      <w:bookmarkEnd w:id="207"/>
      <w:bookmarkEnd w:id="208"/>
      <w:bookmarkEnd w:id="209"/>
      <w:bookmarkEnd w:id="210"/>
    </w:p>
    <w:p w14:paraId="436341A2">
      <w:pPr>
        <w:snapToGrid w:val="0"/>
        <w:spacing w:line="360" w:lineRule="auto"/>
        <w:ind w:right="480" w:firstLine="480" w:firstLineChars="200"/>
        <w:rPr>
          <w:rFonts w:ascii="宋体" w:hAnsi="宋体" w:cs="宋体"/>
          <w:sz w:val="24"/>
        </w:rPr>
      </w:pPr>
      <w:r>
        <w:rPr>
          <w:rFonts w:hint="eastAsia" w:ascii="宋体" w:hAnsi="宋体" w:cs="宋体"/>
          <w:sz w:val="24"/>
        </w:rPr>
        <w:t>建设符合</w:t>
      </w:r>
      <w:r>
        <w:rPr>
          <w:rFonts w:hint="eastAsia" w:ascii="宋体" w:hAnsi="宋体" w:cs="宋体"/>
          <w:sz w:val="24"/>
          <w:lang w:val="en-US" w:eastAsia="zh-CN"/>
        </w:rPr>
        <w:t>甲方</w:t>
      </w:r>
      <w:r>
        <w:rPr>
          <w:rFonts w:hint="eastAsia" w:ascii="宋体" w:hAnsi="宋体" w:cs="宋体"/>
          <w:sz w:val="24"/>
        </w:rPr>
        <w:t>集团公司管控需求和业务需求的</w:t>
      </w:r>
      <w:r>
        <w:rPr>
          <w:rFonts w:hint="eastAsia" w:ascii="宋体" w:hAnsi="宋体" w:cs="宋体"/>
          <w:sz w:val="24"/>
          <w:lang w:val="en-US" w:eastAsia="zh-CN"/>
        </w:rPr>
        <w:t>数字</w:t>
      </w:r>
      <w:r>
        <w:rPr>
          <w:rFonts w:hint="eastAsia" w:ascii="宋体" w:hAnsi="宋体" w:cs="宋体"/>
          <w:sz w:val="24"/>
        </w:rPr>
        <w:t>档案信息管理系统，通过信息化手段对固定档案信息、无形档案信息进行“全流程、全口径、全周期”的动态监管，系统主要包含以下内容：</w:t>
      </w:r>
    </w:p>
    <w:p w14:paraId="0EFA09BF">
      <w:pPr>
        <w:snapToGrid w:val="0"/>
        <w:spacing w:line="360" w:lineRule="auto"/>
        <w:ind w:right="480" w:firstLine="480" w:firstLineChars="200"/>
        <w:rPr>
          <w:rFonts w:ascii="宋体" w:hAnsi="宋体" w:cs="宋体"/>
          <w:sz w:val="24"/>
        </w:rPr>
      </w:pPr>
      <w:r>
        <w:rPr>
          <w:rFonts w:hint="eastAsia" w:ascii="宋体" w:hAnsi="宋体" w:cs="宋体"/>
          <w:sz w:val="24"/>
        </w:rPr>
        <w:t>1.系统功能：数字档案管理系统建设。</w:t>
      </w:r>
    </w:p>
    <w:p w14:paraId="262028F3">
      <w:pPr>
        <w:snapToGrid w:val="0"/>
        <w:spacing w:line="360" w:lineRule="auto"/>
        <w:ind w:right="480" w:firstLine="480" w:firstLineChars="200"/>
        <w:rPr>
          <w:rFonts w:ascii="宋体" w:hAnsi="宋体" w:cs="宋体"/>
          <w:sz w:val="24"/>
        </w:rPr>
      </w:pPr>
      <w:r>
        <w:rPr>
          <w:rFonts w:hint="eastAsia" w:ascii="宋体" w:hAnsi="宋体" w:cs="宋体"/>
          <w:sz w:val="24"/>
        </w:rPr>
        <w:t>2.系统集成：包含与集团OA系统、子公司档案信息管理系统、人力资源系统、合同管理系统接口集成对接等。</w:t>
      </w:r>
    </w:p>
    <w:p w14:paraId="479D7221">
      <w:pPr>
        <w:snapToGrid w:val="0"/>
        <w:spacing w:line="360" w:lineRule="auto"/>
        <w:ind w:right="480" w:firstLine="480" w:firstLineChars="200"/>
        <w:rPr>
          <w:rFonts w:ascii="宋体" w:hAnsi="宋体" w:cs="宋体"/>
          <w:sz w:val="24"/>
        </w:rPr>
      </w:pPr>
      <w:r>
        <w:rPr>
          <w:rFonts w:hint="eastAsia" w:ascii="宋体" w:hAnsi="宋体" w:cs="宋体"/>
          <w:sz w:val="24"/>
        </w:rPr>
        <w:t>3.系统要求：满足南宁轨道数智科技有限公司档案信息管理系统用户需求书的各项要求，符合国资委对国有企业档案信息化建设及档案工作数字化转型评分要求，符合我国自主创新的信创标准规范。</w:t>
      </w:r>
    </w:p>
    <w:p w14:paraId="66D482CC">
      <w:pPr>
        <w:adjustRightInd w:val="0"/>
        <w:snapToGrid w:val="0"/>
        <w:spacing w:before="156" w:beforeLines="50" w:line="480" w:lineRule="auto"/>
        <w:ind w:firstLine="482" w:firstLineChars="200"/>
        <w:outlineLvl w:val="1"/>
        <w:rPr>
          <w:rFonts w:ascii="宋体" w:hAnsi="宋体" w:cs="宋体"/>
          <w:b/>
          <w:bCs/>
          <w:sz w:val="24"/>
        </w:rPr>
      </w:pPr>
      <w:bookmarkStart w:id="211" w:name="_Toc3701"/>
      <w:bookmarkStart w:id="212" w:name="_Toc12912"/>
      <w:r>
        <w:rPr>
          <w:rFonts w:hint="eastAsia" w:ascii="宋体" w:hAnsi="宋体" w:cs="宋体"/>
          <w:b/>
          <w:bCs/>
          <w:sz w:val="24"/>
        </w:rPr>
        <w:t>第二条 合同内容</w:t>
      </w:r>
      <w:bookmarkEnd w:id="211"/>
      <w:bookmarkEnd w:id="212"/>
    </w:p>
    <w:p w14:paraId="6F3F048F">
      <w:pPr>
        <w:snapToGrid w:val="0"/>
        <w:spacing w:line="360" w:lineRule="auto"/>
        <w:ind w:right="480" w:firstLine="480" w:firstLineChars="200"/>
        <w:outlineLvl w:val="1"/>
        <w:rPr>
          <w:rFonts w:ascii="宋体" w:hAnsi="宋体" w:cs="宋体"/>
          <w:sz w:val="24"/>
        </w:rPr>
      </w:pPr>
      <w:bookmarkStart w:id="213" w:name="_Toc2771"/>
      <w:bookmarkStart w:id="214" w:name="_Toc9977"/>
      <w:bookmarkStart w:id="215" w:name="_Toc2092"/>
      <w:bookmarkStart w:id="216" w:name="_Toc24317"/>
      <w:r>
        <w:rPr>
          <w:rFonts w:hint="eastAsia" w:ascii="宋体" w:hAnsi="宋体" w:cs="宋体"/>
          <w:sz w:val="24"/>
        </w:rPr>
        <w:t>（一）乙方应根据甲方需求提供以下服务：</w:t>
      </w:r>
      <w:bookmarkEnd w:id="213"/>
      <w:bookmarkEnd w:id="214"/>
      <w:bookmarkEnd w:id="215"/>
      <w:bookmarkEnd w:id="216"/>
    </w:p>
    <w:p w14:paraId="4947EBBE">
      <w:pPr>
        <w:snapToGrid w:val="0"/>
        <w:spacing w:line="360" w:lineRule="auto"/>
        <w:ind w:right="480" w:firstLine="480" w:firstLineChars="200"/>
        <w:rPr>
          <w:rFonts w:ascii="宋体" w:hAnsi="宋体" w:cs="宋体"/>
          <w:sz w:val="24"/>
        </w:rPr>
      </w:pPr>
      <w:r>
        <w:rPr>
          <w:rFonts w:ascii="宋体" w:hAnsi="宋体" w:cs="宋体"/>
          <w:sz w:val="24"/>
        </w:rPr>
        <w:t>1.系统需求分析</w:t>
      </w:r>
      <w:r>
        <w:rPr>
          <w:rFonts w:hint="eastAsia" w:ascii="宋体" w:hAnsi="宋体" w:cs="宋体"/>
          <w:sz w:val="24"/>
        </w:rPr>
        <w:t>：根据档案信息管理系统用户需求书完成需求分析方案</w:t>
      </w:r>
    </w:p>
    <w:p w14:paraId="31042914">
      <w:pPr>
        <w:snapToGrid w:val="0"/>
        <w:spacing w:line="360" w:lineRule="auto"/>
        <w:ind w:right="480" w:firstLine="480" w:firstLineChars="200"/>
        <w:rPr>
          <w:rFonts w:ascii="宋体" w:hAnsi="宋体" w:cs="宋体"/>
          <w:sz w:val="24"/>
        </w:rPr>
      </w:pPr>
      <w:r>
        <w:rPr>
          <w:rFonts w:ascii="宋体" w:hAnsi="宋体" w:cs="宋体"/>
          <w:sz w:val="24"/>
        </w:rPr>
        <w:t>2.系统设计</w:t>
      </w:r>
      <w:r>
        <w:rPr>
          <w:rFonts w:hint="eastAsia" w:ascii="宋体" w:hAnsi="宋体" w:cs="宋体"/>
          <w:sz w:val="24"/>
        </w:rPr>
        <w:t>：完成满足需求书的系统设计方案</w:t>
      </w:r>
    </w:p>
    <w:p w14:paraId="3B262322">
      <w:pPr>
        <w:snapToGrid w:val="0"/>
        <w:spacing w:line="360" w:lineRule="auto"/>
        <w:ind w:right="480" w:firstLine="480" w:firstLineChars="200"/>
        <w:rPr>
          <w:rFonts w:ascii="宋体" w:hAnsi="宋体" w:cs="宋体"/>
          <w:sz w:val="24"/>
        </w:rPr>
      </w:pPr>
      <w:r>
        <w:rPr>
          <w:rFonts w:ascii="宋体" w:hAnsi="宋体" w:cs="宋体"/>
          <w:sz w:val="24"/>
        </w:rPr>
        <w:t>3.系统开发</w:t>
      </w:r>
      <w:r>
        <w:rPr>
          <w:rFonts w:hint="eastAsia" w:ascii="宋体" w:hAnsi="宋体" w:cs="宋体"/>
          <w:sz w:val="24"/>
        </w:rPr>
        <w:t>：依据设计方案进行系统开发</w:t>
      </w:r>
    </w:p>
    <w:p w14:paraId="3811FD81">
      <w:pPr>
        <w:snapToGrid w:val="0"/>
        <w:spacing w:line="360" w:lineRule="auto"/>
        <w:ind w:right="480" w:firstLine="480" w:firstLineChars="200"/>
        <w:rPr>
          <w:rFonts w:ascii="宋体" w:hAnsi="宋体" w:cs="宋体"/>
          <w:sz w:val="24"/>
        </w:rPr>
      </w:pPr>
      <w:r>
        <w:rPr>
          <w:rFonts w:ascii="宋体" w:hAnsi="宋体" w:cs="宋体"/>
          <w:sz w:val="24"/>
        </w:rPr>
        <w:t>4.系统</w:t>
      </w:r>
      <w:r>
        <w:rPr>
          <w:rFonts w:hint="eastAsia" w:ascii="宋体" w:hAnsi="宋体" w:cs="宋体"/>
          <w:sz w:val="24"/>
        </w:rPr>
        <w:t>部署：确保部署后的系统能够稳定运行，满足甲方需求书的功能、性能和安全性要求</w:t>
      </w:r>
    </w:p>
    <w:p w14:paraId="13B5F69D">
      <w:pPr>
        <w:snapToGrid w:val="0"/>
        <w:spacing w:line="360" w:lineRule="auto"/>
        <w:ind w:right="480" w:firstLine="480" w:firstLineChars="200"/>
        <w:rPr>
          <w:rFonts w:ascii="宋体" w:hAnsi="宋体" w:cs="宋体"/>
          <w:sz w:val="24"/>
        </w:rPr>
      </w:pPr>
      <w:r>
        <w:rPr>
          <w:rFonts w:ascii="宋体" w:hAnsi="宋体" w:cs="宋体"/>
          <w:sz w:val="24"/>
        </w:rPr>
        <w:t>5.系统测试</w:t>
      </w:r>
      <w:r>
        <w:rPr>
          <w:rFonts w:hint="eastAsia" w:ascii="宋体" w:hAnsi="宋体" w:cs="宋体"/>
          <w:sz w:val="24"/>
        </w:rPr>
        <w:t>：测试系统功能与性能满足合同与需求书的要求</w:t>
      </w:r>
    </w:p>
    <w:p w14:paraId="02153F62">
      <w:pPr>
        <w:snapToGrid w:val="0"/>
        <w:spacing w:line="360" w:lineRule="auto"/>
        <w:ind w:right="480" w:firstLine="480" w:firstLineChars="200"/>
        <w:rPr>
          <w:rFonts w:ascii="宋体" w:hAnsi="宋体" w:cs="宋体"/>
          <w:sz w:val="24"/>
        </w:rPr>
      </w:pPr>
      <w:r>
        <w:rPr>
          <w:rFonts w:ascii="宋体" w:hAnsi="宋体" w:cs="宋体"/>
          <w:sz w:val="24"/>
        </w:rPr>
        <w:t>6.用户培训</w:t>
      </w:r>
      <w:r>
        <w:rPr>
          <w:rFonts w:hint="eastAsia" w:ascii="宋体" w:hAnsi="宋体" w:cs="宋体"/>
          <w:sz w:val="24"/>
        </w:rPr>
        <w:t>：完成给轨道集团和各公司用户的培训</w:t>
      </w:r>
    </w:p>
    <w:p w14:paraId="091349A9">
      <w:pPr>
        <w:snapToGrid w:val="0"/>
        <w:spacing w:line="360" w:lineRule="auto"/>
        <w:ind w:right="480" w:firstLine="480" w:firstLineChars="200"/>
        <w:rPr>
          <w:rFonts w:ascii="宋体" w:hAnsi="宋体" w:cs="宋体"/>
          <w:sz w:val="24"/>
        </w:rPr>
      </w:pPr>
      <w:r>
        <w:rPr>
          <w:rFonts w:hint="eastAsia" w:ascii="宋体" w:hAnsi="宋体" w:cs="宋体"/>
          <w:sz w:val="24"/>
        </w:rPr>
        <w:t>7.</w:t>
      </w:r>
      <w:r>
        <w:rPr>
          <w:rFonts w:ascii="宋体" w:hAnsi="宋体" w:cs="宋体"/>
          <w:sz w:val="24"/>
        </w:rPr>
        <w:t>系统维护与支持</w:t>
      </w:r>
      <w:r>
        <w:rPr>
          <w:rFonts w:hint="eastAsia" w:ascii="宋体" w:hAnsi="宋体" w:cs="宋体"/>
          <w:sz w:val="24"/>
        </w:rPr>
        <w:t>：</w:t>
      </w:r>
      <w:r>
        <w:rPr>
          <w:rFonts w:ascii="宋体" w:hAnsi="宋体" w:cs="宋体"/>
          <w:sz w:val="24"/>
        </w:rPr>
        <w:t>提供运维保障服务</w:t>
      </w:r>
    </w:p>
    <w:p w14:paraId="07F0E8BA">
      <w:pPr>
        <w:adjustRightInd w:val="0"/>
        <w:snapToGrid w:val="0"/>
        <w:spacing w:before="156" w:beforeLines="50" w:line="480" w:lineRule="auto"/>
        <w:ind w:firstLine="480" w:firstLineChars="200"/>
        <w:outlineLvl w:val="1"/>
        <w:rPr>
          <w:rFonts w:hint="eastAsia" w:ascii="宋体" w:hAnsi="宋体" w:eastAsia="宋体" w:cs="宋体"/>
          <w:sz w:val="24"/>
          <w:lang w:eastAsia="zh-CN"/>
        </w:rPr>
      </w:pPr>
      <w:r>
        <w:rPr>
          <w:rFonts w:hint="eastAsia" w:ascii="宋体" w:hAnsi="宋体" w:cs="宋体"/>
          <w:sz w:val="24"/>
          <w:lang w:val="en-US" w:eastAsia="zh-CN"/>
        </w:rPr>
        <w:t>8</w:t>
      </w:r>
      <w:r>
        <w:rPr>
          <w:rFonts w:hint="eastAsia" w:ascii="宋体" w:hAnsi="宋体" w:cs="宋体"/>
          <w:sz w:val="24"/>
        </w:rPr>
        <w:t>.交付物可以满足自主二次开发的需求，比如提供源码或者封装好的SDK等</w:t>
      </w:r>
      <w:r>
        <w:rPr>
          <w:rFonts w:hint="eastAsia" w:ascii="宋体" w:hAnsi="宋体" w:cs="宋体"/>
          <w:sz w:val="24"/>
          <w:lang w:eastAsia="zh-CN"/>
        </w:rPr>
        <w:t>。</w:t>
      </w:r>
    </w:p>
    <w:p w14:paraId="5A33E98A">
      <w:pPr>
        <w:pStyle w:val="2"/>
      </w:pPr>
    </w:p>
    <w:p w14:paraId="021D6A08">
      <w:pPr>
        <w:adjustRightInd w:val="0"/>
        <w:snapToGrid w:val="0"/>
        <w:spacing w:before="156" w:beforeLines="50" w:line="480" w:lineRule="auto"/>
        <w:ind w:firstLine="482" w:firstLineChars="200"/>
        <w:outlineLvl w:val="1"/>
        <w:rPr>
          <w:rFonts w:ascii="宋体" w:hAnsi="宋体" w:cs="宋体"/>
          <w:b/>
          <w:bCs/>
          <w:sz w:val="24"/>
        </w:rPr>
      </w:pPr>
      <w:bookmarkStart w:id="217" w:name="_Toc29543"/>
      <w:bookmarkStart w:id="218" w:name="_Toc1070"/>
      <w:r>
        <w:rPr>
          <w:rFonts w:hint="eastAsia" w:ascii="宋体" w:hAnsi="宋体" w:cs="宋体"/>
          <w:b/>
          <w:bCs/>
          <w:sz w:val="24"/>
        </w:rPr>
        <w:t>第三条 合同金额</w:t>
      </w:r>
      <w:bookmarkEnd w:id="217"/>
      <w:bookmarkEnd w:id="218"/>
    </w:p>
    <w:p w14:paraId="5F943A7C">
      <w:pPr>
        <w:snapToGrid w:val="0"/>
        <w:spacing w:line="360" w:lineRule="auto"/>
        <w:ind w:right="480" w:firstLine="480" w:firstLineChars="200"/>
        <w:outlineLvl w:val="1"/>
        <w:rPr>
          <w:rFonts w:ascii="宋体" w:hAnsi="宋体" w:cs="宋体"/>
          <w:sz w:val="24"/>
        </w:rPr>
      </w:pPr>
      <w:bookmarkStart w:id="219" w:name="_Toc12396"/>
      <w:bookmarkStart w:id="220" w:name="_Toc24995"/>
      <w:bookmarkStart w:id="221" w:name="_Toc6928"/>
      <w:bookmarkStart w:id="222" w:name="_Toc30124"/>
      <w:r>
        <w:rPr>
          <w:rFonts w:hint="eastAsia" w:ascii="宋体" w:hAnsi="宋体" w:cs="宋体"/>
          <w:sz w:val="24"/>
        </w:rPr>
        <w:t>（一）合同金额</w:t>
      </w:r>
      <w:bookmarkEnd w:id="219"/>
      <w:bookmarkEnd w:id="220"/>
      <w:bookmarkEnd w:id="221"/>
      <w:bookmarkEnd w:id="222"/>
    </w:p>
    <w:p w14:paraId="51B83BFD">
      <w:pPr>
        <w:snapToGrid w:val="0"/>
        <w:spacing w:line="360" w:lineRule="auto"/>
        <w:ind w:right="480" w:firstLine="480" w:firstLineChars="200"/>
        <w:rPr>
          <w:rFonts w:ascii="宋体" w:hAnsi="宋体" w:cs="宋体"/>
          <w:sz w:val="24"/>
        </w:rPr>
      </w:pPr>
      <w:r>
        <w:rPr>
          <w:rFonts w:hint="eastAsia" w:ascii="宋体" w:hAnsi="宋体" w:cs="宋体"/>
          <w:sz w:val="24"/>
        </w:rPr>
        <w:t>本合同价为￥：xxxxxx 元（大写：xxxx圆 ）。</w:t>
      </w:r>
    </w:p>
    <w:p w14:paraId="2B5CE64D">
      <w:pPr>
        <w:snapToGrid w:val="0"/>
        <w:spacing w:line="360" w:lineRule="auto"/>
        <w:ind w:right="480" w:firstLine="480" w:firstLineChars="200"/>
        <w:outlineLvl w:val="1"/>
        <w:rPr>
          <w:rFonts w:ascii="宋体" w:hAnsi="宋体" w:cs="宋体"/>
          <w:b w:val="0"/>
          <w:bCs w:val="0"/>
          <w:sz w:val="24"/>
        </w:rPr>
      </w:pPr>
      <w:bookmarkStart w:id="223" w:name="_Toc12961"/>
      <w:bookmarkStart w:id="224" w:name="_Toc19049"/>
      <w:bookmarkStart w:id="225" w:name="_Toc19890"/>
      <w:bookmarkStart w:id="226" w:name="_Toc26487"/>
      <w:r>
        <w:rPr>
          <w:rFonts w:hint="eastAsia" w:ascii="宋体" w:hAnsi="宋体" w:cs="宋体"/>
          <w:sz w:val="24"/>
        </w:rPr>
        <w:t>（二）税率</w:t>
      </w:r>
      <w:bookmarkEnd w:id="223"/>
      <w:bookmarkEnd w:id="224"/>
      <w:bookmarkEnd w:id="225"/>
      <w:bookmarkEnd w:id="226"/>
    </w:p>
    <w:p w14:paraId="14F38112">
      <w:pPr>
        <w:snapToGrid w:val="0"/>
        <w:spacing w:line="360" w:lineRule="auto"/>
        <w:ind w:right="480" w:firstLine="480" w:firstLineChars="200"/>
        <w:rPr>
          <w:rFonts w:hint="default" w:ascii="宋体" w:hAnsi="宋体" w:eastAsia="宋体" w:cs="宋体"/>
          <w:b w:val="0"/>
          <w:bCs w:val="0"/>
          <w:sz w:val="24"/>
          <w:lang w:val="en-US" w:eastAsia="zh-CN"/>
        </w:rPr>
      </w:pPr>
      <w:r>
        <w:rPr>
          <w:rFonts w:hint="eastAsia" w:ascii="宋体" w:hAnsi="宋体" w:cs="宋体"/>
          <w:b w:val="0"/>
          <w:bCs w:val="0"/>
          <w:sz w:val="24"/>
        </w:rPr>
        <w:t>按国家现行税率开具。</w:t>
      </w:r>
    </w:p>
    <w:p w14:paraId="6CDBA1BC">
      <w:pPr>
        <w:adjustRightInd w:val="0"/>
        <w:snapToGrid w:val="0"/>
        <w:spacing w:before="156" w:beforeLines="50" w:line="480" w:lineRule="auto"/>
        <w:ind w:firstLine="480" w:firstLineChars="200"/>
        <w:outlineLvl w:val="1"/>
        <w:rPr>
          <w:rFonts w:ascii="宋体" w:hAnsi="宋体" w:cs="宋体"/>
          <w:b w:val="0"/>
          <w:bCs w:val="0"/>
          <w:sz w:val="24"/>
        </w:rPr>
      </w:pPr>
      <w:bookmarkStart w:id="227" w:name="_Toc4369"/>
      <w:bookmarkStart w:id="228" w:name="_Toc19215"/>
      <w:r>
        <w:rPr>
          <w:rFonts w:hint="eastAsia" w:ascii="宋体" w:hAnsi="宋体" w:cs="宋体"/>
          <w:b w:val="0"/>
          <w:bCs w:val="0"/>
          <w:sz w:val="24"/>
        </w:rPr>
        <w:t>第四条</w:t>
      </w:r>
      <w:r>
        <w:rPr>
          <w:rFonts w:ascii="宋体" w:hAnsi="宋体" w:cs="宋体"/>
          <w:b w:val="0"/>
          <w:bCs w:val="0"/>
          <w:sz w:val="24"/>
        </w:rPr>
        <w:t xml:space="preserve"> </w:t>
      </w:r>
      <w:r>
        <w:rPr>
          <w:rFonts w:hint="eastAsia" w:ascii="宋体" w:hAnsi="宋体" w:cs="宋体"/>
          <w:b w:val="0"/>
          <w:bCs w:val="0"/>
          <w:sz w:val="24"/>
        </w:rPr>
        <w:t>合同服务期</w:t>
      </w:r>
      <w:bookmarkEnd w:id="227"/>
      <w:bookmarkEnd w:id="228"/>
    </w:p>
    <w:p w14:paraId="4BD20F4B">
      <w:pPr>
        <w:snapToGrid w:val="0"/>
        <w:spacing w:line="360" w:lineRule="auto"/>
        <w:ind w:right="480" w:firstLine="480" w:firstLineChars="200"/>
        <w:rPr>
          <w:rFonts w:ascii="宋体" w:hAnsi="宋体" w:cs="宋体"/>
          <w:sz w:val="24"/>
        </w:rPr>
      </w:pPr>
      <w:r>
        <w:rPr>
          <w:rFonts w:hint="eastAsia" w:ascii="宋体" w:hAnsi="宋体" w:cs="宋体"/>
          <w:sz w:val="24"/>
          <w:highlight w:val="yellow"/>
        </w:rPr>
        <w:t>本项目实施周期为</w:t>
      </w:r>
      <w:r>
        <w:rPr>
          <w:rFonts w:hint="eastAsia" w:ascii="宋体" w:hAnsi="宋体" w:cs="宋体"/>
          <w:sz w:val="24"/>
          <w:highlight w:val="yellow"/>
          <w:lang w:val="en-US" w:eastAsia="zh-CN"/>
        </w:rPr>
        <w:t>2</w:t>
      </w:r>
      <w:r>
        <w:rPr>
          <w:rFonts w:hint="eastAsia" w:ascii="宋体" w:hAnsi="宋体" w:cs="宋体"/>
          <w:sz w:val="24"/>
          <w:highlight w:val="yellow"/>
        </w:rPr>
        <w:t>个月，</w:t>
      </w:r>
      <w:r>
        <w:rPr>
          <w:rFonts w:hint="eastAsia" w:ascii="宋体" w:hAnsi="宋体" w:cs="宋体"/>
          <w:sz w:val="24"/>
          <w:highlight w:val="yellow"/>
          <w:lang w:val="en-US" w:eastAsia="zh-CN"/>
        </w:rPr>
        <w:t>从合同生效之日起计算，</w:t>
      </w:r>
      <w:r>
        <w:rPr>
          <w:rFonts w:hint="eastAsia" w:ascii="宋体" w:hAnsi="宋体" w:cs="宋体"/>
          <w:sz w:val="24"/>
          <w:highlight w:val="yellow"/>
        </w:rPr>
        <w:t>并在项目签订《项目验收报告》</w:t>
      </w:r>
      <w:r>
        <w:rPr>
          <w:rFonts w:ascii="宋体" w:hAnsi="宋体" w:cs="宋体"/>
          <w:sz w:val="24"/>
          <w:highlight w:val="yellow"/>
        </w:rPr>
        <w:t>之日</w:t>
      </w:r>
      <w:r>
        <w:rPr>
          <w:rFonts w:hint="eastAsia" w:ascii="宋体" w:hAnsi="宋体" w:cs="宋体"/>
          <w:sz w:val="24"/>
          <w:highlight w:val="yellow"/>
        </w:rPr>
        <w:t>起开始进入12个月的质保期。</w:t>
      </w:r>
    </w:p>
    <w:p w14:paraId="231993BB">
      <w:pPr>
        <w:adjustRightInd w:val="0"/>
        <w:snapToGrid w:val="0"/>
        <w:spacing w:before="156" w:beforeLines="50" w:line="480" w:lineRule="auto"/>
        <w:ind w:firstLine="482" w:firstLineChars="200"/>
        <w:outlineLvl w:val="1"/>
        <w:rPr>
          <w:rFonts w:ascii="宋体" w:hAnsi="宋体" w:cs="宋体"/>
          <w:b/>
          <w:bCs/>
          <w:sz w:val="24"/>
        </w:rPr>
      </w:pPr>
      <w:bookmarkStart w:id="229" w:name="_Toc19711"/>
      <w:bookmarkStart w:id="230" w:name="_Toc12752"/>
      <w:r>
        <w:rPr>
          <w:rFonts w:hint="eastAsia" w:ascii="宋体" w:hAnsi="宋体" w:cs="宋体"/>
          <w:b/>
          <w:bCs/>
          <w:sz w:val="24"/>
        </w:rPr>
        <w:t>第五条</w:t>
      </w:r>
      <w:r>
        <w:rPr>
          <w:rFonts w:ascii="宋体" w:hAnsi="宋体" w:cs="宋体"/>
          <w:b/>
          <w:bCs/>
          <w:sz w:val="24"/>
        </w:rPr>
        <w:t xml:space="preserve"> </w:t>
      </w:r>
      <w:r>
        <w:rPr>
          <w:rFonts w:hint="eastAsia" w:ascii="宋体" w:hAnsi="宋体" w:cs="宋体"/>
          <w:b/>
          <w:bCs/>
          <w:sz w:val="24"/>
        </w:rPr>
        <w:t>付款方式</w:t>
      </w:r>
      <w:bookmarkEnd w:id="229"/>
      <w:bookmarkEnd w:id="230"/>
    </w:p>
    <w:p w14:paraId="04843CB9">
      <w:pPr>
        <w:snapToGrid w:val="0"/>
        <w:spacing w:line="360" w:lineRule="auto"/>
        <w:ind w:right="480" w:firstLine="480" w:firstLineChars="200"/>
        <w:outlineLvl w:val="1"/>
        <w:rPr>
          <w:rFonts w:ascii="宋体" w:hAnsi="宋体" w:cs="宋体"/>
          <w:sz w:val="24"/>
          <w:highlight w:val="none"/>
        </w:rPr>
      </w:pPr>
      <w:bookmarkStart w:id="231" w:name="_Toc27441"/>
      <w:bookmarkStart w:id="232" w:name="_Toc31921"/>
      <w:bookmarkStart w:id="233" w:name="_Toc30045"/>
      <w:bookmarkStart w:id="234" w:name="_Toc1724588"/>
      <w:bookmarkStart w:id="235" w:name="_Toc26482"/>
      <w:bookmarkStart w:id="236" w:name="_Toc23859"/>
      <w:bookmarkStart w:id="237" w:name="_Toc5801"/>
      <w:bookmarkStart w:id="238" w:name="_Toc29946"/>
      <w:bookmarkStart w:id="239" w:name="_Toc27660"/>
      <w:bookmarkStart w:id="240" w:name="_Toc15351"/>
      <w:r>
        <w:rPr>
          <w:rFonts w:hint="eastAsia" w:ascii="宋体" w:hAnsi="宋体" w:cs="宋体"/>
          <w:sz w:val="24"/>
          <w:highlight w:val="none"/>
        </w:rPr>
        <w:t>（一）支付</w:t>
      </w:r>
      <w:bookmarkEnd w:id="231"/>
      <w:bookmarkEnd w:id="232"/>
      <w:bookmarkEnd w:id="233"/>
      <w:bookmarkEnd w:id="234"/>
      <w:r>
        <w:rPr>
          <w:rFonts w:hint="eastAsia" w:ascii="宋体" w:hAnsi="宋体" w:cs="宋体"/>
          <w:sz w:val="24"/>
          <w:highlight w:val="none"/>
        </w:rPr>
        <w:t>、结算及质保金</w:t>
      </w:r>
      <w:bookmarkEnd w:id="235"/>
      <w:bookmarkEnd w:id="236"/>
      <w:bookmarkEnd w:id="237"/>
      <w:bookmarkEnd w:id="238"/>
      <w:bookmarkEnd w:id="239"/>
      <w:bookmarkEnd w:id="240"/>
    </w:p>
    <w:p w14:paraId="184698EF">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1.1完成合同签订，甲方在收到由乙方提供的以下材料后</w:t>
      </w:r>
      <w:r>
        <w:rPr>
          <w:rFonts w:hint="eastAsia" w:ascii="宋体" w:hAnsi="宋体" w:cs="宋体"/>
          <w:sz w:val="24"/>
          <w:highlight w:val="none"/>
          <w:lang w:val="en-US" w:eastAsia="zh-CN"/>
        </w:rPr>
        <w:t>10个工作日内</w:t>
      </w:r>
      <w:r>
        <w:rPr>
          <w:rFonts w:hint="eastAsia" w:ascii="宋体" w:hAnsi="宋体" w:cs="宋体"/>
          <w:sz w:val="24"/>
          <w:highlight w:val="none"/>
        </w:rPr>
        <w:t>，按合同总价的20%支付第一笔付款：</w:t>
      </w:r>
    </w:p>
    <w:p w14:paraId="5DA1C0FD">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①乙方开具相应金额的增值税专用发票。</w:t>
      </w:r>
    </w:p>
    <w:p w14:paraId="18B28F05">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②乙方出具的支付申请书。</w:t>
      </w:r>
    </w:p>
    <w:p w14:paraId="654EA5D0">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1.2乙方软件安装部署完毕，完成产品初始化配置。甲方在收到由乙方提供的以下材料后向乙方支付合同总价的25%，累计支付到合同总价的45%：</w:t>
      </w:r>
    </w:p>
    <w:p w14:paraId="2300EC29">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①乙方开具相应金额的增值税专用发票。</w:t>
      </w:r>
    </w:p>
    <w:p w14:paraId="3B27B10C">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②乙方出具的支付申请书。</w:t>
      </w:r>
    </w:p>
    <w:p w14:paraId="0DA05F5F">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③甲方出具项目阶段进度证明材料。</w:t>
      </w:r>
    </w:p>
    <w:p w14:paraId="22C25E64">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④甲方认为的其他资料。</w:t>
      </w:r>
    </w:p>
    <w:p w14:paraId="4D184084">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1.3乙方软件系统在</w:t>
      </w:r>
      <w:r>
        <w:rPr>
          <w:rFonts w:hint="eastAsia" w:ascii="宋体" w:hAnsi="宋体" w:cs="宋体"/>
          <w:sz w:val="24"/>
          <w:highlight w:val="none"/>
          <w:lang w:val="en-US" w:eastAsia="zh-CN"/>
        </w:rPr>
        <w:t>甲方</w:t>
      </w:r>
      <w:r>
        <w:rPr>
          <w:rFonts w:hint="eastAsia" w:ascii="宋体" w:hAnsi="宋体" w:cs="宋体"/>
          <w:sz w:val="24"/>
          <w:highlight w:val="none"/>
        </w:rPr>
        <w:t>集团及子公司完成操作培训及上线，完成阶段性验收。甲方在收到由乙方提供的以下材料后，按合同总价的25%支付，累计支付到合同总价的70%：</w:t>
      </w:r>
    </w:p>
    <w:p w14:paraId="06E1553E">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①乙方开具相应金额的增值税专用发票。</w:t>
      </w:r>
    </w:p>
    <w:p w14:paraId="78E72EF2">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②乙方出具的支付申请书。</w:t>
      </w:r>
    </w:p>
    <w:p w14:paraId="79A15AD8">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③甲方出具项目阶段验收材料。</w:t>
      </w:r>
    </w:p>
    <w:p w14:paraId="561B84D2">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④甲方认为的其他资料。</w:t>
      </w:r>
    </w:p>
    <w:p w14:paraId="00A16410">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1.4乙方软件系统在</w:t>
      </w:r>
      <w:r>
        <w:rPr>
          <w:rFonts w:hint="eastAsia" w:ascii="宋体" w:hAnsi="宋体" w:cs="宋体"/>
          <w:sz w:val="24"/>
          <w:highlight w:val="none"/>
          <w:lang w:val="en-US" w:eastAsia="zh-CN"/>
        </w:rPr>
        <w:t>甲方</w:t>
      </w:r>
      <w:r>
        <w:rPr>
          <w:rFonts w:hint="eastAsia" w:ascii="宋体" w:hAnsi="宋体" w:cs="宋体"/>
          <w:sz w:val="24"/>
          <w:highlight w:val="none"/>
        </w:rPr>
        <w:t>集团推广应用、系统集成及接口开发完成交付及项目整体验收，其他阶段需求功能均已完成整改，各阶段均顺利通过3个月的试运行考核，完成项目整体验收及项目成果材料移交。甲方在收到乙方提供的以下材料，并完成结算后，支付至审定价格的95%，5%的金额作为质保金：</w:t>
      </w:r>
    </w:p>
    <w:p w14:paraId="70282670">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①乙方开具相应金额的增值税专用发票。</w:t>
      </w:r>
    </w:p>
    <w:p w14:paraId="0AEC315A">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②乙方出具的支付申请书。</w:t>
      </w:r>
    </w:p>
    <w:p w14:paraId="194040EB">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③乙方签认完成的合同结算审定资料。</w:t>
      </w:r>
    </w:p>
    <w:p w14:paraId="3F25003A">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④甲乙双方确认项目整体验收证明。</w:t>
      </w:r>
    </w:p>
    <w:p w14:paraId="2A7D11B4">
      <w:pPr>
        <w:snapToGrid w:val="0"/>
        <w:spacing w:line="360" w:lineRule="auto"/>
        <w:ind w:right="480" w:firstLine="480" w:firstLineChars="200"/>
        <w:rPr>
          <w:rFonts w:ascii="宋体" w:hAnsi="宋体" w:cs="宋体"/>
          <w:sz w:val="24"/>
          <w:highlight w:val="none"/>
        </w:rPr>
      </w:pPr>
      <w:r>
        <w:rPr>
          <w:rFonts w:hint="eastAsia" w:ascii="宋体" w:hAnsi="宋体" w:cs="宋体"/>
          <w:sz w:val="24"/>
          <w:highlight w:val="none"/>
        </w:rPr>
        <w:t>⑤甲方认为的其他资料。</w:t>
      </w:r>
    </w:p>
    <w:p w14:paraId="24088FDB">
      <w:pPr>
        <w:snapToGrid w:val="0"/>
        <w:spacing w:line="360" w:lineRule="auto"/>
        <w:ind w:right="480" w:firstLine="480" w:firstLineChars="200"/>
        <w:rPr>
          <w:rFonts w:ascii="宋体" w:hAnsi="宋体"/>
          <w:sz w:val="24"/>
          <w:szCs w:val="21"/>
        </w:rPr>
      </w:pPr>
      <w:r>
        <w:rPr>
          <w:rFonts w:hint="eastAsia" w:ascii="宋体" w:hAnsi="宋体" w:cs="宋体"/>
          <w:sz w:val="24"/>
        </w:rPr>
        <w:t>1.5</w:t>
      </w:r>
      <w:r>
        <w:rPr>
          <w:rFonts w:ascii="宋体" w:hAnsi="宋体" w:cs="宋体"/>
          <w:sz w:val="24"/>
        </w:rPr>
        <w:t>系统</w:t>
      </w:r>
      <w:r>
        <w:rPr>
          <w:rFonts w:hint="eastAsia" w:ascii="宋体" w:hAnsi="宋体" w:cs="宋体"/>
          <w:sz w:val="24"/>
        </w:rPr>
        <w:t>验收后</w:t>
      </w:r>
      <w:r>
        <w:rPr>
          <w:rFonts w:ascii="宋体" w:hAnsi="宋体" w:cs="宋体"/>
          <w:sz w:val="24"/>
        </w:rPr>
        <w:t>进入质保期，质保期1年。</w:t>
      </w:r>
      <w:r>
        <w:rPr>
          <w:rFonts w:hint="eastAsia" w:ascii="宋体" w:hAnsi="宋体"/>
          <w:sz w:val="24"/>
          <w:szCs w:val="21"/>
        </w:rPr>
        <w:t>质保期满</w:t>
      </w:r>
      <w:r>
        <w:rPr>
          <w:rFonts w:hint="eastAsia" w:ascii="宋体" w:hAnsi="宋体" w:cs="宋体"/>
          <w:sz w:val="24"/>
          <w:highlight w:val="none"/>
          <w:lang w:val="en-US" w:eastAsia="zh-CN"/>
        </w:rPr>
        <w:t>10个工作日内</w:t>
      </w:r>
      <w:r>
        <w:rPr>
          <w:rFonts w:hint="eastAsia" w:ascii="宋体" w:hAnsi="宋体"/>
          <w:sz w:val="24"/>
          <w:szCs w:val="21"/>
        </w:rPr>
        <w:t>，乙方整理质保期的系统维护相关材料提交至甲方。甲方对乙方质保期间的履约情况考核，接收运维材料，双方确认签字，正式办理质保期结束手续，并</w:t>
      </w:r>
      <w:r>
        <w:rPr>
          <w:rFonts w:hint="eastAsia" w:ascii="宋体" w:hAnsi="宋体"/>
          <w:sz w:val="24"/>
          <w:szCs w:val="21"/>
          <w:lang w:val="en-US" w:eastAsia="zh-CN"/>
        </w:rPr>
        <w:t>根据考核情况</w:t>
      </w:r>
      <w:r>
        <w:rPr>
          <w:rFonts w:hint="eastAsia" w:ascii="宋体" w:hAnsi="宋体"/>
          <w:sz w:val="24"/>
          <w:szCs w:val="21"/>
        </w:rPr>
        <w:t>向乙方支付此前预留</w:t>
      </w:r>
      <w:r>
        <w:rPr>
          <w:rFonts w:hint="eastAsia" w:ascii="宋体" w:hAnsi="宋体" w:cs="宋体"/>
          <w:sz w:val="24"/>
        </w:rPr>
        <w:t>5%的质保金</w:t>
      </w:r>
      <w:r>
        <w:rPr>
          <w:rFonts w:hint="eastAsia" w:ascii="宋体" w:hAnsi="宋体"/>
          <w:sz w:val="24"/>
          <w:szCs w:val="21"/>
        </w:rPr>
        <w:t>。</w:t>
      </w:r>
    </w:p>
    <w:p w14:paraId="1AD8A863">
      <w:pPr>
        <w:adjustRightInd w:val="0"/>
        <w:snapToGrid w:val="0"/>
        <w:spacing w:before="156" w:beforeLines="50" w:line="480" w:lineRule="auto"/>
        <w:ind w:firstLine="482" w:firstLineChars="200"/>
        <w:outlineLvl w:val="1"/>
        <w:rPr>
          <w:rFonts w:ascii="宋体" w:hAnsi="宋体" w:cs="宋体"/>
          <w:b/>
          <w:bCs/>
          <w:sz w:val="24"/>
        </w:rPr>
      </w:pPr>
      <w:bookmarkStart w:id="241" w:name="_Toc22011"/>
      <w:bookmarkStart w:id="242" w:name="_Toc13730"/>
      <w:r>
        <w:rPr>
          <w:rFonts w:hint="eastAsia" w:ascii="宋体" w:hAnsi="宋体" w:cs="宋体"/>
          <w:b/>
          <w:bCs/>
          <w:sz w:val="24"/>
        </w:rPr>
        <w:t>第六条 双方权利、义务</w:t>
      </w:r>
      <w:bookmarkEnd w:id="241"/>
      <w:bookmarkEnd w:id="242"/>
    </w:p>
    <w:p w14:paraId="20CB6F35">
      <w:pPr>
        <w:snapToGrid w:val="0"/>
        <w:spacing w:line="360" w:lineRule="auto"/>
        <w:ind w:right="480" w:firstLine="480" w:firstLineChars="200"/>
        <w:outlineLvl w:val="1"/>
        <w:rPr>
          <w:rFonts w:ascii="宋体" w:hAnsi="宋体" w:cs="宋体"/>
          <w:sz w:val="24"/>
        </w:rPr>
      </w:pPr>
      <w:bookmarkStart w:id="243" w:name="_Toc31238"/>
      <w:bookmarkStart w:id="244" w:name="_Toc6590"/>
      <w:bookmarkStart w:id="245" w:name="_Toc19270"/>
      <w:bookmarkStart w:id="246" w:name="_Toc139877099"/>
      <w:bookmarkStart w:id="247" w:name="_Toc27944"/>
      <w:r>
        <w:rPr>
          <w:rFonts w:hint="eastAsia" w:ascii="宋体" w:hAnsi="宋体" w:cs="宋体"/>
          <w:sz w:val="24"/>
        </w:rPr>
        <w:t>（一）甲方的权利和义务</w:t>
      </w:r>
      <w:bookmarkEnd w:id="243"/>
      <w:bookmarkEnd w:id="244"/>
      <w:bookmarkEnd w:id="245"/>
      <w:bookmarkEnd w:id="246"/>
      <w:bookmarkEnd w:id="247"/>
    </w:p>
    <w:p w14:paraId="3092B06D">
      <w:pPr>
        <w:snapToGrid w:val="0"/>
        <w:spacing w:line="360" w:lineRule="auto"/>
        <w:ind w:right="480" w:firstLine="480" w:firstLineChars="200"/>
        <w:rPr>
          <w:rFonts w:ascii="宋体" w:hAnsi="宋体" w:cs="宋体"/>
          <w:sz w:val="24"/>
        </w:rPr>
      </w:pPr>
      <w:r>
        <w:rPr>
          <w:rFonts w:ascii="宋体" w:hAnsi="宋体" w:cs="宋体"/>
          <w:sz w:val="24"/>
        </w:rPr>
        <w:t>1.</w:t>
      </w:r>
      <w:r>
        <w:rPr>
          <w:rFonts w:hint="eastAsia" w:ascii="宋体" w:hAnsi="宋体" w:cs="宋体"/>
          <w:sz w:val="24"/>
        </w:rPr>
        <w:t>甲方有权对乙方在档案信息管理系统开发过程中的行为进行监督，确保开发进度和质量符合合同约定</w:t>
      </w:r>
      <w:r>
        <w:rPr>
          <w:rFonts w:ascii="宋体" w:hAnsi="宋体" w:cs="宋体"/>
          <w:sz w:val="24"/>
        </w:rPr>
        <w:t>。</w:t>
      </w:r>
    </w:p>
    <w:p w14:paraId="2965B1DB">
      <w:pPr>
        <w:snapToGrid w:val="0"/>
        <w:spacing w:line="360" w:lineRule="auto"/>
        <w:ind w:right="480"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甲方有权了解开发进度、软件功能、性能测试结果等关键信息，以便及时提出意见和建议，并对不足之处提出整改意见和措施，乙方限期十日内必须改正。</w:t>
      </w:r>
    </w:p>
    <w:p w14:paraId="3EE5F2C7">
      <w:pPr>
        <w:snapToGrid w:val="0"/>
        <w:spacing w:line="360" w:lineRule="auto"/>
        <w:ind w:right="480" w:firstLine="480" w:firstLineChars="200"/>
        <w:rPr>
          <w:rFonts w:ascii="宋体" w:hAnsi="宋体" w:cs="宋体"/>
          <w:sz w:val="24"/>
        </w:rPr>
      </w:pPr>
      <w:r>
        <w:rPr>
          <w:rFonts w:hint="eastAsia" w:ascii="宋体" w:hAnsi="宋体" w:cs="宋体"/>
          <w:sz w:val="24"/>
        </w:rPr>
        <w:t>3.</w:t>
      </w:r>
      <w:r>
        <w:rPr>
          <w:rFonts w:ascii="宋体" w:hAnsi="宋体" w:cs="宋体"/>
          <w:sz w:val="24"/>
        </w:rPr>
        <w:t>甲方有权对乙方的各项工作进行统一的组织领导和检查监督，并依据有关的法律、法规、行业的服务规范和甲方各种规章制度给予管理考核。</w:t>
      </w:r>
    </w:p>
    <w:p w14:paraId="79CAD67D">
      <w:pPr>
        <w:snapToGrid w:val="0"/>
        <w:spacing w:line="360" w:lineRule="auto"/>
        <w:ind w:right="480" w:firstLine="480" w:firstLineChars="200"/>
        <w:outlineLvl w:val="1"/>
        <w:rPr>
          <w:rFonts w:ascii="宋体" w:hAnsi="宋体" w:cs="宋体"/>
          <w:sz w:val="24"/>
        </w:rPr>
      </w:pPr>
      <w:bookmarkStart w:id="248" w:name="_Toc139877100"/>
      <w:bookmarkStart w:id="249" w:name="_Toc17292"/>
      <w:bookmarkStart w:id="250" w:name="_Toc6384"/>
      <w:bookmarkStart w:id="251" w:name="_Toc29311"/>
      <w:bookmarkStart w:id="252" w:name="_Toc18350"/>
      <w:bookmarkStart w:id="253" w:name="_Toc28049"/>
      <w:bookmarkStart w:id="254" w:name="_Toc27140"/>
      <w:r>
        <w:rPr>
          <w:rFonts w:hint="eastAsia" w:ascii="宋体" w:hAnsi="宋体" w:cs="宋体"/>
          <w:sz w:val="24"/>
        </w:rPr>
        <w:t>（二）乙方的权利和义务</w:t>
      </w:r>
      <w:bookmarkEnd w:id="248"/>
      <w:bookmarkEnd w:id="249"/>
      <w:bookmarkEnd w:id="250"/>
      <w:bookmarkEnd w:id="251"/>
      <w:bookmarkEnd w:id="252"/>
      <w:bookmarkEnd w:id="253"/>
      <w:bookmarkEnd w:id="254"/>
    </w:p>
    <w:p w14:paraId="530F8692">
      <w:pPr>
        <w:snapToGrid w:val="0"/>
        <w:spacing w:line="360" w:lineRule="auto"/>
        <w:ind w:right="480" w:firstLine="480" w:firstLineChars="200"/>
        <w:rPr>
          <w:rFonts w:ascii="宋体" w:hAnsi="宋体" w:cs="宋体"/>
          <w:sz w:val="24"/>
        </w:rPr>
      </w:pPr>
      <w:r>
        <w:rPr>
          <w:rFonts w:ascii="宋体" w:hAnsi="宋体" w:cs="宋体"/>
          <w:sz w:val="24"/>
        </w:rPr>
        <w:t>1.</w:t>
      </w:r>
      <w:r>
        <w:rPr>
          <w:rFonts w:hint="eastAsia" w:ascii="宋体" w:hAnsi="宋体" w:cs="宋体"/>
          <w:sz w:val="24"/>
        </w:rPr>
        <w:t>乙方应按照合同约定的开发周期和进度表，按时交付符合甲方需求的档案信息管理系统。</w:t>
      </w:r>
    </w:p>
    <w:p w14:paraId="6D4739AB">
      <w:pPr>
        <w:snapToGrid w:val="0"/>
        <w:spacing w:line="360" w:lineRule="auto"/>
        <w:ind w:right="480" w:firstLine="480" w:firstLineChars="200"/>
        <w:rPr>
          <w:rFonts w:ascii="宋体" w:hAnsi="宋体" w:cs="宋体"/>
          <w:sz w:val="24"/>
        </w:rPr>
      </w:pPr>
      <w:r>
        <w:rPr>
          <w:rFonts w:hint="eastAsia" w:ascii="宋体" w:hAnsi="宋体" w:cs="宋体"/>
          <w:sz w:val="24"/>
        </w:rPr>
        <w:t>2.乙方应保证开发的软件具有稳定、可靠、安全的性能，并满足甲方的功能需求和性能要求。</w:t>
      </w:r>
    </w:p>
    <w:p w14:paraId="36A4D000">
      <w:pPr>
        <w:snapToGrid w:val="0"/>
        <w:spacing w:line="360" w:lineRule="auto"/>
        <w:ind w:right="480" w:firstLine="480" w:firstLineChars="200"/>
        <w:rPr>
          <w:rFonts w:hint="eastAsia" w:ascii="宋体" w:hAnsi="宋体" w:cs="宋体"/>
          <w:sz w:val="24"/>
        </w:rPr>
      </w:pPr>
      <w:r>
        <w:rPr>
          <w:rFonts w:hint="eastAsia" w:ascii="宋体" w:hAnsi="宋体" w:cs="宋体"/>
          <w:sz w:val="24"/>
        </w:rPr>
        <w:t>3.乙方应对甲方在开发过程中提供的商业秘密和技术资料等保密信息负有保密义务，未经甲方书面同意，不得向第三方透露。</w:t>
      </w:r>
    </w:p>
    <w:p w14:paraId="437EFC26">
      <w:pPr>
        <w:snapToGrid w:val="0"/>
        <w:spacing w:line="360" w:lineRule="auto"/>
        <w:ind w:right="480" w:firstLine="480" w:firstLineChars="200"/>
        <w:rPr>
          <w:rFonts w:hint="default"/>
          <w:lang w:val="en-US" w:eastAsia="zh-CN"/>
        </w:rPr>
      </w:pPr>
      <w:r>
        <w:rPr>
          <w:rFonts w:hint="eastAsia" w:ascii="宋体" w:hAnsi="宋体" w:cs="宋体"/>
          <w:sz w:val="24"/>
          <w:lang w:val="en-US" w:eastAsia="zh-CN"/>
        </w:rPr>
        <w:t>4.</w:t>
      </w:r>
      <w:r>
        <w:rPr>
          <w:rFonts w:hint="eastAsia" w:cs="宋体"/>
          <w:sz w:val="24"/>
          <w:lang w:val="en-US" w:eastAsia="zh-CN"/>
        </w:rPr>
        <w:t>除甲方事先书面同意外，乙方不得将其合同权利、责任和义务部分转让或全部转让或转移给第三方。</w:t>
      </w:r>
    </w:p>
    <w:p w14:paraId="5D61230D">
      <w:pPr>
        <w:adjustRightInd w:val="0"/>
        <w:snapToGrid w:val="0"/>
        <w:spacing w:before="156" w:beforeLines="50" w:line="480" w:lineRule="auto"/>
        <w:ind w:firstLine="482" w:firstLineChars="200"/>
        <w:outlineLvl w:val="1"/>
        <w:rPr>
          <w:rFonts w:ascii="宋体" w:hAnsi="宋体" w:cs="宋体"/>
          <w:b/>
          <w:bCs/>
          <w:sz w:val="24"/>
        </w:rPr>
      </w:pPr>
      <w:bookmarkStart w:id="255" w:name="_Toc6011"/>
      <w:r>
        <w:rPr>
          <w:rFonts w:hint="eastAsia" w:ascii="宋体" w:hAnsi="宋体" w:cs="宋体"/>
          <w:b/>
          <w:bCs/>
          <w:sz w:val="24"/>
        </w:rPr>
        <w:t>第七条</w:t>
      </w:r>
      <w:r>
        <w:rPr>
          <w:rFonts w:ascii="宋体" w:hAnsi="宋体" w:cs="宋体"/>
          <w:b/>
          <w:bCs/>
          <w:sz w:val="24"/>
        </w:rPr>
        <w:t xml:space="preserve"> </w:t>
      </w:r>
      <w:r>
        <w:rPr>
          <w:rFonts w:hint="eastAsia" w:ascii="宋体" w:hAnsi="宋体" w:cs="宋体"/>
          <w:b/>
          <w:bCs/>
          <w:sz w:val="24"/>
        </w:rPr>
        <w:t>违约责任</w:t>
      </w:r>
      <w:bookmarkEnd w:id="255"/>
    </w:p>
    <w:p w14:paraId="434C02F1">
      <w:pPr>
        <w:snapToGrid w:val="0"/>
        <w:spacing w:line="360" w:lineRule="auto"/>
        <w:ind w:right="480" w:firstLine="480" w:firstLineChars="200"/>
        <w:outlineLvl w:val="1"/>
        <w:rPr>
          <w:rFonts w:ascii="宋体" w:hAnsi="宋体" w:cs="宋体"/>
          <w:sz w:val="24"/>
        </w:rPr>
      </w:pPr>
      <w:bookmarkStart w:id="256" w:name="_Toc19294"/>
      <w:bookmarkStart w:id="257" w:name="_Toc8543"/>
      <w:bookmarkStart w:id="258" w:name="_Toc29769"/>
      <w:bookmarkStart w:id="259" w:name="_Toc11084"/>
      <w:r>
        <w:rPr>
          <w:rFonts w:hint="eastAsia" w:ascii="宋体" w:hAnsi="宋体" w:cs="宋体"/>
          <w:sz w:val="24"/>
        </w:rPr>
        <w:t>（一）若一方未履行本合同约定义务之一的，应承担相应的违约责任。</w:t>
      </w:r>
      <w:bookmarkEnd w:id="256"/>
      <w:bookmarkEnd w:id="257"/>
      <w:bookmarkEnd w:id="258"/>
      <w:bookmarkEnd w:id="259"/>
    </w:p>
    <w:p w14:paraId="71483B29">
      <w:pPr>
        <w:snapToGrid w:val="0"/>
        <w:spacing w:line="360" w:lineRule="auto"/>
        <w:ind w:right="480" w:firstLine="480" w:firstLineChars="200"/>
        <w:rPr>
          <w:rFonts w:hint="default" w:ascii="宋体" w:hAnsi="宋体" w:eastAsia="宋体" w:cs="宋体"/>
          <w:sz w:val="24"/>
          <w:lang w:val="en-US" w:eastAsia="zh-CN"/>
        </w:rPr>
      </w:pPr>
      <w:r>
        <w:rPr>
          <w:rFonts w:hint="eastAsia" w:ascii="宋体" w:hAnsi="宋体" w:cs="宋体"/>
          <w:sz w:val="24"/>
        </w:rPr>
        <w:t>（二）</w:t>
      </w:r>
      <w:r>
        <w:rPr>
          <w:rFonts w:hint="eastAsia" w:ascii="宋体" w:hAnsi="宋体" w:cs="宋体"/>
          <w:sz w:val="24"/>
          <w:lang w:val="en-US" w:eastAsia="zh-CN"/>
        </w:rPr>
        <w:t>乙方未能按合同约定的时间完成本项目的，每逾期一日，乙方应按本合同约定的合同暂定总价的万分之三向甲方支付违约金；如逾期超过三十日仍不能如期履行该义务的，则甲方有权解除本合同并要求乙方按合同暂定总价款的20%向甲方支付违约金</w:t>
      </w:r>
      <w:r>
        <w:rPr>
          <w:rFonts w:hint="eastAsia" w:ascii="宋体" w:hAnsi="宋体" w:cs="宋体"/>
          <w:sz w:val="24"/>
          <w:lang w:eastAsia="zh-CN"/>
        </w:rPr>
        <w:t>，</w:t>
      </w:r>
      <w:r>
        <w:rPr>
          <w:rFonts w:hint="eastAsia" w:ascii="宋体" w:hAnsi="宋体" w:cs="宋体"/>
          <w:sz w:val="24"/>
          <w:lang w:val="en-US" w:eastAsia="zh-CN"/>
        </w:rPr>
        <w:t>违约金不足以弥补甲方损失的，乙方应当予以赔偿。</w:t>
      </w:r>
    </w:p>
    <w:p w14:paraId="6CB05D86">
      <w:pPr>
        <w:snapToGrid w:val="0"/>
        <w:spacing w:line="360" w:lineRule="auto"/>
        <w:ind w:right="48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rPr>
        <w:t>乙方未按</w:t>
      </w:r>
      <w:r>
        <w:rPr>
          <w:rFonts w:hint="eastAsia" w:ascii="宋体" w:hAnsi="宋体" w:cs="宋体"/>
          <w:sz w:val="24"/>
          <w:lang w:val="en-US" w:eastAsia="zh-CN"/>
        </w:rPr>
        <w:t>合同</w:t>
      </w:r>
      <w:r>
        <w:rPr>
          <w:rFonts w:hint="eastAsia" w:ascii="宋体" w:hAnsi="宋体" w:cs="宋体"/>
          <w:sz w:val="24"/>
        </w:rPr>
        <w:t>约定提供售后服务，甲方有权另行聘请第三方提供服务，由此产生的费用及给甲方造成的损失，由乙方承担赔偿责任。</w:t>
      </w:r>
    </w:p>
    <w:p w14:paraId="66DBA684">
      <w:pPr>
        <w:snapToGrid w:val="0"/>
        <w:spacing w:line="360" w:lineRule="auto"/>
        <w:ind w:right="48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四</w:t>
      </w:r>
      <w:r>
        <w:rPr>
          <w:rFonts w:hint="eastAsia" w:ascii="宋体" w:hAnsi="宋体" w:cs="宋体"/>
          <w:sz w:val="24"/>
          <w:lang w:eastAsia="zh-CN"/>
        </w:rPr>
        <w:t>）</w:t>
      </w:r>
      <w:r>
        <w:rPr>
          <w:rFonts w:hint="eastAsia" w:ascii="宋体" w:hAnsi="宋体" w:cs="宋体"/>
          <w:sz w:val="24"/>
        </w:rPr>
        <w:t>乙方</w:t>
      </w:r>
      <w:r>
        <w:rPr>
          <w:rFonts w:hint="eastAsia" w:ascii="宋体" w:hAnsi="宋体" w:cs="宋体"/>
          <w:sz w:val="24"/>
          <w:lang w:val="en-US" w:eastAsia="zh-CN"/>
        </w:rPr>
        <w:t>开发的系统</w:t>
      </w:r>
      <w:r>
        <w:rPr>
          <w:rFonts w:hint="eastAsia" w:ascii="宋体" w:hAnsi="宋体" w:cs="宋体"/>
          <w:sz w:val="24"/>
        </w:rPr>
        <w:t>不符合合同约定要求的，甲方有权</w:t>
      </w:r>
      <w:r>
        <w:rPr>
          <w:rFonts w:hint="eastAsia" w:ascii="宋体" w:hAnsi="宋体" w:cs="宋体"/>
          <w:sz w:val="24"/>
          <w:lang w:val="en-US" w:eastAsia="zh-CN"/>
        </w:rPr>
        <w:t>要求乙方限期整改。乙方拒绝整改或整改后仍不符合合同要求的，甲方有权</w:t>
      </w:r>
      <w:r>
        <w:rPr>
          <w:rFonts w:hint="eastAsia" w:ascii="宋体" w:hAnsi="宋体" w:cs="宋体"/>
          <w:sz w:val="24"/>
        </w:rPr>
        <w:t>解除本合同，要求乙方支付合同</w:t>
      </w:r>
      <w:r>
        <w:rPr>
          <w:rFonts w:hint="eastAsia" w:ascii="宋体" w:hAnsi="宋体" w:cs="宋体"/>
          <w:sz w:val="24"/>
          <w:lang w:val="en-US" w:eastAsia="zh-CN"/>
        </w:rPr>
        <w:t>暂定</w:t>
      </w:r>
      <w:r>
        <w:rPr>
          <w:rFonts w:hint="eastAsia" w:ascii="宋体" w:hAnsi="宋体" w:cs="宋体"/>
          <w:sz w:val="24"/>
        </w:rPr>
        <w:t>总</w:t>
      </w:r>
      <w:r>
        <w:rPr>
          <w:rFonts w:hint="eastAsia" w:ascii="宋体" w:hAnsi="宋体" w:cs="宋体"/>
          <w:sz w:val="24"/>
          <w:lang w:val="en-US" w:eastAsia="zh-CN"/>
        </w:rPr>
        <w:t>价2</w:t>
      </w:r>
      <w:r>
        <w:rPr>
          <w:rFonts w:hint="eastAsia" w:ascii="宋体" w:hAnsi="宋体" w:cs="宋体"/>
          <w:sz w:val="24"/>
        </w:rPr>
        <w:t>0%</w:t>
      </w:r>
      <w:r>
        <w:rPr>
          <w:rFonts w:hint="eastAsia" w:ascii="宋体" w:hAnsi="宋体" w:cs="宋体"/>
          <w:sz w:val="24"/>
          <w:lang w:val="en-US" w:eastAsia="zh-CN"/>
        </w:rPr>
        <w:t>的</w:t>
      </w:r>
      <w:r>
        <w:rPr>
          <w:rFonts w:hint="eastAsia" w:ascii="宋体" w:hAnsi="宋体" w:cs="宋体"/>
          <w:sz w:val="24"/>
        </w:rPr>
        <w:t>违约金</w:t>
      </w:r>
      <w:r>
        <w:rPr>
          <w:rFonts w:hint="eastAsia" w:ascii="宋体" w:hAnsi="宋体" w:cs="宋体"/>
          <w:sz w:val="24"/>
          <w:lang w:eastAsia="zh-CN"/>
        </w:rPr>
        <w:t>，</w:t>
      </w:r>
      <w:r>
        <w:rPr>
          <w:rFonts w:hint="eastAsia" w:ascii="宋体" w:hAnsi="宋体" w:cs="宋体"/>
          <w:sz w:val="24"/>
          <w:lang w:val="en-US" w:eastAsia="zh-CN"/>
        </w:rPr>
        <w:t>违约金不足以弥补甲方损失的，乙方应当予以赔偿。</w:t>
      </w:r>
    </w:p>
    <w:p w14:paraId="6F266470">
      <w:pPr>
        <w:snapToGrid w:val="0"/>
        <w:spacing w:line="360" w:lineRule="auto"/>
        <w:ind w:right="480" w:firstLine="480" w:firstLineChars="20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五）</w:t>
      </w:r>
      <w:r>
        <w:rPr>
          <w:rFonts w:hint="eastAsia" w:ascii="宋体" w:hAnsi="宋体" w:cs="宋体"/>
          <w:sz w:val="24"/>
        </w:rPr>
        <w:t>未经甲方同意，乙方将本合同项下的权利和义务转让给第三方的，甲方有权解除本合同，乙方应在甲方解除合同的书面通知送达之日起10个工作日内全额退还甲方已支付的合同款项，并向甲方支付合同总金额的</w:t>
      </w:r>
      <w:r>
        <w:rPr>
          <w:rFonts w:hint="eastAsia" w:ascii="宋体" w:hAnsi="宋体" w:cs="宋体"/>
          <w:sz w:val="24"/>
          <w:lang w:val="en-US" w:eastAsia="zh-CN"/>
        </w:rPr>
        <w:t>2</w:t>
      </w:r>
      <w:r>
        <w:rPr>
          <w:rFonts w:hint="eastAsia" w:ascii="宋体" w:hAnsi="宋体" w:cs="宋体"/>
          <w:sz w:val="24"/>
        </w:rPr>
        <w:t>0%作为解约违约金；给第三方造成损失的，由乙方自行承担赔偿等全部法律责任。</w:t>
      </w:r>
    </w:p>
    <w:p w14:paraId="6FC418A4">
      <w:pPr>
        <w:snapToGrid w:val="0"/>
        <w:spacing w:line="360" w:lineRule="auto"/>
        <w:ind w:right="480"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六</w:t>
      </w:r>
      <w:r>
        <w:rPr>
          <w:rFonts w:hint="eastAsia" w:ascii="宋体" w:hAnsi="宋体" w:cs="宋体"/>
          <w:sz w:val="24"/>
          <w:lang w:eastAsia="zh-CN"/>
        </w:rPr>
        <w:t>）</w:t>
      </w:r>
      <w:r>
        <w:rPr>
          <w:rFonts w:hint="eastAsia" w:ascii="宋体" w:hAnsi="宋体" w:cs="宋体"/>
          <w:sz w:val="24"/>
        </w:rPr>
        <w:t>除本合同另有约定外，若因一方的原因导致另一方遭受损失的，违约方应赔偿守约方由此受到的全部损失，包括但不限于直接损失、间接损失、律师费、诉讼费、财产保全费、保全保险费、公告费、执行费、公证费、鉴定费等。</w:t>
      </w:r>
    </w:p>
    <w:p w14:paraId="1CEE8DE3">
      <w:pPr>
        <w:adjustRightInd w:val="0"/>
        <w:snapToGrid w:val="0"/>
        <w:spacing w:before="156" w:beforeLines="50" w:line="480" w:lineRule="auto"/>
        <w:ind w:firstLine="482" w:firstLineChars="200"/>
        <w:outlineLvl w:val="1"/>
        <w:rPr>
          <w:rFonts w:ascii="宋体" w:hAnsi="宋体" w:cs="宋体"/>
          <w:b/>
          <w:bCs/>
          <w:sz w:val="24"/>
        </w:rPr>
      </w:pPr>
      <w:bookmarkStart w:id="260" w:name="_Toc28936"/>
      <w:bookmarkStart w:id="261" w:name="_Toc4488"/>
      <w:r>
        <w:rPr>
          <w:rFonts w:hint="eastAsia" w:ascii="宋体" w:hAnsi="宋体" w:cs="宋体"/>
          <w:b/>
          <w:bCs/>
          <w:sz w:val="24"/>
        </w:rPr>
        <w:t>第八条 质保期</w:t>
      </w:r>
      <w:bookmarkEnd w:id="260"/>
      <w:bookmarkEnd w:id="261"/>
    </w:p>
    <w:p w14:paraId="4619067A">
      <w:pPr>
        <w:snapToGrid w:val="0"/>
        <w:spacing w:line="360" w:lineRule="auto"/>
        <w:ind w:right="480" w:firstLine="480" w:firstLineChars="200"/>
        <w:rPr>
          <w:rFonts w:ascii="宋体" w:hAnsi="宋体" w:cs="宋体"/>
          <w:sz w:val="24"/>
        </w:rPr>
      </w:pPr>
      <w:r>
        <w:rPr>
          <w:rFonts w:ascii="宋体" w:hAnsi="宋体" w:cs="宋体"/>
          <w:sz w:val="24"/>
        </w:rPr>
        <w:t>项目完成操作培训及系统上线，完成整体验收，从双方签署《项目验收报告》之日起，系统进入质保期，质保期1年</w:t>
      </w:r>
      <w:r>
        <w:rPr>
          <w:rFonts w:hint="eastAsia" w:ascii="宋体" w:hAnsi="宋体" w:cs="宋体"/>
          <w:sz w:val="24"/>
        </w:rPr>
        <w:t>，</w:t>
      </w:r>
      <w:r>
        <w:rPr>
          <w:rFonts w:ascii="宋体" w:hAnsi="宋体" w:cs="宋体"/>
          <w:sz w:val="24"/>
        </w:rPr>
        <w:t>乙方提供运维保障服务。质保期满，乙方整理质保期的系统维护相关材料提交至甲方。甲方对乙方质保期间的履约情况考核，接收运维材料，双方确认签字，正式办理质保期结束手续。</w:t>
      </w:r>
    </w:p>
    <w:p w14:paraId="440CED84">
      <w:pPr>
        <w:numPr>
          <w:ilvl w:val="0"/>
          <w:numId w:val="1"/>
        </w:numPr>
        <w:adjustRightInd w:val="0"/>
        <w:snapToGrid w:val="0"/>
        <w:spacing w:before="156" w:beforeLines="50" w:line="480" w:lineRule="auto"/>
        <w:ind w:firstLine="482" w:firstLineChars="200"/>
        <w:outlineLvl w:val="1"/>
        <w:rPr>
          <w:rFonts w:hint="eastAsia" w:ascii="宋体" w:hAnsi="宋体" w:cs="宋体"/>
          <w:b/>
          <w:bCs/>
          <w:sz w:val="24"/>
          <w:lang w:val="en-US" w:eastAsia="zh-CN"/>
        </w:rPr>
      </w:pPr>
      <w:bookmarkStart w:id="262" w:name="_Toc31098"/>
      <w:r>
        <w:rPr>
          <w:rFonts w:hint="eastAsia" w:ascii="宋体" w:hAnsi="宋体" w:cs="宋体"/>
          <w:b/>
          <w:bCs/>
          <w:sz w:val="24"/>
          <w:lang w:val="en-US" w:eastAsia="zh-CN"/>
        </w:rPr>
        <w:t>知识产权</w:t>
      </w:r>
    </w:p>
    <w:p w14:paraId="37191745">
      <w:pPr>
        <w:adjustRightInd/>
        <w:snapToGrid w:val="0"/>
        <w:spacing w:before="0" w:beforeLines="-2147483648" w:line="360" w:lineRule="auto"/>
        <w:ind w:right="480" w:firstLine="480" w:firstLineChars="200"/>
        <w:outlineLvl w:val="9"/>
        <w:rPr>
          <w:rFonts w:hint="default" w:ascii="宋体" w:hAnsi="宋体" w:cs="宋体"/>
          <w:b w:val="0"/>
          <w:bCs w:val="0"/>
          <w:sz w:val="24"/>
          <w:lang w:val="en-US" w:eastAsia="zh-CN"/>
        </w:rPr>
      </w:pPr>
      <w:r>
        <w:rPr>
          <w:rFonts w:hint="eastAsia" w:cs="宋体"/>
          <w:sz w:val="24"/>
          <w:lang w:val="en-US" w:eastAsia="zh-CN"/>
        </w:rPr>
        <w:t>（一）乙方应保证其拥有产品及服务的知识产权，并保证甲方在中华人民共和国使用产品及服务或其任何一部分时，免受第三方提出侵犯其任何专利权、著作权、注册商标专有使用权、计算机软件登记或反不正当竞争的起诉及索赔。否则，由此而引起的所有责任及费用由乙方承担。</w:t>
      </w:r>
    </w:p>
    <w:p w14:paraId="5DC6A987">
      <w:pPr>
        <w:adjustRightInd/>
        <w:snapToGrid w:val="0"/>
        <w:spacing w:before="0" w:beforeLines="-2147483648" w:line="360" w:lineRule="auto"/>
        <w:ind w:right="480" w:firstLine="480" w:firstLineChars="200"/>
        <w:outlineLvl w:val="9"/>
        <w:rPr>
          <w:rFonts w:hint="default" w:ascii="宋体" w:hAnsi="宋体" w:cs="宋体"/>
          <w:b w:val="0"/>
          <w:bCs w:val="0"/>
          <w:sz w:val="24"/>
          <w:lang w:val="en-US" w:eastAsia="zh-CN"/>
        </w:rPr>
      </w:pPr>
      <w:r>
        <w:rPr>
          <w:rFonts w:hint="eastAsia" w:ascii="宋体" w:hAnsi="宋体" w:cs="宋体"/>
          <w:b w:val="0"/>
          <w:bCs w:val="0"/>
          <w:sz w:val="24"/>
          <w:lang w:val="en-US" w:eastAsia="zh-CN"/>
        </w:rPr>
        <w:t>（二）</w:t>
      </w:r>
      <w:r>
        <w:rPr>
          <w:rFonts w:hint="default" w:ascii="宋体" w:hAnsi="宋体" w:cs="宋体"/>
          <w:b w:val="0"/>
          <w:bCs w:val="0"/>
          <w:sz w:val="24"/>
          <w:lang w:val="en-US" w:eastAsia="zh-CN"/>
        </w:rPr>
        <w:t>本</w:t>
      </w:r>
      <w:r>
        <w:rPr>
          <w:rFonts w:hint="eastAsia" w:ascii="宋体" w:hAnsi="宋体" w:cs="宋体"/>
          <w:b w:val="0"/>
          <w:bCs w:val="0"/>
          <w:sz w:val="24"/>
          <w:lang w:val="en-US" w:eastAsia="zh-CN"/>
        </w:rPr>
        <w:t>项目</w:t>
      </w:r>
      <w:r>
        <w:rPr>
          <w:rFonts w:hint="default" w:ascii="宋体" w:hAnsi="宋体" w:cs="宋体"/>
          <w:b w:val="0"/>
          <w:bCs w:val="0"/>
          <w:sz w:val="24"/>
          <w:lang w:val="en-US" w:eastAsia="zh-CN"/>
        </w:rPr>
        <w:t>软件（包括但不限于其源代码、目标代码、文档、用户界面设计、算法、数据结构等）的知识产权归甲方所有。</w:t>
      </w:r>
    </w:p>
    <w:p w14:paraId="5BD5C653">
      <w:pPr>
        <w:numPr>
          <w:ilvl w:val="0"/>
          <w:numId w:val="1"/>
        </w:numPr>
        <w:adjustRightInd w:val="0"/>
        <w:snapToGrid w:val="0"/>
        <w:spacing w:before="156" w:beforeLines="50" w:line="480" w:lineRule="auto"/>
        <w:ind w:firstLine="482" w:firstLineChars="200"/>
        <w:outlineLvl w:val="1"/>
        <w:rPr>
          <w:rFonts w:hint="eastAsia" w:ascii="宋体" w:hAnsi="宋体" w:cs="宋体"/>
          <w:b/>
          <w:bCs/>
          <w:sz w:val="24"/>
          <w:lang w:val="en-US" w:eastAsia="zh-CN"/>
        </w:rPr>
      </w:pPr>
      <w:r>
        <w:rPr>
          <w:rFonts w:hint="eastAsia" w:ascii="宋体" w:hAnsi="宋体" w:cs="宋体"/>
          <w:b/>
          <w:bCs/>
          <w:sz w:val="24"/>
          <w:lang w:val="en-US" w:eastAsia="zh-CN"/>
        </w:rPr>
        <w:t>争议解决方式</w:t>
      </w:r>
    </w:p>
    <w:p w14:paraId="54538554">
      <w:pPr>
        <w:snapToGrid w:val="0"/>
        <w:spacing w:line="360" w:lineRule="auto"/>
        <w:ind w:right="480" w:firstLine="480" w:firstLineChars="200"/>
        <w:rPr>
          <w:rFonts w:hint="default" w:ascii="宋体" w:hAnsi="宋体" w:cs="宋体"/>
          <w:sz w:val="24"/>
          <w:lang w:val="en-US" w:eastAsia="zh-CN"/>
        </w:rPr>
      </w:pPr>
      <w:r>
        <w:rPr>
          <w:rFonts w:hint="default" w:ascii="宋体" w:hAnsi="宋体" w:eastAsia="宋体" w:cs="宋体"/>
          <w:kern w:val="2"/>
          <w:sz w:val="24"/>
          <w:szCs w:val="24"/>
          <w:lang w:val="en-US" w:eastAsia="zh-CN" w:bidi="ar"/>
        </w:rPr>
        <w:t>甲乙双方履行合同中发生争议的，可以先通过友好协商解决。协商不成的，任何一方均有权将争议提交至甲方所在地有管辖权的人民法院诉讼解决。</w:t>
      </w:r>
    </w:p>
    <w:p w14:paraId="04CEDB59">
      <w:pPr>
        <w:keepNext w:val="0"/>
        <w:keepLines w:val="0"/>
        <w:widowControl/>
        <w:numPr>
          <w:ilvl w:val="0"/>
          <w:numId w:val="1"/>
        </w:numPr>
        <w:suppressLineNumbers w:val="0"/>
        <w:adjustRightInd w:val="0"/>
        <w:snapToGrid w:val="0"/>
        <w:spacing w:before="156" w:beforeLines="50" w:beforeAutospacing="0" w:after="0" w:afterAutospacing="0" w:line="480" w:lineRule="auto"/>
        <w:ind w:left="0" w:right="0" w:firstLine="482" w:firstLineChars="200"/>
        <w:jc w:val="left"/>
        <w:outlineLvl w:val="1"/>
        <w:rPr>
          <w:rFonts w:hint="eastAsia" w:ascii="宋体" w:hAnsi="宋体" w:eastAsia="宋体" w:cs="宋体"/>
          <w:b/>
          <w:bCs/>
          <w:sz w:val="24"/>
          <w:szCs w:val="24"/>
          <w:lang w:val="en-US"/>
        </w:rPr>
      </w:pPr>
      <w:r>
        <w:rPr>
          <w:rFonts w:hint="eastAsia" w:ascii="宋体" w:hAnsi="宋体" w:cs="宋体"/>
          <w:b/>
          <w:bCs/>
          <w:sz w:val="24"/>
          <w:lang w:val="en-US" w:eastAsia="zh-CN"/>
        </w:rPr>
        <w:t>通知与送达</w:t>
      </w:r>
    </w:p>
    <w:p w14:paraId="29BB3364">
      <w:pPr>
        <w:keepNext w:val="0"/>
        <w:keepLines w:val="0"/>
        <w:widowControl/>
        <w:suppressLineNumbers w:val="0"/>
        <w:snapToGrid w:val="0"/>
        <w:spacing w:before="0" w:beforeAutospacing="0" w:after="0" w:afterAutospacing="0" w:line="360" w:lineRule="auto"/>
        <w:ind w:left="0" w:right="480" w:firstLine="480" w:firstLineChars="200"/>
        <w:jc w:val="left"/>
        <w:rPr>
          <w:rFonts w:hint="default" w:ascii="宋体" w:hAnsi="宋体" w:eastAsia="宋体" w:cs="宋体"/>
          <w:sz w:val="24"/>
          <w:szCs w:val="24"/>
          <w:lang w:val="en-US" w:bidi="ar"/>
        </w:rPr>
      </w:pPr>
      <w:r>
        <w:rPr>
          <w:rFonts w:hint="eastAsia" w:ascii="宋体" w:hAnsi="宋体" w:cs="宋体"/>
          <w:kern w:val="2"/>
          <w:sz w:val="24"/>
          <w:szCs w:val="24"/>
          <w:lang w:val="en-US" w:eastAsia="zh-CN" w:bidi="ar"/>
        </w:rPr>
        <w:t>（一）</w:t>
      </w:r>
      <w:r>
        <w:rPr>
          <w:rFonts w:hint="default" w:ascii="宋体" w:hAnsi="宋体" w:eastAsia="宋体" w:cs="宋体"/>
          <w:kern w:val="2"/>
          <w:sz w:val="24"/>
          <w:szCs w:val="24"/>
          <w:lang w:val="en-US" w:eastAsia="zh-CN" w:bidi="ar"/>
        </w:rPr>
        <w:t>本合同中甲、乙双方预留的地址、联系电话等即为双方的有效联系方式。</w:t>
      </w:r>
    </w:p>
    <w:p w14:paraId="74CD93DC">
      <w:pPr>
        <w:keepNext w:val="0"/>
        <w:keepLines w:val="0"/>
        <w:widowControl/>
        <w:suppressLineNumbers w:val="0"/>
        <w:snapToGrid w:val="0"/>
        <w:spacing w:before="0" w:beforeAutospacing="0" w:after="0" w:afterAutospacing="0" w:line="360" w:lineRule="auto"/>
        <w:ind w:left="0" w:right="480" w:firstLine="480" w:firstLineChars="200"/>
        <w:jc w:val="left"/>
        <w:rPr>
          <w:rFonts w:hint="default" w:ascii="宋体" w:hAnsi="宋体" w:eastAsia="宋体" w:cs="宋体"/>
          <w:sz w:val="24"/>
          <w:szCs w:val="24"/>
          <w:lang w:val="en-US" w:bidi="ar"/>
        </w:rPr>
      </w:pPr>
      <w:r>
        <w:rPr>
          <w:rFonts w:hint="eastAsia" w:ascii="宋体" w:hAnsi="宋体" w:cs="宋体"/>
          <w:kern w:val="2"/>
          <w:sz w:val="24"/>
          <w:szCs w:val="24"/>
          <w:lang w:val="en-US" w:eastAsia="zh-CN" w:bidi="ar"/>
        </w:rPr>
        <w:t>（二）</w:t>
      </w:r>
      <w:r>
        <w:rPr>
          <w:rFonts w:hint="default" w:ascii="宋体" w:hAnsi="宋体" w:eastAsia="宋体" w:cs="宋体"/>
          <w:kern w:val="2"/>
          <w:sz w:val="24"/>
          <w:szCs w:val="24"/>
          <w:lang w:val="en-US" w:eastAsia="zh-CN" w:bidi="ar"/>
        </w:rPr>
        <w:t>送达时间基准为：直接送达以签收人签收时间为准；（2）留置送达以通知或者报告（包括违约考核等）送达指定地点时间为准（如出现拒签情况，以通知或者报告（包括违约考核等）送达指定地点时派送人现场照片或物流信息显示送达时间为准）；（3）电子送达以发送人发出通知或者报告（包括违约考核等）时间为准。（4）邮寄送达以邮寄至另一方在本合同签署页规定的地址或者另一方书面制定或通知的其他地址，以另一方签收日期视为送达，签收日期不明确的，以邮件寄出后第3日视为送达。收件人拒收的，拒收之日视为送达。</w:t>
      </w:r>
    </w:p>
    <w:p w14:paraId="70C2DA60">
      <w:pPr>
        <w:widowControl/>
        <w:snapToGrid w:val="0"/>
        <w:spacing w:line="360" w:lineRule="auto"/>
        <w:ind w:left="0" w:right="480" w:firstLine="480" w:firstLineChars="200"/>
        <w:rPr>
          <w:rFonts w:hint="default"/>
          <w:lang w:val="en-US" w:eastAsia="zh-CN"/>
        </w:rPr>
      </w:pPr>
      <w:r>
        <w:rPr>
          <w:rFonts w:hint="eastAsia" w:ascii="宋体" w:hAnsi="宋体" w:cs="宋体"/>
          <w:kern w:val="2"/>
          <w:sz w:val="24"/>
          <w:szCs w:val="24"/>
          <w:lang w:val="en-US" w:eastAsia="zh-CN" w:bidi="ar"/>
        </w:rPr>
        <w:t>（三）</w:t>
      </w:r>
      <w:r>
        <w:rPr>
          <w:rFonts w:hint="default" w:ascii="宋体" w:hAnsi="宋体" w:eastAsia="宋体" w:cs="宋体"/>
          <w:kern w:val="2"/>
          <w:sz w:val="24"/>
          <w:szCs w:val="24"/>
          <w:lang w:val="en-US" w:eastAsia="zh-CN" w:bidi="ar"/>
        </w:rPr>
        <w:t>各方确认上述送达地址及送达方式适用于诉讼/仲裁的各阶段，包括但不限于一审、二审、再审、特别程序及执行程序。</w:t>
      </w:r>
    </w:p>
    <w:p w14:paraId="4840331C">
      <w:pPr>
        <w:adjustRightInd w:val="0"/>
        <w:snapToGrid w:val="0"/>
        <w:spacing w:before="156" w:beforeLines="50" w:line="480" w:lineRule="auto"/>
        <w:ind w:firstLine="482" w:firstLineChars="200"/>
        <w:outlineLvl w:val="1"/>
        <w:rPr>
          <w:rFonts w:ascii="宋体" w:hAnsi="宋体" w:cs="宋体"/>
          <w:b/>
          <w:bCs/>
          <w:sz w:val="24"/>
        </w:rPr>
      </w:pPr>
      <w:r>
        <w:rPr>
          <w:rFonts w:hint="eastAsia" w:ascii="宋体" w:hAnsi="宋体" w:cs="宋体"/>
          <w:b/>
          <w:bCs/>
          <w:sz w:val="24"/>
          <w:lang w:val="en-US" w:eastAsia="zh-CN"/>
        </w:rPr>
        <w:t xml:space="preserve">第十二条 </w:t>
      </w:r>
      <w:r>
        <w:rPr>
          <w:rFonts w:hint="eastAsia" w:ascii="宋体" w:hAnsi="宋体" w:cs="宋体"/>
          <w:b/>
          <w:bCs/>
          <w:sz w:val="24"/>
        </w:rPr>
        <w:t>其他条款</w:t>
      </w:r>
      <w:bookmarkEnd w:id="262"/>
    </w:p>
    <w:p w14:paraId="594A3F31">
      <w:pPr>
        <w:snapToGrid w:val="0"/>
        <w:spacing w:line="360" w:lineRule="auto"/>
        <w:ind w:right="480" w:firstLine="480" w:firstLineChars="200"/>
        <w:rPr>
          <w:rFonts w:ascii="宋体" w:hAnsi="宋体" w:cs="宋体"/>
          <w:sz w:val="24"/>
        </w:rPr>
      </w:pPr>
      <w:r>
        <w:rPr>
          <w:rFonts w:hint="eastAsia" w:ascii="宋体" w:hAnsi="宋体" w:cs="宋体"/>
          <w:sz w:val="24"/>
        </w:rPr>
        <w:t>（一）本合同及其附件和补充协议中未规定的事项，均遵照中华人民共和国有关法律、法规和政策执行。</w:t>
      </w:r>
    </w:p>
    <w:p w14:paraId="33CB8D60">
      <w:pPr>
        <w:snapToGrid w:val="0"/>
        <w:spacing w:line="360" w:lineRule="auto"/>
        <w:ind w:right="480" w:firstLine="480" w:firstLineChars="200"/>
        <w:rPr>
          <w:rFonts w:ascii="宋体" w:hAnsi="宋体" w:cs="宋体"/>
          <w:sz w:val="24"/>
        </w:rPr>
      </w:pPr>
      <w:r>
        <w:rPr>
          <w:rFonts w:hint="eastAsia" w:ascii="宋体" w:hAnsi="宋体" w:cs="宋体"/>
          <w:sz w:val="24"/>
        </w:rPr>
        <w:t>（二）本合同一式捌份，双方各执肆份，具有同等法律效力。</w:t>
      </w:r>
    </w:p>
    <w:p w14:paraId="1D3D9124">
      <w:pPr>
        <w:snapToGrid w:val="0"/>
        <w:spacing w:line="360" w:lineRule="auto"/>
        <w:ind w:right="480" w:firstLine="480" w:firstLineChars="200"/>
        <w:rPr>
          <w:rFonts w:ascii="宋体" w:hAnsi="宋体" w:cs="宋体"/>
          <w:sz w:val="24"/>
        </w:rPr>
      </w:pPr>
      <w:r>
        <w:rPr>
          <w:rFonts w:hint="eastAsia" w:ascii="宋体" w:hAnsi="宋体" w:cs="宋体"/>
          <w:sz w:val="24"/>
        </w:rPr>
        <w:t>（三）本合同甲乙双方签字或盖章，并加盖单位公章后生效。</w:t>
      </w:r>
    </w:p>
    <w:p w14:paraId="566E285D">
      <w:pPr>
        <w:snapToGrid w:val="0"/>
        <w:spacing w:line="360" w:lineRule="auto"/>
        <w:ind w:right="480" w:firstLine="480" w:firstLineChars="200"/>
        <w:rPr>
          <w:rFonts w:ascii="宋体" w:hAnsi="宋体" w:cs="宋体"/>
          <w:sz w:val="24"/>
        </w:rPr>
      </w:pPr>
    </w:p>
    <w:p w14:paraId="797D7B43">
      <w:pPr>
        <w:snapToGrid w:val="0"/>
        <w:spacing w:line="360" w:lineRule="auto"/>
        <w:ind w:right="480" w:firstLine="480" w:firstLineChars="200"/>
        <w:rPr>
          <w:rFonts w:ascii="宋体" w:hAnsi="宋体" w:cs="宋体"/>
          <w:sz w:val="24"/>
        </w:rPr>
      </w:pPr>
    </w:p>
    <w:p w14:paraId="364985B6">
      <w:pPr>
        <w:snapToGrid w:val="0"/>
        <w:spacing w:line="360" w:lineRule="auto"/>
        <w:ind w:right="480" w:firstLine="480" w:firstLineChars="200"/>
        <w:rPr>
          <w:rFonts w:ascii="宋体" w:hAnsi="宋体" w:cs="宋体"/>
          <w:sz w:val="24"/>
        </w:rPr>
      </w:pPr>
    </w:p>
    <w:p w14:paraId="1BE98086">
      <w:pPr>
        <w:snapToGrid w:val="0"/>
        <w:spacing w:line="480" w:lineRule="auto"/>
        <w:ind w:right="482" w:firstLine="480" w:firstLineChars="200"/>
        <w:rPr>
          <w:rFonts w:ascii="宋体" w:hAnsi="宋体" w:cs="宋体"/>
          <w:sz w:val="24"/>
        </w:rPr>
      </w:pPr>
      <w:r>
        <w:rPr>
          <w:rFonts w:hint="eastAsia" w:ascii="宋体" w:hAnsi="宋体" w:cs="宋体"/>
          <w:sz w:val="24"/>
        </w:rPr>
        <w:t>甲方（盖章）：南宁轨道数智科技有限公司法定代表人或委托代理人（签字或盖章）：</w:t>
      </w:r>
    </w:p>
    <w:p w14:paraId="4E259908">
      <w:pPr>
        <w:snapToGrid w:val="0"/>
        <w:spacing w:line="480" w:lineRule="auto"/>
        <w:ind w:left="1679" w:leftChars="228" w:right="482" w:hanging="1200" w:hangingChars="500"/>
        <w:rPr>
          <w:rFonts w:ascii="宋体" w:hAnsi="宋体" w:cs="宋体"/>
          <w:sz w:val="24"/>
        </w:rPr>
      </w:pPr>
      <w:r>
        <w:rPr>
          <w:rFonts w:hint="eastAsia" w:ascii="宋体" w:hAnsi="宋体" w:cs="宋体"/>
          <w:sz w:val="24"/>
        </w:rPr>
        <w:t>单位地址：南宁市青秀区凤岭北路111号南宁国际旅游中心3号楼19层1901-1903、1905-1913、1915-1916办公室</w:t>
      </w:r>
    </w:p>
    <w:p w14:paraId="0B644F9B">
      <w:pPr>
        <w:snapToGrid w:val="0"/>
        <w:spacing w:line="480" w:lineRule="auto"/>
        <w:ind w:right="482" w:firstLine="480" w:firstLineChars="200"/>
        <w:rPr>
          <w:rFonts w:ascii="宋体" w:hAnsi="宋体" w:cs="宋体"/>
          <w:sz w:val="24"/>
        </w:rPr>
      </w:pPr>
      <w:r>
        <w:rPr>
          <w:rFonts w:hint="eastAsia" w:ascii="宋体" w:hAnsi="宋体" w:cs="宋体"/>
          <w:sz w:val="24"/>
        </w:rPr>
        <w:t>开户银行：中国工商银行股份有限公司南宁市兴宁支行</w:t>
      </w:r>
    </w:p>
    <w:p w14:paraId="611FA26F">
      <w:pPr>
        <w:snapToGrid w:val="0"/>
        <w:spacing w:line="480" w:lineRule="auto"/>
        <w:ind w:right="482" w:firstLine="480" w:firstLineChars="200"/>
        <w:rPr>
          <w:rFonts w:ascii="宋体" w:hAnsi="宋体" w:cs="宋体"/>
          <w:sz w:val="24"/>
        </w:rPr>
      </w:pPr>
      <w:r>
        <w:rPr>
          <w:rFonts w:hint="eastAsia" w:ascii="宋体" w:hAnsi="宋体" w:cs="宋体"/>
          <w:sz w:val="24"/>
        </w:rPr>
        <w:t>开户账号：2102102019300543961</w:t>
      </w:r>
    </w:p>
    <w:p w14:paraId="161FA760">
      <w:pPr>
        <w:snapToGrid w:val="0"/>
        <w:spacing w:line="480" w:lineRule="auto"/>
        <w:ind w:right="482" w:firstLine="480" w:firstLineChars="200"/>
        <w:rPr>
          <w:rFonts w:ascii="宋体" w:hAnsi="宋体" w:cs="宋体"/>
          <w:sz w:val="24"/>
        </w:rPr>
      </w:pPr>
      <w:r>
        <w:rPr>
          <w:rFonts w:hint="eastAsia" w:ascii="宋体" w:hAnsi="宋体" w:cs="宋体"/>
          <w:sz w:val="24"/>
        </w:rPr>
        <w:t>签订日期：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w:t>
      </w:r>
    </w:p>
    <w:p w14:paraId="26D9A020">
      <w:pPr>
        <w:snapToGrid w:val="0"/>
        <w:spacing w:line="360" w:lineRule="auto"/>
        <w:ind w:right="480" w:firstLine="480" w:firstLineChars="200"/>
        <w:rPr>
          <w:rFonts w:ascii="宋体" w:hAnsi="宋体" w:cs="宋体"/>
          <w:sz w:val="24"/>
        </w:rPr>
      </w:pPr>
    </w:p>
    <w:p w14:paraId="796FD899">
      <w:pPr>
        <w:snapToGrid w:val="0"/>
        <w:spacing w:line="480" w:lineRule="auto"/>
        <w:ind w:right="482" w:firstLine="480" w:firstLineChars="200"/>
        <w:rPr>
          <w:rFonts w:ascii="宋体" w:hAnsi="宋体" w:cs="宋体"/>
          <w:sz w:val="24"/>
        </w:rPr>
      </w:pPr>
      <w:r>
        <w:rPr>
          <w:rFonts w:hint="eastAsia" w:ascii="宋体" w:hAnsi="宋体" w:cs="宋体"/>
          <w:sz w:val="24"/>
        </w:rPr>
        <w:t>乙方（盖章）：</w:t>
      </w:r>
    </w:p>
    <w:p w14:paraId="20461828">
      <w:pPr>
        <w:snapToGrid w:val="0"/>
        <w:spacing w:line="480" w:lineRule="auto"/>
        <w:ind w:right="482" w:firstLine="480" w:firstLineChars="200"/>
        <w:rPr>
          <w:rFonts w:ascii="宋体" w:hAnsi="宋体" w:cs="宋体"/>
          <w:sz w:val="24"/>
        </w:rPr>
      </w:pPr>
      <w:r>
        <w:rPr>
          <w:rFonts w:hint="eastAsia" w:ascii="宋体" w:hAnsi="宋体" w:cs="宋体"/>
          <w:sz w:val="24"/>
        </w:rPr>
        <w:t>法定代表人或委托代理人（签字或盖章）：</w:t>
      </w:r>
    </w:p>
    <w:p w14:paraId="7B02B193">
      <w:pPr>
        <w:snapToGrid w:val="0"/>
        <w:spacing w:line="480" w:lineRule="auto"/>
        <w:ind w:left="1679" w:leftChars="228" w:right="482" w:hanging="1200" w:hangingChars="500"/>
        <w:rPr>
          <w:rFonts w:ascii="宋体" w:hAnsi="宋体" w:cs="宋体"/>
          <w:sz w:val="24"/>
        </w:rPr>
      </w:pPr>
      <w:r>
        <w:rPr>
          <w:rFonts w:hint="eastAsia" w:ascii="宋体" w:hAnsi="宋体" w:cs="宋体"/>
          <w:sz w:val="24"/>
        </w:rPr>
        <w:t>单位地址：</w:t>
      </w:r>
    </w:p>
    <w:p w14:paraId="03492359">
      <w:pPr>
        <w:snapToGrid w:val="0"/>
        <w:spacing w:line="480" w:lineRule="auto"/>
        <w:ind w:right="482" w:firstLine="480" w:firstLineChars="200"/>
        <w:rPr>
          <w:rFonts w:ascii="宋体" w:hAnsi="宋体" w:cs="宋体"/>
          <w:sz w:val="24"/>
        </w:rPr>
      </w:pPr>
      <w:r>
        <w:rPr>
          <w:rFonts w:hint="eastAsia" w:ascii="宋体" w:hAnsi="宋体" w:cs="宋体"/>
          <w:sz w:val="24"/>
        </w:rPr>
        <w:t>开户银行：</w:t>
      </w:r>
    </w:p>
    <w:p w14:paraId="57DE0399">
      <w:pPr>
        <w:snapToGrid w:val="0"/>
        <w:spacing w:line="480" w:lineRule="auto"/>
        <w:ind w:right="482" w:firstLine="480" w:firstLineChars="200"/>
        <w:rPr>
          <w:rFonts w:ascii="宋体" w:hAnsi="宋体" w:cs="宋体"/>
          <w:sz w:val="24"/>
        </w:rPr>
      </w:pPr>
      <w:r>
        <w:rPr>
          <w:rFonts w:hint="eastAsia" w:ascii="宋体" w:hAnsi="宋体" w:cs="宋体"/>
          <w:sz w:val="24"/>
        </w:rPr>
        <w:t>开户账号：</w:t>
      </w:r>
    </w:p>
    <w:p w14:paraId="0B00CFD9">
      <w:pPr>
        <w:snapToGrid w:val="0"/>
        <w:spacing w:line="480" w:lineRule="auto"/>
        <w:ind w:right="482" w:firstLine="480" w:firstLineChars="200"/>
        <w:rPr>
          <w:rFonts w:ascii="宋体" w:hAnsi="宋体" w:cs="宋体"/>
          <w:sz w:val="24"/>
        </w:rPr>
      </w:pPr>
      <w:r>
        <w:rPr>
          <w:rFonts w:hint="eastAsia" w:ascii="宋体" w:hAnsi="宋体" w:cs="宋体"/>
          <w:sz w:val="24"/>
        </w:rPr>
        <w:t>签订日期：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w:t>
      </w:r>
    </w:p>
    <w:p w14:paraId="2D4A04B5">
      <w:pPr>
        <w:rPr>
          <w:rFonts w:ascii="宋体" w:hAnsi="宋体" w:cs="宋体"/>
          <w:sz w:val="24"/>
        </w:rPr>
      </w:pPr>
      <w:r>
        <w:rPr>
          <w:rFonts w:hint="eastAsia" w:ascii="宋体" w:hAnsi="宋体" w:cs="宋体"/>
          <w:sz w:val="24"/>
        </w:rPr>
        <w:br w:type="page"/>
      </w:r>
    </w:p>
    <w:p w14:paraId="34BE93D6">
      <w:pPr>
        <w:pStyle w:val="10"/>
        <w:jc w:val="center"/>
        <w:outlineLvl w:val="0"/>
        <w:rPr>
          <w:rFonts w:ascii="黑体" w:hAnsi="黑体" w:eastAsia="黑体" w:cs="黑体"/>
          <w:b/>
          <w:bCs/>
          <w:sz w:val="32"/>
          <w:szCs w:val="32"/>
        </w:rPr>
      </w:pPr>
      <w:r>
        <w:rPr>
          <w:rFonts w:hint="eastAsia" w:ascii="黑体" w:hAnsi="黑体" w:eastAsia="黑体" w:cs="黑体"/>
          <w:b/>
          <w:bCs/>
          <w:sz w:val="32"/>
          <w:szCs w:val="32"/>
        </w:rPr>
        <w:t>第三章 项目需求</w:t>
      </w:r>
    </w:p>
    <w:p w14:paraId="4E36691E">
      <w:pPr>
        <w:spacing w:line="570" w:lineRule="exact"/>
        <w:ind w:firstLine="482" w:firstLineChars="200"/>
        <w:outlineLvl w:val="1"/>
        <w:rPr>
          <w:rFonts w:ascii="黑体" w:hAnsi="黑体" w:eastAsia="黑体" w:cs="黑体"/>
          <w:color w:val="000000"/>
          <w:sz w:val="24"/>
        </w:rPr>
      </w:pPr>
      <w:bookmarkStart w:id="263" w:name="_Toc1714"/>
      <w:r>
        <w:rPr>
          <w:rFonts w:hint="eastAsia" w:ascii="宋体" w:hAnsi="宋体" w:cs="宋体"/>
          <w:b/>
          <w:bCs/>
          <w:sz w:val="24"/>
        </w:rPr>
        <w:t>一、背景</w:t>
      </w:r>
      <w:bookmarkEnd w:id="263"/>
    </w:p>
    <w:p w14:paraId="4C3EE899">
      <w:pPr>
        <w:snapToGrid w:val="0"/>
        <w:spacing w:line="360" w:lineRule="auto"/>
        <w:ind w:right="480" w:firstLine="480" w:firstLineChars="200"/>
        <w:rPr>
          <w:rFonts w:ascii="宋体" w:hAnsi="宋体" w:cs="宋体"/>
          <w:sz w:val="24"/>
        </w:rPr>
      </w:pPr>
      <w:r>
        <w:rPr>
          <w:rFonts w:hint="eastAsia" w:ascii="宋体" w:hAnsi="宋体" w:cs="宋体"/>
          <w:sz w:val="24"/>
        </w:rPr>
        <w:t>根据《广西壮族自治区机关企事业档案工作年度检查评分标准》（2023年版），新标准加大了档案信息化建设及档案工作数字化转型的评分比例，在具体评分标准中，对数字档案信息化建设、电子文件管理、信息安全规范管理，作了更为严格的要求。</w:t>
      </w:r>
    </w:p>
    <w:p w14:paraId="225B1A64">
      <w:pPr>
        <w:snapToGrid w:val="0"/>
        <w:spacing w:line="360" w:lineRule="auto"/>
        <w:ind w:right="480" w:firstLine="480" w:firstLineChars="200"/>
        <w:rPr>
          <w:rFonts w:ascii="仿宋" w:hAnsi="仿宋" w:eastAsia="仿宋" w:cs="仿宋"/>
          <w:color w:val="000000"/>
          <w:sz w:val="24"/>
        </w:rPr>
      </w:pPr>
      <w:r>
        <w:rPr>
          <w:rFonts w:hint="eastAsia" w:ascii="宋体" w:hAnsi="宋体" w:cs="宋体"/>
          <w:sz w:val="24"/>
        </w:rPr>
        <w:t>因此，建设新的档案信息管理系统，是日常档案管理工作的迫切需求，也是适应公司数字化转型的系统信息化建设必然要求。</w:t>
      </w:r>
    </w:p>
    <w:p w14:paraId="015295DB">
      <w:pPr>
        <w:spacing w:line="570" w:lineRule="exact"/>
        <w:ind w:firstLine="482" w:firstLineChars="200"/>
        <w:outlineLvl w:val="1"/>
        <w:rPr>
          <w:rFonts w:ascii="宋体" w:hAnsi="宋体" w:cs="宋体"/>
          <w:b/>
          <w:bCs/>
          <w:sz w:val="24"/>
        </w:rPr>
      </w:pPr>
      <w:bookmarkStart w:id="264" w:name="_Toc22671"/>
      <w:r>
        <w:rPr>
          <w:rFonts w:hint="eastAsia" w:ascii="宋体" w:hAnsi="宋体" w:cs="宋体"/>
          <w:b/>
          <w:bCs/>
          <w:sz w:val="24"/>
        </w:rPr>
        <w:t>二、建设目标</w:t>
      </w:r>
      <w:bookmarkEnd w:id="264"/>
    </w:p>
    <w:p w14:paraId="0719F77F">
      <w:pPr>
        <w:spacing w:line="570" w:lineRule="exact"/>
        <w:ind w:firstLine="480" w:firstLineChars="200"/>
        <w:rPr>
          <w:rFonts w:ascii="仿宋" w:hAnsi="仿宋" w:eastAsia="仿宋" w:cs="仿宋"/>
          <w:color w:val="000000"/>
          <w:sz w:val="24"/>
        </w:rPr>
      </w:pPr>
      <w:r>
        <w:rPr>
          <w:rFonts w:hint="eastAsia" w:ascii="宋体" w:hAnsi="宋体" w:cs="宋体"/>
          <w:sz w:val="24"/>
        </w:rPr>
        <w:t>按照《数字档案室建设指南》（档发〔2014〕4 号）、《数字档案室建设评价办法》（档办发〔2016〕3 号）要求，建立智慧档案信息管理系统（数字档案室），实现数字档案信息资源智能“收集、管理、存储、利用”，推进</w:t>
      </w:r>
      <w:r>
        <w:rPr>
          <w:rFonts w:hint="eastAsia" w:ascii="宋体" w:hAnsi="宋体" w:cs="宋体"/>
          <w:sz w:val="24"/>
          <w:lang w:val="en-US" w:eastAsia="zh-CN"/>
        </w:rPr>
        <w:t>数字</w:t>
      </w:r>
      <w:r>
        <w:rPr>
          <w:rFonts w:hint="eastAsia" w:ascii="宋体" w:hAnsi="宋体" w:cs="宋体"/>
          <w:sz w:val="24"/>
        </w:rPr>
        <w:t>档案管理系统和公司其它业务信息系统的数据有效对接，实现信息资源有效整合。改变档案管理人员传统档案接收和利用等工作模式，为公司员工提供方便快捷的档案资料查询和借阅方式，提高公司档案资源的利用率，促进知识创新和利用。</w:t>
      </w:r>
    </w:p>
    <w:p w14:paraId="416DADC0">
      <w:pPr>
        <w:spacing w:line="570" w:lineRule="exact"/>
        <w:ind w:firstLine="482" w:firstLineChars="200"/>
        <w:outlineLvl w:val="1"/>
        <w:rPr>
          <w:rFonts w:ascii="宋体" w:hAnsi="宋体" w:cs="宋体"/>
          <w:b/>
          <w:bCs/>
          <w:sz w:val="24"/>
        </w:rPr>
      </w:pPr>
      <w:bookmarkStart w:id="265" w:name="_Toc941"/>
      <w:r>
        <w:rPr>
          <w:rFonts w:hint="eastAsia" w:ascii="宋体" w:hAnsi="宋体" w:cs="宋体"/>
          <w:b/>
          <w:bCs/>
          <w:sz w:val="24"/>
        </w:rPr>
        <w:t>三、功能板块需求</w:t>
      </w:r>
      <w:bookmarkEnd w:id="265"/>
    </w:p>
    <w:tbl>
      <w:tblPr>
        <w:tblStyle w:val="19"/>
        <w:tblW w:w="9317" w:type="dxa"/>
        <w:tblInd w:w="0" w:type="dxa"/>
        <w:tblLayout w:type="fixed"/>
        <w:tblCellMar>
          <w:top w:w="0" w:type="dxa"/>
          <w:left w:w="108" w:type="dxa"/>
          <w:bottom w:w="0" w:type="dxa"/>
          <w:right w:w="108" w:type="dxa"/>
        </w:tblCellMar>
      </w:tblPr>
      <w:tblGrid>
        <w:gridCol w:w="1071"/>
        <w:gridCol w:w="1020"/>
        <w:gridCol w:w="5518"/>
        <w:gridCol w:w="750"/>
        <w:gridCol w:w="958"/>
      </w:tblGrid>
      <w:tr w14:paraId="4079D22C">
        <w:tblPrEx>
          <w:tblCellMar>
            <w:top w:w="0" w:type="dxa"/>
            <w:left w:w="108" w:type="dxa"/>
            <w:bottom w:w="0" w:type="dxa"/>
            <w:right w:w="108" w:type="dxa"/>
          </w:tblCellMar>
        </w:tblPrEx>
        <w:trPr>
          <w:trHeight w:val="630" w:hRule="atLeast"/>
        </w:trPr>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DCA91">
            <w:pPr>
              <w:keepNext w:val="0"/>
              <w:keepLines w:val="0"/>
              <w:suppressLineNumbers w:val="0"/>
              <w:spacing w:before="0" w:beforeAutospacing="0" w:after="0" w:afterAutospacing="0"/>
              <w:ind w:left="0" w:right="0"/>
              <w:rPr>
                <w:rFonts w:hint="default" w:ascii="宋体" w:hAnsi="宋体"/>
              </w:rPr>
            </w:pPr>
            <w:r>
              <w:rPr>
                <w:rFonts w:hint="eastAsia" w:ascii="宋体" w:hAnsi="宋体"/>
              </w:rPr>
              <w:t>应用名称</w:t>
            </w:r>
          </w:p>
        </w:tc>
        <w:tc>
          <w:tcPr>
            <w:tcW w:w="6538" w:type="dxa"/>
            <w:gridSpan w:val="2"/>
            <w:tcBorders>
              <w:top w:val="single" w:color="auto" w:sz="4" w:space="0"/>
              <w:left w:val="nil"/>
              <w:bottom w:val="single" w:color="auto" w:sz="4" w:space="0"/>
              <w:right w:val="single" w:color="auto" w:sz="4" w:space="0"/>
            </w:tcBorders>
            <w:shd w:val="clear" w:color="auto" w:fill="auto"/>
            <w:noWrap/>
            <w:vAlign w:val="center"/>
          </w:tcPr>
          <w:p w14:paraId="6CDB5DA8">
            <w:pPr>
              <w:keepNext w:val="0"/>
              <w:keepLines w:val="0"/>
              <w:suppressLineNumbers w:val="0"/>
              <w:spacing w:before="0" w:beforeAutospacing="0" w:after="0" w:afterAutospacing="0"/>
              <w:ind w:left="0" w:right="0"/>
              <w:rPr>
                <w:rFonts w:hint="default" w:ascii="宋体" w:hAnsi="宋体"/>
              </w:rPr>
            </w:pPr>
            <w:r>
              <w:rPr>
                <w:rFonts w:hint="eastAsia" w:ascii="宋体" w:hAnsi="宋体"/>
              </w:rPr>
              <w:t>技术参数</w:t>
            </w:r>
          </w:p>
        </w:tc>
        <w:tc>
          <w:tcPr>
            <w:tcW w:w="750" w:type="dxa"/>
            <w:tcBorders>
              <w:top w:val="single" w:color="auto" w:sz="4" w:space="0"/>
              <w:left w:val="nil"/>
              <w:bottom w:val="single" w:color="auto" w:sz="4" w:space="0"/>
              <w:right w:val="single" w:color="auto" w:sz="4" w:space="0"/>
            </w:tcBorders>
            <w:vAlign w:val="center"/>
          </w:tcPr>
          <w:p w14:paraId="6D6BFBC1">
            <w:pPr>
              <w:keepNext w:val="0"/>
              <w:keepLines w:val="0"/>
              <w:suppressLineNumbers w:val="0"/>
              <w:spacing w:before="0" w:beforeAutospacing="0" w:after="0" w:afterAutospacing="0"/>
              <w:ind w:left="0" w:right="0"/>
              <w:rPr>
                <w:rFonts w:hint="default" w:ascii="宋体" w:hAnsi="宋体"/>
              </w:rPr>
            </w:pPr>
            <w:r>
              <w:rPr>
                <w:rFonts w:hint="eastAsia" w:ascii="宋体" w:hAnsi="宋体"/>
              </w:rPr>
              <w:t>计量单位</w:t>
            </w:r>
          </w:p>
        </w:tc>
        <w:tc>
          <w:tcPr>
            <w:tcW w:w="958" w:type="dxa"/>
            <w:tcBorders>
              <w:top w:val="single" w:color="auto" w:sz="4" w:space="0"/>
              <w:left w:val="nil"/>
              <w:bottom w:val="single" w:color="auto" w:sz="4" w:space="0"/>
              <w:right w:val="single" w:color="auto" w:sz="4" w:space="0"/>
            </w:tcBorders>
            <w:vAlign w:val="center"/>
          </w:tcPr>
          <w:p w14:paraId="4AE3036F">
            <w:pPr>
              <w:keepNext w:val="0"/>
              <w:keepLines w:val="0"/>
              <w:suppressLineNumbers w:val="0"/>
              <w:spacing w:before="0" w:beforeAutospacing="0" w:after="0" w:afterAutospacing="0"/>
              <w:ind w:left="0" w:right="0"/>
              <w:rPr>
                <w:rFonts w:hint="default" w:ascii="宋体" w:hAnsi="宋体"/>
              </w:rPr>
            </w:pPr>
            <w:r>
              <w:rPr>
                <w:rFonts w:hint="eastAsia" w:ascii="宋体" w:hAnsi="宋体"/>
              </w:rPr>
              <w:t>数量</w:t>
            </w:r>
          </w:p>
        </w:tc>
      </w:tr>
      <w:tr w14:paraId="36BEF065">
        <w:tblPrEx>
          <w:tblCellMar>
            <w:top w:w="0" w:type="dxa"/>
            <w:left w:w="108" w:type="dxa"/>
            <w:bottom w:w="0" w:type="dxa"/>
            <w:right w:w="108" w:type="dxa"/>
          </w:tblCellMar>
        </w:tblPrEx>
        <w:trPr>
          <w:trHeight w:val="1095" w:hRule="atLeast"/>
        </w:trPr>
        <w:tc>
          <w:tcPr>
            <w:tcW w:w="1071" w:type="dxa"/>
            <w:vMerge w:val="restart"/>
            <w:tcBorders>
              <w:top w:val="nil"/>
              <w:left w:val="single" w:color="auto" w:sz="4" w:space="0"/>
              <w:right w:val="single" w:color="auto" w:sz="4" w:space="0"/>
            </w:tcBorders>
            <w:shd w:val="clear" w:color="auto" w:fill="auto"/>
            <w:noWrap/>
            <w:vAlign w:val="center"/>
          </w:tcPr>
          <w:p w14:paraId="72C7D7F0">
            <w:pPr>
              <w:keepNext w:val="0"/>
              <w:keepLines w:val="0"/>
              <w:suppressLineNumbers w:val="0"/>
              <w:spacing w:before="0" w:beforeAutospacing="0" w:after="0" w:afterAutospacing="0"/>
              <w:ind w:left="0" w:right="0"/>
              <w:rPr>
                <w:rFonts w:hint="default" w:ascii="宋体" w:hAnsi="宋体"/>
              </w:rPr>
            </w:pPr>
            <w:r>
              <w:rPr>
                <w:rFonts w:hint="eastAsia" w:ascii="宋体" w:hAnsi="宋体"/>
              </w:rPr>
              <w:t>一、数字档案管理系统</w:t>
            </w:r>
          </w:p>
        </w:tc>
        <w:tc>
          <w:tcPr>
            <w:tcW w:w="1020" w:type="dxa"/>
            <w:vMerge w:val="restart"/>
            <w:tcBorders>
              <w:top w:val="nil"/>
              <w:left w:val="nil"/>
              <w:right w:val="single" w:color="auto" w:sz="4" w:space="0"/>
            </w:tcBorders>
            <w:shd w:val="clear" w:color="auto" w:fill="auto"/>
            <w:noWrap/>
            <w:vAlign w:val="center"/>
          </w:tcPr>
          <w:p w14:paraId="600DDD4E">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系统情况</w:t>
            </w:r>
          </w:p>
        </w:tc>
        <w:tc>
          <w:tcPr>
            <w:tcW w:w="5518" w:type="dxa"/>
            <w:tcBorders>
              <w:top w:val="nil"/>
              <w:left w:val="nil"/>
              <w:bottom w:val="single" w:color="auto" w:sz="4" w:space="0"/>
              <w:right w:val="single" w:color="auto" w:sz="4" w:space="0"/>
            </w:tcBorders>
            <w:shd w:val="clear" w:color="auto" w:fill="auto"/>
            <w:vAlign w:val="center"/>
          </w:tcPr>
          <w:p w14:paraId="4C73A138">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系统架构：</w:t>
            </w:r>
          </w:p>
          <w:p w14:paraId="3AFD44A4">
            <w:pPr>
              <w:keepNext w:val="0"/>
              <w:keepLines w:val="0"/>
              <w:suppressLineNumbers w:val="0"/>
              <w:spacing w:before="0" w:beforeAutospacing="0" w:after="0" w:afterAutospacing="0"/>
              <w:ind w:left="0" w:right="0"/>
              <w:rPr>
                <w:rFonts w:hint="default" w:ascii="宋体" w:hAnsi="宋体"/>
              </w:rPr>
            </w:pPr>
            <w:r>
              <w:rPr>
                <w:rFonts w:hint="eastAsia" w:ascii="宋体" w:hAnsi="宋体"/>
              </w:rPr>
              <w:t>（1）技术架构：B/S 或者 C/S架构方式部署，能够跨平台（windows+linux）部署的要求；</w:t>
            </w:r>
          </w:p>
          <w:p w14:paraId="2AFA2059">
            <w:pPr>
              <w:keepNext w:val="0"/>
              <w:keepLines w:val="0"/>
              <w:suppressLineNumbers w:val="0"/>
              <w:spacing w:before="0" w:beforeAutospacing="0" w:after="0" w:afterAutospacing="0"/>
              <w:ind w:left="0" w:right="0"/>
              <w:rPr>
                <w:rFonts w:hint="default" w:ascii="宋体" w:hAnsi="宋体"/>
              </w:rPr>
            </w:pPr>
            <w:r>
              <w:rPr>
                <w:rFonts w:hint="eastAsia" w:ascii="宋体" w:hAnsi="宋体"/>
              </w:rPr>
              <w:t>（2）须将档案库进行分库设计，分为预归档库、管理库进行分别管理，支持档案库之间的数据交换；</w:t>
            </w:r>
          </w:p>
          <w:p w14:paraId="251F4501">
            <w:pPr>
              <w:keepNext w:val="0"/>
              <w:keepLines w:val="0"/>
              <w:suppressLineNumbers w:val="0"/>
              <w:spacing w:before="0" w:beforeAutospacing="0" w:after="0" w:afterAutospacing="0"/>
              <w:ind w:left="0" w:right="0"/>
              <w:rPr>
                <w:rFonts w:hint="default" w:ascii="宋体" w:hAnsi="宋体"/>
              </w:rPr>
            </w:pPr>
            <w:r>
              <w:rPr>
                <w:rFonts w:hint="eastAsia" w:ascii="宋体" w:hAnsi="宋体"/>
              </w:rPr>
              <w:t>（3）对于档案的挂接业务，提供手工挂接与批量挂接两种方式。对于单件手动挂接可以在Web上进行挂接。对于大数据量的批量原文挂接业务采用C</w:t>
            </w:r>
            <w:r>
              <w:rPr>
                <w:rFonts w:hint="default" w:ascii="宋体" w:hAnsi="宋体"/>
              </w:rPr>
              <w:t>/S</w:t>
            </w:r>
            <w:r>
              <w:rPr>
                <w:rFonts w:hint="eastAsia" w:ascii="宋体" w:hAnsi="宋体"/>
              </w:rPr>
              <w:t>架构，需提供独立的挂接客户端程序进行挂接。</w:t>
            </w:r>
          </w:p>
        </w:tc>
        <w:tc>
          <w:tcPr>
            <w:tcW w:w="750" w:type="dxa"/>
            <w:vMerge w:val="restart"/>
            <w:tcBorders>
              <w:top w:val="nil"/>
              <w:left w:val="nil"/>
              <w:right w:val="single" w:color="auto" w:sz="4" w:space="0"/>
            </w:tcBorders>
            <w:vAlign w:val="center"/>
          </w:tcPr>
          <w:p w14:paraId="5C24C93D">
            <w:pPr>
              <w:keepNext w:val="0"/>
              <w:keepLines w:val="0"/>
              <w:suppressLineNumbers w:val="0"/>
              <w:spacing w:before="0" w:beforeAutospacing="0" w:after="0" w:afterAutospacing="0"/>
              <w:ind w:left="0" w:right="0"/>
              <w:rPr>
                <w:rFonts w:hint="default" w:ascii="宋体" w:hAnsi="宋体"/>
              </w:rPr>
            </w:pPr>
            <w:r>
              <w:rPr>
                <w:rFonts w:hint="eastAsia" w:ascii="宋体" w:hAnsi="宋体"/>
              </w:rPr>
              <w:t>套</w:t>
            </w:r>
          </w:p>
        </w:tc>
        <w:tc>
          <w:tcPr>
            <w:tcW w:w="958" w:type="dxa"/>
            <w:vMerge w:val="restart"/>
            <w:tcBorders>
              <w:top w:val="nil"/>
              <w:left w:val="nil"/>
              <w:right w:val="single" w:color="auto" w:sz="4" w:space="0"/>
            </w:tcBorders>
            <w:vAlign w:val="center"/>
          </w:tcPr>
          <w:p w14:paraId="62002CF1">
            <w:pPr>
              <w:keepNext w:val="0"/>
              <w:keepLines w:val="0"/>
              <w:suppressLineNumbers w:val="0"/>
              <w:spacing w:before="0" w:beforeAutospacing="0" w:after="0" w:afterAutospacing="0"/>
              <w:ind w:left="0" w:right="0"/>
              <w:rPr>
                <w:rFonts w:hint="default" w:ascii="宋体" w:hAnsi="宋体"/>
              </w:rPr>
            </w:pPr>
            <w:r>
              <w:rPr>
                <w:rFonts w:hint="eastAsia" w:ascii="宋体" w:hAnsi="宋体"/>
              </w:rPr>
              <w:t>1</w:t>
            </w:r>
          </w:p>
        </w:tc>
      </w:tr>
      <w:tr w14:paraId="5E01C937">
        <w:tblPrEx>
          <w:tblCellMar>
            <w:top w:w="0" w:type="dxa"/>
            <w:left w:w="108" w:type="dxa"/>
            <w:bottom w:w="0" w:type="dxa"/>
            <w:right w:w="108" w:type="dxa"/>
          </w:tblCellMar>
        </w:tblPrEx>
        <w:trPr>
          <w:trHeight w:val="2081" w:hRule="atLeast"/>
        </w:trPr>
        <w:tc>
          <w:tcPr>
            <w:tcW w:w="1071" w:type="dxa"/>
            <w:vMerge w:val="continue"/>
            <w:tcBorders>
              <w:left w:val="single" w:color="auto" w:sz="4" w:space="0"/>
              <w:right w:val="single" w:color="auto" w:sz="4" w:space="0"/>
            </w:tcBorders>
            <w:shd w:val="clear" w:color="auto" w:fill="auto"/>
            <w:noWrap/>
            <w:vAlign w:val="center"/>
          </w:tcPr>
          <w:p w14:paraId="0967F359">
            <w:pPr>
              <w:keepNext w:val="0"/>
              <w:keepLines w:val="0"/>
              <w:suppressLineNumbers w:val="0"/>
              <w:spacing w:before="0" w:beforeAutospacing="0" w:after="0" w:afterAutospacing="0"/>
              <w:ind w:left="0" w:right="0"/>
              <w:rPr>
                <w:rFonts w:hint="default" w:ascii="宋体" w:hAnsi="宋体"/>
              </w:rPr>
            </w:pPr>
          </w:p>
        </w:tc>
        <w:tc>
          <w:tcPr>
            <w:tcW w:w="1020" w:type="dxa"/>
            <w:vMerge w:val="continue"/>
            <w:tcBorders>
              <w:left w:val="nil"/>
              <w:right w:val="single" w:color="auto" w:sz="4" w:space="0"/>
            </w:tcBorders>
            <w:shd w:val="clear" w:color="auto" w:fill="auto"/>
            <w:noWrap/>
            <w:vAlign w:val="center"/>
          </w:tcPr>
          <w:p w14:paraId="02DC7C09">
            <w:pPr>
              <w:keepNext w:val="0"/>
              <w:keepLines w:val="0"/>
              <w:suppressLineNumbers w:val="0"/>
              <w:spacing w:before="0" w:beforeAutospacing="0" w:after="0" w:afterAutospacing="0"/>
              <w:ind w:left="0" w:right="0"/>
              <w:rPr>
                <w:rFonts w:hint="default" w:ascii="宋体" w:hAnsi="宋体"/>
              </w:rPr>
            </w:pPr>
          </w:p>
        </w:tc>
        <w:tc>
          <w:tcPr>
            <w:tcW w:w="5518" w:type="dxa"/>
            <w:tcBorders>
              <w:top w:val="nil"/>
              <w:left w:val="nil"/>
              <w:bottom w:val="single" w:color="auto" w:sz="4" w:space="0"/>
              <w:right w:val="single" w:color="auto" w:sz="4" w:space="0"/>
            </w:tcBorders>
            <w:shd w:val="clear" w:color="auto" w:fill="auto"/>
            <w:vAlign w:val="center"/>
          </w:tcPr>
          <w:p w14:paraId="57A586BF">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系统性能：</w:t>
            </w:r>
          </w:p>
          <w:p w14:paraId="3964F4BC">
            <w:pPr>
              <w:keepNext w:val="0"/>
              <w:keepLines w:val="0"/>
              <w:suppressLineNumbers w:val="0"/>
              <w:spacing w:before="0" w:beforeAutospacing="0" w:after="0" w:afterAutospacing="0"/>
              <w:ind w:left="0" w:right="0"/>
              <w:rPr>
                <w:rFonts w:hint="default" w:ascii="宋体" w:hAnsi="宋体"/>
              </w:rPr>
            </w:pPr>
            <w:r>
              <w:rPr>
                <w:rFonts w:hint="eastAsia" w:ascii="宋体" w:hAnsi="宋体"/>
              </w:rPr>
              <w:t>（1）目录检索、全文检索检索响应时间不超过3秒；</w:t>
            </w:r>
          </w:p>
          <w:p w14:paraId="72AFA998">
            <w:pPr>
              <w:keepNext w:val="0"/>
              <w:keepLines w:val="0"/>
              <w:suppressLineNumbers w:val="0"/>
              <w:spacing w:before="0" w:beforeAutospacing="0" w:after="0" w:afterAutospacing="0"/>
              <w:ind w:left="0" w:right="0"/>
              <w:rPr>
                <w:rFonts w:hint="default" w:ascii="宋体" w:hAnsi="宋体"/>
              </w:rPr>
            </w:pPr>
            <w:r>
              <w:rPr>
                <w:rFonts w:hint="eastAsia" w:ascii="宋体" w:hAnsi="宋体"/>
              </w:rPr>
              <w:t>（2）系统无故障运行时间大于5000小时；</w:t>
            </w:r>
          </w:p>
          <w:p w14:paraId="3D16FF21">
            <w:pPr>
              <w:keepNext w:val="0"/>
              <w:keepLines w:val="0"/>
              <w:suppressLineNumbers w:val="0"/>
              <w:spacing w:before="0" w:beforeAutospacing="0" w:after="0" w:afterAutospacing="0"/>
              <w:ind w:left="0" w:right="0"/>
              <w:rPr>
                <w:rFonts w:hint="default" w:ascii="宋体" w:hAnsi="宋体"/>
              </w:rPr>
            </w:pPr>
            <w:r>
              <w:rPr>
                <w:rFonts w:hint="eastAsia" w:ascii="宋体" w:hAnsi="宋体"/>
              </w:rPr>
              <w:t>（3）系统支持多台服务器的部署应用；</w:t>
            </w:r>
          </w:p>
          <w:p w14:paraId="163A5149">
            <w:pPr>
              <w:keepNext w:val="0"/>
              <w:keepLines w:val="0"/>
              <w:suppressLineNumbers w:val="0"/>
              <w:spacing w:before="0" w:beforeAutospacing="0" w:after="0" w:afterAutospacing="0"/>
              <w:ind w:left="0" w:right="0"/>
              <w:rPr>
                <w:rFonts w:hint="default" w:ascii="宋体" w:hAnsi="宋体"/>
              </w:rPr>
            </w:pPr>
            <w:r>
              <w:rPr>
                <w:rFonts w:hint="eastAsia" w:ascii="宋体" w:hAnsi="宋体"/>
              </w:rPr>
              <w:t>（4）原文挂接速度不低于50GB/小时；</w:t>
            </w:r>
          </w:p>
          <w:p w14:paraId="1B030548">
            <w:pPr>
              <w:keepNext w:val="0"/>
              <w:keepLines w:val="0"/>
              <w:suppressLineNumbers w:val="0"/>
              <w:spacing w:before="0" w:beforeAutospacing="0" w:after="0" w:afterAutospacing="0"/>
              <w:ind w:left="0" w:right="0"/>
              <w:rPr>
                <w:rFonts w:hint="default" w:ascii="宋体" w:hAnsi="宋体"/>
              </w:rPr>
            </w:pPr>
            <w:r>
              <w:rPr>
                <w:rFonts w:hint="eastAsia" w:ascii="宋体" w:hAnsi="宋体"/>
              </w:rPr>
              <w:t>（5）目录接收速度不低于100000条/分钟。</w:t>
            </w:r>
          </w:p>
        </w:tc>
        <w:tc>
          <w:tcPr>
            <w:tcW w:w="750" w:type="dxa"/>
            <w:vMerge w:val="continue"/>
            <w:tcBorders>
              <w:left w:val="nil"/>
              <w:right w:val="single" w:color="auto" w:sz="4" w:space="0"/>
            </w:tcBorders>
            <w:vAlign w:val="center"/>
          </w:tcPr>
          <w:p w14:paraId="259952FC">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64D0F4E">
            <w:pPr>
              <w:keepNext w:val="0"/>
              <w:keepLines w:val="0"/>
              <w:suppressLineNumbers w:val="0"/>
              <w:spacing w:before="0" w:beforeAutospacing="0" w:after="0" w:afterAutospacing="0"/>
              <w:ind w:left="0" w:right="0"/>
              <w:rPr>
                <w:rFonts w:hint="default" w:ascii="宋体" w:hAnsi="宋体"/>
              </w:rPr>
            </w:pPr>
          </w:p>
        </w:tc>
      </w:tr>
      <w:tr w14:paraId="3041EB14">
        <w:tblPrEx>
          <w:tblCellMar>
            <w:top w:w="0" w:type="dxa"/>
            <w:left w:w="108" w:type="dxa"/>
            <w:bottom w:w="0" w:type="dxa"/>
            <w:right w:w="108" w:type="dxa"/>
          </w:tblCellMar>
        </w:tblPrEx>
        <w:trPr>
          <w:trHeight w:val="1749" w:hRule="atLeast"/>
        </w:trPr>
        <w:tc>
          <w:tcPr>
            <w:tcW w:w="1071" w:type="dxa"/>
            <w:vMerge w:val="continue"/>
            <w:tcBorders>
              <w:left w:val="single" w:color="auto" w:sz="4" w:space="0"/>
              <w:right w:val="single" w:color="auto" w:sz="4" w:space="0"/>
            </w:tcBorders>
            <w:shd w:val="clear" w:color="auto" w:fill="auto"/>
            <w:noWrap/>
            <w:vAlign w:val="center"/>
          </w:tcPr>
          <w:p w14:paraId="06F45CBF">
            <w:pPr>
              <w:keepNext w:val="0"/>
              <w:keepLines w:val="0"/>
              <w:suppressLineNumbers w:val="0"/>
              <w:spacing w:before="0" w:beforeAutospacing="0" w:after="0" w:afterAutospacing="0"/>
              <w:ind w:left="0" w:right="0"/>
              <w:rPr>
                <w:rFonts w:hint="default" w:ascii="宋体" w:hAnsi="宋体"/>
              </w:rPr>
            </w:pPr>
          </w:p>
        </w:tc>
        <w:tc>
          <w:tcPr>
            <w:tcW w:w="1020" w:type="dxa"/>
            <w:vMerge w:val="continue"/>
            <w:tcBorders>
              <w:left w:val="nil"/>
              <w:right w:val="single" w:color="auto" w:sz="4" w:space="0"/>
            </w:tcBorders>
            <w:shd w:val="clear" w:color="auto" w:fill="auto"/>
            <w:noWrap/>
            <w:vAlign w:val="center"/>
          </w:tcPr>
          <w:p w14:paraId="3CB666F8">
            <w:pPr>
              <w:keepNext w:val="0"/>
              <w:keepLines w:val="0"/>
              <w:suppressLineNumbers w:val="0"/>
              <w:spacing w:before="0" w:beforeAutospacing="0" w:after="0" w:afterAutospacing="0"/>
              <w:ind w:left="0" w:right="0"/>
              <w:rPr>
                <w:rFonts w:hint="default" w:ascii="宋体" w:hAnsi="宋体"/>
              </w:rPr>
            </w:pPr>
          </w:p>
        </w:tc>
        <w:tc>
          <w:tcPr>
            <w:tcW w:w="5518" w:type="dxa"/>
            <w:tcBorders>
              <w:top w:val="nil"/>
              <w:left w:val="nil"/>
              <w:bottom w:val="single" w:color="auto" w:sz="4" w:space="0"/>
              <w:right w:val="single" w:color="auto" w:sz="4" w:space="0"/>
            </w:tcBorders>
            <w:shd w:val="clear" w:color="auto" w:fill="auto"/>
            <w:vAlign w:val="center"/>
          </w:tcPr>
          <w:p w14:paraId="776077A6">
            <w:pPr>
              <w:keepNext w:val="0"/>
              <w:keepLines w:val="0"/>
              <w:suppressLineNumbers w:val="0"/>
              <w:spacing w:before="0" w:beforeAutospacing="0" w:after="0" w:afterAutospacing="0"/>
              <w:ind w:left="0" w:right="0"/>
              <w:rPr>
                <w:rFonts w:hint="default" w:ascii="宋体" w:hAnsi="宋体"/>
              </w:rPr>
            </w:pPr>
            <w:r>
              <w:rPr>
                <w:rFonts w:hint="eastAsia" w:ascii="宋体" w:hAnsi="宋体"/>
              </w:rPr>
              <w:t>兼容性：</w:t>
            </w:r>
          </w:p>
          <w:p w14:paraId="4375BF56">
            <w:pPr>
              <w:keepNext w:val="0"/>
              <w:keepLines w:val="0"/>
              <w:suppressLineNumbers w:val="0"/>
              <w:spacing w:before="0" w:beforeAutospacing="0" w:after="0" w:afterAutospacing="0"/>
              <w:ind w:left="0" w:right="0"/>
              <w:rPr>
                <w:rFonts w:hint="default" w:ascii="宋体" w:hAnsi="宋体"/>
              </w:rPr>
            </w:pPr>
            <w:r>
              <w:rPr>
                <w:rFonts w:hint="eastAsia" w:ascii="宋体" w:hAnsi="宋体"/>
              </w:rPr>
              <w:t>（1）档案系统须兼容X86/ARM架构CPU的服务器，并能部署运行在预装国产操作系统的服务器和终端电脑上；</w:t>
            </w:r>
          </w:p>
          <w:p w14:paraId="08A8181B">
            <w:pPr>
              <w:keepNext w:val="0"/>
              <w:keepLines w:val="0"/>
              <w:suppressLineNumbers w:val="0"/>
              <w:spacing w:before="0" w:beforeAutospacing="0" w:after="0" w:afterAutospacing="0"/>
              <w:ind w:left="0" w:right="0"/>
              <w:rPr>
                <w:rFonts w:hint="default" w:ascii="宋体" w:hAnsi="宋体"/>
              </w:rPr>
            </w:pPr>
            <w:r>
              <w:rPr>
                <w:rFonts w:hint="eastAsia" w:ascii="宋体" w:hAnsi="宋体"/>
              </w:rPr>
              <w:t>（2）满足主流品牌的国产数据库的切换与兼容要求；</w:t>
            </w:r>
          </w:p>
          <w:p w14:paraId="62490583">
            <w:pPr>
              <w:keepNext w:val="0"/>
              <w:keepLines w:val="0"/>
              <w:suppressLineNumbers w:val="0"/>
              <w:spacing w:before="0" w:beforeAutospacing="0" w:after="0" w:afterAutospacing="0"/>
              <w:ind w:left="0" w:right="0"/>
              <w:rPr>
                <w:rFonts w:hint="default" w:ascii="宋体" w:hAnsi="宋体"/>
              </w:rPr>
            </w:pPr>
            <w:r>
              <w:rPr>
                <w:rFonts w:hint="eastAsia" w:ascii="宋体" w:hAnsi="宋体"/>
              </w:rPr>
              <w:t>（3）兼容麒麟、UOS等国产品牌操作系统</w:t>
            </w:r>
          </w:p>
        </w:tc>
        <w:tc>
          <w:tcPr>
            <w:tcW w:w="750" w:type="dxa"/>
            <w:vMerge w:val="continue"/>
            <w:tcBorders>
              <w:left w:val="nil"/>
              <w:right w:val="single" w:color="auto" w:sz="4" w:space="0"/>
            </w:tcBorders>
            <w:vAlign w:val="center"/>
          </w:tcPr>
          <w:p w14:paraId="12F96D2E">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3AED60E4">
            <w:pPr>
              <w:keepNext w:val="0"/>
              <w:keepLines w:val="0"/>
              <w:suppressLineNumbers w:val="0"/>
              <w:spacing w:before="0" w:beforeAutospacing="0" w:after="0" w:afterAutospacing="0"/>
              <w:ind w:left="0" w:right="0"/>
              <w:rPr>
                <w:rFonts w:hint="default" w:ascii="宋体" w:hAnsi="宋体"/>
              </w:rPr>
            </w:pPr>
          </w:p>
        </w:tc>
      </w:tr>
      <w:tr w14:paraId="57DA8EC3">
        <w:tblPrEx>
          <w:tblCellMar>
            <w:top w:w="0" w:type="dxa"/>
            <w:left w:w="108" w:type="dxa"/>
            <w:bottom w:w="0" w:type="dxa"/>
            <w:right w:w="108" w:type="dxa"/>
          </w:tblCellMar>
        </w:tblPrEx>
        <w:trPr>
          <w:trHeight w:val="1136" w:hRule="atLeast"/>
        </w:trPr>
        <w:tc>
          <w:tcPr>
            <w:tcW w:w="1071" w:type="dxa"/>
            <w:vMerge w:val="continue"/>
            <w:tcBorders>
              <w:left w:val="single" w:color="auto" w:sz="4" w:space="0"/>
              <w:right w:val="single" w:color="auto" w:sz="4" w:space="0"/>
            </w:tcBorders>
            <w:shd w:val="clear" w:color="auto" w:fill="auto"/>
            <w:noWrap/>
            <w:vAlign w:val="center"/>
          </w:tcPr>
          <w:p w14:paraId="62378CEA">
            <w:pPr>
              <w:keepNext w:val="0"/>
              <w:keepLines w:val="0"/>
              <w:suppressLineNumbers w:val="0"/>
              <w:spacing w:before="0" w:beforeAutospacing="0" w:after="0" w:afterAutospacing="0"/>
              <w:ind w:left="0" w:right="0"/>
              <w:rPr>
                <w:rFonts w:hint="default" w:ascii="宋体" w:hAnsi="宋体"/>
              </w:rPr>
            </w:pPr>
          </w:p>
        </w:tc>
        <w:tc>
          <w:tcPr>
            <w:tcW w:w="1020" w:type="dxa"/>
            <w:vMerge w:val="continue"/>
            <w:tcBorders>
              <w:left w:val="nil"/>
              <w:bottom w:val="single" w:color="auto" w:sz="4" w:space="0"/>
              <w:right w:val="single" w:color="auto" w:sz="4" w:space="0"/>
            </w:tcBorders>
            <w:shd w:val="clear" w:color="auto" w:fill="auto"/>
            <w:noWrap/>
            <w:vAlign w:val="center"/>
          </w:tcPr>
          <w:p w14:paraId="633F33A1">
            <w:pPr>
              <w:keepNext w:val="0"/>
              <w:keepLines w:val="0"/>
              <w:suppressLineNumbers w:val="0"/>
              <w:spacing w:before="0" w:beforeAutospacing="0" w:after="0" w:afterAutospacing="0"/>
              <w:ind w:left="0" w:right="0"/>
              <w:rPr>
                <w:rFonts w:hint="default" w:ascii="宋体" w:hAnsi="宋体"/>
              </w:rPr>
            </w:pPr>
          </w:p>
        </w:tc>
        <w:tc>
          <w:tcPr>
            <w:tcW w:w="5518" w:type="dxa"/>
            <w:tcBorders>
              <w:top w:val="nil"/>
              <w:left w:val="nil"/>
              <w:bottom w:val="single" w:color="auto" w:sz="4" w:space="0"/>
              <w:right w:val="single" w:color="auto" w:sz="4" w:space="0"/>
            </w:tcBorders>
            <w:shd w:val="clear" w:color="auto" w:fill="auto"/>
            <w:vAlign w:val="center"/>
          </w:tcPr>
          <w:p w14:paraId="1BF83252">
            <w:pPr>
              <w:keepNext w:val="0"/>
              <w:keepLines w:val="0"/>
              <w:suppressLineNumbers w:val="0"/>
              <w:spacing w:before="0" w:beforeAutospacing="0" w:after="0" w:afterAutospacing="0"/>
              <w:ind w:left="0" w:right="0"/>
              <w:rPr>
                <w:rFonts w:hint="default" w:ascii="宋体" w:hAnsi="宋体"/>
              </w:rPr>
            </w:pPr>
            <w:r>
              <w:rPr>
                <w:rFonts w:hint="eastAsia" w:ascii="宋体" w:hAnsi="宋体"/>
              </w:rPr>
              <w:t>规范性：</w:t>
            </w:r>
          </w:p>
          <w:p w14:paraId="5AEAEA85">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档案管理系统技术参数及要求满足《广西壮族自治区机关企事业档案工作年度检查评分标准》、《电子档案管理系统通用要求》（GB/T 39784-2021）、《电子档案单套管理一般要求》</w:t>
            </w:r>
          </w:p>
        </w:tc>
        <w:tc>
          <w:tcPr>
            <w:tcW w:w="750" w:type="dxa"/>
            <w:vMerge w:val="continue"/>
            <w:tcBorders>
              <w:left w:val="nil"/>
              <w:right w:val="single" w:color="auto" w:sz="4" w:space="0"/>
            </w:tcBorders>
            <w:vAlign w:val="center"/>
          </w:tcPr>
          <w:p w14:paraId="63CAD560">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6E63E6A2">
            <w:pPr>
              <w:keepNext w:val="0"/>
              <w:keepLines w:val="0"/>
              <w:suppressLineNumbers w:val="0"/>
              <w:spacing w:before="0" w:beforeAutospacing="0" w:after="0" w:afterAutospacing="0"/>
              <w:ind w:left="0" w:right="0"/>
              <w:rPr>
                <w:rFonts w:hint="default" w:ascii="宋体" w:hAnsi="宋体"/>
              </w:rPr>
            </w:pPr>
          </w:p>
        </w:tc>
      </w:tr>
      <w:tr w14:paraId="0C9168E5">
        <w:tblPrEx>
          <w:tblCellMar>
            <w:top w:w="0" w:type="dxa"/>
            <w:left w:w="108" w:type="dxa"/>
            <w:bottom w:w="0" w:type="dxa"/>
            <w:right w:w="108" w:type="dxa"/>
          </w:tblCellMar>
        </w:tblPrEx>
        <w:trPr>
          <w:trHeight w:val="410" w:hRule="atLeast"/>
        </w:trPr>
        <w:tc>
          <w:tcPr>
            <w:tcW w:w="1071" w:type="dxa"/>
            <w:vMerge w:val="continue"/>
            <w:tcBorders>
              <w:left w:val="single" w:color="auto" w:sz="4" w:space="0"/>
              <w:right w:val="single" w:color="auto" w:sz="4" w:space="0"/>
            </w:tcBorders>
            <w:shd w:val="clear" w:color="auto" w:fill="auto"/>
            <w:noWrap/>
            <w:vAlign w:val="center"/>
          </w:tcPr>
          <w:p w14:paraId="7E06DDF6">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563E3265">
            <w:pPr>
              <w:keepNext w:val="0"/>
              <w:keepLines w:val="0"/>
              <w:suppressLineNumbers w:val="0"/>
              <w:spacing w:before="0" w:beforeAutospacing="0" w:after="0" w:afterAutospacing="0"/>
              <w:ind w:left="0" w:right="0"/>
              <w:rPr>
                <w:rFonts w:hint="default" w:ascii="宋体" w:hAnsi="宋体"/>
              </w:rPr>
            </w:pPr>
            <w:r>
              <w:rPr>
                <w:rFonts w:hint="eastAsia" w:ascii="宋体" w:hAnsi="宋体"/>
              </w:rPr>
              <w:t>预归档库管理</w:t>
            </w:r>
          </w:p>
        </w:tc>
        <w:tc>
          <w:tcPr>
            <w:tcW w:w="5518" w:type="dxa"/>
            <w:tcBorders>
              <w:top w:val="single" w:color="auto" w:sz="4" w:space="0"/>
              <w:left w:val="nil"/>
              <w:bottom w:val="single" w:color="auto" w:sz="4" w:space="0"/>
              <w:right w:val="single" w:color="auto" w:sz="4" w:space="0"/>
            </w:tcBorders>
            <w:shd w:val="clear" w:color="auto" w:fill="auto"/>
            <w:vAlign w:val="bottom"/>
          </w:tcPr>
          <w:p w14:paraId="0BDB9B53">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nil"/>
              <w:right w:val="single" w:color="auto" w:sz="4" w:space="0"/>
            </w:tcBorders>
            <w:vAlign w:val="center"/>
          </w:tcPr>
          <w:p w14:paraId="14185051">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4B0E66B2">
            <w:pPr>
              <w:keepNext w:val="0"/>
              <w:keepLines w:val="0"/>
              <w:suppressLineNumbers w:val="0"/>
              <w:spacing w:before="0" w:beforeAutospacing="0" w:after="0" w:afterAutospacing="0"/>
              <w:ind w:left="0" w:right="0"/>
              <w:rPr>
                <w:rFonts w:hint="default" w:ascii="宋体" w:hAnsi="宋体"/>
              </w:rPr>
            </w:pPr>
          </w:p>
        </w:tc>
      </w:tr>
      <w:tr w14:paraId="52A4D969">
        <w:tblPrEx>
          <w:tblCellMar>
            <w:top w:w="0" w:type="dxa"/>
            <w:left w:w="108" w:type="dxa"/>
            <w:bottom w:w="0" w:type="dxa"/>
            <w:right w:w="108" w:type="dxa"/>
          </w:tblCellMar>
        </w:tblPrEx>
        <w:trPr>
          <w:trHeight w:val="543" w:hRule="atLeast"/>
        </w:trPr>
        <w:tc>
          <w:tcPr>
            <w:tcW w:w="1071" w:type="dxa"/>
            <w:vMerge w:val="continue"/>
            <w:tcBorders>
              <w:left w:val="single" w:color="auto" w:sz="4" w:space="0"/>
              <w:right w:val="single" w:color="auto" w:sz="4" w:space="0"/>
            </w:tcBorders>
            <w:shd w:val="clear" w:color="auto" w:fill="auto"/>
            <w:noWrap/>
            <w:vAlign w:val="center"/>
          </w:tcPr>
          <w:p w14:paraId="1AA607D0">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6C2ED970">
            <w:pPr>
              <w:keepNext w:val="0"/>
              <w:keepLines w:val="0"/>
              <w:suppressLineNumbers w:val="0"/>
              <w:spacing w:before="0" w:beforeAutospacing="0" w:after="0" w:afterAutospacing="0"/>
              <w:ind w:left="0" w:right="0"/>
              <w:rPr>
                <w:rFonts w:hint="default" w:ascii="宋体" w:hAnsi="宋体"/>
              </w:rPr>
            </w:pPr>
            <w:r>
              <w:rPr>
                <w:rFonts w:hint="eastAsia" w:ascii="宋体" w:hAnsi="宋体"/>
              </w:rPr>
              <w:t>数据著录</w:t>
            </w:r>
          </w:p>
        </w:tc>
        <w:tc>
          <w:tcPr>
            <w:tcW w:w="5518" w:type="dxa"/>
            <w:tcBorders>
              <w:top w:val="nil"/>
              <w:left w:val="nil"/>
              <w:bottom w:val="single" w:color="auto" w:sz="4" w:space="0"/>
              <w:right w:val="single" w:color="auto" w:sz="4" w:space="0"/>
            </w:tcBorders>
            <w:shd w:val="clear" w:color="auto" w:fill="auto"/>
            <w:vAlign w:val="center"/>
          </w:tcPr>
          <w:p w14:paraId="1A7EF699">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提供档案目录的新增、编辑、删除功能。删除功能提供放置回收站、直接删除选项</w:t>
            </w:r>
          </w:p>
        </w:tc>
        <w:tc>
          <w:tcPr>
            <w:tcW w:w="750" w:type="dxa"/>
            <w:vMerge w:val="continue"/>
            <w:tcBorders>
              <w:left w:val="nil"/>
              <w:right w:val="single" w:color="auto" w:sz="4" w:space="0"/>
            </w:tcBorders>
            <w:vAlign w:val="center"/>
          </w:tcPr>
          <w:p w14:paraId="23ECF9AD">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6FB68FA2">
            <w:pPr>
              <w:keepNext w:val="0"/>
              <w:keepLines w:val="0"/>
              <w:suppressLineNumbers w:val="0"/>
              <w:spacing w:before="0" w:beforeAutospacing="0" w:after="0" w:afterAutospacing="0"/>
              <w:ind w:left="0" w:right="0"/>
              <w:rPr>
                <w:rFonts w:hint="default" w:ascii="宋体" w:hAnsi="宋体"/>
              </w:rPr>
            </w:pPr>
          </w:p>
        </w:tc>
      </w:tr>
      <w:tr w14:paraId="7839CBEA">
        <w:tblPrEx>
          <w:tblCellMar>
            <w:top w:w="0" w:type="dxa"/>
            <w:left w:w="108" w:type="dxa"/>
            <w:bottom w:w="0" w:type="dxa"/>
            <w:right w:w="108" w:type="dxa"/>
          </w:tblCellMar>
        </w:tblPrEx>
        <w:trPr>
          <w:trHeight w:val="570" w:hRule="atLeast"/>
        </w:trPr>
        <w:tc>
          <w:tcPr>
            <w:tcW w:w="1071" w:type="dxa"/>
            <w:vMerge w:val="continue"/>
            <w:tcBorders>
              <w:left w:val="single" w:color="auto" w:sz="4" w:space="0"/>
              <w:right w:val="single" w:color="auto" w:sz="4" w:space="0"/>
            </w:tcBorders>
            <w:shd w:val="clear" w:color="auto" w:fill="auto"/>
            <w:noWrap/>
            <w:vAlign w:val="center"/>
          </w:tcPr>
          <w:p w14:paraId="4D0BC09E">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50A76672">
            <w:pPr>
              <w:keepNext w:val="0"/>
              <w:keepLines w:val="0"/>
              <w:suppressLineNumbers w:val="0"/>
              <w:spacing w:before="0" w:beforeAutospacing="0" w:after="0" w:afterAutospacing="0"/>
              <w:ind w:left="0" w:right="0"/>
              <w:rPr>
                <w:rFonts w:hint="default" w:ascii="宋体" w:hAnsi="宋体"/>
              </w:rPr>
            </w:pPr>
            <w:r>
              <w:rPr>
                <w:rFonts w:hint="eastAsia" w:ascii="宋体" w:hAnsi="宋体"/>
              </w:rPr>
              <w:t>查看原文</w:t>
            </w:r>
          </w:p>
        </w:tc>
        <w:tc>
          <w:tcPr>
            <w:tcW w:w="5518" w:type="dxa"/>
            <w:tcBorders>
              <w:top w:val="nil"/>
              <w:left w:val="nil"/>
              <w:bottom w:val="single" w:color="auto" w:sz="4" w:space="0"/>
              <w:right w:val="single" w:color="auto" w:sz="4" w:space="0"/>
            </w:tcBorders>
            <w:shd w:val="clear" w:color="auto" w:fill="auto"/>
            <w:vAlign w:val="center"/>
          </w:tcPr>
          <w:p w14:paraId="042DCA5E">
            <w:pPr>
              <w:keepNext w:val="0"/>
              <w:keepLines w:val="0"/>
              <w:suppressLineNumbers w:val="0"/>
              <w:spacing w:before="0" w:beforeAutospacing="0" w:after="0" w:afterAutospacing="0"/>
              <w:ind w:left="0" w:right="0"/>
              <w:rPr>
                <w:rFonts w:hint="default" w:ascii="宋体" w:hAnsi="宋体"/>
              </w:rPr>
            </w:pPr>
            <w:r>
              <w:rPr>
                <w:rFonts w:hint="eastAsia" w:ascii="宋体" w:hAnsi="宋体"/>
              </w:rPr>
              <w:t>支持xls、xlsx、doc、docx、ofd、pdf、jpg、png、tiff等十多种文件格式的在线预览。提供【手工挂接】、【下载原件】、【打印】、【删除原件】功能</w:t>
            </w:r>
          </w:p>
        </w:tc>
        <w:tc>
          <w:tcPr>
            <w:tcW w:w="750" w:type="dxa"/>
            <w:vMerge w:val="continue"/>
            <w:tcBorders>
              <w:left w:val="nil"/>
              <w:right w:val="single" w:color="auto" w:sz="4" w:space="0"/>
            </w:tcBorders>
            <w:vAlign w:val="center"/>
          </w:tcPr>
          <w:p w14:paraId="2FAD83FC">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40E18940">
            <w:pPr>
              <w:keepNext w:val="0"/>
              <w:keepLines w:val="0"/>
              <w:suppressLineNumbers w:val="0"/>
              <w:spacing w:before="0" w:beforeAutospacing="0" w:after="0" w:afterAutospacing="0"/>
              <w:ind w:left="0" w:right="0"/>
              <w:rPr>
                <w:rFonts w:hint="default" w:ascii="宋体" w:hAnsi="宋体"/>
              </w:rPr>
            </w:pPr>
          </w:p>
        </w:tc>
      </w:tr>
      <w:tr w14:paraId="1ACCC34A">
        <w:tblPrEx>
          <w:tblCellMar>
            <w:top w:w="0" w:type="dxa"/>
            <w:left w:w="108" w:type="dxa"/>
            <w:bottom w:w="0" w:type="dxa"/>
            <w:right w:w="108" w:type="dxa"/>
          </w:tblCellMar>
        </w:tblPrEx>
        <w:trPr>
          <w:trHeight w:val="532" w:hRule="atLeast"/>
        </w:trPr>
        <w:tc>
          <w:tcPr>
            <w:tcW w:w="1071" w:type="dxa"/>
            <w:vMerge w:val="continue"/>
            <w:tcBorders>
              <w:left w:val="single" w:color="auto" w:sz="4" w:space="0"/>
              <w:right w:val="single" w:color="auto" w:sz="4" w:space="0"/>
            </w:tcBorders>
            <w:shd w:val="clear" w:color="auto" w:fill="auto"/>
            <w:noWrap/>
            <w:vAlign w:val="center"/>
          </w:tcPr>
          <w:p w14:paraId="133704A1">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23E6C35D">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档案查询</w:t>
            </w:r>
          </w:p>
        </w:tc>
        <w:tc>
          <w:tcPr>
            <w:tcW w:w="5518" w:type="dxa"/>
            <w:tcBorders>
              <w:top w:val="nil"/>
              <w:left w:val="nil"/>
              <w:bottom w:val="single" w:color="auto" w:sz="4" w:space="0"/>
              <w:right w:val="single" w:color="auto" w:sz="4" w:space="0"/>
            </w:tcBorders>
            <w:shd w:val="clear" w:color="auto" w:fill="auto"/>
            <w:vAlign w:val="center"/>
          </w:tcPr>
          <w:p w14:paraId="4F001677">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提供常规查询、组合查询选项</w:t>
            </w:r>
          </w:p>
        </w:tc>
        <w:tc>
          <w:tcPr>
            <w:tcW w:w="750" w:type="dxa"/>
            <w:vMerge w:val="continue"/>
            <w:tcBorders>
              <w:left w:val="nil"/>
              <w:right w:val="single" w:color="auto" w:sz="4" w:space="0"/>
            </w:tcBorders>
            <w:vAlign w:val="center"/>
          </w:tcPr>
          <w:p w14:paraId="4324D222">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0334615">
            <w:pPr>
              <w:keepNext w:val="0"/>
              <w:keepLines w:val="0"/>
              <w:suppressLineNumbers w:val="0"/>
              <w:spacing w:before="0" w:beforeAutospacing="0" w:after="0" w:afterAutospacing="0"/>
              <w:ind w:left="0" w:right="0"/>
              <w:rPr>
                <w:rFonts w:hint="default" w:ascii="宋体" w:hAnsi="宋体"/>
              </w:rPr>
            </w:pPr>
          </w:p>
        </w:tc>
      </w:tr>
      <w:tr w14:paraId="7A67BCCC">
        <w:tblPrEx>
          <w:tblCellMar>
            <w:top w:w="0" w:type="dxa"/>
            <w:left w:w="108" w:type="dxa"/>
            <w:bottom w:w="0" w:type="dxa"/>
            <w:right w:w="108" w:type="dxa"/>
          </w:tblCellMar>
        </w:tblPrEx>
        <w:trPr>
          <w:trHeight w:val="863" w:hRule="atLeast"/>
        </w:trPr>
        <w:tc>
          <w:tcPr>
            <w:tcW w:w="1071" w:type="dxa"/>
            <w:vMerge w:val="continue"/>
            <w:tcBorders>
              <w:left w:val="single" w:color="auto" w:sz="4" w:space="0"/>
              <w:right w:val="single" w:color="auto" w:sz="4" w:space="0"/>
            </w:tcBorders>
            <w:shd w:val="clear" w:color="auto" w:fill="auto"/>
            <w:noWrap/>
            <w:vAlign w:val="center"/>
          </w:tcPr>
          <w:p w14:paraId="0CA12B3D">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20050C44">
            <w:pPr>
              <w:keepNext w:val="0"/>
              <w:keepLines w:val="0"/>
              <w:suppressLineNumbers w:val="0"/>
              <w:spacing w:before="0" w:beforeAutospacing="0" w:after="0" w:afterAutospacing="0"/>
              <w:ind w:left="0" w:right="0"/>
              <w:rPr>
                <w:rFonts w:hint="default" w:ascii="宋体" w:hAnsi="宋体"/>
              </w:rPr>
            </w:pPr>
            <w:r>
              <w:rPr>
                <w:rFonts w:hint="eastAsia" w:ascii="宋体" w:hAnsi="宋体"/>
              </w:rPr>
              <w:t>合规性检查</w:t>
            </w:r>
          </w:p>
        </w:tc>
        <w:tc>
          <w:tcPr>
            <w:tcW w:w="5518" w:type="dxa"/>
            <w:tcBorders>
              <w:top w:val="nil"/>
              <w:left w:val="nil"/>
              <w:bottom w:val="single" w:color="auto" w:sz="4" w:space="0"/>
              <w:right w:val="single" w:color="auto" w:sz="4" w:space="0"/>
            </w:tcBorders>
            <w:shd w:val="clear" w:color="auto" w:fill="auto"/>
            <w:vAlign w:val="center"/>
          </w:tcPr>
          <w:p w14:paraId="0B1191B7">
            <w:pPr>
              <w:keepNext w:val="0"/>
              <w:keepLines w:val="0"/>
              <w:suppressLineNumbers w:val="0"/>
              <w:spacing w:before="0" w:beforeAutospacing="0" w:after="0" w:afterAutospacing="0"/>
              <w:ind w:left="0" w:right="0"/>
              <w:rPr>
                <w:rFonts w:hint="default" w:ascii="宋体" w:hAnsi="宋体"/>
              </w:rPr>
            </w:pPr>
            <w:r>
              <w:rPr>
                <w:rFonts w:hint="eastAsia" w:ascii="宋体" w:hAnsi="宋体"/>
              </w:rPr>
              <w:t>规性数据检查具有全面性、真实性。主要包括唯一性检测、连续性检测、一致性检测。</w:t>
            </w:r>
          </w:p>
          <w:p w14:paraId="0E74110F">
            <w:pPr>
              <w:keepNext w:val="0"/>
              <w:keepLines w:val="0"/>
              <w:suppressLineNumbers w:val="0"/>
              <w:spacing w:before="0" w:beforeAutospacing="0" w:after="0" w:afterAutospacing="0"/>
              <w:ind w:left="0" w:right="0"/>
              <w:rPr>
                <w:rFonts w:hint="default" w:ascii="宋体" w:hAnsi="宋体"/>
              </w:rPr>
            </w:pPr>
            <w:r>
              <w:rPr>
                <w:rFonts w:hint="eastAsia" w:ascii="宋体" w:hAnsi="宋体"/>
              </w:rPr>
              <w:t>一、 唯一性检测：</w:t>
            </w:r>
          </w:p>
          <w:p w14:paraId="135B0350">
            <w:pPr>
              <w:keepNext w:val="0"/>
              <w:keepLines w:val="0"/>
              <w:suppressLineNumbers w:val="0"/>
              <w:spacing w:before="0" w:beforeAutospacing="0" w:after="0" w:afterAutospacing="0"/>
              <w:ind w:left="0" w:right="0"/>
              <w:rPr>
                <w:rFonts w:hint="default" w:ascii="宋体" w:hAnsi="宋体"/>
              </w:rPr>
            </w:pPr>
            <w:r>
              <w:rPr>
                <w:rFonts w:hint="eastAsia" w:ascii="宋体" w:hAnsi="宋体"/>
              </w:rPr>
              <w:t>1.唯一性指条目表中某一项或多项信息填写不能出现重复，可以作为每件档案，每条条目的唯一标识。</w:t>
            </w:r>
          </w:p>
          <w:p w14:paraId="214BE28E">
            <w:pPr>
              <w:keepNext w:val="0"/>
              <w:keepLines w:val="0"/>
              <w:suppressLineNumbers w:val="0"/>
              <w:spacing w:before="0" w:beforeAutospacing="0" w:after="0" w:afterAutospacing="0"/>
              <w:ind w:left="0" w:right="0"/>
              <w:rPr>
                <w:rFonts w:hint="default" w:ascii="宋体" w:hAnsi="宋体"/>
              </w:rPr>
            </w:pPr>
            <w:r>
              <w:rPr>
                <w:rFonts w:hint="eastAsia" w:ascii="宋体" w:hAnsi="宋体"/>
              </w:rPr>
              <w:t>2.档号是档案馆（室）在整理和管理档案的过程中，以字符形式赋予档案的、用以固定和反映档案排列顺序的一组代码，具有唯一性，不能有重复。</w:t>
            </w:r>
          </w:p>
          <w:p w14:paraId="55C386EA">
            <w:pPr>
              <w:keepNext w:val="0"/>
              <w:keepLines w:val="0"/>
              <w:suppressLineNumbers w:val="0"/>
              <w:spacing w:before="0" w:beforeAutospacing="0" w:after="0" w:afterAutospacing="0"/>
              <w:ind w:left="0" w:right="0"/>
              <w:rPr>
                <w:rFonts w:hint="default" w:ascii="宋体" w:hAnsi="宋体"/>
              </w:rPr>
            </w:pPr>
            <w:r>
              <w:rPr>
                <w:rFonts w:hint="eastAsia" w:ascii="宋体" w:hAnsi="宋体"/>
              </w:rPr>
              <w:t>二、连续性检测：</w:t>
            </w:r>
          </w:p>
          <w:p w14:paraId="79FCE7AD">
            <w:pPr>
              <w:keepNext w:val="0"/>
              <w:keepLines w:val="0"/>
              <w:suppressLineNumbers w:val="0"/>
              <w:spacing w:before="0" w:beforeAutospacing="0" w:after="0" w:afterAutospacing="0"/>
              <w:ind w:left="0" w:right="0"/>
              <w:rPr>
                <w:rFonts w:hint="default" w:ascii="宋体" w:hAnsi="宋体"/>
              </w:rPr>
            </w:pPr>
            <w:r>
              <w:rPr>
                <w:rFonts w:hint="eastAsia" w:ascii="宋体" w:hAnsi="宋体"/>
              </w:rPr>
              <w:t>1.按件整理的文书档案著录归档文件在同年度、同机构、同一保管期限内的排列序号，即归档章上的件号，具有连续性，不能出现断续。</w:t>
            </w:r>
          </w:p>
          <w:p w14:paraId="1C3806E0">
            <w:pPr>
              <w:keepNext w:val="0"/>
              <w:keepLines w:val="0"/>
              <w:suppressLineNumbers w:val="0"/>
              <w:spacing w:before="0" w:beforeAutospacing="0" w:after="0" w:afterAutospacing="0"/>
              <w:ind w:left="0" w:right="0"/>
              <w:rPr>
                <w:rFonts w:hint="default" w:ascii="宋体" w:hAnsi="宋体"/>
              </w:rPr>
            </w:pPr>
            <w:r>
              <w:rPr>
                <w:rFonts w:hint="eastAsia" w:ascii="宋体" w:hAnsi="宋体"/>
              </w:rPr>
              <w:t>2.页号是文件每页的排列序号，具有连续性，不能出现断续。</w:t>
            </w:r>
          </w:p>
          <w:p w14:paraId="7013E608">
            <w:pPr>
              <w:keepNext w:val="0"/>
              <w:keepLines w:val="0"/>
              <w:suppressLineNumbers w:val="0"/>
              <w:spacing w:before="0" w:beforeAutospacing="0" w:after="0" w:afterAutospacing="0"/>
              <w:ind w:left="0" w:right="0"/>
              <w:rPr>
                <w:rFonts w:hint="default" w:ascii="宋体" w:hAnsi="宋体"/>
              </w:rPr>
            </w:pPr>
            <w:r>
              <w:rPr>
                <w:rFonts w:hint="eastAsia" w:ascii="宋体" w:hAnsi="宋体"/>
              </w:rPr>
              <w:t>3.起止页号是案卷整理的文书档案，页号整卷排列的情况下，卷内连续两件中第一件的截止页号和第二件的起始页号，具有连续性，不能出现断续。</w:t>
            </w:r>
          </w:p>
          <w:p w14:paraId="19F62CD3">
            <w:pPr>
              <w:keepNext w:val="0"/>
              <w:keepLines w:val="0"/>
              <w:suppressLineNumbers w:val="0"/>
              <w:spacing w:before="0" w:beforeAutospacing="0" w:after="0" w:afterAutospacing="0"/>
              <w:ind w:left="0" w:right="0"/>
              <w:rPr>
                <w:rFonts w:hint="default" w:ascii="宋体" w:hAnsi="宋体"/>
              </w:rPr>
            </w:pPr>
            <w:r>
              <w:rPr>
                <w:rFonts w:hint="eastAsia" w:ascii="宋体" w:hAnsi="宋体"/>
              </w:rPr>
              <w:t>三、一致性检测：</w:t>
            </w:r>
          </w:p>
          <w:p w14:paraId="77358826">
            <w:pPr>
              <w:keepNext w:val="0"/>
              <w:keepLines w:val="0"/>
              <w:suppressLineNumbers w:val="0"/>
              <w:spacing w:before="0" w:beforeAutospacing="0" w:after="0" w:afterAutospacing="0"/>
              <w:ind w:left="0" w:right="0"/>
              <w:rPr>
                <w:rFonts w:hint="default" w:ascii="宋体" w:hAnsi="宋体"/>
              </w:rPr>
            </w:pPr>
            <w:r>
              <w:rPr>
                <w:rFonts w:hint="eastAsia" w:ascii="宋体" w:hAnsi="宋体"/>
              </w:rPr>
              <w:t>1.检测文件日期与年度是否相符；</w:t>
            </w:r>
          </w:p>
          <w:p w14:paraId="5510CCDB">
            <w:pPr>
              <w:keepNext w:val="0"/>
              <w:keepLines w:val="0"/>
              <w:suppressLineNumbers w:val="0"/>
              <w:spacing w:before="0" w:beforeAutospacing="0" w:after="0" w:afterAutospacing="0"/>
              <w:ind w:left="0" w:right="0"/>
              <w:rPr>
                <w:rFonts w:hint="default" w:ascii="宋体" w:hAnsi="宋体"/>
              </w:rPr>
            </w:pPr>
            <w:r>
              <w:rPr>
                <w:rFonts w:hint="eastAsia" w:ascii="宋体" w:hAnsi="宋体"/>
              </w:rPr>
              <w:t>2. 根据档号检查条目“页数/总页数”和对应存储结构下图像数量一致性，不相符之处用高亮效果予以标注；</w:t>
            </w:r>
          </w:p>
        </w:tc>
        <w:tc>
          <w:tcPr>
            <w:tcW w:w="750" w:type="dxa"/>
            <w:vMerge w:val="continue"/>
            <w:tcBorders>
              <w:left w:val="nil"/>
              <w:right w:val="single" w:color="auto" w:sz="4" w:space="0"/>
            </w:tcBorders>
            <w:vAlign w:val="center"/>
          </w:tcPr>
          <w:p w14:paraId="43445E61">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C8D0C5D">
            <w:pPr>
              <w:keepNext w:val="0"/>
              <w:keepLines w:val="0"/>
              <w:suppressLineNumbers w:val="0"/>
              <w:spacing w:before="0" w:beforeAutospacing="0" w:after="0" w:afterAutospacing="0"/>
              <w:ind w:left="0" w:right="0"/>
              <w:rPr>
                <w:rFonts w:hint="default" w:ascii="宋体" w:hAnsi="宋体"/>
              </w:rPr>
            </w:pPr>
          </w:p>
        </w:tc>
      </w:tr>
      <w:tr w14:paraId="4ECC8EAE">
        <w:tblPrEx>
          <w:tblCellMar>
            <w:top w:w="0" w:type="dxa"/>
            <w:left w:w="108" w:type="dxa"/>
            <w:bottom w:w="0" w:type="dxa"/>
            <w:right w:w="108" w:type="dxa"/>
          </w:tblCellMar>
        </w:tblPrEx>
        <w:trPr>
          <w:trHeight w:val="521" w:hRule="atLeast"/>
        </w:trPr>
        <w:tc>
          <w:tcPr>
            <w:tcW w:w="1071" w:type="dxa"/>
            <w:vMerge w:val="continue"/>
            <w:tcBorders>
              <w:left w:val="single" w:color="auto" w:sz="4" w:space="0"/>
              <w:right w:val="single" w:color="auto" w:sz="4" w:space="0"/>
            </w:tcBorders>
            <w:shd w:val="clear" w:color="auto" w:fill="auto"/>
            <w:noWrap/>
            <w:vAlign w:val="center"/>
          </w:tcPr>
          <w:p w14:paraId="4353EEC6">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79652FD6">
            <w:pPr>
              <w:keepNext w:val="0"/>
              <w:keepLines w:val="0"/>
              <w:suppressLineNumbers w:val="0"/>
              <w:spacing w:before="0" w:beforeAutospacing="0" w:after="0" w:afterAutospacing="0"/>
              <w:ind w:left="0" w:right="0"/>
              <w:rPr>
                <w:rFonts w:hint="default" w:ascii="宋体" w:hAnsi="宋体"/>
              </w:rPr>
            </w:pPr>
            <w:r>
              <w:rPr>
                <w:rFonts w:hint="eastAsia" w:ascii="宋体" w:hAnsi="宋体"/>
              </w:rPr>
              <w:t>目录排序</w:t>
            </w:r>
          </w:p>
        </w:tc>
        <w:tc>
          <w:tcPr>
            <w:tcW w:w="5518" w:type="dxa"/>
            <w:tcBorders>
              <w:top w:val="nil"/>
              <w:left w:val="nil"/>
              <w:bottom w:val="single" w:color="auto" w:sz="4" w:space="0"/>
              <w:right w:val="single" w:color="auto" w:sz="4" w:space="0"/>
            </w:tcBorders>
            <w:shd w:val="clear" w:color="auto" w:fill="auto"/>
            <w:vAlign w:val="center"/>
          </w:tcPr>
          <w:p w14:paraId="49625406">
            <w:pPr>
              <w:keepNext w:val="0"/>
              <w:keepLines w:val="0"/>
              <w:suppressLineNumbers w:val="0"/>
              <w:spacing w:before="0" w:beforeAutospacing="0" w:after="0" w:afterAutospacing="0"/>
              <w:ind w:left="0" w:right="0"/>
              <w:rPr>
                <w:rFonts w:hint="default" w:ascii="宋体" w:hAnsi="宋体"/>
              </w:rPr>
            </w:pPr>
            <w:r>
              <w:rPr>
                <w:rFonts w:hint="eastAsia" w:ascii="宋体" w:hAnsi="宋体"/>
              </w:rPr>
              <w:t>对预归档库显示的档案目录内容按自定义字段进行排序</w:t>
            </w:r>
          </w:p>
        </w:tc>
        <w:tc>
          <w:tcPr>
            <w:tcW w:w="750" w:type="dxa"/>
            <w:vMerge w:val="continue"/>
            <w:tcBorders>
              <w:left w:val="nil"/>
              <w:right w:val="single" w:color="auto" w:sz="4" w:space="0"/>
            </w:tcBorders>
            <w:vAlign w:val="center"/>
          </w:tcPr>
          <w:p w14:paraId="7B56FBA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496767AA">
            <w:pPr>
              <w:keepNext w:val="0"/>
              <w:keepLines w:val="0"/>
              <w:suppressLineNumbers w:val="0"/>
              <w:spacing w:before="0" w:beforeAutospacing="0" w:after="0" w:afterAutospacing="0"/>
              <w:ind w:left="0" w:right="0"/>
              <w:rPr>
                <w:rFonts w:hint="default" w:ascii="宋体" w:hAnsi="宋体"/>
              </w:rPr>
            </w:pPr>
          </w:p>
        </w:tc>
      </w:tr>
      <w:tr w14:paraId="49C0DEA2">
        <w:tblPrEx>
          <w:tblCellMar>
            <w:top w:w="0" w:type="dxa"/>
            <w:left w:w="108" w:type="dxa"/>
            <w:bottom w:w="0" w:type="dxa"/>
            <w:right w:w="108" w:type="dxa"/>
          </w:tblCellMar>
        </w:tblPrEx>
        <w:trPr>
          <w:trHeight w:val="521" w:hRule="atLeast"/>
        </w:trPr>
        <w:tc>
          <w:tcPr>
            <w:tcW w:w="1071" w:type="dxa"/>
            <w:vMerge w:val="continue"/>
            <w:tcBorders>
              <w:left w:val="single" w:color="auto" w:sz="4" w:space="0"/>
              <w:right w:val="single" w:color="auto" w:sz="4" w:space="0"/>
            </w:tcBorders>
            <w:shd w:val="clear" w:color="auto" w:fill="auto"/>
            <w:noWrap/>
            <w:vAlign w:val="center"/>
          </w:tcPr>
          <w:p w14:paraId="1EC9AB3F">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04E025CD">
            <w:pPr>
              <w:keepNext w:val="0"/>
              <w:keepLines w:val="0"/>
              <w:suppressLineNumbers w:val="0"/>
              <w:spacing w:before="0" w:beforeAutospacing="0" w:after="0" w:afterAutospacing="0"/>
              <w:ind w:left="0" w:right="0"/>
              <w:rPr>
                <w:rFonts w:hint="default" w:ascii="宋体" w:hAnsi="宋体"/>
              </w:rPr>
            </w:pPr>
            <w:r>
              <w:rPr>
                <w:rFonts w:hint="eastAsia" w:ascii="宋体" w:hAnsi="宋体"/>
              </w:rPr>
              <w:t>目录打印</w:t>
            </w:r>
          </w:p>
        </w:tc>
        <w:tc>
          <w:tcPr>
            <w:tcW w:w="5518" w:type="dxa"/>
            <w:tcBorders>
              <w:top w:val="nil"/>
              <w:left w:val="nil"/>
              <w:bottom w:val="single" w:color="auto" w:sz="4" w:space="0"/>
              <w:right w:val="single" w:color="auto" w:sz="4" w:space="0"/>
            </w:tcBorders>
            <w:shd w:val="clear" w:color="auto" w:fill="auto"/>
            <w:vAlign w:val="center"/>
          </w:tcPr>
          <w:p w14:paraId="4A4A1FCB">
            <w:pPr>
              <w:keepNext w:val="0"/>
              <w:keepLines w:val="0"/>
              <w:suppressLineNumbers w:val="0"/>
              <w:spacing w:before="0" w:beforeAutospacing="0" w:after="0" w:afterAutospacing="0"/>
              <w:ind w:left="0" w:right="0"/>
              <w:rPr>
                <w:rFonts w:hint="default" w:ascii="宋体" w:hAnsi="宋体"/>
              </w:rPr>
            </w:pPr>
            <w:r>
              <w:rPr>
                <w:rFonts w:hint="eastAsia" w:ascii="宋体" w:hAnsi="宋体"/>
              </w:rPr>
              <w:t>对档案目录按照模板进行打印</w:t>
            </w:r>
          </w:p>
        </w:tc>
        <w:tc>
          <w:tcPr>
            <w:tcW w:w="750" w:type="dxa"/>
            <w:vMerge w:val="continue"/>
            <w:tcBorders>
              <w:left w:val="nil"/>
              <w:right w:val="single" w:color="auto" w:sz="4" w:space="0"/>
            </w:tcBorders>
            <w:vAlign w:val="center"/>
          </w:tcPr>
          <w:p w14:paraId="063B5456">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49B9FBE3">
            <w:pPr>
              <w:keepNext w:val="0"/>
              <w:keepLines w:val="0"/>
              <w:suppressLineNumbers w:val="0"/>
              <w:spacing w:before="0" w:beforeAutospacing="0" w:after="0" w:afterAutospacing="0"/>
              <w:ind w:left="0" w:right="0"/>
              <w:rPr>
                <w:rFonts w:hint="default" w:ascii="宋体" w:hAnsi="宋体"/>
              </w:rPr>
            </w:pPr>
          </w:p>
        </w:tc>
      </w:tr>
      <w:tr w14:paraId="1C2D7D57">
        <w:tblPrEx>
          <w:tblCellMar>
            <w:top w:w="0" w:type="dxa"/>
            <w:left w:w="108" w:type="dxa"/>
            <w:bottom w:w="0" w:type="dxa"/>
            <w:right w:w="108" w:type="dxa"/>
          </w:tblCellMar>
        </w:tblPrEx>
        <w:trPr>
          <w:trHeight w:val="412" w:hRule="atLeast"/>
        </w:trPr>
        <w:tc>
          <w:tcPr>
            <w:tcW w:w="1071" w:type="dxa"/>
            <w:vMerge w:val="continue"/>
            <w:tcBorders>
              <w:left w:val="single" w:color="auto" w:sz="4" w:space="0"/>
              <w:right w:val="single" w:color="auto" w:sz="4" w:space="0"/>
            </w:tcBorders>
            <w:shd w:val="clear" w:color="auto" w:fill="auto"/>
            <w:noWrap/>
            <w:vAlign w:val="center"/>
          </w:tcPr>
          <w:p w14:paraId="0C996279">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1469400B">
            <w:pPr>
              <w:keepNext w:val="0"/>
              <w:keepLines w:val="0"/>
              <w:suppressLineNumbers w:val="0"/>
              <w:spacing w:before="0" w:beforeAutospacing="0" w:after="0" w:afterAutospacing="0"/>
              <w:ind w:left="0" w:right="0"/>
              <w:rPr>
                <w:rFonts w:hint="default" w:ascii="宋体" w:hAnsi="宋体"/>
              </w:rPr>
            </w:pPr>
            <w:r>
              <w:rPr>
                <w:rFonts w:hint="eastAsia" w:ascii="宋体" w:hAnsi="宋体"/>
              </w:rPr>
              <w:t>目录导出</w:t>
            </w:r>
          </w:p>
        </w:tc>
        <w:tc>
          <w:tcPr>
            <w:tcW w:w="5518" w:type="dxa"/>
            <w:tcBorders>
              <w:top w:val="nil"/>
              <w:left w:val="nil"/>
              <w:bottom w:val="single" w:color="auto" w:sz="4" w:space="0"/>
              <w:right w:val="single" w:color="auto" w:sz="4" w:space="0"/>
            </w:tcBorders>
            <w:shd w:val="clear" w:color="auto" w:fill="auto"/>
            <w:vAlign w:val="center"/>
          </w:tcPr>
          <w:p w14:paraId="0B7B67CE">
            <w:pPr>
              <w:keepNext w:val="0"/>
              <w:keepLines w:val="0"/>
              <w:suppressLineNumbers w:val="0"/>
              <w:spacing w:before="0" w:beforeAutospacing="0" w:after="0" w:afterAutospacing="0"/>
              <w:ind w:left="0" w:right="0"/>
              <w:rPr>
                <w:rFonts w:hint="default" w:ascii="宋体" w:hAnsi="宋体"/>
              </w:rPr>
            </w:pPr>
            <w:r>
              <w:rPr>
                <w:rFonts w:hint="eastAsia" w:ascii="宋体" w:hAnsi="宋体"/>
              </w:rPr>
              <w:t>可以对预归档库的档案目录和/或原文进行批量导出为Excel文件或者压缩包格式</w:t>
            </w:r>
          </w:p>
        </w:tc>
        <w:tc>
          <w:tcPr>
            <w:tcW w:w="750" w:type="dxa"/>
            <w:vMerge w:val="continue"/>
            <w:tcBorders>
              <w:left w:val="nil"/>
              <w:right w:val="single" w:color="auto" w:sz="4" w:space="0"/>
            </w:tcBorders>
            <w:vAlign w:val="center"/>
          </w:tcPr>
          <w:p w14:paraId="77711267">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06A72E9">
            <w:pPr>
              <w:keepNext w:val="0"/>
              <w:keepLines w:val="0"/>
              <w:suppressLineNumbers w:val="0"/>
              <w:spacing w:before="0" w:beforeAutospacing="0" w:after="0" w:afterAutospacing="0"/>
              <w:ind w:left="0" w:right="0"/>
              <w:rPr>
                <w:rFonts w:hint="default" w:ascii="宋体" w:hAnsi="宋体"/>
              </w:rPr>
            </w:pPr>
          </w:p>
        </w:tc>
      </w:tr>
      <w:tr w14:paraId="43D4565A">
        <w:tblPrEx>
          <w:tblCellMar>
            <w:top w:w="0" w:type="dxa"/>
            <w:left w:w="108" w:type="dxa"/>
            <w:bottom w:w="0" w:type="dxa"/>
            <w:right w:w="108" w:type="dxa"/>
          </w:tblCellMar>
        </w:tblPrEx>
        <w:trPr>
          <w:trHeight w:val="855" w:hRule="atLeast"/>
        </w:trPr>
        <w:tc>
          <w:tcPr>
            <w:tcW w:w="1071" w:type="dxa"/>
            <w:vMerge w:val="continue"/>
            <w:tcBorders>
              <w:left w:val="single" w:color="auto" w:sz="4" w:space="0"/>
              <w:right w:val="single" w:color="auto" w:sz="4" w:space="0"/>
            </w:tcBorders>
            <w:shd w:val="clear" w:color="auto" w:fill="auto"/>
            <w:noWrap/>
            <w:vAlign w:val="center"/>
          </w:tcPr>
          <w:p w14:paraId="5F589D89">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3C0785E9">
            <w:pPr>
              <w:keepNext w:val="0"/>
              <w:keepLines w:val="0"/>
              <w:suppressLineNumbers w:val="0"/>
              <w:spacing w:before="0" w:beforeAutospacing="0" w:after="0" w:afterAutospacing="0"/>
              <w:ind w:left="0" w:right="0"/>
              <w:rPr>
                <w:rFonts w:hint="default" w:ascii="宋体" w:hAnsi="宋体"/>
              </w:rPr>
            </w:pPr>
            <w:r>
              <w:rPr>
                <w:rFonts w:hint="eastAsia" w:ascii="宋体" w:hAnsi="宋体"/>
              </w:rPr>
              <w:t>批量操作</w:t>
            </w:r>
          </w:p>
        </w:tc>
        <w:tc>
          <w:tcPr>
            <w:tcW w:w="5518" w:type="dxa"/>
            <w:tcBorders>
              <w:top w:val="nil"/>
              <w:left w:val="nil"/>
              <w:bottom w:val="single" w:color="auto" w:sz="4" w:space="0"/>
              <w:right w:val="single" w:color="auto" w:sz="4" w:space="0"/>
            </w:tcBorders>
            <w:shd w:val="clear" w:color="auto" w:fill="auto"/>
            <w:vAlign w:val="center"/>
          </w:tcPr>
          <w:p w14:paraId="46F2DA73">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提供数字化副本的原文上传与挂接功能，系统自动将要挂接的全文根据设置的规则挂接到对应的档案条目上。同时，为了提高挂接性能，系统提供客户端挂接和服务器端挂接两种方式。全文存放位置可自定义。可对各种方式接收的档案进行管理，接收的数据确认后可提交预归档库或归档库</w:t>
            </w:r>
          </w:p>
        </w:tc>
        <w:tc>
          <w:tcPr>
            <w:tcW w:w="750" w:type="dxa"/>
            <w:vMerge w:val="continue"/>
            <w:tcBorders>
              <w:left w:val="nil"/>
              <w:right w:val="single" w:color="auto" w:sz="4" w:space="0"/>
            </w:tcBorders>
            <w:vAlign w:val="center"/>
          </w:tcPr>
          <w:p w14:paraId="7640C19B">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65C63FB6">
            <w:pPr>
              <w:keepNext w:val="0"/>
              <w:keepLines w:val="0"/>
              <w:suppressLineNumbers w:val="0"/>
              <w:spacing w:before="0" w:beforeAutospacing="0" w:after="0" w:afterAutospacing="0"/>
              <w:ind w:left="0" w:right="0"/>
              <w:rPr>
                <w:rFonts w:hint="default" w:ascii="宋体" w:hAnsi="宋体"/>
              </w:rPr>
            </w:pPr>
          </w:p>
        </w:tc>
      </w:tr>
      <w:tr w14:paraId="12C3D4DF">
        <w:tblPrEx>
          <w:tblCellMar>
            <w:top w:w="0" w:type="dxa"/>
            <w:left w:w="108" w:type="dxa"/>
            <w:bottom w:w="0" w:type="dxa"/>
            <w:right w:w="108" w:type="dxa"/>
          </w:tblCellMar>
        </w:tblPrEx>
        <w:trPr>
          <w:trHeight w:val="488" w:hRule="atLeast"/>
        </w:trPr>
        <w:tc>
          <w:tcPr>
            <w:tcW w:w="1071" w:type="dxa"/>
            <w:vMerge w:val="continue"/>
            <w:tcBorders>
              <w:left w:val="single" w:color="auto" w:sz="4" w:space="0"/>
              <w:right w:val="single" w:color="auto" w:sz="4" w:space="0"/>
            </w:tcBorders>
            <w:shd w:val="clear" w:color="auto" w:fill="auto"/>
            <w:noWrap/>
            <w:vAlign w:val="center"/>
          </w:tcPr>
          <w:p w14:paraId="453ED5C3">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68D2F582">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提交管理库</w:t>
            </w:r>
          </w:p>
        </w:tc>
        <w:tc>
          <w:tcPr>
            <w:tcW w:w="5518" w:type="dxa"/>
            <w:tcBorders>
              <w:top w:val="nil"/>
              <w:left w:val="nil"/>
              <w:bottom w:val="single" w:color="auto" w:sz="4" w:space="0"/>
              <w:right w:val="single" w:color="auto" w:sz="4" w:space="0"/>
            </w:tcBorders>
            <w:shd w:val="clear" w:color="auto" w:fill="auto"/>
            <w:vAlign w:val="center"/>
          </w:tcPr>
          <w:p w14:paraId="473D201F">
            <w:pPr>
              <w:keepNext w:val="0"/>
              <w:keepLines w:val="0"/>
              <w:suppressLineNumbers w:val="0"/>
              <w:spacing w:before="0" w:beforeAutospacing="0" w:after="0" w:afterAutospacing="0"/>
              <w:ind w:left="0" w:right="0"/>
              <w:rPr>
                <w:rFonts w:hint="default" w:ascii="宋体" w:hAnsi="宋体"/>
              </w:rPr>
            </w:pPr>
            <w:r>
              <w:rPr>
                <w:rFonts w:hint="eastAsia" w:ascii="宋体" w:hAnsi="宋体"/>
              </w:rPr>
              <w:t>将预归档库中的档案提交至管理库进行归档，不</w:t>
            </w:r>
            <w:r>
              <w:rPr>
                <w:rFonts w:hint="eastAsia" w:ascii="宋体" w:hAnsi="宋体"/>
                <w:lang w:eastAsia="zh-CN"/>
              </w:rPr>
              <w:t>再</w:t>
            </w:r>
            <w:r>
              <w:rPr>
                <w:rFonts w:hint="eastAsia" w:ascii="宋体" w:hAnsi="宋体"/>
              </w:rPr>
              <w:t>对其进行修改操作</w:t>
            </w:r>
          </w:p>
        </w:tc>
        <w:tc>
          <w:tcPr>
            <w:tcW w:w="750" w:type="dxa"/>
            <w:vMerge w:val="continue"/>
            <w:tcBorders>
              <w:left w:val="nil"/>
              <w:right w:val="single" w:color="auto" w:sz="4" w:space="0"/>
            </w:tcBorders>
            <w:vAlign w:val="center"/>
          </w:tcPr>
          <w:p w14:paraId="70D34615">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D95C2CD">
            <w:pPr>
              <w:keepNext w:val="0"/>
              <w:keepLines w:val="0"/>
              <w:suppressLineNumbers w:val="0"/>
              <w:spacing w:before="0" w:beforeAutospacing="0" w:after="0" w:afterAutospacing="0"/>
              <w:ind w:left="0" w:right="0"/>
              <w:rPr>
                <w:rFonts w:hint="default" w:ascii="宋体" w:hAnsi="宋体"/>
              </w:rPr>
            </w:pPr>
          </w:p>
        </w:tc>
      </w:tr>
      <w:tr w14:paraId="4AB53C58">
        <w:tblPrEx>
          <w:tblCellMar>
            <w:top w:w="0" w:type="dxa"/>
            <w:left w:w="108" w:type="dxa"/>
            <w:bottom w:w="0" w:type="dxa"/>
            <w:right w:w="108" w:type="dxa"/>
          </w:tblCellMar>
        </w:tblPrEx>
        <w:trPr>
          <w:trHeight w:val="565" w:hRule="atLeast"/>
        </w:trPr>
        <w:tc>
          <w:tcPr>
            <w:tcW w:w="1071" w:type="dxa"/>
            <w:vMerge w:val="continue"/>
            <w:tcBorders>
              <w:left w:val="single" w:color="auto" w:sz="4" w:space="0"/>
              <w:right w:val="single" w:color="auto" w:sz="4" w:space="0"/>
            </w:tcBorders>
            <w:shd w:val="clear" w:color="auto" w:fill="auto"/>
            <w:noWrap/>
            <w:vAlign w:val="center"/>
          </w:tcPr>
          <w:p w14:paraId="1162B534">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565F1F3B">
            <w:pPr>
              <w:keepNext w:val="0"/>
              <w:keepLines w:val="0"/>
              <w:suppressLineNumbers w:val="0"/>
              <w:spacing w:before="0" w:beforeAutospacing="0" w:after="0" w:afterAutospacing="0"/>
              <w:ind w:left="0" w:right="0"/>
              <w:rPr>
                <w:rFonts w:hint="default" w:ascii="宋体" w:hAnsi="宋体"/>
              </w:rPr>
            </w:pPr>
            <w:r>
              <w:rPr>
                <w:rFonts w:hint="eastAsia" w:ascii="宋体" w:hAnsi="宋体"/>
              </w:rPr>
              <w:t>管理库管理</w:t>
            </w:r>
          </w:p>
        </w:tc>
        <w:tc>
          <w:tcPr>
            <w:tcW w:w="5518" w:type="dxa"/>
            <w:tcBorders>
              <w:top w:val="nil"/>
              <w:left w:val="nil"/>
              <w:bottom w:val="single" w:color="auto" w:sz="4" w:space="0"/>
              <w:right w:val="single" w:color="auto" w:sz="4" w:space="0"/>
            </w:tcBorders>
            <w:shd w:val="clear" w:color="auto" w:fill="auto"/>
            <w:vAlign w:val="center"/>
          </w:tcPr>
          <w:p w14:paraId="102290CA">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nil"/>
              <w:right w:val="single" w:color="auto" w:sz="4" w:space="0"/>
            </w:tcBorders>
            <w:vAlign w:val="center"/>
          </w:tcPr>
          <w:p w14:paraId="5965C5D1">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0C087E4">
            <w:pPr>
              <w:keepNext w:val="0"/>
              <w:keepLines w:val="0"/>
              <w:suppressLineNumbers w:val="0"/>
              <w:spacing w:before="0" w:beforeAutospacing="0" w:after="0" w:afterAutospacing="0"/>
              <w:ind w:left="0" w:right="0"/>
              <w:rPr>
                <w:rFonts w:hint="default" w:ascii="宋体" w:hAnsi="宋体"/>
              </w:rPr>
            </w:pPr>
          </w:p>
        </w:tc>
      </w:tr>
      <w:tr w14:paraId="478E0124">
        <w:tblPrEx>
          <w:tblCellMar>
            <w:top w:w="0" w:type="dxa"/>
            <w:left w:w="108" w:type="dxa"/>
            <w:bottom w:w="0" w:type="dxa"/>
            <w:right w:w="108" w:type="dxa"/>
          </w:tblCellMar>
        </w:tblPrEx>
        <w:trPr>
          <w:trHeight w:val="812" w:hRule="atLeast"/>
        </w:trPr>
        <w:tc>
          <w:tcPr>
            <w:tcW w:w="1071" w:type="dxa"/>
            <w:vMerge w:val="continue"/>
            <w:tcBorders>
              <w:left w:val="single" w:color="auto" w:sz="4" w:space="0"/>
              <w:right w:val="single" w:color="auto" w:sz="4" w:space="0"/>
            </w:tcBorders>
            <w:shd w:val="clear" w:color="auto" w:fill="auto"/>
            <w:noWrap/>
            <w:vAlign w:val="center"/>
          </w:tcPr>
          <w:p w14:paraId="6D69BFE9">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40F39F56">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档案数据</w:t>
            </w:r>
          </w:p>
        </w:tc>
        <w:tc>
          <w:tcPr>
            <w:tcW w:w="5518" w:type="dxa"/>
            <w:tcBorders>
              <w:top w:val="nil"/>
              <w:left w:val="nil"/>
              <w:bottom w:val="single" w:color="auto" w:sz="4" w:space="0"/>
              <w:right w:val="single" w:color="auto" w:sz="4" w:space="0"/>
            </w:tcBorders>
            <w:shd w:val="clear" w:color="auto" w:fill="auto"/>
            <w:vAlign w:val="center"/>
          </w:tcPr>
          <w:p w14:paraId="407F2A7A">
            <w:pPr>
              <w:keepNext w:val="0"/>
              <w:keepLines w:val="0"/>
              <w:suppressLineNumbers w:val="0"/>
              <w:spacing w:before="0" w:beforeAutospacing="0" w:after="0" w:afterAutospacing="0"/>
              <w:ind w:left="0" w:right="0"/>
              <w:rPr>
                <w:rFonts w:hint="default" w:ascii="宋体" w:hAnsi="宋体"/>
              </w:rPr>
            </w:pPr>
            <w:r>
              <w:rPr>
                <w:rFonts w:hint="eastAsia" w:ascii="宋体" w:hAnsi="宋体"/>
              </w:rPr>
              <w:t>以通过档案数据窗口，显示档案数据信息列表，可通过档案类型选择，可展开相应案卷目录，分册目录，卷内目录，可进行查看过程日志，明细和原文、可进行查询，打回预归档库等操作</w:t>
            </w:r>
          </w:p>
        </w:tc>
        <w:tc>
          <w:tcPr>
            <w:tcW w:w="750" w:type="dxa"/>
            <w:vMerge w:val="continue"/>
            <w:tcBorders>
              <w:left w:val="nil"/>
              <w:right w:val="single" w:color="auto" w:sz="4" w:space="0"/>
            </w:tcBorders>
            <w:vAlign w:val="center"/>
          </w:tcPr>
          <w:p w14:paraId="6856E7EE">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9515C25">
            <w:pPr>
              <w:keepNext w:val="0"/>
              <w:keepLines w:val="0"/>
              <w:suppressLineNumbers w:val="0"/>
              <w:spacing w:before="0" w:beforeAutospacing="0" w:after="0" w:afterAutospacing="0"/>
              <w:ind w:left="0" w:right="0"/>
              <w:rPr>
                <w:rFonts w:hint="default" w:ascii="宋体" w:hAnsi="宋体"/>
              </w:rPr>
            </w:pPr>
          </w:p>
        </w:tc>
      </w:tr>
      <w:tr w14:paraId="22F91DCA">
        <w:tblPrEx>
          <w:tblCellMar>
            <w:top w:w="0" w:type="dxa"/>
            <w:left w:w="108" w:type="dxa"/>
            <w:bottom w:w="0" w:type="dxa"/>
            <w:right w:w="108" w:type="dxa"/>
          </w:tblCellMar>
        </w:tblPrEx>
        <w:trPr>
          <w:trHeight w:val="531" w:hRule="atLeast"/>
        </w:trPr>
        <w:tc>
          <w:tcPr>
            <w:tcW w:w="1071" w:type="dxa"/>
            <w:vMerge w:val="continue"/>
            <w:tcBorders>
              <w:left w:val="single" w:color="auto" w:sz="4" w:space="0"/>
              <w:right w:val="single" w:color="auto" w:sz="4" w:space="0"/>
            </w:tcBorders>
            <w:shd w:val="clear" w:color="auto" w:fill="auto"/>
            <w:noWrap/>
            <w:vAlign w:val="center"/>
          </w:tcPr>
          <w:p w14:paraId="5E956DB3">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3A195E98">
            <w:pPr>
              <w:keepNext w:val="0"/>
              <w:keepLines w:val="0"/>
              <w:suppressLineNumbers w:val="0"/>
              <w:spacing w:before="0" w:beforeAutospacing="0" w:after="0" w:afterAutospacing="0"/>
              <w:ind w:left="0" w:right="0"/>
              <w:rPr>
                <w:rFonts w:hint="default" w:ascii="宋体" w:hAnsi="宋体"/>
              </w:rPr>
            </w:pPr>
            <w:r>
              <w:rPr>
                <w:rFonts w:hint="eastAsia" w:ascii="宋体" w:hAnsi="宋体"/>
              </w:rPr>
              <w:t>查看明细</w:t>
            </w:r>
          </w:p>
        </w:tc>
        <w:tc>
          <w:tcPr>
            <w:tcW w:w="5518" w:type="dxa"/>
            <w:tcBorders>
              <w:top w:val="nil"/>
              <w:left w:val="nil"/>
              <w:bottom w:val="single" w:color="auto" w:sz="4" w:space="0"/>
              <w:right w:val="single" w:color="auto" w:sz="4" w:space="0"/>
            </w:tcBorders>
            <w:shd w:val="clear" w:color="auto" w:fill="auto"/>
            <w:vAlign w:val="center"/>
          </w:tcPr>
          <w:p w14:paraId="63BA1061">
            <w:pPr>
              <w:keepNext w:val="0"/>
              <w:keepLines w:val="0"/>
              <w:suppressLineNumbers w:val="0"/>
              <w:spacing w:before="0" w:beforeAutospacing="0" w:after="0" w:afterAutospacing="0"/>
              <w:ind w:left="0" w:right="0"/>
              <w:rPr>
                <w:rFonts w:hint="default" w:ascii="宋体" w:hAnsi="宋体"/>
              </w:rPr>
            </w:pPr>
            <w:r>
              <w:rPr>
                <w:rFonts w:hint="eastAsia" w:ascii="宋体" w:hAnsi="宋体"/>
              </w:rPr>
              <w:t>查看档案详细信息内容</w:t>
            </w:r>
          </w:p>
        </w:tc>
        <w:tc>
          <w:tcPr>
            <w:tcW w:w="750" w:type="dxa"/>
            <w:vMerge w:val="continue"/>
            <w:tcBorders>
              <w:left w:val="nil"/>
              <w:right w:val="single" w:color="auto" w:sz="4" w:space="0"/>
            </w:tcBorders>
            <w:vAlign w:val="center"/>
          </w:tcPr>
          <w:p w14:paraId="13A1E72F">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48D21F50">
            <w:pPr>
              <w:keepNext w:val="0"/>
              <w:keepLines w:val="0"/>
              <w:suppressLineNumbers w:val="0"/>
              <w:spacing w:before="0" w:beforeAutospacing="0" w:after="0" w:afterAutospacing="0"/>
              <w:ind w:left="0" w:right="0"/>
              <w:rPr>
                <w:rFonts w:hint="default" w:ascii="宋体" w:hAnsi="宋体"/>
              </w:rPr>
            </w:pPr>
          </w:p>
        </w:tc>
      </w:tr>
      <w:tr w14:paraId="5867CE68">
        <w:tblPrEx>
          <w:tblCellMar>
            <w:top w:w="0" w:type="dxa"/>
            <w:left w:w="108" w:type="dxa"/>
            <w:bottom w:w="0" w:type="dxa"/>
            <w:right w:w="108" w:type="dxa"/>
          </w:tblCellMar>
        </w:tblPrEx>
        <w:trPr>
          <w:trHeight w:val="977" w:hRule="atLeast"/>
        </w:trPr>
        <w:tc>
          <w:tcPr>
            <w:tcW w:w="1071" w:type="dxa"/>
            <w:vMerge w:val="continue"/>
            <w:tcBorders>
              <w:left w:val="single" w:color="auto" w:sz="4" w:space="0"/>
              <w:right w:val="single" w:color="auto" w:sz="4" w:space="0"/>
            </w:tcBorders>
            <w:shd w:val="clear" w:color="auto" w:fill="auto"/>
            <w:noWrap/>
            <w:vAlign w:val="center"/>
          </w:tcPr>
          <w:p w14:paraId="671DD45D">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75949AE7">
            <w:pPr>
              <w:keepNext w:val="0"/>
              <w:keepLines w:val="0"/>
              <w:suppressLineNumbers w:val="0"/>
              <w:spacing w:before="0" w:beforeAutospacing="0" w:after="0" w:afterAutospacing="0"/>
              <w:ind w:left="0" w:right="0"/>
              <w:rPr>
                <w:rFonts w:hint="default" w:ascii="宋体" w:hAnsi="宋体"/>
              </w:rPr>
            </w:pPr>
            <w:r>
              <w:rPr>
                <w:rFonts w:hint="eastAsia" w:ascii="宋体" w:hAnsi="宋体"/>
              </w:rPr>
              <w:t>查看原文</w:t>
            </w:r>
          </w:p>
        </w:tc>
        <w:tc>
          <w:tcPr>
            <w:tcW w:w="5518" w:type="dxa"/>
            <w:tcBorders>
              <w:top w:val="nil"/>
              <w:left w:val="nil"/>
              <w:bottom w:val="single" w:color="auto" w:sz="4" w:space="0"/>
              <w:right w:val="single" w:color="auto" w:sz="4" w:space="0"/>
            </w:tcBorders>
            <w:shd w:val="clear" w:color="auto" w:fill="auto"/>
            <w:vAlign w:val="center"/>
          </w:tcPr>
          <w:p w14:paraId="27184986">
            <w:pPr>
              <w:keepNext w:val="0"/>
              <w:keepLines w:val="0"/>
              <w:suppressLineNumbers w:val="0"/>
              <w:spacing w:before="0" w:beforeAutospacing="0" w:after="0" w:afterAutospacing="0"/>
              <w:ind w:left="0" w:right="0"/>
              <w:rPr>
                <w:rFonts w:hint="default" w:ascii="宋体" w:hAnsi="宋体"/>
              </w:rPr>
            </w:pPr>
            <w:r>
              <w:rPr>
                <w:rFonts w:hint="eastAsia" w:ascii="宋体" w:hAnsi="宋体"/>
              </w:rPr>
              <w:t>支持xls、xlsx、doc、docx、OFD、PDF、jpg、png、tiff等十多种文件格式的在线预览。提供【下载原件】、【打印】功能</w:t>
            </w:r>
          </w:p>
        </w:tc>
        <w:tc>
          <w:tcPr>
            <w:tcW w:w="750" w:type="dxa"/>
            <w:vMerge w:val="continue"/>
            <w:tcBorders>
              <w:left w:val="nil"/>
              <w:right w:val="single" w:color="auto" w:sz="4" w:space="0"/>
            </w:tcBorders>
            <w:vAlign w:val="center"/>
          </w:tcPr>
          <w:p w14:paraId="23548B91">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4A6A397">
            <w:pPr>
              <w:keepNext w:val="0"/>
              <w:keepLines w:val="0"/>
              <w:suppressLineNumbers w:val="0"/>
              <w:spacing w:before="0" w:beforeAutospacing="0" w:after="0" w:afterAutospacing="0"/>
              <w:ind w:left="0" w:right="0"/>
              <w:rPr>
                <w:rFonts w:hint="default" w:ascii="宋体" w:hAnsi="宋体"/>
              </w:rPr>
            </w:pPr>
          </w:p>
        </w:tc>
      </w:tr>
      <w:tr w14:paraId="23446B21">
        <w:tblPrEx>
          <w:tblCellMar>
            <w:top w:w="0" w:type="dxa"/>
            <w:left w:w="108" w:type="dxa"/>
            <w:bottom w:w="0" w:type="dxa"/>
            <w:right w:w="108" w:type="dxa"/>
          </w:tblCellMar>
        </w:tblPrEx>
        <w:trPr>
          <w:trHeight w:val="651" w:hRule="atLeast"/>
        </w:trPr>
        <w:tc>
          <w:tcPr>
            <w:tcW w:w="1071" w:type="dxa"/>
            <w:vMerge w:val="continue"/>
            <w:tcBorders>
              <w:left w:val="single" w:color="auto" w:sz="4" w:space="0"/>
              <w:right w:val="single" w:color="auto" w:sz="4" w:space="0"/>
            </w:tcBorders>
            <w:shd w:val="clear" w:color="auto" w:fill="auto"/>
            <w:noWrap/>
            <w:vAlign w:val="center"/>
          </w:tcPr>
          <w:p w14:paraId="43FF0431">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A0755">
            <w:pPr>
              <w:keepNext w:val="0"/>
              <w:keepLines w:val="0"/>
              <w:suppressLineNumbers w:val="0"/>
              <w:spacing w:before="0" w:beforeAutospacing="0" w:after="0" w:afterAutospacing="0"/>
              <w:ind w:left="0" w:right="0"/>
              <w:rPr>
                <w:rFonts w:hint="default" w:ascii="宋体" w:hAnsi="宋体"/>
              </w:rPr>
            </w:pPr>
            <w:r>
              <w:rPr>
                <w:rFonts w:hint="eastAsia" w:ascii="宋体" w:hAnsi="宋体"/>
              </w:rPr>
              <w:t>管理库查询</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492ECA16">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提供常规查询、组合查询选项</w:t>
            </w:r>
          </w:p>
        </w:tc>
        <w:tc>
          <w:tcPr>
            <w:tcW w:w="750" w:type="dxa"/>
            <w:vMerge w:val="continue"/>
            <w:tcBorders>
              <w:left w:val="single" w:color="auto" w:sz="4" w:space="0"/>
              <w:right w:val="single" w:color="auto" w:sz="4" w:space="0"/>
            </w:tcBorders>
            <w:vAlign w:val="center"/>
          </w:tcPr>
          <w:p w14:paraId="313DC9C2">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4963FAB7">
            <w:pPr>
              <w:keepNext w:val="0"/>
              <w:keepLines w:val="0"/>
              <w:suppressLineNumbers w:val="0"/>
              <w:spacing w:before="0" w:beforeAutospacing="0" w:after="0" w:afterAutospacing="0"/>
              <w:ind w:left="0" w:right="0"/>
              <w:rPr>
                <w:rFonts w:hint="default" w:ascii="宋体" w:hAnsi="宋体"/>
              </w:rPr>
            </w:pPr>
          </w:p>
        </w:tc>
      </w:tr>
      <w:tr w14:paraId="3550842C">
        <w:tblPrEx>
          <w:tblCellMar>
            <w:top w:w="0" w:type="dxa"/>
            <w:left w:w="108" w:type="dxa"/>
            <w:bottom w:w="0" w:type="dxa"/>
            <w:right w:w="108" w:type="dxa"/>
          </w:tblCellMar>
        </w:tblPrEx>
        <w:trPr>
          <w:trHeight w:val="620" w:hRule="atLeast"/>
        </w:trPr>
        <w:tc>
          <w:tcPr>
            <w:tcW w:w="1071" w:type="dxa"/>
            <w:vMerge w:val="continue"/>
            <w:tcBorders>
              <w:left w:val="single" w:color="auto" w:sz="4" w:space="0"/>
              <w:right w:val="single" w:color="auto" w:sz="4" w:space="0"/>
            </w:tcBorders>
            <w:shd w:val="clear" w:color="auto" w:fill="auto"/>
            <w:noWrap/>
            <w:vAlign w:val="center"/>
          </w:tcPr>
          <w:p w14:paraId="3DCF4A42">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85533">
            <w:pPr>
              <w:keepNext w:val="0"/>
              <w:keepLines w:val="0"/>
              <w:suppressLineNumbers w:val="0"/>
              <w:spacing w:before="0" w:beforeAutospacing="0" w:after="0" w:afterAutospacing="0"/>
              <w:ind w:left="0" w:right="0"/>
              <w:rPr>
                <w:rFonts w:hint="default" w:ascii="宋体" w:hAnsi="宋体"/>
              </w:rPr>
            </w:pPr>
            <w:r>
              <w:rPr>
                <w:rFonts w:hint="eastAsia" w:ascii="宋体" w:hAnsi="宋体"/>
              </w:rPr>
              <w:t>合规性检查</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3A99E37C">
            <w:pPr>
              <w:keepNext w:val="0"/>
              <w:keepLines w:val="0"/>
              <w:suppressLineNumbers w:val="0"/>
              <w:spacing w:before="0" w:beforeAutospacing="0" w:after="0" w:afterAutospacing="0"/>
              <w:ind w:left="0" w:right="0"/>
              <w:rPr>
                <w:rFonts w:hint="default" w:ascii="宋体" w:hAnsi="宋体"/>
              </w:rPr>
            </w:pPr>
            <w:r>
              <w:rPr>
                <w:rFonts w:hint="eastAsia" w:ascii="宋体" w:hAnsi="宋体"/>
                <w:lang w:val="en-US" w:eastAsia="zh-CN"/>
              </w:rPr>
              <w:t>合</w:t>
            </w:r>
            <w:r>
              <w:rPr>
                <w:rFonts w:hint="eastAsia" w:ascii="宋体" w:hAnsi="宋体"/>
              </w:rPr>
              <w:t>规性数据检查具有全面性、真实性。主要包括唯一性检测、连续性检测、一致性检测。</w:t>
            </w:r>
          </w:p>
          <w:p w14:paraId="49E4719F">
            <w:pPr>
              <w:keepNext w:val="0"/>
              <w:keepLines w:val="0"/>
              <w:suppressLineNumbers w:val="0"/>
              <w:spacing w:before="0" w:beforeAutospacing="0" w:after="0" w:afterAutospacing="0"/>
              <w:ind w:left="0" w:right="0"/>
              <w:rPr>
                <w:rFonts w:hint="default" w:ascii="宋体" w:hAnsi="宋体"/>
              </w:rPr>
            </w:pPr>
            <w:r>
              <w:rPr>
                <w:rFonts w:hint="eastAsia" w:ascii="宋体" w:hAnsi="宋体"/>
              </w:rPr>
              <w:t>一、 唯一性检测：</w:t>
            </w:r>
          </w:p>
          <w:p w14:paraId="40DDC8AF">
            <w:pPr>
              <w:keepNext w:val="0"/>
              <w:keepLines w:val="0"/>
              <w:suppressLineNumbers w:val="0"/>
              <w:spacing w:before="0" w:beforeAutospacing="0" w:after="0" w:afterAutospacing="0"/>
              <w:ind w:left="0" w:right="0"/>
              <w:rPr>
                <w:rFonts w:hint="default" w:ascii="宋体" w:hAnsi="宋体"/>
              </w:rPr>
            </w:pPr>
            <w:r>
              <w:rPr>
                <w:rFonts w:hint="eastAsia" w:ascii="宋体" w:hAnsi="宋体"/>
              </w:rPr>
              <w:t>1.唯一性指条目表中某一项或多项信息填写不能出现重复，可以作为每件档案，每条条目的唯一标识。</w:t>
            </w:r>
          </w:p>
          <w:p w14:paraId="5A97ADF7">
            <w:pPr>
              <w:keepNext w:val="0"/>
              <w:keepLines w:val="0"/>
              <w:suppressLineNumbers w:val="0"/>
              <w:spacing w:before="0" w:beforeAutospacing="0" w:after="0" w:afterAutospacing="0"/>
              <w:ind w:left="0" w:right="0"/>
              <w:rPr>
                <w:rFonts w:hint="default" w:ascii="宋体" w:hAnsi="宋体"/>
              </w:rPr>
            </w:pPr>
            <w:r>
              <w:rPr>
                <w:rFonts w:hint="eastAsia" w:ascii="宋体" w:hAnsi="宋体"/>
              </w:rPr>
              <w:t>2.档号是档案馆（室）在整理和管理档案的过程中，以字符形式赋予档案的、用以固定和反映档案排列顺序的一组代码，具有唯一性，不能有重复。</w:t>
            </w:r>
          </w:p>
          <w:p w14:paraId="3EF3AF98">
            <w:pPr>
              <w:keepNext w:val="0"/>
              <w:keepLines w:val="0"/>
              <w:suppressLineNumbers w:val="0"/>
              <w:spacing w:before="0" w:beforeAutospacing="0" w:after="0" w:afterAutospacing="0"/>
              <w:ind w:left="0" w:right="0"/>
              <w:rPr>
                <w:rFonts w:hint="default" w:ascii="宋体" w:hAnsi="宋体"/>
              </w:rPr>
            </w:pPr>
            <w:r>
              <w:rPr>
                <w:rFonts w:hint="eastAsia" w:ascii="宋体" w:hAnsi="宋体"/>
              </w:rPr>
              <w:t>二、连续性检测：</w:t>
            </w:r>
          </w:p>
          <w:p w14:paraId="3B8AC91B">
            <w:pPr>
              <w:keepNext w:val="0"/>
              <w:keepLines w:val="0"/>
              <w:suppressLineNumbers w:val="0"/>
              <w:spacing w:before="0" w:beforeAutospacing="0" w:after="0" w:afterAutospacing="0"/>
              <w:ind w:left="0" w:right="0"/>
              <w:rPr>
                <w:rFonts w:hint="default" w:ascii="宋体" w:hAnsi="宋体"/>
              </w:rPr>
            </w:pPr>
            <w:r>
              <w:rPr>
                <w:rFonts w:hint="eastAsia" w:ascii="宋体" w:hAnsi="宋体"/>
              </w:rPr>
              <w:t>1.按件整理的文书档案著录归档文件在同年度、同机构、同一保管期限内的排列序号，即归档章上的件号，具有连续性，不能出现断续。</w:t>
            </w:r>
          </w:p>
          <w:p w14:paraId="132113AD">
            <w:pPr>
              <w:keepNext w:val="0"/>
              <w:keepLines w:val="0"/>
              <w:suppressLineNumbers w:val="0"/>
              <w:spacing w:before="0" w:beforeAutospacing="0" w:after="0" w:afterAutospacing="0"/>
              <w:ind w:left="0" w:right="0"/>
              <w:rPr>
                <w:rFonts w:hint="default" w:ascii="宋体" w:hAnsi="宋体"/>
              </w:rPr>
            </w:pPr>
            <w:r>
              <w:rPr>
                <w:rFonts w:hint="eastAsia" w:ascii="宋体" w:hAnsi="宋体"/>
              </w:rPr>
              <w:t>2.页号是文件每页的排列序号，具有连续性，不能出现断续。</w:t>
            </w:r>
          </w:p>
          <w:p w14:paraId="203C3D89">
            <w:pPr>
              <w:keepNext w:val="0"/>
              <w:keepLines w:val="0"/>
              <w:suppressLineNumbers w:val="0"/>
              <w:spacing w:before="0" w:beforeAutospacing="0" w:after="0" w:afterAutospacing="0"/>
              <w:ind w:left="0" w:right="0"/>
              <w:rPr>
                <w:rFonts w:hint="default" w:ascii="宋体" w:hAnsi="宋体"/>
              </w:rPr>
            </w:pPr>
            <w:r>
              <w:rPr>
                <w:rFonts w:hint="eastAsia" w:ascii="宋体" w:hAnsi="宋体"/>
              </w:rPr>
              <w:t>3.起止页号是案卷整理的文书档案，页号整卷排列的情况下，卷内连续两件中第一件的截止页号和第二件的起始页号，具有连续性，不能出现断续。</w:t>
            </w:r>
          </w:p>
          <w:p w14:paraId="762D7AA0">
            <w:pPr>
              <w:keepNext w:val="0"/>
              <w:keepLines w:val="0"/>
              <w:suppressLineNumbers w:val="0"/>
              <w:spacing w:before="0" w:beforeAutospacing="0" w:after="0" w:afterAutospacing="0"/>
              <w:ind w:left="0" w:right="0"/>
              <w:rPr>
                <w:rFonts w:hint="default" w:ascii="宋体" w:hAnsi="宋体"/>
              </w:rPr>
            </w:pPr>
            <w:r>
              <w:rPr>
                <w:rFonts w:hint="eastAsia" w:ascii="宋体" w:hAnsi="宋体"/>
              </w:rPr>
              <w:t>三、一致性检测：</w:t>
            </w:r>
          </w:p>
          <w:p w14:paraId="3E5149D8">
            <w:pPr>
              <w:keepNext w:val="0"/>
              <w:keepLines w:val="0"/>
              <w:suppressLineNumbers w:val="0"/>
              <w:spacing w:before="0" w:beforeAutospacing="0" w:after="0" w:afterAutospacing="0"/>
              <w:ind w:left="0" w:right="0"/>
              <w:rPr>
                <w:rFonts w:hint="default" w:ascii="宋体" w:hAnsi="宋体"/>
              </w:rPr>
            </w:pPr>
            <w:r>
              <w:rPr>
                <w:rFonts w:hint="eastAsia" w:ascii="宋体" w:hAnsi="宋体"/>
              </w:rPr>
              <w:t>1.检测文件日期与年度是否相符；</w:t>
            </w:r>
          </w:p>
          <w:p w14:paraId="00B3DEFD">
            <w:pPr>
              <w:keepNext w:val="0"/>
              <w:keepLines w:val="0"/>
              <w:suppressLineNumbers w:val="0"/>
              <w:spacing w:before="0" w:beforeAutospacing="0" w:after="0" w:afterAutospacing="0"/>
              <w:ind w:left="0" w:right="0"/>
              <w:rPr>
                <w:rFonts w:hint="default" w:ascii="宋体" w:hAnsi="宋体"/>
              </w:rPr>
            </w:pPr>
            <w:r>
              <w:rPr>
                <w:rFonts w:hint="eastAsia" w:ascii="宋体" w:hAnsi="宋体"/>
              </w:rPr>
              <w:t>2. 根据档号检查条目“页数/总页数”和对应存储结构下图像数量一致性，不相符之处用高亮效果予以标注；</w:t>
            </w:r>
          </w:p>
        </w:tc>
        <w:tc>
          <w:tcPr>
            <w:tcW w:w="750" w:type="dxa"/>
            <w:vMerge w:val="continue"/>
            <w:tcBorders>
              <w:left w:val="single" w:color="auto" w:sz="4" w:space="0"/>
              <w:right w:val="single" w:color="auto" w:sz="4" w:space="0"/>
            </w:tcBorders>
            <w:vAlign w:val="center"/>
          </w:tcPr>
          <w:p w14:paraId="74AC43CA">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28B408A6">
            <w:pPr>
              <w:keepNext w:val="0"/>
              <w:keepLines w:val="0"/>
              <w:suppressLineNumbers w:val="0"/>
              <w:spacing w:before="0" w:beforeAutospacing="0" w:after="0" w:afterAutospacing="0"/>
              <w:ind w:left="0" w:right="0"/>
              <w:rPr>
                <w:rFonts w:hint="default" w:ascii="宋体" w:hAnsi="宋体"/>
              </w:rPr>
            </w:pPr>
          </w:p>
        </w:tc>
      </w:tr>
      <w:tr w14:paraId="32F2B52C">
        <w:tblPrEx>
          <w:tblCellMar>
            <w:top w:w="0" w:type="dxa"/>
            <w:left w:w="108" w:type="dxa"/>
            <w:bottom w:w="0" w:type="dxa"/>
            <w:right w:w="108" w:type="dxa"/>
          </w:tblCellMar>
        </w:tblPrEx>
        <w:trPr>
          <w:trHeight w:val="652" w:hRule="atLeast"/>
        </w:trPr>
        <w:tc>
          <w:tcPr>
            <w:tcW w:w="1071" w:type="dxa"/>
            <w:vMerge w:val="continue"/>
            <w:tcBorders>
              <w:left w:val="single" w:color="auto" w:sz="4" w:space="0"/>
              <w:right w:val="single" w:color="auto" w:sz="4" w:space="0"/>
            </w:tcBorders>
            <w:shd w:val="clear" w:color="auto" w:fill="auto"/>
            <w:noWrap/>
            <w:vAlign w:val="center"/>
          </w:tcPr>
          <w:p w14:paraId="6260BA7F">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2F14EAC7">
            <w:pPr>
              <w:keepNext w:val="0"/>
              <w:keepLines w:val="0"/>
              <w:suppressLineNumbers w:val="0"/>
              <w:spacing w:before="0" w:beforeAutospacing="0" w:after="0" w:afterAutospacing="0"/>
              <w:ind w:left="0" w:right="0"/>
              <w:rPr>
                <w:rFonts w:hint="default" w:ascii="宋体" w:hAnsi="宋体"/>
              </w:rPr>
            </w:pPr>
            <w:r>
              <w:rPr>
                <w:rFonts w:hint="eastAsia" w:ascii="宋体" w:hAnsi="宋体"/>
              </w:rPr>
              <w:t>打回预归档库</w:t>
            </w:r>
          </w:p>
        </w:tc>
        <w:tc>
          <w:tcPr>
            <w:tcW w:w="5518" w:type="dxa"/>
            <w:tcBorders>
              <w:top w:val="single" w:color="auto" w:sz="4" w:space="0"/>
              <w:left w:val="nil"/>
              <w:bottom w:val="single" w:color="auto" w:sz="4" w:space="0"/>
              <w:right w:val="single" w:color="auto" w:sz="4" w:space="0"/>
            </w:tcBorders>
            <w:shd w:val="clear" w:color="auto" w:fill="auto"/>
            <w:vAlign w:val="center"/>
          </w:tcPr>
          <w:p w14:paraId="42FB70E0">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提供将档案数据移至预归档库的功能</w:t>
            </w:r>
          </w:p>
        </w:tc>
        <w:tc>
          <w:tcPr>
            <w:tcW w:w="750" w:type="dxa"/>
            <w:vMerge w:val="continue"/>
            <w:tcBorders>
              <w:left w:val="nil"/>
              <w:right w:val="single" w:color="auto" w:sz="4" w:space="0"/>
            </w:tcBorders>
            <w:vAlign w:val="center"/>
          </w:tcPr>
          <w:p w14:paraId="5433C87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90AD705">
            <w:pPr>
              <w:keepNext w:val="0"/>
              <w:keepLines w:val="0"/>
              <w:suppressLineNumbers w:val="0"/>
              <w:spacing w:before="0" w:beforeAutospacing="0" w:after="0" w:afterAutospacing="0"/>
              <w:ind w:left="0" w:right="0"/>
              <w:rPr>
                <w:rFonts w:hint="default" w:ascii="宋体" w:hAnsi="宋体"/>
              </w:rPr>
            </w:pPr>
          </w:p>
        </w:tc>
      </w:tr>
      <w:tr w14:paraId="3C32117A">
        <w:tblPrEx>
          <w:tblCellMar>
            <w:top w:w="0" w:type="dxa"/>
            <w:left w:w="108" w:type="dxa"/>
            <w:bottom w:w="0" w:type="dxa"/>
            <w:right w:w="108" w:type="dxa"/>
          </w:tblCellMar>
        </w:tblPrEx>
        <w:trPr>
          <w:trHeight w:val="641" w:hRule="atLeast"/>
        </w:trPr>
        <w:tc>
          <w:tcPr>
            <w:tcW w:w="1071" w:type="dxa"/>
            <w:vMerge w:val="continue"/>
            <w:tcBorders>
              <w:left w:val="single" w:color="auto" w:sz="4" w:space="0"/>
              <w:right w:val="single" w:color="auto" w:sz="4" w:space="0"/>
            </w:tcBorders>
            <w:shd w:val="clear" w:color="auto" w:fill="auto"/>
            <w:noWrap/>
            <w:vAlign w:val="center"/>
          </w:tcPr>
          <w:p w14:paraId="54F73E77">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08D9A278">
            <w:pPr>
              <w:keepNext w:val="0"/>
              <w:keepLines w:val="0"/>
              <w:suppressLineNumbers w:val="0"/>
              <w:spacing w:before="0" w:beforeAutospacing="0" w:after="0" w:afterAutospacing="0"/>
              <w:ind w:left="0" w:right="0"/>
              <w:rPr>
                <w:rFonts w:hint="default" w:ascii="宋体" w:hAnsi="宋体"/>
              </w:rPr>
            </w:pPr>
            <w:r>
              <w:rPr>
                <w:rFonts w:hint="eastAsia" w:ascii="宋体" w:hAnsi="宋体"/>
              </w:rPr>
              <w:t>目录排序</w:t>
            </w:r>
          </w:p>
        </w:tc>
        <w:tc>
          <w:tcPr>
            <w:tcW w:w="5518" w:type="dxa"/>
            <w:tcBorders>
              <w:top w:val="nil"/>
              <w:left w:val="nil"/>
              <w:bottom w:val="single" w:color="auto" w:sz="4" w:space="0"/>
              <w:right w:val="single" w:color="auto" w:sz="4" w:space="0"/>
            </w:tcBorders>
            <w:shd w:val="clear" w:color="auto" w:fill="auto"/>
            <w:vAlign w:val="center"/>
          </w:tcPr>
          <w:p w14:paraId="41EBB1CF">
            <w:pPr>
              <w:keepNext w:val="0"/>
              <w:keepLines w:val="0"/>
              <w:suppressLineNumbers w:val="0"/>
              <w:spacing w:before="0" w:beforeAutospacing="0" w:after="0" w:afterAutospacing="0"/>
              <w:ind w:left="0" w:right="0"/>
              <w:rPr>
                <w:rFonts w:hint="default" w:ascii="宋体" w:hAnsi="宋体"/>
              </w:rPr>
            </w:pPr>
            <w:r>
              <w:rPr>
                <w:rFonts w:hint="eastAsia" w:ascii="宋体" w:hAnsi="宋体"/>
              </w:rPr>
              <w:t>对预归档库显示的档案目录内容按自定义字段进行排序</w:t>
            </w:r>
          </w:p>
        </w:tc>
        <w:tc>
          <w:tcPr>
            <w:tcW w:w="750" w:type="dxa"/>
            <w:vMerge w:val="continue"/>
            <w:tcBorders>
              <w:left w:val="nil"/>
              <w:right w:val="single" w:color="auto" w:sz="4" w:space="0"/>
            </w:tcBorders>
            <w:vAlign w:val="center"/>
          </w:tcPr>
          <w:p w14:paraId="54C4E223">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F8041B1">
            <w:pPr>
              <w:keepNext w:val="0"/>
              <w:keepLines w:val="0"/>
              <w:suppressLineNumbers w:val="0"/>
              <w:spacing w:before="0" w:beforeAutospacing="0" w:after="0" w:afterAutospacing="0"/>
              <w:ind w:left="0" w:right="0"/>
              <w:rPr>
                <w:rFonts w:hint="default" w:ascii="宋体" w:hAnsi="宋体"/>
              </w:rPr>
            </w:pPr>
          </w:p>
        </w:tc>
      </w:tr>
      <w:tr w14:paraId="34D9CFDC">
        <w:tblPrEx>
          <w:tblCellMar>
            <w:top w:w="0" w:type="dxa"/>
            <w:left w:w="108" w:type="dxa"/>
            <w:bottom w:w="0" w:type="dxa"/>
            <w:right w:w="108" w:type="dxa"/>
          </w:tblCellMar>
        </w:tblPrEx>
        <w:trPr>
          <w:trHeight w:val="695" w:hRule="atLeast"/>
        </w:trPr>
        <w:tc>
          <w:tcPr>
            <w:tcW w:w="1071" w:type="dxa"/>
            <w:vMerge w:val="continue"/>
            <w:tcBorders>
              <w:left w:val="single" w:color="auto" w:sz="4" w:space="0"/>
              <w:right w:val="single" w:color="auto" w:sz="4" w:space="0"/>
            </w:tcBorders>
            <w:shd w:val="clear" w:color="auto" w:fill="auto"/>
            <w:noWrap/>
            <w:vAlign w:val="center"/>
          </w:tcPr>
          <w:p w14:paraId="35FEBE6B">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1B2758E6">
            <w:pPr>
              <w:keepNext w:val="0"/>
              <w:keepLines w:val="0"/>
              <w:suppressLineNumbers w:val="0"/>
              <w:spacing w:before="0" w:beforeAutospacing="0" w:after="0" w:afterAutospacing="0"/>
              <w:ind w:left="0" w:right="0"/>
              <w:rPr>
                <w:rFonts w:hint="default" w:ascii="宋体" w:hAnsi="宋体"/>
              </w:rPr>
            </w:pPr>
            <w:r>
              <w:rPr>
                <w:rFonts w:hint="eastAsia" w:ascii="宋体" w:hAnsi="宋体"/>
              </w:rPr>
              <w:t>目录打印</w:t>
            </w:r>
          </w:p>
        </w:tc>
        <w:tc>
          <w:tcPr>
            <w:tcW w:w="5518" w:type="dxa"/>
            <w:tcBorders>
              <w:top w:val="nil"/>
              <w:left w:val="nil"/>
              <w:bottom w:val="single" w:color="auto" w:sz="4" w:space="0"/>
              <w:right w:val="single" w:color="auto" w:sz="4" w:space="0"/>
            </w:tcBorders>
            <w:shd w:val="clear" w:color="auto" w:fill="auto"/>
            <w:vAlign w:val="center"/>
          </w:tcPr>
          <w:p w14:paraId="29D0B485">
            <w:pPr>
              <w:keepNext w:val="0"/>
              <w:keepLines w:val="0"/>
              <w:suppressLineNumbers w:val="0"/>
              <w:spacing w:before="0" w:beforeAutospacing="0" w:after="0" w:afterAutospacing="0"/>
              <w:ind w:left="0" w:right="0"/>
              <w:rPr>
                <w:rFonts w:hint="default" w:ascii="宋体" w:hAnsi="宋体"/>
              </w:rPr>
            </w:pPr>
            <w:r>
              <w:rPr>
                <w:rFonts w:hint="eastAsia" w:ascii="宋体" w:hAnsi="宋体"/>
              </w:rPr>
              <w:t>对档案目录按照模板进行打印</w:t>
            </w:r>
          </w:p>
        </w:tc>
        <w:tc>
          <w:tcPr>
            <w:tcW w:w="750" w:type="dxa"/>
            <w:vMerge w:val="continue"/>
            <w:tcBorders>
              <w:left w:val="nil"/>
              <w:right w:val="single" w:color="auto" w:sz="4" w:space="0"/>
            </w:tcBorders>
            <w:vAlign w:val="center"/>
          </w:tcPr>
          <w:p w14:paraId="7A4C6A2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35ACD4F4">
            <w:pPr>
              <w:keepNext w:val="0"/>
              <w:keepLines w:val="0"/>
              <w:suppressLineNumbers w:val="0"/>
              <w:spacing w:before="0" w:beforeAutospacing="0" w:after="0" w:afterAutospacing="0"/>
              <w:ind w:left="0" w:right="0"/>
              <w:rPr>
                <w:rFonts w:hint="default" w:ascii="宋体" w:hAnsi="宋体"/>
              </w:rPr>
            </w:pPr>
          </w:p>
        </w:tc>
      </w:tr>
      <w:tr w14:paraId="3248844C">
        <w:tblPrEx>
          <w:tblCellMar>
            <w:top w:w="0" w:type="dxa"/>
            <w:left w:w="108" w:type="dxa"/>
            <w:bottom w:w="0" w:type="dxa"/>
            <w:right w:w="108" w:type="dxa"/>
          </w:tblCellMar>
        </w:tblPrEx>
        <w:trPr>
          <w:trHeight w:val="478" w:hRule="atLeast"/>
        </w:trPr>
        <w:tc>
          <w:tcPr>
            <w:tcW w:w="1071" w:type="dxa"/>
            <w:vMerge w:val="continue"/>
            <w:tcBorders>
              <w:left w:val="single" w:color="auto" w:sz="4" w:space="0"/>
              <w:right w:val="single" w:color="auto" w:sz="4" w:space="0"/>
            </w:tcBorders>
            <w:shd w:val="clear" w:color="auto" w:fill="auto"/>
            <w:noWrap/>
            <w:vAlign w:val="center"/>
          </w:tcPr>
          <w:p w14:paraId="45702796">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E3194">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档案管理</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6B1F9BF8">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single" w:color="auto" w:sz="4" w:space="0"/>
              <w:right w:val="single" w:color="auto" w:sz="4" w:space="0"/>
            </w:tcBorders>
            <w:vAlign w:val="center"/>
          </w:tcPr>
          <w:p w14:paraId="4E6FEEC5">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4A882E46">
            <w:pPr>
              <w:keepNext w:val="0"/>
              <w:keepLines w:val="0"/>
              <w:suppressLineNumbers w:val="0"/>
              <w:spacing w:before="0" w:beforeAutospacing="0" w:after="0" w:afterAutospacing="0"/>
              <w:ind w:left="0" w:right="0"/>
              <w:rPr>
                <w:rFonts w:hint="default" w:ascii="宋体" w:hAnsi="宋体"/>
              </w:rPr>
            </w:pPr>
          </w:p>
        </w:tc>
      </w:tr>
      <w:tr w14:paraId="0543087B">
        <w:tblPrEx>
          <w:tblCellMar>
            <w:top w:w="0" w:type="dxa"/>
            <w:left w:w="108" w:type="dxa"/>
            <w:bottom w:w="0" w:type="dxa"/>
            <w:right w:w="108" w:type="dxa"/>
          </w:tblCellMar>
        </w:tblPrEx>
        <w:trPr>
          <w:trHeight w:val="499" w:hRule="atLeast"/>
        </w:trPr>
        <w:tc>
          <w:tcPr>
            <w:tcW w:w="1071" w:type="dxa"/>
            <w:vMerge w:val="continue"/>
            <w:tcBorders>
              <w:left w:val="single" w:color="auto" w:sz="4" w:space="0"/>
              <w:right w:val="single" w:color="auto" w:sz="4" w:space="0"/>
            </w:tcBorders>
            <w:shd w:val="clear" w:color="auto" w:fill="auto"/>
            <w:noWrap/>
            <w:vAlign w:val="center"/>
          </w:tcPr>
          <w:p w14:paraId="0AE7FA18">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05EAD">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档案接收</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6C49FE56">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single" w:color="auto" w:sz="4" w:space="0"/>
              <w:right w:val="single" w:color="auto" w:sz="4" w:space="0"/>
            </w:tcBorders>
            <w:vAlign w:val="center"/>
          </w:tcPr>
          <w:p w14:paraId="6D9EC01A">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100FF267">
            <w:pPr>
              <w:keepNext w:val="0"/>
              <w:keepLines w:val="0"/>
              <w:suppressLineNumbers w:val="0"/>
              <w:spacing w:before="0" w:beforeAutospacing="0" w:after="0" w:afterAutospacing="0"/>
              <w:ind w:left="0" w:right="0"/>
              <w:rPr>
                <w:rFonts w:hint="default" w:ascii="宋体" w:hAnsi="宋体"/>
              </w:rPr>
            </w:pPr>
          </w:p>
        </w:tc>
      </w:tr>
      <w:tr w14:paraId="286408C5">
        <w:tblPrEx>
          <w:tblCellMar>
            <w:top w:w="0" w:type="dxa"/>
            <w:left w:w="108" w:type="dxa"/>
            <w:bottom w:w="0" w:type="dxa"/>
            <w:right w:w="108" w:type="dxa"/>
          </w:tblCellMar>
        </w:tblPrEx>
        <w:trPr>
          <w:trHeight w:val="944" w:hRule="atLeast"/>
        </w:trPr>
        <w:tc>
          <w:tcPr>
            <w:tcW w:w="1071" w:type="dxa"/>
            <w:vMerge w:val="continue"/>
            <w:tcBorders>
              <w:left w:val="single" w:color="auto" w:sz="4" w:space="0"/>
              <w:right w:val="single" w:color="auto" w:sz="4" w:space="0"/>
            </w:tcBorders>
            <w:shd w:val="clear" w:color="auto" w:fill="auto"/>
            <w:noWrap/>
            <w:vAlign w:val="center"/>
          </w:tcPr>
          <w:p w14:paraId="6F5AC53B">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542B41B7">
            <w:pPr>
              <w:keepNext w:val="0"/>
              <w:keepLines w:val="0"/>
              <w:suppressLineNumbers w:val="0"/>
              <w:spacing w:before="0" w:beforeAutospacing="0" w:after="0" w:afterAutospacing="0"/>
              <w:ind w:left="0" w:right="0"/>
              <w:rPr>
                <w:rFonts w:hint="default" w:ascii="宋体" w:hAnsi="宋体"/>
              </w:rPr>
            </w:pPr>
            <w:r>
              <w:rPr>
                <w:rFonts w:hint="eastAsia" w:ascii="宋体" w:hAnsi="宋体"/>
              </w:rPr>
              <w:t>实体档案接收</w:t>
            </w:r>
          </w:p>
        </w:tc>
        <w:tc>
          <w:tcPr>
            <w:tcW w:w="5518" w:type="dxa"/>
            <w:tcBorders>
              <w:top w:val="single" w:color="auto" w:sz="4" w:space="0"/>
              <w:left w:val="nil"/>
              <w:bottom w:val="single" w:color="auto" w:sz="4" w:space="0"/>
              <w:right w:val="single" w:color="auto" w:sz="4" w:space="0"/>
            </w:tcBorders>
            <w:shd w:val="clear" w:color="auto" w:fill="auto"/>
            <w:vAlign w:val="center"/>
          </w:tcPr>
          <w:p w14:paraId="31B4FA19">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系统提供EXCEL、XML、txt等数据格式接收，实现数字化成果的条目数据接收。在目录接收时系统自动完成源数据和目标数据的匹配</w:t>
            </w:r>
          </w:p>
        </w:tc>
        <w:tc>
          <w:tcPr>
            <w:tcW w:w="750" w:type="dxa"/>
            <w:vMerge w:val="continue"/>
            <w:tcBorders>
              <w:left w:val="nil"/>
              <w:right w:val="single" w:color="auto" w:sz="4" w:space="0"/>
            </w:tcBorders>
            <w:vAlign w:val="center"/>
          </w:tcPr>
          <w:p w14:paraId="67D1715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021B9DA">
            <w:pPr>
              <w:keepNext w:val="0"/>
              <w:keepLines w:val="0"/>
              <w:suppressLineNumbers w:val="0"/>
              <w:spacing w:before="0" w:beforeAutospacing="0" w:after="0" w:afterAutospacing="0"/>
              <w:ind w:left="0" w:right="0"/>
              <w:rPr>
                <w:rFonts w:hint="default" w:ascii="宋体" w:hAnsi="宋体"/>
              </w:rPr>
            </w:pPr>
          </w:p>
        </w:tc>
      </w:tr>
      <w:tr w14:paraId="1E28AD5C">
        <w:tblPrEx>
          <w:tblCellMar>
            <w:top w:w="0" w:type="dxa"/>
            <w:left w:w="108" w:type="dxa"/>
            <w:bottom w:w="0" w:type="dxa"/>
            <w:right w:w="108" w:type="dxa"/>
          </w:tblCellMar>
        </w:tblPrEx>
        <w:trPr>
          <w:trHeight w:val="987" w:hRule="atLeast"/>
        </w:trPr>
        <w:tc>
          <w:tcPr>
            <w:tcW w:w="1071" w:type="dxa"/>
            <w:vMerge w:val="continue"/>
            <w:tcBorders>
              <w:left w:val="single" w:color="auto" w:sz="4" w:space="0"/>
              <w:right w:val="single" w:color="auto" w:sz="4" w:space="0"/>
            </w:tcBorders>
            <w:shd w:val="clear" w:color="auto" w:fill="auto"/>
            <w:noWrap/>
            <w:vAlign w:val="center"/>
          </w:tcPr>
          <w:p w14:paraId="5646141C">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659DCDE7">
            <w:pPr>
              <w:keepNext w:val="0"/>
              <w:keepLines w:val="0"/>
              <w:suppressLineNumbers w:val="0"/>
              <w:spacing w:before="0" w:beforeAutospacing="0" w:after="0" w:afterAutospacing="0"/>
              <w:ind w:left="0" w:right="0"/>
              <w:rPr>
                <w:rFonts w:hint="default" w:ascii="宋体" w:hAnsi="宋体"/>
              </w:rPr>
            </w:pPr>
            <w:r>
              <w:rPr>
                <w:rFonts w:hint="eastAsia" w:ascii="宋体" w:hAnsi="宋体"/>
              </w:rPr>
              <w:t>电子档案接收</w:t>
            </w:r>
          </w:p>
        </w:tc>
        <w:tc>
          <w:tcPr>
            <w:tcW w:w="5518" w:type="dxa"/>
            <w:tcBorders>
              <w:top w:val="nil"/>
              <w:left w:val="nil"/>
              <w:bottom w:val="single" w:color="auto" w:sz="4" w:space="0"/>
              <w:right w:val="single" w:color="auto" w:sz="4" w:space="0"/>
            </w:tcBorders>
            <w:shd w:val="clear" w:color="auto" w:fill="auto"/>
            <w:vAlign w:val="center"/>
          </w:tcPr>
          <w:p w14:paraId="1E2CDEDC">
            <w:pPr>
              <w:keepNext w:val="0"/>
              <w:keepLines w:val="0"/>
              <w:suppressLineNumbers w:val="0"/>
              <w:spacing w:before="0" w:beforeAutospacing="0" w:after="0" w:afterAutospacing="0"/>
              <w:ind w:left="0" w:right="0"/>
              <w:rPr>
                <w:rFonts w:hint="default" w:ascii="宋体" w:hAnsi="宋体"/>
              </w:rPr>
            </w:pPr>
            <w:r>
              <w:rPr>
                <w:rFonts w:hint="eastAsia" w:ascii="宋体" w:hAnsi="宋体"/>
              </w:rPr>
              <w:t>接收系统移交来的电子档案（归档包），并将其内容录入至预归档库或管理库对应的档案类型中。使其与其他实体档案一并受档案管理模块管理</w:t>
            </w:r>
          </w:p>
        </w:tc>
        <w:tc>
          <w:tcPr>
            <w:tcW w:w="750" w:type="dxa"/>
            <w:vMerge w:val="continue"/>
            <w:tcBorders>
              <w:left w:val="nil"/>
              <w:right w:val="single" w:color="auto" w:sz="4" w:space="0"/>
            </w:tcBorders>
            <w:vAlign w:val="center"/>
          </w:tcPr>
          <w:p w14:paraId="35ED30B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03522B63">
            <w:pPr>
              <w:keepNext w:val="0"/>
              <w:keepLines w:val="0"/>
              <w:suppressLineNumbers w:val="0"/>
              <w:spacing w:before="0" w:beforeAutospacing="0" w:after="0" w:afterAutospacing="0"/>
              <w:ind w:left="0" w:right="0"/>
              <w:rPr>
                <w:rFonts w:hint="default" w:ascii="宋体" w:hAnsi="宋体"/>
              </w:rPr>
            </w:pPr>
          </w:p>
        </w:tc>
      </w:tr>
      <w:tr w14:paraId="17EBFB4E">
        <w:tblPrEx>
          <w:tblCellMar>
            <w:top w:w="0" w:type="dxa"/>
            <w:left w:w="108" w:type="dxa"/>
            <w:bottom w:w="0" w:type="dxa"/>
            <w:right w:w="108" w:type="dxa"/>
          </w:tblCellMar>
        </w:tblPrEx>
        <w:trPr>
          <w:trHeight w:val="1345" w:hRule="atLeast"/>
        </w:trPr>
        <w:tc>
          <w:tcPr>
            <w:tcW w:w="1071" w:type="dxa"/>
            <w:vMerge w:val="continue"/>
            <w:tcBorders>
              <w:left w:val="single" w:color="auto" w:sz="4" w:space="0"/>
              <w:right w:val="single" w:color="auto" w:sz="4" w:space="0"/>
            </w:tcBorders>
            <w:shd w:val="clear" w:color="auto" w:fill="auto"/>
            <w:noWrap/>
            <w:vAlign w:val="center"/>
          </w:tcPr>
          <w:p w14:paraId="7888EE16">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21F49A6E">
            <w:pPr>
              <w:keepNext w:val="0"/>
              <w:keepLines w:val="0"/>
              <w:suppressLineNumbers w:val="0"/>
              <w:spacing w:before="0" w:beforeAutospacing="0" w:after="0" w:afterAutospacing="0"/>
              <w:ind w:left="0" w:right="0"/>
              <w:rPr>
                <w:rFonts w:hint="default" w:ascii="宋体" w:hAnsi="宋体"/>
              </w:rPr>
            </w:pPr>
            <w:r>
              <w:rPr>
                <w:rFonts w:hint="eastAsia" w:ascii="宋体" w:hAnsi="宋体"/>
              </w:rPr>
              <w:t>原文挂接</w:t>
            </w:r>
          </w:p>
        </w:tc>
        <w:tc>
          <w:tcPr>
            <w:tcW w:w="5518" w:type="dxa"/>
            <w:tcBorders>
              <w:top w:val="nil"/>
              <w:left w:val="nil"/>
              <w:bottom w:val="single" w:color="auto" w:sz="4" w:space="0"/>
              <w:right w:val="single" w:color="auto" w:sz="4" w:space="0"/>
            </w:tcBorders>
            <w:shd w:val="clear" w:color="auto" w:fill="auto"/>
            <w:vAlign w:val="center"/>
          </w:tcPr>
          <w:p w14:paraId="103E06A9">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提供数字化副本的原文上传与挂接功能，系统自动将要挂接的全文根据设置的规则挂接到对应的档案条目上。同时，为了提高挂接性能，系统提供客户端挂接和服务器端挂接两种方式。全文存放位置可自定义。可对各种方式接收的档案进行管理，接收的数据确认后可提交预归档库或归档库</w:t>
            </w:r>
          </w:p>
        </w:tc>
        <w:tc>
          <w:tcPr>
            <w:tcW w:w="750" w:type="dxa"/>
            <w:vMerge w:val="continue"/>
            <w:tcBorders>
              <w:left w:val="nil"/>
              <w:right w:val="single" w:color="auto" w:sz="4" w:space="0"/>
            </w:tcBorders>
            <w:vAlign w:val="center"/>
          </w:tcPr>
          <w:p w14:paraId="127C7DA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DFFDB87">
            <w:pPr>
              <w:keepNext w:val="0"/>
              <w:keepLines w:val="0"/>
              <w:suppressLineNumbers w:val="0"/>
              <w:spacing w:before="0" w:beforeAutospacing="0" w:after="0" w:afterAutospacing="0"/>
              <w:ind w:left="0" w:right="0"/>
              <w:rPr>
                <w:rFonts w:hint="default" w:ascii="宋体" w:hAnsi="宋体"/>
              </w:rPr>
            </w:pPr>
          </w:p>
        </w:tc>
      </w:tr>
      <w:tr w14:paraId="48234F59">
        <w:tblPrEx>
          <w:tblCellMar>
            <w:top w:w="0" w:type="dxa"/>
            <w:left w:w="108" w:type="dxa"/>
            <w:bottom w:w="0" w:type="dxa"/>
            <w:right w:w="108" w:type="dxa"/>
          </w:tblCellMar>
        </w:tblPrEx>
        <w:trPr>
          <w:trHeight w:val="553" w:hRule="atLeast"/>
        </w:trPr>
        <w:tc>
          <w:tcPr>
            <w:tcW w:w="1071" w:type="dxa"/>
            <w:vMerge w:val="continue"/>
            <w:tcBorders>
              <w:left w:val="single" w:color="auto" w:sz="4" w:space="0"/>
              <w:right w:val="single" w:color="auto" w:sz="4" w:space="0"/>
            </w:tcBorders>
            <w:shd w:val="clear" w:color="auto" w:fill="auto"/>
            <w:noWrap/>
            <w:vAlign w:val="center"/>
          </w:tcPr>
          <w:p w14:paraId="34E4D1C6">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1D096D7B">
            <w:pPr>
              <w:keepNext w:val="0"/>
              <w:keepLines w:val="0"/>
              <w:suppressLineNumbers w:val="0"/>
              <w:spacing w:before="0" w:beforeAutospacing="0" w:after="0" w:afterAutospacing="0"/>
              <w:ind w:left="0" w:right="0"/>
              <w:rPr>
                <w:rFonts w:hint="default" w:ascii="宋体" w:hAnsi="宋体"/>
              </w:rPr>
            </w:pPr>
            <w:r>
              <w:rPr>
                <w:rFonts w:hint="eastAsia" w:ascii="宋体" w:hAnsi="宋体"/>
              </w:rPr>
              <w:t>电子档案整理</w:t>
            </w:r>
          </w:p>
        </w:tc>
        <w:tc>
          <w:tcPr>
            <w:tcW w:w="5518" w:type="dxa"/>
            <w:tcBorders>
              <w:top w:val="nil"/>
              <w:left w:val="nil"/>
              <w:bottom w:val="single" w:color="auto" w:sz="4" w:space="0"/>
              <w:right w:val="single" w:color="auto" w:sz="4" w:space="0"/>
            </w:tcBorders>
            <w:shd w:val="clear" w:color="auto" w:fill="auto"/>
            <w:vAlign w:val="center"/>
          </w:tcPr>
          <w:p w14:paraId="4E16AC1A">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nil"/>
              <w:right w:val="single" w:color="auto" w:sz="4" w:space="0"/>
            </w:tcBorders>
            <w:vAlign w:val="center"/>
          </w:tcPr>
          <w:p w14:paraId="3156029D">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21C51BC">
            <w:pPr>
              <w:keepNext w:val="0"/>
              <w:keepLines w:val="0"/>
              <w:suppressLineNumbers w:val="0"/>
              <w:spacing w:before="0" w:beforeAutospacing="0" w:after="0" w:afterAutospacing="0"/>
              <w:ind w:left="0" w:right="0"/>
              <w:rPr>
                <w:rFonts w:hint="default" w:ascii="宋体" w:hAnsi="宋体"/>
              </w:rPr>
            </w:pPr>
          </w:p>
        </w:tc>
      </w:tr>
      <w:tr w14:paraId="3FD4A01A">
        <w:tblPrEx>
          <w:tblCellMar>
            <w:top w:w="0" w:type="dxa"/>
            <w:left w:w="108" w:type="dxa"/>
            <w:bottom w:w="0" w:type="dxa"/>
            <w:right w:w="108" w:type="dxa"/>
          </w:tblCellMar>
        </w:tblPrEx>
        <w:trPr>
          <w:trHeight w:val="911" w:hRule="atLeast"/>
        </w:trPr>
        <w:tc>
          <w:tcPr>
            <w:tcW w:w="1071" w:type="dxa"/>
            <w:vMerge w:val="continue"/>
            <w:tcBorders>
              <w:left w:val="single" w:color="auto" w:sz="4" w:space="0"/>
              <w:right w:val="single" w:color="auto" w:sz="4" w:space="0"/>
            </w:tcBorders>
            <w:shd w:val="clear" w:color="auto" w:fill="auto"/>
            <w:noWrap/>
            <w:vAlign w:val="center"/>
          </w:tcPr>
          <w:p w14:paraId="63997808">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095F2EAE">
            <w:pPr>
              <w:keepNext w:val="0"/>
              <w:keepLines w:val="0"/>
              <w:suppressLineNumbers w:val="0"/>
              <w:spacing w:before="0" w:beforeAutospacing="0" w:after="0" w:afterAutospacing="0"/>
              <w:ind w:left="0" w:right="0"/>
              <w:rPr>
                <w:rFonts w:hint="default" w:ascii="宋体" w:hAnsi="宋体"/>
              </w:rPr>
            </w:pPr>
            <w:r>
              <w:rPr>
                <w:rFonts w:hint="eastAsia" w:ascii="宋体" w:hAnsi="宋体"/>
              </w:rPr>
              <w:t>电子文件收集</w:t>
            </w:r>
          </w:p>
        </w:tc>
        <w:tc>
          <w:tcPr>
            <w:tcW w:w="5518" w:type="dxa"/>
            <w:tcBorders>
              <w:top w:val="nil"/>
              <w:left w:val="nil"/>
              <w:bottom w:val="single" w:color="auto" w:sz="4" w:space="0"/>
              <w:right w:val="single" w:color="auto" w:sz="4" w:space="0"/>
            </w:tcBorders>
            <w:shd w:val="clear" w:color="auto" w:fill="auto"/>
            <w:vAlign w:val="center"/>
          </w:tcPr>
          <w:p w14:paraId="75F5E857">
            <w:pPr>
              <w:keepNext w:val="0"/>
              <w:keepLines w:val="0"/>
              <w:suppressLineNumbers w:val="0"/>
              <w:spacing w:before="0" w:beforeAutospacing="0" w:after="0" w:afterAutospacing="0"/>
              <w:ind w:left="0" w:right="0"/>
              <w:rPr>
                <w:rFonts w:hint="default" w:ascii="宋体" w:hAnsi="宋体"/>
              </w:rPr>
            </w:pPr>
            <w:r>
              <w:rPr>
                <w:rFonts w:hint="eastAsia" w:ascii="宋体" w:hAnsi="宋体"/>
              </w:rPr>
              <w:t>从异构系统（综合办公平台）上获取电子文件及其元数据，提供捕获、元数据录入、电子文件格式转换功能。档案系统提供在线收集与离线收集两种方式</w:t>
            </w:r>
          </w:p>
        </w:tc>
        <w:tc>
          <w:tcPr>
            <w:tcW w:w="750" w:type="dxa"/>
            <w:vMerge w:val="continue"/>
            <w:tcBorders>
              <w:left w:val="nil"/>
              <w:right w:val="single" w:color="auto" w:sz="4" w:space="0"/>
            </w:tcBorders>
            <w:vAlign w:val="center"/>
          </w:tcPr>
          <w:p w14:paraId="19B06353">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0CCCCCFF">
            <w:pPr>
              <w:keepNext w:val="0"/>
              <w:keepLines w:val="0"/>
              <w:suppressLineNumbers w:val="0"/>
              <w:spacing w:before="0" w:beforeAutospacing="0" w:after="0" w:afterAutospacing="0"/>
              <w:ind w:left="0" w:right="0"/>
              <w:rPr>
                <w:rFonts w:hint="default" w:ascii="宋体" w:hAnsi="宋体"/>
              </w:rPr>
            </w:pPr>
          </w:p>
        </w:tc>
      </w:tr>
      <w:tr w14:paraId="79AA296E">
        <w:tblPrEx>
          <w:tblCellMar>
            <w:top w:w="0" w:type="dxa"/>
            <w:left w:w="108" w:type="dxa"/>
            <w:bottom w:w="0" w:type="dxa"/>
            <w:right w:w="108" w:type="dxa"/>
          </w:tblCellMar>
        </w:tblPrEx>
        <w:trPr>
          <w:trHeight w:val="943" w:hRule="atLeast"/>
        </w:trPr>
        <w:tc>
          <w:tcPr>
            <w:tcW w:w="1071" w:type="dxa"/>
            <w:vMerge w:val="continue"/>
            <w:tcBorders>
              <w:left w:val="single" w:color="auto" w:sz="4" w:space="0"/>
              <w:right w:val="single" w:color="auto" w:sz="4" w:space="0"/>
            </w:tcBorders>
            <w:shd w:val="clear" w:color="auto" w:fill="auto"/>
            <w:noWrap/>
            <w:vAlign w:val="center"/>
          </w:tcPr>
          <w:p w14:paraId="1276ACA9">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247CDD08">
            <w:pPr>
              <w:keepNext w:val="0"/>
              <w:keepLines w:val="0"/>
              <w:suppressLineNumbers w:val="0"/>
              <w:spacing w:before="0" w:beforeAutospacing="0" w:after="0" w:afterAutospacing="0"/>
              <w:ind w:left="0" w:right="0"/>
              <w:rPr>
                <w:rFonts w:hint="default" w:ascii="宋体" w:hAnsi="宋体"/>
              </w:rPr>
            </w:pPr>
            <w:r>
              <w:rPr>
                <w:rFonts w:hint="eastAsia" w:ascii="宋体" w:hAnsi="宋体"/>
              </w:rPr>
              <w:t>电子文件整理</w:t>
            </w:r>
          </w:p>
        </w:tc>
        <w:tc>
          <w:tcPr>
            <w:tcW w:w="5518" w:type="dxa"/>
            <w:tcBorders>
              <w:top w:val="nil"/>
              <w:left w:val="nil"/>
              <w:bottom w:val="single" w:color="auto" w:sz="4" w:space="0"/>
              <w:right w:val="single" w:color="auto" w:sz="4" w:space="0"/>
            </w:tcBorders>
            <w:shd w:val="clear" w:color="auto" w:fill="auto"/>
            <w:vAlign w:val="center"/>
          </w:tcPr>
          <w:p w14:paraId="724F8EB7">
            <w:pPr>
              <w:keepNext w:val="0"/>
              <w:keepLines w:val="0"/>
              <w:suppressLineNumbers w:val="0"/>
              <w:spacing w:before="0" w:beforeAutospacing="0" w:after="0" w:afterAutospacing="0"/>
              <w:ind w:left="0" w:right="0"/>
              <w:rPr>
                <w:rFonts w:hint="default" w:ascii="宋体" w:hAnsi="宋体"/>
              </w:rPr>
            </w:pPr>
            <w:r>
              <w:rPr>
                <w:rFonts w:hint="eastAsia" w:ascii="宋体" w:hAnsi="宋体"/>
              </w:rPr>
              <w:t>针对收集到的电子文件，提供一系列整理步骤，包括件内排序、归档范围设置、档号生成、档案信息著录、编页码、盖电子档号章、编目、封装。提供有自动整理与手工整理两种方式。针对电子文件封装包，须提供不少于三种元数据封装方案</w:t>
            </w:r>
          </w:p>
        </w:tc>
        <w:tc>
          <w:tcPr>
            <w:tcW w:w="750" w:type="dxa"/>
            <w:vMerge w:val="continue"/>
            <w:tcBorders>
              <w:left w:val="nil"/>
              <w:right w:val="single" w:color="auto" w:sz="4" w:space="0"/>
            </w:tcBorders>
            <w:vAlign w:val="center"/>
          </w:tcPr>
          <w:p w14:paraId="3EBC2561">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FC159A2">
            <w:pPr>
              <w:keepNext w:val="0"/>
              <w:keepLines w:val="0"/>
              <w:suppressLineNumbers w:val="0"/>
              <w:spacing w:before="0" w:beforeAutospacing="0" w:after="0" w:afterAutospacing="0"/>
              <w:ind w:left="0" w:right="0"/>
              <w:rPr>
                <w:rFonts w:hint="default" w:ascii="宋体" w:hAnsi="宋体"/>
              </w:rPr>
            </w:pPr>
          </w:p>
        </w:tc>
      </w:tr>
      <w:tr w14:paraId="1D76BAF0">
        <w:tblPrEx>
          <w:tblCellMar>
            <w:top w:w="0" w:type="dxa"/>
            <w:left w:w="108" w:type="dxa"/>
            <w:bottom w:w="0" w:type="dxa"/>
            <w:right w:w="108" w:type="dxa"/>
          </w:tblCellMar>
        </w:tblPrEx>
        <w:trPr>
          <w:trHeight w:val="674" w:hRule="atLeast"/>
        </w:trPr>
        <w:tc>
          <w:tcPr>
            <w:tcW w:w="1071" w:type="dxa"/>
            <w:vMerge w:val="continue"/>
            <w:tcBorders>
              <w:left w:val="single" w:color="auto" w:sz="4" w:space="0"/>
              <w:right w:val="single" w:color="auto" w:sz="4" w:space="0"/>
            </w:tcBorders>
            <w:shd w:val="clear" w:color="auto" w:fill="auto"/>
            <w:noWrap/>
            <w:vAlign w:val="center"/>
          </w:tcPr>
          <w:p w14:paraId="6680FE17">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5299184D">
            <w:pPr>
              <w:keepNext w:val="0"/>
              <w:keepLines w:val="0"/>
              <w:suppressLineNumbers w:val="0"/>
              <w:spacing w:before="0" w:beforeAutospacing="0" w:after="0" w:afterAutospacing="0"/>
              <w:ind w:left="0" w:right="0"/>
              <w:rPr>
                <w:rFonts w:hint="default" w:ascii="宋体" w:hAnsi="宋体"/>
              </w:rPr>
            </w:pPr>
            <w:r>
              <w:rPr>
                <w:rFonts w:hint="eastAsia" w:ascii="宋体" w:hAnsi="宋体"/>
              </w:rPr>
              <w:t>电子档案移交</w:t>
            </w:r>
          </w:p>
        </w:tc>
        <w:tc>
          <w:tcPr>
            <w:tcW w:w="5518" w:type="dxa"/>
            <w:tcBorders>
              <w:top w:val="nil"/>
              <w:left w:val="nil"/>
              <w:bottom w:val="single" w:color="auto" w:sz="4" w:space="0"/>
              <w:right w:val="single" w:color="auto" w:sz="4" w:space="0"/>
            </w:tcBorders>
            <w:shd w:val="clear" w:color="auto" w:fill="auto"/>
            <w:vAlign w:val="center"/>
          </w:tcPr>
          <w:p w14:paraId="0FEF86D2">
            <w:pPr>
              <w:keepNext w:val="0"/>
              <w:keepLines w:val="0"/>
              <w:suppressLineNumbers w:val="0"/>
              <w:spacing w:before="0" w:beforeAutospacing="0" w:after="0" w:afterAutospacing="0"/>
              <w:ind w:left="0" w:right="0"/>
              <w:rPr>
                <w:rFonts w:hint="default" w:ascii="宋体" w:hAnsi="宋体"/>
              </w:rPr>
            </w:pPr>
            <w:r>
              <w:rPr>
                <w:rFonts w:hint="eastAsia" w:ascii="宋体" w:hAnsi="宋体"/>
              </w:rPr>
              <w:t>对整理完成的电子档案，可以做移交处理，移交之前须做四性检测，并填写移交登记，提供下载移交包。</w:t>
            </w:r>
          </w:p>
        </w:tc>
        <w:tc>
          <w:tcPr>
            <w:tcW w:w="750" w:type="dxa"/>
            <w:vMerge w:val="continue"/>
            <w:tcBorders>
              <w:left w:val="nil"/>
              <w:right w:val="single" w:color="auto" w:sz="4" w:space="0"/>
            </w:tcBorders>
            <w:vAlign w:val="center"/>
          </w:tcPr>
          <w:p w14:paraId="0EB46E94">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79B46FE">
            <w:pPr>
              <w:keepNext w:val="0"/>
              <w:keepLines w:val="0"/>
              <w:suppressLineNumbers w:val="0"/>
              <w:spacing w:before="0" w:beforeAutospacing="0" w:after="0" w:afterAutospacing="0"/>
              <w:ind w:left="0" w:right="0"/>
              <w:rPr>
                <w:rFonts w:hint="default" w:ascii="宋体" w:hAnsi="宋体"/>
              </w:rPr>
            </w:pPr>
          </w:p>
        </w:tc>
      </w:tr>
      <w:tr w14:paraId="062ABE8F">
        <w:tblPrEx>
          <w:tblCellMar>
            <w:top w:w="0" w:type="dxa"/>
            <w:left w:w="108" w:type="dxa"/>
            <w:bottom w:w="0" w:type="dxa"/>
            <w:right w:w="108" w:type="dxa"/>
          </w:tblCellMar>
        </w:tblPrEx>
        <w:trPr>
          <w:trHeight w:val="674" w:hRule="atLeast"/>
        </w:trPr>
        <w:tc>
          <w:tcPr>
            <w:tcW w:w="1071" w:type="dxa"/>
            <w:vMerge w:val="continue"/>
            <w:tcBorders>
              <w:left w:val="single" w:color="auto" w:sz="4" w:space="0"/>
              <w:right w:val="single" w:color="auto" w:sz="4" w:space="0"/>
            </w:tcBorders>
            <w:shd w:val="clear" w:color="auto" w:fill="auto"/>
            <w:noWrap/>
            <w:vAlign w:val="center"/>
          </w:tcPr>
          <w:p w14:paraId="189203CD">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124DA0A8">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档案鉴定</w:t>
            </w:r>
          </w:p>
        </w:tc>
        <w:tc>
          <w:tcPr>
            <w:tcW w:w="5518" w:type="dxa"/>
            <w:tcBorders>
              <w:top w:val="nil"/>
              <w:left w:val="nil"/>
              <w:bottom w:val="single" w:color="auto" w:sz="4" w:space="0"/>
              <w:right w:val="single" w:color="auto" w:sz="4" w:space="0"/>
            </w:tcBorders>
            <w:shd w:val="clear" w:color="auto" w:fill="auto"/>
            <w:vAlign w:val="center"/>
          </w:tcPr>
          <w:p w14:paraId="390B45B1">
            <w:pPr>
              <w:keepNext w:val="0"/>
              <w:keepLines w:val="0"/>
              <w:suppressLineNumbers w:val="0"/>
              <w:spacing w:before="0" w:beforeAutospacing="0" w:after="0" w:afterAutospacing="0"/>
              <w:ind w:left="0" w:right="0"/>
              <w:rPr>
                <w:rFonts w:hint="default" w:ascii="宋体" w:hAnsi="宋体"/>
              </w:rPr>
            </w:pPr>
          </w:p>
        </w:tc>
        <w:tc>
          <w:tcPr>
            <w:tcW w:w="750" w:type="dxa"/>
            <w:vMerge w:val="continue"/>
            <w:tcBorders>
              <w:left w:val="nil"/>
              <w:right w:val="single" w:color="auto" w:sz="4" w:space="0"/>
            </w:tcBorders>
            <w:vAlign w:val="center"/>
          </w:tcPr>
          <w:p w14:paraId="746A2823">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9DCDF62">
            <w:pPr>
              <w:keepNext w:val="0"/>
              <w:keepLines w:val="0"/>
              <w:suppressLineNumbers w:val="0"/>
              <w:spacing w:before="0" w:beforeAutospacing="0" w:after="0" w:afterAutospacing="0"/>
              <w:ind w:left="0" w:right="0"/>
              <w:rPr>
                <w:rFonts w:hint="default" w:ascii="宋体" w:hAnsi="宋体"/>
              </w:rPr>
            </w:pPr>
          </w:p>
        </w:tc>
      </w:tr>
      <w:tr w14:paraId="44C5F42A">
        <w:tblPrEx>
          <w:tblCellMar>
            <w:top w:w="0" w:type="dxa"/>
            <w:left w:w="108" w:type="dxa"/>
            <w:bottom w:w="0" w:type="dxa"/>
            <w:right w:w="108" w:type="dxa"/>
          </w:tblCellMar>
        </w:tblPrEx>
        <w:trPr>
          <w:trHeight w:val="674" w:hRule="atLeast"/>
        </w:trPr>
        <w:tc>
          <w:tcPr>
            <w:tcW w:w="1071" w:type="dxa"/>
            <w:vMerge w:val="continue"/>
            <w:tcBorders>
              <w:left w:val="single" w:color="auto" w:sz="4" w:space="0"/>
              <w:right w:val="single" w:color="auto" w:sz="4" w:space="0"/>
            </w:tcBorders>
            <w:shd w:val="clear" w:color="auto" w:fill="auto"/>
            <w:noWrap/>
            <w:vAlign w:val="center"/>
          </w:tcPr>
          <w:p w14:paraId="632A22EA">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205F0BD6">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档案到期处理</w:t>
            </w:r>
          </w:p>
        </w:tc>
        <w:tc>
          <w:tcPr>
            <w:tcW w:w="5518" w:type="dxa"/>
            <w:tcBorders>
              <w:top w:val="nil"/>
              <w:left w:val="nil"/>
              <w:bottom w:val="single" w:color="auto" w:sz="4" w:space="0"/>
              <w:right w:val="single" w:color="auto" w:sz="4" w:space="0"/>
            </w:tcBorders>
            <w:shd w:val="clear" w:color="auto" w:fill="auto"/>
            <w:vAlign w:val="center"/>
          </w:tcPr>
          <w:p w14:paraId="668A1D6A">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提供到期数据检测、开放鉴定、销毁鉴定、续存等功能</w:t>
            </w:r>
          </w:p>
        </w:tc>
        <w:tc>
          <w:tcPr>
            <w:tcW w:w="750" w:type="dxa"/>
            <w:vMerge w:val="continue"/>
            <w:tcBorders>
              <w:left w:val="nil"/>
              <w:right w:val="single" w:color="auto" w:sz="4" w:space="0"/>
            </w:tcBorders>
            <w:vAlign w:val="center"/>
          </w:tcPr>
          <w:p w14:paraId="29E467C0">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5DCE68A7">
            <w:pPr>
              <w:keepNext w:val="0"/>
              <w:keepLines w:val="0"/>
              <w:suppressLineNumbers w:val="0"/>
              <w:spacing w:before="0" w:beforeAutospacing="0" w:after="0" w:afterAutospacing="0"/>
              <w:ind w:left="0" w:right="0"/>
              <w:rPr>
                <w:rFonts w:hint="default" w:ascii="宋体" w:hAnsi="宋体"/>
              </w:rPr>
            </w:pPr>
          </w:p>
        </w:tc>
      </w:tr>
      <w:tr w14:paraId="1581467A">
        <w:tblPrEx>
          <w:tblCellMar>
            <w:top w:w="0" w:type="dxa"/>
            <w:left w:w="108" w:type="dxa"/>
            <w:bottom w:w="0" w:type="dxa"/>
            <w:right w:w="108" w:type="dxa"/>
          </w:tblCellMar>
        </w:tblPrEx>
        <w:trPr>
          <w:trHeight w:val="531" w:hRule="atLeast"/>
        </w:trPr>
        <w:tc>
          <w:tcPr>
            <w:tcW w:w="1071" w:type="dxa"/>
            <w:vMerge w:val="continue"/>
            <w:tcBorders>
              <w:left w:val="single" w:color="auto" w:sz="4" w:space="0"/>
              <w:right w:val="single" w:color="auto" w:sz="4" w:space="0"/>
            </w:tcBorders>
            <w:shd w:val="clear" w:color="auto" w:fill="auto"/>
            <w:noWrap/>
            <w:vAlign w:val="center"/>
          </w:tcPr>
          <w:p w14:paraId="24E56594">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D2932">
            <w:pPr>
              <w:keepNext w:val="0"/>
              <w:keepLines w:val="0"/>
              <w:suppressLineNumbers w:val="0"/>
              <w:spacing w:before="0" w:beforeAutospacing="0" w:after="0" w:afterAutospacing="0"/>
              <w:ind w:left="0" w:right="0"/>
              <w:rPr>
                <w:rFonts w:hint="default" w:ascii="宋体" w:hAnsi="宋体"/>
              </w:rPr>
            </w:pPr>
            <w:r>
              <w:rPr>
                <w:rFonts w:hint="eastAsia" w:ascii="宋体" w:hAnsi="宋体"/>
              </w:rPr>
              <w:t>检索与利用</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56C7D92C">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single" w:color="auto" w:sz="4" w:space="0"/>
              <w:right w:val="single" w:color="auto" w:sz="4" w:space="0"/>
            </w:tcBorders>
            <w:vAlign w:val="center"/>
          </w:tcPr>
          <w:p w14:paraId="62F8F1B6">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71680113">
            <w:pPr>
              <w:keepNext w:val="0"/>
              <w:keepLines w:val="0"/>
              <w:suppressLineNumbers w:val="0"/>
              <w:spacing w:before="0" w:beforeAutospacing="0" w:after="0" w:afterAutospacing="0"/>
              <w:ind w:left="0" w:right="0"/>
              <w:rPr>
                <w:rFonts w:hint="default" w:ascii="宋体" w:hAnsi="宋体"/>
              </w:rPr>
            </w:pPr>
          </w:p>
        </w:tc>
      </w:tr>
      <w:tr w14:paraId="2ED45776">
        <w:tblPrEx>
          <w:tblCellMar>
            <w:top w:w="0" w:type="dxa"/>
            <w:left w:w="108" w:type="dxa"/>
            <w:bottom w:w="0" w:type="dxa"/>
            <w:right w:w="108" w:type="dxa"/>
          </w:tblCellMar>
        </w:tblPrEx>
        <w:trPr>
          <w:trHeight w:val="501" w:hRule="atLeast"/>
        </w:trPr>
        <w:tc>
          <w:tcPr>
            <w:tcW w:w="1071" w:type="dxa"/>
            <w:vMerge w:val="continue"/>
            <w:tcBorders>
              <w:left w:val="single" w:color="auto" w:sz="4" w:space="0"/>
              <w:right w:val="single" w:color="auto" w:sz="4" w:space="0"/>
            </w:tcBorders>
            <w:shd w:val="clear" w:color="auto" w:fill="auto"/>
            <w:noWrap/>
            <w:vAlign w:val="center"/>
          </w:tcPr>
          <w:p w14:paraId="6E7B1561">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940E6">
            <w:pPr>
              <w:keepNext w:val="0"/>
              <w:keepLines w:val="0"/>
              <w:suppressLineNumbers w:val="0"/>
              <w:spacing w:before="0" w:beforeAutospacing="0" w:after="0" w:afterAutospacing="0"/>
              <w:ind w:left="0" w:right="0"/>
              <w:rPr>
                <w:rFonts w:hint="default" w:ascii="宋体" w:hAnsi="宋体"/>
              </w:rPr>
            </w:pPr>
            <w:r>
              <w:rPr>
                <w:rFonts w:hint="eastAsia" w:ascii="宋体" w:hAnsi="宋体"/>
              </w:rPr>
              <w:t>查档管理</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350FE7C9">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single" w:color="auto" w:sz="4" w:space="0"/>
              <w:right w:val="single" w:color="auto" w:sz="4" w:space="0"/>
            </w:tcBorders>
            <w:vAlign w:val="center"/>
          </w:tcPr>
          <w:p w14:paraId="743996A8">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08AC92D3">
            <w:pPr>
              <w:keepNext w:val="0"/>
              <w:keepLines w:val="0"/>
              <w:suppressLineNumbers w:val="0"/>
              <w:spacing w:before="0" w:beforeAutospacing="0" w:after="0" w:afterAutospacing="0"/>
              <w:ind w:left="0" w:right="0"/>
              <w:rPr>
                <w:rFonts w:hint="default" w:ascii="宋体" w:hAnsi="宋体"/>
              </w:rPr>
            </w:pPr>
          </w:p>
        </w:tc>
      </w:tr>
      <w:tr w14:paraId="2FE181F3">
        <w:tblPrEx>
          <w:tblCellMar>
            <w:top w:w="0" w:type="dxa"/>
            <w:left w:w="108" w:type="dxa"/>
            <w:bottom w:w="0" w:type="dxa"/>
            <w:right w:w="108" w:type="dxa"/>
          </w:tblCellMar>
        </w:tblPrEx>
        <w:trPr>
          <w:trHeight w:val="554" w:hRule="atLeast"/>
        </w:trPr>
        <w:tc>
          <w:tcPr>
            <w:tcW w:w="1071" w:type="dxa"/>
            <w:vMerge w:val="continue"/>
            <w:tcBorders>
              <w:left w:val="single" w:color="auto" w:sz="4" w:space="0"/>
              <w:right w:val="single" w:color="auto" w:sz="4" w:space="0"/>
            </w:tcBorders>
            <w:shd w:val="clear" w:color="auto" w:fill="auto"/>
            <w:noWrap/>
            <w:vAlign w:val="center"/>
          </w:tcPr>
          <w:p w14:paraId="5B988D92">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19CAF224">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档案申请</w:t>
            </w:r>
          </w:p>
        </w:tc>
        <w:tc>
          <w:tcPr>
            <w:tcW w:w="5518" w:type="dxa"/>
            <w:tcBorders>
              <w:top w:val="single" w:color="auto" w:sz="4" w:space="0"/>
              <w:left w:val="nil"/>
              <w:bottom w:val="single" w:color="auto" w:sz="4" w:space="0"/>
              <w:right w:val="single" w:color="auto" w:sz="4" w:space="0"/>
            </w:tcBorders>
            <w:shd w:val="clear" w:color="auto" w:fill="auto"/>
            <w:vAlign w:val="center"/>
          </w:tcPr>
          <w:p w14:paraId="7F2705F3">
            <w:pPr>
              <w:keepNext w:val="0"/>
              <w:keepLines w:val="0"/>
              <w:suppressLineNumbers w:val="0"/>
              <w:spacing w:before="0" w:beforeAutospacing="0" w:after="0" w:afterAutospacing="0"/>
              <w:ind w:left="0" w:right="0"/>
              <w:rPr>
                <w:rFonts w:hint="default" w:ascii="宋体" w:hAnsi="宋体"/>
              </w:rPr>
            </w:pPr>
            <w:r>
              <w:rPr>
                <w:rFonts w:hint="eastAsia" w:ascii="宋体" w:hAnsi="宋体"/>
              </w:rPr>
              <w:t>通过档案查询模块对档案进行利用申请，查看档案目录明细，提交借阅申请</w:t>
            </w:r>
          </w:p>
        </w:tc>
        <w:tc>
          <w:tcPr>
            <w:tcW w:w="750" w:type="dxa"/>
            <w:vMerge w:val="continue"/>
            <w:tcBorders>
              <w:left w:val="nil"/>
              <w:right w:val="single" w:color="auto" w:sz="4" w:space="0"/>
            </w:tcBorders>
            <w:vAlign w:val="center"/>
          </w:tcPr>
          <w:p w14:paraId="15A34052">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1F02F24">
            <w:pPr>
              <w:keepNext w:val="0"/>
              <w:keepLines w:val="0"/>
              <w:suppressLineNumbers w:val="0"/>
              <w:spacing w:before="0" w:beforeAutospacing="0" w:after="0" w:afterAutospacing="0"/>
              <w:ind w:left="0" w:right="0"/>
              <w:rPr>
                <w:rFonts w:hint="default" w:ascii="宋体" w:hAnsi="宋体"/>
              </w:rPr>
            </w:pPr>
          </w:p>
        </w:tc>
      </w:tr>
      <w:tr w14:paraId="02CB346A">
        <w:tblPrEx>
          <w:tblCellMar>
            <w:top w:w="0" w:type="dxa"/>
            <w:left w:w="108" w:type="dxa"/>
            <w:bottom w:w="0" w:type="dxa"/>
            <w:right w:w="108" w:type="dxa"/>
          </w:tblCellMar>
        </w:tblPrEx>
        <w:trPr>
          <w:trHeight w:val="544" w:hRule="atLeast"/>
        </w:trPr>
        <w:tc>
          <w:tcPr>
            <w:tcW w:w="1071" w:type="dxa"/>
            <w:vMerge w:val="continue"/>
            <w:tcBorders>
              <w:left w:val="single" w:color="auto" w:sz="4" w:space="0"/>
              <w:right w:val="single" w:color="auto" w:sz="4" w:space="0"/>
            </w:tcBorders>
            <w:shd w:val="clear" w:color="auto" w:fill="auto"/>
            <w:noWrap/>
            <w:vAlign w:val="center"/>
          </w:tcPr>
          <w:p w14:paraId="528AFDD5">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3BBAEE10">
            <w:pPr>
              <w:keepNext w:val="0"/>
              <w:keepLines w:val="0"/>
              <w:suppressLineNumbers w:val="0"/>
              <w:spacing w:before="0" w:beforeAutospacing="0" w:after="0" w:afterAutospacing="0"/>
              <w:ind w:left="0" w:right="0"/>
              <w:rPr>
                <w:rFonts w:hint="default" w:ascii="宋体" w:hAnsi="宋体"/>
              </w:rPr>
            </w:pPr>
            <w:r>
              <w:rPr>
                <w:rFonts w:hint="eastAsia" w:ascii="宋体" w:hAnsi="宋体"/>
              </w:rPr>
              <w:t>借阅请求</w:t>
            </w:r>
          </w:p>
        </w:tc>
        <w:tc>
          <w:tcPr>
            <w:tcW w:w="5518" w:type="dxa"/>
            <w:tcBorders>
              <w:top w:val="nil"/>
              <w:left w:val="nil"/>
              <w:bottom w:val="single" w:color="auto" w:sz="4" w:space="0"/>
              <w:right w:val="single" w:color="auto" w:sz="4" w:space="0"/>
            </w:tcBorders>
            <w:shd w:val="clear" w:color="auto" w:fill="auto"/>
            <w:vAlign w:val="center"/>
          </w:tcPr>
          <w:p w14:paraId="73D4957A">
            <w:pPr>
              <w:keepNext w:val="0"/>
              <w:keepLines w:val="0"/>
              <w:suppressLineNumbers w:val="0"/>
              <w:spacing w:before="0" w:beforeAutospacing="0" w:after="0" w:afterAutospacing="0"/>
              <w:ind w:left="0" w:right="0"/>
              <w:rPr>
                <w:rFonts w:hint="default" w:ascii="宋体" w:hAnsi="宋体"/>
              </w:rPr>
            </w:pPr>
            <w:r>
              <w:rPr>
                <w:rFonts w:hint="eastAsia" w:ascii="宋体" w:hAnsi="宋体"/>
              </w:rPr>
              <w:t>通过借阅请求模块对档案进差点给请求申请信息列表，可查看审批中和已完成的借阅信息</w:t>
            </w:r>
          </w:p>
        </w:tc>
        <w:tc>
          <w:tcPr>
            <w:tcW w:w="750" w:type="dxa"/>
            <w:vMerge w:val="continue"/>
            <w:tcBorders>
              <w:left w:val="nil"/>
              <w:right w:val="single" w:color="auto" w:sz="4" w:space="0"/>
            </w:tcBorders>
            <w:vAlign w:val="center"/>
          </w:tcPr>
          <w:p w14:paraId="1112EF95">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3EA6ABDF">
            <w:pPr>
              <w:keepNext w:val="0"/>
              <w:keepLines w:val="0"/>
              <w:suppressLineNumbers w:val="0"/>
              <w:spacing w:before="0" w:beforeAutospacing="0" w:after="0" w:afterAutospacing="0"/>
              <w:ind w:left="0" w:right="0"/>
              <w:rPr>
                <w:rFonts w:hint="default" w:ascii="宋体" w:hAnsi="宋体"/>
              </w:rPr>
            </w:pPr>
          </w:p>
        </w:tc>
      </w:tr>
      <w:tr w14:paraId="4AF1E3C6">
        <w:tblPrEx>
          <w:tblCellMar>
            <w:top w:w="0" w:type="dxa"/>
            <w:left w:w="108" w:type="dxa"/>
            <w:bottom w:w="0" w:type="dxa"/>
            <w:right w:w="108" w:type="dxa"/>
          </w:tblCellMar>
        </w:tblPrEx>
        <w:trPr>
          <w:trHeight w:val="598" w:hRule="atLeast"/>
        </w:trPr>
        <w:tc>
          <w:tcPr>
            <w:tcW w:w="1071" w:type="dxa"/>
            <w:vMerge w:val="continue"/>
            <w:tcBorders>
              <w:left w:val="single" w:color="auto" w:sz="4" w:space="0"/>
              <w:right w:val="single" w:color="auto" w:sz="4" w:space="0"/>
            </w:tcBorders>
            <w:shd w:val="clear" w:color="auto" w:fill="auto"/>
            <w:noWrap/>
            <w:vAlign w:val="center"/>
          </w:tcPr>
          <w:p w14:paraId="3EA90E18">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6100171B">
            <w:pPr>
              <w:keepNext w:val="0"/>
              <w:keepLines w:val="0"/>
              <w:suppressLineNumbers w:val="0"/>
              <w:spacing w:before="0" w:beforeAutospacing="0" w:after="0" w:afterAutospacing="0"/>
              <w:ind w:left="0" w:right="0"/>
              <w:rPr>
                <w:rFonts w:hint="default" w:ascii="宋体" w:hAnsi="宋体"/>
              </w:rPr>
            </w:pPr>
            <w:r>
              <w:rPr>
                <w:rFonts w:hint="eastAsia" w:ascii="宋体" w:hAnsi="宋体"/>
              </w:rPr>
              <w:t>我的借阅</w:t>
            </w:r>
          </w:p>
        </w:tc>
        <w:tc>
          <w:tcPr>
            <w:tcW w:w="5518" w:type="dxa"/>
            <w:tcBorders>
              <w:top w:val="nil"/>
              <w:left w:val="nil"/>
              <w:bottom w:val="single" w:color="auto" w:sz="4" w:space="0"/>
              <w:right w:val="single" w:color="auto" w:sz="4" w:space="0"/>
            </w:tcBorders>
            <w:shd w:val="clear" w:color="auto" w:fill="auto"/>
            <w:vAlign w:val="center"/>
          </w:tcPr>
          <w:p w14:paraId="2B273CCC">
            <w:pPr>
              <w:keepNext w:val="0"/>
              <w:keepLines w:val="0"/>
              <w:suppressLineNumbers w:val="0"/>
              <w:spacing w:before="0" w:beforeAutospacing="0" w:after="0" w:afterAutospacing="0"/>
              <w:ind w:left="0" w:right="0"/>
              <w:rPr>
                <w:rFonts w:hint="default" w:ascii="宋体" w:hAnsi="宋体"/>
              </w:rPr>
            </w:pPr>
            <w:r>
              <w:rPr>
                <w:rFonts w:hint="eastAsia" w:ascii="宋体" w:hAnsi="宋体"/>
              </w:rPr>
              <w:t>我的借阅模块可查看申请借阅信息流程、已批复、审批中、利用记录，三个状态进行查看</w:t>
            </w:r>
          </w:p>
        </w:tc>
        <w:tc>
          <w:tcPr>
            <w:tcW w:w="750" w:type="dxa"/>
            <w:vMerge w:val="continue"/>
            <w:tcBorders>
              <w:left w:val="nil"/>
              <w:right w:val="single" w:color="auto" w:sz="4" w:space="0"/>
            </w:tcBorders>
            <w:vAlign w:val="center"/>
          </w:tcPr>
          <w:p w14:paraId="77311FA7">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09402DAE">
            <w:pPr>
              <w:keepNext w:val="0"/>
              <w:keepLines w:val="0"/>
              <w:suppressLineNumbers w:val="0"/>
              <w:spacing w:before="0" w:beforeAutospacing="0" w:after="0" w:afterAutospacing="0"/>
              <w:ind w:left="0" w:right="0"/>
              <w:rPr>
                <w:rFonts w:hint="default" w:ascii="宋体" w:hAnsi="宋体"/>
              </w:rPr>
            </w:pPr>
          </w:p>
        </w:tc>
      </w:tr>
      <w:tr w14:paraId="3A4AF6BE">
        <w:tblPrEx>
          <w:tblCellMar>
            <w:top w:w="0" w:type="dxa"/>
            <w:left w:w="108" w:type="dxa"/>
            <w:bottom w:w="0" w:type="dxa"/>
            <w:right w:w="108" w:type="dxa"/>
          </w:tblCellMar>
        </w:tblPrEx>
        <w:trPr>
          <w:trHeight w:val="456" w:hRule="atLeast"/>
        </w:trPr>
        <w:tc>
          <w:tcPr>
            <w:tcW w:w="1071" w:type="dxa"/>
            <w:vMerge w:val="continue"/>
            <w:tcBorders>
              <w:left w:val="single" w:color="auto" w:sz="4" w:space="0"/>
              <w:right w:val="single" w:color="auto" w:sz="4" w:space="0"/>
            </w:tcBorders>
            <w:shd w:val="clear" w:color="auto" w:fill="auto"/>
            <w:noWrap/>
            <w:vAlign w:val="center"/>
          </w:tcPr>
          <w:p w14:paraId="0F155852">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1ABA4B75">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档案检索</w:t>
            </w:r>
          </w:p>
        </w:tc>
        <w:tc>
          <w:tcPr>
            <w:tcW w:w="5518" w:type="dxa"/>
            <w:tcBorders>
              <w:top w:val="nil"/>
              <w:left w:val="nil"/>
              <w:bottom w:val="single" w:color="auto" w:sz="4" w:space="0"/>
              <w:right w:val="single" w:color="auto" w:sz="4" w:space="0"/>
            </w:tcBorders>
            <w:shd w:val="clear" w:color="auto" w:fill="auto"/>
            <w:vAlign w:val="center"/>
          </w:tcPr>
          <w:p w14:paraId="6C5845BF">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nil"/>
              <w:right w:val="single" w:color="auto" w:sz="4" w:space="0"/>
            </w:tcBorders>
            <w:vAlign w:val="center"/>
          </w:tcPr>
          <w:p w14:paraId="56723000">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53A1B7E4">
            <w:pPr>
              <w:keepNext w:val="0"/>
              <w:keepLines w:val="0"/>
              <w:suppressLineNumbers w:val="0"/>
              <w:spacing w:before="0" w:beforeAutospacing="0" w:after="0" w:afterAutospacing="0"/>
              <w:ind w:left="0" w:right="0"/>
              <w:rPr>
                <w:rFonts w:hint="default" w:ascii="宋体" w:hAnsi="宋体"/>
              </w:rPr>
            </w:pPr>
          </w:p>
        </w:tc>
      </w:tr>
      <w:tr w14:paraId="4DE535E1">
        <w:tblPrEx>
          <w:tblCellMar>
            <w:top w:w="0" w:type="dxa"/>
            <w:left w:w="108" w:type="dxa"/>
            <w:bottom w:w="0" w:type="dxa"/>
            <w:right w:w="108" w:type="dxa"/>
          </w:tblCellMar>
        </w:tblPrEx>
        <w:trPr>
          <w:trHeight w:val="812" w:hRule="atLeast"/>
        </w:trPr>
        <w:tc>
          <w:tcPr>
            <w:tcW w:w="1071" w:type="dxa"/>
            <w:vMerge w:val="continue"/>
            <w:tcBorders>
              <w:left w:val="single" w:color="auto" w:sz="4" w:space="0"/>
              <w:right w:val="single" w:color="auto" w:sz="4" w:space="0"/>
            </w:tcBorders>
            <w:shd w:val="clear" w:color="auto" w:fill="auto"/>
            <w:noWrap/>
            <w:vAlign w:val="center"/>
          </w:tcPr>
          <w:p w14:paraId="2DBDF4A5">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373E6020">
            <w:pPr>
              <w:keepNext w:val="0"/>
              <w:keepLines w:val="0"/>
              <w:suppressLineNumbers w:val="0"/>
              <w:spacing w:before="0" w:beforeAutospacing="0" w:after="0" w:afterAutospacing="0"/>
              <w:ind w:left="0" w:right="0"/>
              <w:rPr>
                <w:rFonts w:hint="default" w:ascii="宋体" w:hAnsi="宋体"/>
              </w:rPr>
            </w:pPr>
            <w:r>
              <w:rPr>
                <w:rFonts w:hint="eastAsia" w:ascii="宋体" w:hAnsi="宋体"/>
              </w:rPr>
              <w:t>组合检索</w:t>
            </w:r>
          </w:p>
        </w:tc>
        <w:tc>
          <w:tcPr>
            <w:tcW w:w="5518" w:type="dxa"/>
            <w:tcBorders>
              <w:top w:val="nil"/>
              <w:left w:val="nil"/>
              <w:bottom w:val="single" w:color="auto" w:sz="4" w:space="0"/>
              <w:right w:val="single" w:color="auto" w:sz="4" w:space="0"/>
            </w:tcBorders>
            <w:shd w:val="clear" w:color="auto" w:fill="auto"/>
            <w:vAlign w:val="center"/>
          </w:tcPr>
          <w:p w14:paraId="40F0AF89">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提供组合字段的查询方式，逻辑关系有“并且”、“或者”。查询连接符有等于、不等于、小于、小于等于、大于、大于等于、包含</w:t>
            </w:r>
          </w:p>
        </w:tc>
        <w:tc>
          <w:tcPr>
            <w:tcW w:w="750" w:type="dxa"/>
            <w:vMerge w:val="continue"/>
            <w:tcBorders>
              <w:left w:val="nil"/>
              <w:right w:val="single" w:color="auto" w:sz="4" w:space="0"/>
            </w:tcBorders>
            <w:vAlign w:val="center"/>
          </w:tcPr>
          <w:p w14:paraId="667C4C8A">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A45623C">
            <w:pPr>
              <w:keepNext w:val="0"/>
              <w:keepLines w:val="0"/>
              <w:suppressLineNumbers w:val="0"/>
              <w:spacing w:before="0" w:beforeAutospacing="0" w:after="0" w:afterAutospacing="0"/>
              <w:ind w:left="0" w:right="0"/>
              <w:rPr>
                <w:rFonts w:hint="default" w:ascii="宋体" w:hAnsi="宋体"/>
              </w:rPr>
            </w:pPr>
          </w:p>
        </w:tc>
      </w:tr>
      <w:tr w14:paraId="27275BAB">
        <w:tblPrEx>
          <w:tblCellMar>
            <w:top w:w="0" w:type="dxa"/>
            <w:left w:w="108" w:type="dxa"/>
            <w:bottom w:w="0" w:type="dxa"/>
            <w:right w:w="108" w:type="dxa"/>
          </w:tblCellMar>
        </w:tblPrEx>
        <w:trPr>
          <w:trHeight w:val="565" w:hRule="atLeast"/>
        </w:trPr>
        <w:tc>
          <w:tcPr>
            <w:tcW w:w="1071" w:type="dxa"/>
            <w:vMerge w:val="continue"/>
            <w:tcBorders>
              <w:left w:val="single" w:color="auto" w:sz="4" w:space="0"/>
              <w:right w:val="single" w:color="auto" w:sz="4" w:space="0"/>
            </w:tcBorders>
            <w:shd w:val="clear" w:color="auto" w:fill="auto"/>
            <w:noWrap/>
            <w:vAlign w:val="center"/>
          </w:tcPr>
          <w:p w14:paraId="6FBD4457">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735A3291">
            <w:pPr>
              <w:keepNext w:val="0"/>
              <w:keepLines w:val="0"/>
              <w:suppressLineNumbers w:val="0"/>
              <w:spacing w:before="0" w:beforeAutospacing="0" w:after="0" w:afterAutospacing="0"/>
              <w:ind w:left="0" w:right="0"/>
              <w:rPr>
                <w:rFonts w:hint="default" w:ascii="宋体" w:hAnsi="宋体"/>
              </w:rPr>
            </w:pPr>
            <w:r>
              <w:rPr>
                <w:rFonts w:hint="eastAsia" w:ascii="宋体" w:hAnsi="宋体"/>
              </w:rPr>
              <w:t>目录检索</w:t>
            </w:r>
          </w:p>
        </w:tc>
        <w:tc>
          <w:tcPr>
            <w:tcW w:w="5518" w:type="dxa"/>
            <w:tcBorders>
              <w:top w:val="nil"/>
              <w:left w:val="nil"/>
              <w:bottom w:val="single" w:color="auto" w:sz="4" w:space="0"/>
              <w:right w:val="single" w:color="auto" w:sz="4" w:space="0"/>
            </w:tcBorders>
            <w:shd w:val="clear" w:color="auto" w:fill="auto"/>
            <w:vAlign w:val="center"/>
          </w:tcPr>
          <w:p w14:paraId="2A5898E2">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提供模糊检索、精确检索选项，可以根据目录字段自定义填写查询字段内容</w:t>
            </w:r>
          </w:p>
        </w:tc>
        <w:tc>
          <w:tcPr>
            <w:tcW w:w="750" w:type="dxa"/>
            <w:vMerge w:val="continue"/>
            <w:tcBorders>
              <w:left w:val="nil"/>
              <w:right w:val="single" w:color="auto" w:sz="4" w:space="0"/>
            </w:tcBorders>
            <w:vAlign w:val="center"/>
          </w:tcPr>
          <w:p w14:paraId="5BCDE177">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56995419">
            <w:pPr>
              <w:keepNext w:val="0"/>
              <w:keepLines w:val="0"/>
              <w:suppressLineNumbers w:val="0"/>
              <w:spacing w:before="0" w:beforeAutospacing="0" w:after="0" w:afterAutospacing="0"/>
              <w:ind w:left="0" w:right="0"/>
              <w:rPr>
                <w:rFonts w:hint="default" w:ascii="宋体" w:hAnsi="宋体"/>
              </w:rPr>
            </w:pPr>
          </w:p>
        </w:tc>
      </w:tr>
      <w:tr w14:paraId="59AB57D5">
        <w:tblPrEx>
          <w:tblCellMar>
            <w:top w:w="0" w:type="dxa"/>
            <w:left w:w="108" w:type="dxa"/>
            <w:bottom w:w="0" w:type="dxa"/>
            <w:right w:w="108" w:type="dxa"/>
          </w:tblCellMar>
        </w:tblPrEx>
        <w:trPr>
          <w:trHeight w:val="640" w:hRule="atLeast"/>
        </w:trPr>
        <w:tc>
          <w:tcPr>
            <w:tcW w:w="1071" w:type="dxa"/>
            <w:vMerge w:val="continue"/>
            <w:tcBorders>
              <w:left w:val="single" w:color="auto" w:sz="4" w:space="0"/>
              <w:right w:val="single" w:color="auto" w:sz="4" w:space="0"/>
            </w:tcBorders>
            <w:shd w:val="clear" w:color="auto" w:fill="auto"/>
            <w:noWrap/>
            <w:vAlign w:val="center"/>
          </w:tcPr>
          <w:p w14:paraId="3050C5AA">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3E0A2EC7">
            <w:pPr>
              <w:keepNext w:val="0"/>
              <w:keepLines w:val="0"/>
              <w:suppressLineNumbers w:val="0"/>
              <w:spacing w:before="0" w:beforeAutospacing="0" w:after="0" w:afterAutospacing="0"/>
              <w:ind w:left="0" w:right="0"/>
              <w:rPr>
                <w:rFonts w:hint="default" w:ascii="宋体" w:hAnsi="宋体"/>
              </w:rPr>
            </w:pPr>
            <w:r>
              <w:rPr>
                <w:rFonts w:hint="eastAsia" w:ascii="宋体" w:hAnsi="宋体"/>
              </w:rPr>
              <w:t>全文检索</w:t>
            </w:r>
          </w:p>
        </w:tc>
        <w:tc>
          <w:tcPr>
            <w:tcW w:w="5518" w:type="dxa"/>
            <w:tcBorders>
              <w:top w:val="nil"/>
              <w:left w:val="nil"/>
              <w:bottom w:val="single" w:color="auto" w:sz="4" w:space="0"/>
              <w:right w:val="single" w:color="auto" w:sz="4" w:space="0"/>
            </w:tcBorders>
            <w:shd w:val="clear" w:color="auto" w:fill="auto"/>
            <w:vAlign w:val="center"/>
          </w:tcPr>
          <w:p w14:paraId="087F7FAB">
            <w:pPr>
              <w:keepNext w:val="0"/>
              <w:keepLines w:val="0"/>
              <w:suppressLineNumbers w:val="0"/>
              <w:spacing w:before="0" w:beforeAutospacing="0" w:after="0" w:afterAutospacing="0"/>
              <w:ind w:left="0" w:right="0"/>
              <w:rPr>
                <w:rFonts w:hint="default" w:ascii="宋体" w:hAnsi="宋体"/>
              </w:rPr>
            </w:pPr>
            <w:r>
              <w:rPr>
                <w:rFonts w:hint="eastAsia" w:ascii="宋体" w:hAnsi="宋体"/>
              </w:rPr>
              <w:t>与OCR功能进行集成，对档案的原文信息进行全文检索，能够检索的文件类型包括图片、文档、音频、视频</w:t>
            </w:r>
          </w:p>
        </w:tc>
        <w:tc>
          <w:tcPr>
            <w:tcW w:w="750" w:type="dxa"/>
            <w:vMerge w:val="continue"/>
            <w:tcBorders>
              <w:left w:val="nil"/>
              <w:right w:val="single" w:color="auto" w:sz="4" w:space="0"/>
            </w:tcBorders>
            <w:vAlign w:val="center"/>
          </w:tcPr>
          <w:p w14:paraId="32DD3D12">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DC5E95E">
            <w:pPr>
              <w:keepNext w:val="0"/>
              <w:keepLines w:val="0"/>
              <w:suppressLineNumbers w:val="0"/>
              <w:spacing w:before="0" w:beforeAutospacing="0" w:after="0" w:afterAutospacing="0"/>
              <w:ind w:left="0" w:right="0"/>
              <w:rPr>
                <w:rFonts w:hint="default" w:ascii="宋体" w:hAnsi="宋体"/>
              </w:rPr>
            </w:pPr>
          </w:p>
        </w:tc>
      </w:tr>
      <w:tr w14:paraId="1CDBD4FF">
        <w:tblPrEx>
          <w:tblCellMar>
            <w:top w:w="0" w:type="dxa"/>
            <w:left w:w="108" w:type="dxa"/>
            <w:bottom w:w="0" w:type="dxa"/>
            <w:right w:w="108" w:type="dxa"/>
          </w:tblCellMar>
        </w:tblPrEx>
        <w:trPr>
          <w:trHeight w:val="478" w:hRule="atLeast"/>
        </w:trPr>
        <w:tc>
          <w:tcPr>
            <w:tcW w:w="1071" w:type="dxa"/>
            <w:vMerge w:val="continue"/>
            <w:tcBorders>
              <w:left w:val="single" w:color="auto" w:sz="4" w:space="0"/>
              <w:right w:val="single" w:color="auto" w:sz="4" w:space="0"/>
            </w:tcBorders>
            <w:shd w:val="clear" w:color="auto" w:fill="auto"/>
            <w:noWrap/>
            <w:vAlign w:val="center"/>
          </w:tcPr>
          <w:p w14:paraId="78D70BEB">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6E103A47">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档案编研</w:t>
            </w:r>
          </w:p>
        </w:tc>
        <w:tc>
          <w:tcPr>
            <w:tcW w:w="5518" w:type="dxa"/>
            <w:tcBorders>
              <w:top w:val="nil"/>
              <w:left w:val="nil"/>
              <w:bottom w:val="single" w:color="auto" w:sz="4" w:space="0"/>
              <w:right w:val="single" w:color="auto" w:sz="4" w:space="0"/>
            </w:tcBorders>
            <w:shd w:val="clear" w:color="auto" w:fill="auto"/>
            <w:vAlign w:val="center"/>
          </w:tcPr>
          <w:p w14:paraId="44EF0684">
            <w:pPr>
              <w:keepNext w:val="0"/>
              <w:keepLines w:val="0"/>
              <w:suppressLineNumbers w:val="0"/>
              <w:spacing w:before="0" w:beforeAutospacing="0" w:after="0" w:afterAutospacing="0"/>
              <w:ind w:left="0" w:right="0"/>
              <w:rPr>
                <w:rFonts w:hint="default" w:ascii="宋体" w:hAnsi="宋体"/>
              </w:rPr>
            </w:pPr>
          </w:p>
        </w:tc>
        <w:tc>
          <w:tcPr>
            <w:tcW w:w="750" w:type="dxa"/>
            <w:vMerge w:val="continue"/>
            <w:tcBorders>
              <w:left w:val="nil"/>
              <w:right w:val="single" w:color="auto" w:sz="4" w:space="0"/>
            </w:tcBorders>
            <w:vAlign w:val="center"/>
          </w:tcPr>
          <w:p w14:paraId="396FB5BD">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C997A8B">
            <w:pPr>
              <w:keepNext w:val="0"/>
              <w:keepLines w:val="0"/>
              <w:suppressLineNumbers w:val="0"/>
              <w:spacing w:before="0" w:beforeAutospacing="0" w:after="0" w:afterAutospacing="0"/>
              <w:ind w:left="0" w:right="0"/>
              <w:rPr>
                <w:rFonts w:hint="default" w:ascii="宋体" w:hAnsi="宋体"/>
              </w:rPr>
            </w:pPr>
          </w:p>
        </w:tc>
      </w:tr>
      <w:tr w14:paraId="001599A3">
        <w:tblPrEx>
          <w:tblCellMar>
            <w:top w:w="0" w:type="dxa"/>
            <w:left w:w="108" w:type="dxa"/>
            <w:bottom w:w="0" w:type="dxa"/>
            <w:right w:w="108" w:type="dxa"/>
          </w:tblCellMar>
        </w:tblPrEx>
        <w:trPr>
          <w:trHeight w:val="597" w:hRule="atLeast"/>
        </w:trPr>
        <w:tc>
          <w:tcPr>
            <w:tcW w:w="1071" w:type="dxa"/>
            <w:vMerge w:val="continue"/>
            <w:tcBorders>
              <w:left w:val="single" w:color="auto" w:sz="4" w:space="0"/>
              <w:right w:val="single" w:color="auto" w:sz="4" w:space="0"/>
            </w:tcBorders>
            <w:shd w:val="clear" w:color="auto" w:fill="auto"/>
            <w:noWrap/>
            <w:vAlign w:val="center"/>
          </w:tcPr>
          <w:p w14:paraId="786AA4BA">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21219ACC">
            <w:pPr>
              <w:keepNext w:val="0"/>
              <w:keepLines w:val="0"/>
              <w:suppressLineNumbers w:val="0"/>
              <w:spacing w:before="0" w:beforeAutospacing="0" w:after="0" w:afterAutospacing="0"/>
              <w:ind w:left="0" w:right="0"/>
              <w:rPr>
                <w:rFonts w:hint="default" w:ascii="宋体" w:hAnsi="宋体"/>
              </w:rPr>
            </w:pPr>
            <w:r>
              <w:rPr>
                <w:rFonts w:hint="eastAsia" w:ascii="宋体" w:hAnsi="宋体"/>
              </w:rPr>
              <w:t>编研类型管理</w:t>
            </w:r>
          </w:p>
        </w:tc>
        <w:tc>
          <w:tcPr>
            <w:tcW w:w="5518" w:type="dxa"/>
            <w:tcBorders>
              <w:top w:val="nil"/>
              <w:left w:val="nil"/>
              <w:bottom w:val="single" w:color="auto" w:sz="4" w:space="0"/>
              <w:right w:val="single" w:color="auto" w:sz="4" w:space="0"/>
            </w:tcBorders>
            <w:shd w:val="clear" w:color="auto" w:fill="auto"/>
            <w:vAlign w:val="center"/>
          </w:tcPr>
          <w:p w14:paraId="26AA70F3">
            <w:pPr>
              <w:keepNext w:val="0"/>
              <w:keepLines w:val="0"/>
              <w:suppressLineNumbers w:val="0"/>
              <w:spacing w:before="0" w:beforeAutospacing="0" w:after="0" w:afterAutospacing="0"/>
              <w:ind w:left="0" w:right="0"/>
              <w:rPr>
                <w:rFonts w:hint="default" w:ascii="宋体" w:hAnsi="宋体"/>
              </w:rPr>
            </w:pPr>
            <w:r>
              <w:rPr>
                <w:rFonts w:hint="eastAsia" w:ascii="宋体" w:hAnsi="宋体"/>
              </w:rPr>
              <w:t>内置有大事记、组织沿革、汇编等编研类型，对编研类型提供新增，编辑，删除操作</w:t>
            </w:r>
          </w:p>
        </w:tc>
        <w:tc>
          <w:tcPr>
            <w:tcW w:w="750" w:type="dxa"/>
            <w:vMerge w:val="continue"/>
            <w:tcBorders>
              <w:left w:val="nil"/>
              <w:right w:val="single" w:color="auto" w:sz="4" w:space="0"/>
            </w:tcBorders>
            <w:vAlign w:val="center"/>
          </w:tcPr>
          <w:p w14:paraId="06489D3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FA0D473">
            <w:pPr>
              <w:keepNext w:val="0"/>
              <w:keepLines w:val="0"/>
              <w:suppressLineNumbers w:val="0"/>
              <w:spacing w:before="0" w:beforeAutospacing="0" w:after="0" w:afterAutospacing="0"/>
              <w:ind w:left="0" w:right="0"/>
              <w:rPr>
                <w:rFonts w:hint="default" w:ascii="宋体" w:hAnsi="宋体"/>
              </w:rPr>
            </w:pPr>
          </w:p>
        </w:tc>
      </w:tr>
      <w:tr w14:paraId="61ADBE5C">
        <w:tblPrEx>
          <w:tblCellMar>
            <w:top w:w="0" w:type="dxa"/>
            <w:left w:w="108" w:type="dxa"/>
            <w:bottom w:w="0" w:type="dxa"/>
            <w:right w:w="108" w:type="dxa"/>
          </w:tblCellMar>
        </w:tblPrEx>
        <w:trPr>
          <w:trHeight w:val="582" w:hRule="atLeast"/>
        </w:trPr>
        <w:tc>
          <w:tcPr>
            <w:tcW w:w="1071" w:type="dxa"/>
            <w:vMerge w:val="continue"/>
            <w:tcBorders>
              <w:left w:val="single" w:color="auto" w:sz="4" w:space="0"/>
              <w:right w:val="single" w:color="auto" w:sz="4" w:space="0"/>
            </w:tcBorders>
            <w:shd w:val="clear" w:color="auto" w:fill="auto"/>
            <w:noWrap/>
            <w:vAlign w:val="center"/>
          </w:tcPr>
          <w:p w14:paraId="4D14E22A">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5C361455">
            <w:pPr>
              <w:keepNext w:val="0"/>
              <w:keepLines w:val="0"/>
              <w:suppressLineNumbers w:val="0"/>
              <w:spacing w:before="0" w:beforeAutospacing="0" w:after="0" w:afterAutospacing="0"/>
              <w:ind w:left="0" w:right="0"/>
              <w:rPr>
                <w:rFonts w:hint="default" w:ascii="宋体" w:hAnsi="宋体"/>
              </w:rPr>
            </w:pPr>
            <w:r>
              <w:rPr>
                <w:rFonts w:hint="eastAsia" w:ascii="宋体" w:hAnsi="宋体"/>
              </w:rPr>
              <w:t>编研模板管理</w:t>
            </w:r>
          </w:p>
        </w:tc>
        <w:tc>
          <w:tcPr>
            <w:tcW w:w="5518" w:type="dxa"/>
            <w:tcBorders>
              <w:top w:val="nil"/>
              <w:left w:val="nil"/>
              <w:bottom w:val="single" w:color="auto" w:sz="4" w:space="0"/>
              <w:right w:val="single" w:color="auto" w:sz="4" w:space="0"/>
            </w:tcBorders>
            <w:shd w:val="clear" w:color="auto" w:fill="auto"/>
            <w:vAlign w:val="center"/>
          </w:tcPr>
          <w:p w14:paraId="6837113A">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提供编研模板的新增，删除，编辑功能</w:t>
            </w:r>
          </w:p>
        </w:tc>
        <w:tc>
          <w:tcPr>
            <w:tcW w:w="750" w:type="dxa"/>
            <w:vMerge w:val="continue"/>
            <w:tcBorders>
              <w:left w:val="nil"/>
              <w:right w:val="single" w:color="auto" w:sz="4" w:space="0"/>
            </w:tcBorders>
            <w:vAlign w:val="center"/>
          </w:tcPr>
          <w:p w14:paraId="29F3323F">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8A9C4A0">
            <w:pPr>
              <w:keepNext w:val="0"/>
              <w:keepLines w:val="0"/>
              <w:suppressLineNumbers w:val="0"/>
              <w:spacing w:before="0" w:beforeAutospacing="0" w:after="0" w:afterAutospacing="0"/>
              <w:ind w:left="0" w:right="0"/>
              <w:rPr>
                <w:rFonts w:hint="default" w:ascii="宋体" w:hAnsi="宋体"/>
              </w:rPr>
            </w:pPr>
          </w:p>
        </w:tc>
      </w:tr>
      <w:tr w14:paraId="3824D4B6">
        <w:tblPrEx>
          <w:tblCellMar>
            <w:top w:w="0" w:type="dxa"/>
            <w:left w:w="108" w:type="dxa"/>
            <w:bottom w:w="0" w:type="dxa"/>
            <w:right w:w="108" w:type="dxa"/>
          </w:tblCellMar>
        </w:tblPrEx>
        <w:trPr>
          <w:trHeight w:val="714" w:hRule="atLeast"/>
        </w:trPr>
        <w:tc>
          <w:tcPr>
            <w:tcW w:w="1071" w:type="dxa"/>
            <w:vMerge w:val="continue"/>
            <w:tcBorders>
              <w:left w:val="single" w:color="auto" w:sz="4" w:space="0"/>
              <w:right w:val="single" w:color="auto" w:sz="4" w:space="0"/>
            </w:tcBorders>
            <w:shd w:val="clear" w:color="auto" w:fill="auto"/>
            <w:noWrap/>
            <w:vAlign w:val="center"/>
          </w:tcPr>
          <w:p w14:paraId="21E5C7B1">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A65D0">
            <w:pPr>
              <w:keepNext w:val="0"/>
              <w:keepLines w:val="0"/>
              <w:suppressLineNumbers w:val="0"/>
              <w:spacing w:before="0" w:beforeAutospacing="0" w:after="0" w:afterAutospacing="0"/>
              <w:ind w:left="0" w:right="0"/>
              <w:rPr>
                <w:rFonts w:hint="default" w:ascii="宋体" w:hAnsi="宋体"/>
              </w:rPr>
            </w:pPr>
            <w:r>
              <w:rPr>
                <w:rFonts w:hint="eastAsia" w:ascii="宋体" w:hAnsi="宋体"/>
              </w:rPr>
              <w:t>编研成果管理</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585FFDB8">
            <w:pPr>
              <w:keepNext w:val="0"/>
              <w:keepLines w:val="0"/>
              <w:suppressLineNumbers w:val="0"/>
              <w:spacing w:before="0" w:beforeAutospacing="0" w:after="0" w:afterAutospacing="0"/>
              <w:ind w:left="0" w:right="0"/>
              <w:rPr>
                <w:rFonts w:hint="default" w:ascii="宋体" w:hAnsi="宋体"/>
              </w:rPr>
            </w:pPr>
            <w:r>
              <w:rPr>
                <w:rFonts w:hint="eastAsia" w:ascii="宋体" w:hAnsi="宋体"/>
              </w:rPr>
              <w:t>对编研完成的文本进行格式转换，提供版式文件格式转换选项</w:t>
            </w:r>
          </w:p>
        </w:tc>
        <w:tc>
          <w:tcPr>
            <w:tcW w:w="750" w:type="dxa"/>
            <w:vMerge w:val="continue"/>
            <w:tcBorders>
              <w:left w:val="single" w:color="auto" w:sz="4" w:space="0"/>
              <w:right w:val="single" w:color="auto" w:sz="4" w:space="0"/>
            </w:tcBorders>
            <w:vAlign w:val="center"/>
          </w:tcPr>
          <w:p w14:paraId="516ECF24">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018BFFCD">
            <w:pPr>
              <w:keepNext w:val="0"/>
              <w:keepLines w:val="0"/>
              <w:suppressLineNumbers w:val="0"/>
              <w:spacing w:before="0" w:beforeAutospacing="0" w:after="0" w:afterAutospacing="0"/>
              <w:ind w:left="0" w:right="0"/>
              <w:rPr>
                <w:rFonts w:hint="default" w:ascii="宋体" w:hAnsi="宋体"/>
              </w:rPr>
            </w:pPr>
          </w:p>
        </w:tc>
      </w:tr>
      <w:tr w14:paraId="3766B69E">
        <w:tblPrEx>
          <w:tblCellMar>
            <w:top w:w="0" w:type="dxa"/>
            <w:left w:w="108" w:type="dxa"/>
            <w:bottom w:w="0" w:type="dxa"/>
            <w:right w:w="108" w:type="dxa"/>
          </w:tblCellMar>
        </w:tblPrEx>
        <w:trPr>
          <w:trHeight w:val="285" w:hRule="atLeast"/>
        </w:trPr>
        <w:tc>
          <w:tcPr>
            <w:tcW w:w="1071" w:type="dxa"/>
            <w:vMerge w:val="continue"/>
            <w:tcBorders>
              <w:left w:val="single" w:color="auto" w:sz="4" w:space="0"/>
              <w:right w:val="single" w:color="auto" w:sz="4" w:space="0"/>
            </w:tcBorders>
            <w:shd w:val="clear" w:color="auto" w:fill="auto"/>
            <w:noWrap/>
            <w:vAlign w:val="center"/>
          </w:tcPr>
          <w:p w14:paraId="23EEE0F4">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6023B">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档案统计</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643E9085">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single" w:color="auto" w:sz="4" w:space="0"/>
              <w:right w:val="single" w:color="auto" w:sz="4" w:space="0"/>
            </w:tcBorders>
            <w:vAlign w:val="center"/>
          </w:tcPr>
          <w:p w14:paraId="0BF52281">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5D92A31F">
            <w:pPr>
              <w:keepNext w:val="0"/>
              <w:keepLines w:val="0"/>
              <w:suppressLineNumbers w:val="0"/>
              <w:spacing w:before="0" w:beforeAutospacing="0" w:after="0" w:afterAutospacing="0"/>
              <w:ind w:left="0" w:right="0"/>
              <w:rPr>
                <w:rFonts w:hint="default" w:ascii="宋体" w:hAnsi="宋体"/>
              </w:rPr>
            </w:pPr>
          </w:p>
        </w:tc>
      </w:tr>
      <w:tr w14:paraId="2D6E6DEF">
        <w:tblPrEx>
          <w:tblCellMar>
            <w:top w:w="0" w:type="dxa"/>
            <w:left w:w="108" w:type="dxa"/>
            <w:bottom w:w="0" w:type="dxa"/>
            <w:right w:w="108" w:type="dxa"/>
          </w:tblCellMar>
        </w:tblPrEx>
        <w:trPr>
          <w:trHeight w:val="641" w:hRule="atLeast"/>
        </w:trPr>
        <w:tc>
          <w:tcPr>
            <w:tcW w:w="1071" w:type="dxa"/>
            <w:vMerge w:val="continue"/>
            <w:tcBorders>
              <w:left w:val="single" w:color="auto" w:sz="4" w:space="0"/>
              <w:right w:val="single" w:color="auto" w:sz="4" w:space="0"/>
            </w:tcBorders>
            <w:shd w:val="clear" w:color="auto" w:fill="auto"/>
            <w:noWrap/>
            <w:vAlign w:val="center"/>
          </w:tcPr>
          <w:p w14:paraId="37C28356">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75605758">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档案概况</w:t>
            </w:r>
          </w:p>
        </w:tc>
        <w:tc>
          <w:tcPr>
            <w:tcW w:w="5518" w:type="dxa"/>
            <w:tcBorders>
              <w:top w:val="single" w:color="auto" w:sz="4" w:space="0"/>
              <w:left w:val="nil"/>
              <w:bottom w:val="single" w:color="auto" w:sz="4" w:space="0"/>
              <w:right w:val="single" w:color="auto" w:sz="4" w:space="0"/>
            </w:tcBorders>
            <w:shd w:val="clear" w:color="auto" w:fill="auto"/>
            <w:vAlign w:val="center"/>
          </w:tcPr>
          <w:p w14:paraId="40A2B88F">
            <w:pPr>
              <w:keepNext w:val="0"/>
              <w:keepLines w:val="0"/>
              <w:suppressLineNumbers w:val="0"/>
              <w:spacing w:before="0" w:beforeAutospacing="0" w:after="0" w:afterAutospacing="0"/>
              <w:ind w:left="0" w:right="0"/>
              <w:rPr>
                <w:rFonts w:hint="default" w:ascii="宋体" w:hAnsi="宋体"/>
              </w:rPr>
            </w:pPr>
            <w:r>
              <w:rPr>
                <w:rFonts w:hint="eastAsia" w:ascii="宋体" w:hAnsi="宋体"/>
              </w:rPr>
              <w:t>统计本单位全量的档案目录条数以及原件概况。可以切换置表格、柱状图</w:t>
            </w:r>
          </w:p>
        </w:tc>
        <w:tc>
          <w:tcPr>
            <w:tcW w:w="750" w:type="dxa"/>
            <w:vMerge w:val="continue"/>
            <w:tcBorders>
              <w:left w:val="nil"/>
              <w:right w:val="single" w:color="auto" w:sz="4" w:space="0"/>
            </w:tcBorders>
            <w:vAlign w:val="center"/>
          </w:tcPr>
          <w:p w14:paraId="2DB35D0C">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6780C04A">
            <w:pPr>
              <w:keepNext w:val="0"/>
              <w:keepLines w:val="0"/>
              <w:suppressLineNumbers w:val="0"/>
              <w:spacing w:before="0" w:beforeAutospacing="0" w:after="0" w:afterAutospacing="0"/>
              <w:ind w:left="0" w:right="0"/>
              <w:rPr>
                <w:rFonts w:hint="default" w:ascii="宋体" w:hAnsi="宋体"/>
              </w:rPr>
            </w:pPr>
          </w:p>
        </w:tc>
      </w:tr>
      <w:tr w14:paraId="41BD3BC4">
        <w:tblPrEx>
          <w:tblCellMar>
            <w:top w:w="0" w:type="dxa"/>
            <w:left w:w="108" w:type="dxa"/>
            <w:bottom w:w="0" w:type="dxa"/>
            <w:right w:w="108" w:type="dxa"/>
          </w:tblCellMar>
        </w:tblPrEx>
        <w:trPr>
          <w:trHeight w:val="658" w:hRule="atLeast"/>
        </w:trPr>
        <w:tc>
          <w:tcPr>
            <w:tcW w:w="1071" w:type="dxa"/>
            <w:vMerge w:val="continue"/>
            <w:tcBorders>
              <w:left w:val="single" w:color="auto" w:sz="4" w:space="0"/>
              <w:right w:val="single" w:color="auto" w:sz="4" w:space="0"/>
            </w:tcBorders>
            <w:shd w:val="clear" w:color="auto" w:fill="auto"/>
            <w:noWrap/>
            <w:vAlign w:val="center"/>
          </w:tcPr>
          <w:p w14:paraId="4D39DE0E">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53B5AD9B">
            <w:pPr>
              <w:keepNext w:val="0"/>
              <w:keepLines w:val="0"/>
              <w:suppressLineNumbers w:val="0"/>
              <w:spacing w:before="0" w:beforeAutospacing="0" w:after="0" w:afterAutospacing="0"/>
              <w:ind w:left="0" w:right="0"/>
              <w:rPr>
                <w:rFonts w:hint="default" w:ascii="宋体" w:hAnsi="宋体"/>
              </w:rPr>
            </w:pPr>
            <w:r>
              <w:rPr>
                <w:rFonts w:hint="eastAsia" w:ascii="宋体" w:hAnsi="宋体"/>
              </w:rPr>
              <w:t>门类统计</w:t>
            </w:r>
          </w:p>
        </w:tc>
        <w:tc>
          <w:tcPr>
            <w:tcW w:w="5518" w:type="dxa"/>
            <w:tcBorders>
              <w:top w:val="nil"/>
              <w:left w:val="nil"/>
              <w:bottom w:val="single" w:color="auto" w:sz="4" w:space="0"/>
              <w:right w:val="single" w:color="auto" w:sz="4" w:space="0"/>
            </w:tcBorders>
            <w:shd w:val="clear" w:color="auto" w:fill="auto"/>
            <w:vAlign w:val="center"/>
          </w:tcPr>
          <w:p w14:paraId="19C15684">
            <w:pPr>
              <w:keepNext w:val="0"/>
              <w:keepLines w:val="0"/>
              <w:suppressLineNumbers w:val="0"/>
              <w:spacing w:before="0" w:beforeAutospacing="0" w:after="0" w:afterAutospacing="0"/>
              <w:ind w:left="0" w:right="0"/>
              <w:rPr>
                <w:rFonts w:hint="default" w:ascii="宋体" w:hAnsi="宋体"/>
              </w:rPr>
            </w:pPr>
            <w:r>
              <w:rPr>
                <w:rFonts w:hint="eastAsia" w:ascii="宋体" w:hAnsi="宋体"/>
              </w:rPr>
              <w:t>按照档案门类对档案数据统计，统计出本单位全量的档案目录条数以及原件概况。可以切换置表格、柱状图</w:t>
            </w:r>
          </w:p>
        </w:tc>
        <w:tc>
          <w:tcPr>
            <w:tcW w:w="750" w:type="dxa"/>
            <w:vMerge w:val="continue"/>
            <w:tcBorders>
              <w:left w:val="nil"/>
              <w:right w:val="single" w:color="auto" w:sz="4" w:space="0"/>
            </w:tcBorders>
            <w:vAlign w:val="center"/>
          </w:tcPr>
          <w:p w14:paraId="5906C8D1">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563AAFD5">
            <w:pPr>
              <w:keepNext w:val="0"/>
              <w:keepLines w:val="0"/>
              <w:suppressLineNumbers w:val="0"/>
              <w:spacing w:before="0" w:beforeAutospacing="0" w:after="0" w:afterAutospacing="0"/>
              <w:ind w:left="0" w:right="0"/>
              <w:rPr>
                <w:rFonts w:hint="default" w:ascii="宋体" w:hAnsi="宋体"/>
              </w:rPr>
            </w:pPr>
          </w:p>
        </w:tc>
      </w:tr>
      <w:tr w14:paraId="192E3C74">
        <w:tblPrEx>
          <w:tblCellMar>
            <w:top w:w="0" w:type="dxa"/>
            <w:left w:w="108" w:type="dxa"/>
            <w:bottom w:w="0" w:type="dxa"/>
            <w:right w:w="108" w:type="dxa"/>
          </w:tblCellMar>
        </w:tblPrEx>
        <w:trPr>
          <w:trHeight w:val="576" w:hRule="atLeast"/>
        </w:trPr>
        <w:tc>
          <w:tcPr>
            <w:tcW w:w="1071" w:type="dxa"/>
            <w:vMerge w:val="continue"/>
            <w:tcBorders>
              <w:left w:val="single" w:color="auto" w:sz="4" w:space="0"/>
              <w:right w:val="single" w:color="auto" w:sz="4" w:space="0"/>
            </w:tcBorders>
            <w:shd w:val="clear" w:color="auto" w:fill="auto"/>
            <w:noWrap/>
            <w:vAlign w:val="center"/>
          </w:tcPr>
          <w:p w14:paraId="2058FE6F">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0C06CA37">
            <w:pPr>
              <w:keepNext w:val="0"/>
              <w:keepLines w:val="0"/>
              <w:suppressLineNumbers w:val="0"/>
              <w:spacing w:before="0" w:beforeAutospacing="0" w:after="0" w:afterAutospacing="0"/>
              <w:ind w:left="0" w:right="0"/>
              <w:rPr>
                <w:rFonts w:hint="default" w:ascii="宋体" w:hAnsi="宋体"/>
              </w:rPr>
            </w:pPr>
            <w:r>
              <w:rPr>
                <w:rFonts w:hint="eastAsia" w:ascii="宋体" w:hAnsi="宋体"/>
              </w:rPr>
              <w:t>原文统计</w:t>
            </w:r>
          </w:p>
        </w:tc>
        <w:tc>
          <w:tcPr>
            <w:tcW w:w="5518" w:type="dxa"/>
            <w:tcBorders>
              <w:top w:val="nil"/>
              <w:left w:val="nil"/>
              <w:bottom w:val="single" w:color="auto" w:sz="4" w:space="0"/>
              <w:right w:val="single" w:color="auto" w:sz="4" w:space="0"/>
            </w:tcBorders>
            <w:shd w:val="clear" w:color="auto" w:fill="auto"/>
            <w:vAlign w:val="center"/>
          </w:tcPr>
          <w:p w14:paraId="42EA205A">
            <w:pPr>
              <w:keepNext w:val="0"/>
              <w:keepLines w:val="0"/>
              <w:suppressLineNumbers w:val="0"/>
              <w:spacing w:before="0" w:beforeAutospacing="0" w:after="0" w:afterAutospacing="0"/>
              <w:ind w:left="0" w:right="0"/>
              <w:rPr>
                <w:rFonts w:hint="default" w:ascii="宋体" w:hAnsi="宋体"/>
              </w:rPr>
            </w:pPr>
            <w:r>
              <w:rPr>
                <w:rFonts w:hint="eastAsia" w:ascii="宋体" w:hAnsi="宋体"/>
              </w:rPr>
              <w:t>针对档案原件情况进行进一步的统计，可以用表格、柱状图展示。支持图标以及表格数据的导出</w:t>
            </w:r>
          </w:p>
        </w:tc>
        <w:tc>
          <w:tcPr>
            <w:tcW w:w="750" w:type="dxa"/>
            <w:vMerge w:val="continue"/>
            <w:tcBorders>
              <w:left w:val="nil"/>
              <w:right w:val="single" w:color="auto" w:sz="4" w:space="0"/>
            </w:tcBorders>
            <w:vAlign w:val="center"/>
          </w:tcPr>
          <w:p w14:paraId="704735A8">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E7C48BE">
            <w:pPr>
              <w:keepNext w:val="0"/>
              <w:keepLines w:val="0"/>
              <w:suppressLineNumbers w:val="0"/>
              <w:spacing w:before="0" w:beforeAutospacing="0" w:after="0" w:afterAutospacing="0"/>
              <w:ind w:left="0" w:right="0"/>
              <w:rPr>
                <w:rFonts w:hint="default" w:ascii="宋体" w:hAnsi="宋体"/>
              </w:rPr>
            </w:pPr>
          </w:p>
        </w:tc>
      </w:tr>
      <w:tr w14:paraId="09D89D9E">
        <w:tblPrEx>
          <w:tblCellMar>
            <w:top w:w="0" w:type="dxa"/>
            <w:left w:w="108" w:type="dxa"/>
            <w:bottom w:w="0" w:type="dxa"/>
            <w:right w:w="108" w:type="dxa"/>
          </w:tblCellMar>
        </w:tblPrEx>
        <w:trPr>
          <w:trHeight w:val="608" w:hRule="atLeast"/>
        </w:trPr>
        <w:tc>
          <w:tcPr>
            <w:tcW w:w="1071" w:type="dxa"/>
            <w:vMerge w:val="continue"/>
            <w:tcBorders>
              <w:left w:val="single" w:color="auto" w:sz="4" w:space="0"/>
              <w:right w:val="single" w:color="auto" w:sz="4" w:space="0"/>
            </w:tcBorders>
            <w:shd w:val="clear" w:color="auto" w:fill="auto"/>
            <w:noWrap/>
            <w:vAlign w:val="center"/>
          </w:tcPr>
          <w:p w14:paraId="353A66DB">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16C4A68A">
            <w:pPr>
              <w:keepNext w:val="0"/>
              <w:keepLines w:val="0"/>
              <w:suppressLineNumbers w:val="0"/>
              <w:spacing w:before="0" w:beforeAutospacing="0" w:after="0" w:afterAutospacing="0"/>
              <w:ind w:left="0" w:right="0"/>
              <w:rPr>
                <w:rFonts w:hint="default" w:ascii="宋体" w:hAnsi="宋体"/>
              </w:rPr>
            </w:pPr>
            <w:r>
              <w:rPr>
                <w:rFonts w:hint="eastAsia" w:ascii="宋体" w:hAnsi="宋体"/>
              </w:rPr>
              <w:t>自定义报表</w:t>
            </w:r>
          </w:p>
        </w:tc>
        <w:tc>
          <w:tcPr>
            <w:tcW w:w="5518" w:type="dxa"/>
            <w:tcBorders>
              <w:top w:val="nil"/>
              <w:left w:val="nil"/>
              <w:bottom w:val="single" w:color="auto" w:sz="4" w:space="0"/>
              <w:right w:val="single" w:color="auto" w:sz="4" w:space="0"/>
            </w:tcBorders>
            <w:shd w:val="clear" w:color="auto" w:fill="auto"/>
            <w:vAlign w:val="center"/>
          </w:tcPr>
          <w:p w14:paraId="232BD890">
            <w:pPr>
              <w:keepNext w:val="0"/>
              <w:keepLines w:val="0"/>
              <w:suppressLineNumbers w:val="0"/>
              <w:spacing w:before="0" w:beforeAutospacing="0" w:after="0" w:afterAutospacing="0"/>
              <w:ind w:left="0" w:right="0"/>
              <w:rPr>
                <w:rFonts w:hint="default" w:ascii="宋体" w:hAnsi="宋体"/>
              </w:rPr>
            </w:pPr>
            <w:r>
              <w:rPr>
                <w:rFonts w:hint="eastAsia" w:ascii="宋体" w:hAnsi="宋体"/>
              </w:rPr>
              <w:t>自由添加各类报表模板，支持一键式生成多种统计报表，对同一组档案信息从不同维度进行分析、展现</w:t>
            </w:r>
          </w:p>
        </w:tc>
        <w:tc>
          <w:tcPr>
            <w:tcW w:w="750" w:type="dxa"/>
            <w:vMerge w:val="continue"/>
            <w:tcBorders>
              <w:left w:val="nil"/>
              <w:right w:val="single" w:color="auto" w:sz="4" w:space="0"/>
            </w:tcBorders>
            <w:vAlign w:val="center"/>
          </w:tcPr>
          <w:p w14:paraId="2FE2F4E7">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6A05DF36">
            <w:pPr>
              <w:keepNext w:val="0"/>
              <w:keepLines w:val="0"/>
              <w:suppressLineNumbers w:val="0"/>
              <w:spacing w:before="0" w:beforeAutospacing="0" w:after="0" w:afterAutospacing="0"/>
              <w:ind w:left="0" w:right="0"/>
              <w:rPr>
                <w:rFonts w:hint="default" w:ascii="宋体" w:hAnsi="宋体"/>
              </w:rPr>
            </w:pPr>
          </w:p>
        </w:tc>
      </w:tr>
      <w:tr w14:paraId="6D8901A8">
        <w:tblPrEx>
          <w:tblCellMar>
            <w:top w:w="0" w:type="dxa"/>
            <w:left w:w="108" w:type="dxa"/>
            <w:bottom w:w="0" w:type="dxa"/>
            <w:right w:w="108" w:type="dxa"/>
          </w:tblCellMar>
        </w:tblPrEx>
        <w:trPr>
          <w:trHeight w:val="619" w:hRule="atLeast"/>
        </w:trPr>
        <w:tc>
          <w:tcPr>
            <w:tcW w:w="1071" w:type="dxa"/>
            <w:vMerge w:val="continue"/>
            <w:tcBorders>
              <w:left w:val="single" w:color="auto" w:sz="4" w:space="0"/>
              <w:right w:val="single" w:color="auto" w:sz="4" w:space="0"/>
            </w:tcBorders>
            <w:shd w:val="clear" w:color="auto" w:fill="auto"/>
            <w:noWrap/>
            <w:vAlign w:val="center"/>
          </w:tcPr>
          <w:p w14:paraId="4F7B49E5">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14EFDC55">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档案室年报</w:t>
            </w:r>
          </w:p>
        </w:tc>
        <w:tc>
          <w:tcPr>
            <w:tcW w:w="5518" w:type="dxa"/>
            <w:tcBorders>
              <w:top w:val="nil"/>
              <w:left w:val="nil"/>
              <w:bottom w:val="single" w:color="auto" w:sz="4" w:space="0"/>
              <w:right w:val="single" w:color="auto" w:sz="4" w:space="0"/>
            </w:tcBorders>
            <w:shd w:val="clear" w:color="auto" w:fill="auto"/>
            <w:vAlign w:val="center"/>
          </w:tcPr>
          <w:p w14:paraId="312B296F">
            <w:pPr>
              <w:keepNext w:val="0"/>
              <w:keepLines w:val="0"/>
              <w:suppressLineNumbers w:val="0"/>
              <w:spacing w:before="0" w:beforeAutospacing="0" w:after="0" w:afterAutospacing="0"/>
              <w:ind w:left="0" w:right="0"/>
              <w:rPr>
                <w:rFonts w:hint="default" w:ascii="宋体" w:hAnsi="宋体"/>
              </w:rPr>
            </w:pPr>
            <w:r>
              <w:rPr>
                <w:rFonts w:hint="eastAsia" w:ascii="宋体" w:hAnsi="宋体"/>
              </w:rPr>
              <w:t>统计并生成档案室年报</w:t>
            </w:r>
          </w:p>
        </w:tc>
        <w:tc>
          <w:tcPr>
            <w:tcW w:w="750" w:type="dxa"/>
            <w:vMerge w:val="continue"/>
            <w:tcBorders>
              <w:left w:val="nil"/>
              <w:right w:val="single" w:color="auto" w:sz="4" w:space="0"/>
            </w:tcBorders>
            <w:vAlign w:val="center"/>
          </w:tcPr>
          <w:p w14:paraId="6EA85A28">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56EE3428">
            <w:pPr>
              <w:keepNext w:val="0"/>
              <w:keepLines w:val="0"/>
              <w:suppressLineNumbers w:val="0"/>
              <w:spacing w:before="0" w:beforeAutospacing="0" w:after="0" w:afterAutospacing="0"/>
              <w:ind w:left="0" w:right="0"/>
              <w:rPr>
                <w:rFonts w:hint="default" w:ascii="宋体" w:hAnsi="宋体"/>
              </w:rPr>
            </w:pPr>
          </w:p>
        </w:tc>
      </w:tr>
      <w:tr w14:paraId="5BC294DD">
        <w:tblPrEx>
          <w:tblCellMar>
            <w:top w:w="0" w:type="dxa"/>
            <w:left w:w="108" w:type="dxa"/>
            <w:bottom w:w="0" w:type="dxa"/>
            <w:right w:w="108" w:type="dxa"/>
          </w:tblCellMar>
        </w:tblPrEx>
        <w:trPr>
          <w:trHeight w:val="868" w:hRule="atLeast"/>
        </w:trPr>
        <w:tc>
          <w:tcPr>
            <w:tcW w:w="1071" w:type="dxa"/>
            <w:vMerge w:val="continue"/>
            <w:tcBorders>
              <w:left w:val="single" w:color="auto" w:sz="4" w:space="0"/>
              <w:right w:val="single" w:color="auto" w:sz="4" w:space="0"/>
            </w:tcBorders>
            <w:shd w:val="clear" w:color="auto" w:fill="auto"/>
            <w:noWrap/>
            <w:vAlign w:val="center"/>
          </w:tcPr>
          <w:p w14:paraId="738F18FC">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35533713">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档案利用统计</w:t>
            </w:r>
          </w:p>
        </w:tc>
        <w:tc>
          <w:tcPr>
            <w:tcW w:w="5518" w:type="dxa"/>
            <w:tcBorders>
              <w:top w:val="nil"/>
              <w:left w:val="nil"/>
              <w:bottom w:val="single" w:color="auto" w:sz="4" w:space="0"/>
              <w:right w:val="single" w:color="auto" w:sz="4" w:space="0"/>
            </w:tcBorders>
            <w:shd w:val="clear" w:color="auto" w:fill="auto"/>
            <w:vAlign w:val="center"/>
          </w:tcPr>
          <w:p w14:paraId="5DFC3FCD">
            <w:pPr>
              <w:keepNext w:val="0"/>
              <w:keepLines w:val="0"/>
              <w:suppressLineNumbers w:val="0"/>
              <w:spacing w:before="0" w:beforeAutospacing="0" w:after="0" w:afterAutospacing="0"/>
              <w:ind w:left="0" w:right="0"/>
              <w:rPr>
                <w:rFonts w:hint="default" w:ascii="宋体" w:hAnsi="宋体"/>
              </w:rPr>
            </w:pPr>
            <w:r>
              <w:rPr>
                <w:rFonts w:hint="eastAsia" w:ascii="宋体" w:hAnsi="宋体"/>
              </w:rPr>
              <w:t>针对借阅利用情况进行了全面的统计，可以针对个人的借阅情况、档案门类的利用情况进行多维护的统计。包含信息有档案类型、档号、利用时间、人名、利用次数等。支持统计结果的导出</w:t>
            </w:r>
          </w:p>
        </w:tc>
        <w:tc>
          <w:tcPr>
            <w:tcW w:w="750" w:type="dxa"/>
            <w:vMerge w:val="continue"/>
            <w:tcBorders>
              <w:left w:val="nil"/>
              <w:right w:val="single" w:color="auto" w:sz="4" w:space="0"/>
            </w:tcBorders>
            <w:vAlign w:val="center"/>
          </w:tcPr>
          <w:p w14:paraId="55A1F45E">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50440403">
            <w:pPr>
              <w:keepNext w:val="0"/>
              <w:keepLines w:val="0"/>
              <w:suppressLineNumbers w:val="0"/>
              <w:spacing w:before="0" w:beforeAutospacing="0" w:after="0" w:afterAutospacing="0"/>
              <w:ind w:left="0" w:right="0"/>
              <w:rPr>
                <w:rFonts w:hint="default" w:ascii="宋体" w:hAnsi="宋体"/>
              </w:rPr>
            </w:pPr>
          </w:p>
        </w:tc>
      </w:tr>
      <w:tr w14:paraId="71301DBC">
        <w:tblPrEx>
          <w:tblCellMar>
            <w:top w:w="0" w:type="dxa"/>
            <w:left w:w="108" w:type="dxa"/>
            <w:bottom w:w="0" w:type="dxa"/>
            <w:right w:w="108" w:type="dxa"/>
          </w:tblCellMar>
        </w:tblPrEx>
        <w:trPr>
          <w:trHeight w:val="285" w:hRule="atLeast"/>
        </w:trPr>
        <w:tc>
          <w:tcPr>
            <w:tcW w:w="1071" w:type="dxa"/>
            <w:vMerge w:val="continue"/>
            <w:tcBorders>
              <w:left w:val="single" w:color="auto" w:sz="4" w:space="0"/>
              <w:right w:val="single" w:color="auto" w:sz="4" w:space="0"/>
            </w:tcBorders>
            <w:shd w:val="clear" w:color="auto" w:fill="auto"/>
            <w:noWrap/>
            <w:vAlign w:val="center"/>
          </w:tcPr>
          <w:p w14:paraId="15F41736">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333F994A">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系统维护</w:t>
            </w:r>
          </w:p>
        </w:tc>
        <w:tc>
          <w:tcPr>
            <w:tcW w:w="5518" w:type="dxa"/>
            <w:tcBorders>
              <w:top w:val="nil"/>
              <w:left w:val="nil"/>
              <w:bottom w:val="single" w:color="auto" w:sz="4" w:space="0"/>
              <w:right w:val="single" w:color="auto" w:sz="4" w:space="0"/>
            </w:tcBorders>
            <w:shd w:val="clear" w:color="auto" w:fill="auto"/>
            <w:vAlign w:val="center"/>
          </w:tcPr>
          <w:p w14:paraId="1D8E457D">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nil"/>
              <w:right w:val="single" w:color="auto" w:sz="4" w:space="0"/>
            </w:tcBorders>
            <w:vAlign w:val="center"/>
          </w:tcPr>
          <w:p w14:paraId="332756E5">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9D2D278">
            <w:pPr>
              <w:keepNext w:val="0"/>
              <w:keepLines w:val="0"/>
              <w:suppressLineNumbers w:val="0"/>
              <w:spacing w:before="0" w:beforeAutospacing="0" w:after="0" w:afterAutospacing="0"/>
              <w:ind w:left="0" w:right="0"/>
              <w:rPr>
                <w:rFonts w:hint="default" w:ascii="宋体" w:hAnsi="宋体"/>
              </w:rPr>
            </w:pPr>
          </w:p>
        </w:tc>
      </w:tr>
      <w:tr w14:paraId="3E00D7D1">
        <w:tblPrEx>
          <w:tblCellMar>
            <w:top w:w="0" w:type="dxa"/>
            <w:left w:w="108" w:type="dxa"/>
            <w:bottom w:w="0" w:type="dxa"/>
            <w:right w:w="108" w:type="dxa"/>
          </w:tblCellMar>
        </w:tblPrEx>
        <w:trPr>
          <w:trHeight w:val="521" w:hRule="atLeast"/>
        </w:trPr>
        <w:tc>
          <w:tcPr>
            <w:tcW w:w="1071" w:type="dxa"/>
            <w:vMerge w:val="continue"/>
            <w:tcBorders>
              <w:left w:val="single" w:color="auto" w:sz="4" w:space="0"/>
              <w:right w:val="single" w:color="auto" w:sz="4" w:space="0"/>
            </w:tcBorders>
            <w:shd w:val="clear" w:color="auto" w:fill="auto"/>
            <w:noWrap/>
            <w:vAlign w:val="center"/>
          </w:tcPr>
          <w:p w14:paraId="2486DCEA">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71F21897">
            <w:pPr>
              <w:keepNext w:val="0"/>
              <w:keepLines w:val="0"/>
              <w:suppressLineNumbers w:val="0"/>
              <w:spacing w:before="0" w:beforeAutospacing="0" w:after="0" w:afterAutospacing="0"/>
              <w:ind w:left="0" w:right="0"/>
              <w:rPr>
                <w:rFonts w:hint="default" w:ascii="宋体" w:hAnsi="宋体"/>
              </w:rPr>
            </w:pPr>
            <w:r>
              <w:rPr>
                <w:rFonts w:hint="eastAsia" w:ascii="宋体" w:hAnsi="宋体"/>
              </w:rPr>
              <w:t>用户与角色</w:t>
            </w:r>
          </w:p>
        </w:tc>
        <w:tc>
          <w:tcPr>
            <w:tcW w:w="5518" w:type="dxa"/>
            <w:tcBorders>
              <w:top w:val="nil"/>
              <w:left w:val="nil"/>
              <w:bottom w:val="single" w:color="auto" w:sz="4" w:space="0"/>
              <w:right w:val="single" w:color="auto" w:sz="4" w:space="0"/>
            </w:tcBorders>
            <w:shd w:val="clear" w:color="auto" w:fill="auto"/>
            <w:vAlign w:val="center"/>
          </w:tcPr>
          <w:p w14:paraId="1DB50988">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nil"/>
              <w:right w:val="single" w:color="auto" w:sz="4" w:space="0"/>
            </w:tcBorders>
            <w:vAlign w:val="center"/>
          </w:tcPr>
          <w:p w14:paraId="61BAAEA5">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0F068686">
            <w:pPr>
              <w:keepNext w:val="0"/>
              <w:keepLines w:val="0"/>
              <w:suppressLineNumbers w:val="0"/>
              <w:spacing w:before="0" w:beforeAutospacing="0" w:after="0" w:afterAutospacing="0"/>
              <w:ind w:left="0" w:right="0"/>
              <w:rPr>
                <w:rFonts w:hint="default" w:ascii="宋体" w:hAnsi="宋体"/>
              </w:rPr>
            </w:pPr>
          </w:p>
        </w:tc>
      </w:tr>
      <w:tr w14:paraId="551893DB">
        <w:tblPrEx>
          <w:tblCellMar>
            <w:top w:w="0" w:type="dxa"/>
            <w:left w:w="108" w:type="dxa"/>
            <w:bottom w:w="0" w:type="dxa"/>
            <w:right w:w="108" w:type="dxa"/>
          </w:tblCellMar>
        </w:tblPrEx>
        <w:trPr>
          <w:trHeight w:val="1290" w:hRule="atLeast"/>
        </w:trPr>
        <w:tc>
          <w:tcPr>
            <w:tcW w:w="1071" w:type="dxa"/>
            <w:vMerge w:val="continue"/>
            <w:tcBorders>
              <w:left w:val="single" w:color="auto" w:sz="4" w:space="0"/>
              <w:right w:val="single" w:color="auto" w:sz="4" w:space="0"/>
            </w:tcBorders>
            <w:shd w:val="clear" w:color="auto" w:fill="auto"/>
            <w:noWrap/>
            <w:vAlign w:val="center"/>
          </w:tcPr>
          <w:p w14:paraId="79D0D83C">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7CD24768">
            <w:pPr>
              <w:keepNext w:val="0"/>
              <w:keepLines w:val="0"/>
              <w:suppressLineNumbers w:val="0"/>
              <w:spacing w:before="0" w:beforeAutospacing="0" w:after="0" w:afterAutospacing="0"/>
              <w:ind w:left="0" w:right="0"/>
              <w:rPr>
                <w:rFonts w:hint="default" w:ascii="宋体" w:hAnsi="宋体"/>
              </w:rPr>
            </w:pPr>
            <w:r>
              <w:rPr>
                <w:rFonts w:hint="eastAsia" w:ascii="宋体" w:hAnsi="宋体"/>
              </w:rPr>
              <w:t>用户管理</w:t>
            </w:r>
          </w:p>
        </w:tc>
        <w:tc>
          <w:tcPr>
            <w:tcW w:w="5518" w:type="dxa"/>
            <w:tcBorders>
              <w:top w:val="nil"/>
              <w:left w:val="nil"/>
              <w:bottom w:val="single" w:color="auto" w:sz="4" w:space="0"/>
              <w:right w:val="single" w:color="auto" w:sz="4" w:space="0"/>
            </w:tcBorders>
            <w:shd w:val="clear" w:color="auto" w:fill="auto"/>
            <w:vAlign w:val="center"/>
          </w:tcPr>
          <w:p w14:paraId="6A5029F0">
            <w:pPr>
              <w:keepNext w:val="0"/>
              <w:keepLines w:val="0"/>
              <w:suppressLineNumbers w:val="0"/>
              <w:spacing w:before="0" w:beforeAutospacing="0" w:after="0" w:afterAutospacing="0"/>
              <w:ind w:left="0" w:right="0"/>
              <w:rPr>
                <w:rFonts w:hint="default" w:ascii="宋体" w:hAnsi="宋体"/>
              </w:rPr>
            </w:pPr>
            <w:r>
              <w:rPr>
                <w:rFonts w:hint="eastAsia" w:ascii="宋体" w:hAnsi="宋体"/>
              </w:rPr>
              <w:t>组织或单位中创建并管理用户，并赋予角色。该功能主要实现对系统用户属性信息的维护（增加、删除和修改），属性信息包括用户ID（自动生成）、用户名、姓名、所属机构、所属角色、电话、E-MAIL地址等信息。支持批量新增用户、从excel导入用户、冻结用户、解冻用户、重置密码等功能</w:t>
            </w:r>
          </w:p>
        </w:tc>
        <w:tc>
          <w:tcPr>
            <w:tcW w:w="750" w:type="dxa"/>
            <w:vMerge w:val="continue"/>
            <w:tcBorders>
              <w:left w:val="nil"/>
              <w:right w:val="single" w:color="auto" w:sz="4" w:space="0"/>
            </w:tcBorders>
            <w:vAlign w:val="center"/>
          </w:tcPr>
          <w:p w14:paraId="5604EEDB">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479F93A9">
            <w:pPr>
              <w:keepNext w:val="0"/>
              <w:keepLines w:val="0"/>
              <w:suppressLineNumbers w:val="0"/>
              <w:spacing w:before="0" w:beforeAutospacing="0" w:after="0" w:afterAutospacing="0"/>
              <w:ind w:left="0" w:right="0"/>
              <w:rPr>
                <w:rFonts w:hint="default" w:ascii="宋体" w:hAnsi="宋体"/>
              </w:rPr>
            </w:pPr>
          </w:p>
        </w:tc>
      </w:tr>
      <w:tr w14:paraId="70DECC17">
        <w:tblPrEx>
          <w:tblCellMar>
            <w:top w:w="0" w:type="dxa"/>
            <w:left w:w="108" w:type="dxa"/>
            <w:bottom w:w="0" w:type="dxa"/>
            <w:right w:w="108" w:type="dxa"/>
          </w:tblCellMar>
        </w:tblPrEx>
        <w:trPr>
          <w:trHeight w:val="570" w:hRule="atLeast"/>
        </w:trPr>
        <w:tc>
          <w:tcPr>
            <w:tcW w:w="1071" w:type="dxa"/>
            <w:vMerge w:val="continue"/>
            <w:tcBorders>
              <w:left w:val="single" w:color="auto" w:sz="4" w:space="0"/>
              <w:right w:val="single" w:color="auto" w:sz="4" w:space="0"/>
            </w:tcBorders>
            <w:shd w:val="clear" w:color="auto" w:fill="auto"/>
            <w:noWrap/>
            <w:vAlign w:val="center"/>
          </w:tcPr>
          <w:p w14:paraId="125456B2">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130CFEA5">
            <w:pPr>
              <w:keepNext w:val="0"/>
              <w:keepLines w:val="0"/>
              <w:suppressLineNumbers w:val="0"/>
              <w:spacing w:before="0" w:beforeAutospacing="0" w:after="0" w:afterAutospacing="0"/>
              <w:ind w:left="0" w:right="0"/>
              <w:rPr>
                <w:rFonts w:hint="default" w:ascii="宋体" w:hAnsi="宋体"/>
              </w:rPr>
            </w:pPr>
            <w:r>
              <w:rPr>
                <w:rFonts w:hint="eastAsia" w:ascii="宋体" w:hAnsi="宋体"/>
              </w:rPr>
              <w:t>组织机构</w:t>
            </w:r>
          </w:p>
        </w:tc>
        <w:tc>
          <w:tcPr>
            <w:tcW w:w="5518" w:type="dxa"/>
            <w:tcBorders>
              <w:top w:val="nil"/>
              <w:left w:val="nil"/>
              <w:bottom w:val="single" w:color="auto" w:sz="4" w:space="0"/>
              <w:right w:val="single" w:color="auto" w:sz="4" w:space="0"/>
            </w:tcBorders>
            <w:shd w:val="clear" w:color="auto" w:fill="auto"/>
            <w:vAlign w:val="center"/>
          </w:tcPr>
          <w:p w14:paraId="69C1FD01">
            <w:pPr>
              <w:keepNext w:val="0"/>
              <w:keepLines w:val="0"/>
              <w:suppressLineNumbers w:val="0"/>
              <w:spacing w:before="0" w:beforeAutospacing="0" w:after="0" w:afterAutospacing="0"/>
              <w:ind w:left="0" w:right="0"/>
              <w:rPr>
                <w:rFonts w:hint="default" w:ascii="宋体" w:hAnsi="宋体"/>
              </w:rPr>
            </w:pPr>
            <w:r>
              <w:rPr>
                <w:rFonts w:hint="eastAsia" w:ascii="宋体" w:hAnsi="宋体"/>
              </w:rPr>
              <w:t>对系统内的组织机构数据进行维护，提供新增机构、编辑机构、删除机构、批量新增、导入机构信息等功能。主要针对机构的机构名称、全宗号、负责人、联系电话、单位地址等信息进行维护</w:t>
            </w:r>
          </w:p>
        </w:tc>
        <w:tc>
          <w:tcPr>
            <w:tcW w:w="750" w:type="dxa"/>
            <w:vMerge w:val="continue"/>
            <w:tcBorders>
              <w:left w:val="nil"/>
              <w:right w:val="single" w:color="auto" w:sz="4" w:space="0"/>
            </w:tcBorders>
            <w:vAlign w:val="center"/>
          </w:tcPr>
          <w:p w14:paraId="3BD227E1">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65919E84">
            <w:pPr>
              <w:keepNext w:val="0"/>
              <w:keepLines w:val="0"/>
              <w:suppressLineNumbers w:val="0"/>
              <w:spacing w:before="0" w:beforeAutospacing="0" w:after="0" w:afterAutospacing="0"/>
              <w:ind w:left="0" w:right="0"/>
              <w:rPr>
                <w:rFonts w:hint="default" w:ascii="宋体" w:hAnsi="宋体"/>
              </w:rPr>
            </w:pPr>
          </w:p>
        </w:tc>
      </w:tr>
      <w:tr w14:paraId="76366A94">
        <w:tblPrEx>
          <w:tblCellMar>
            <w:top w:w="0" w:type="dxa"/>
            <w:left w:w="108" w:type="dxa"/>
            <w:bottom w:w="0" w:type="dxa"/>
            <w:right w:w="108" w:type="dxa"/>
          </w:tblCellMar>
        </w:tblPrEx>
        <w:trPr>
          <w:trHeight w:val="630" w:hRule="atLeast"/>
        </w:trPr>
        <w:tc>
          <w:tcPr>
            <w:tcW w:w="1071" w:type="dxa"/>
            <w:vMerge w:val="continue"/>
            <w:tcBorders>
              <w:left w:val="single" w:color="auto" w:sz="4" w:space="0"/>
              <w:right w:val="single" w:color="auto" w:sz="4" w:space="0"/>
            </w:tcBorders>
            <w:shd w:val="clear" w:color="auto" w:fill="auto"/>
            <w:noWrap/>
            <w:vAlign w:val="center"/>
          </w:tcPr>
          <w:p w14:paraId="615BFBB8">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4B402">
            <w:pPr>
              <w:keepNext w:val="0"/>
              <w:keepLines w:val="0"/>
              <w:suppressLineNumbers w:val="0"/>
              <w:spacing w:before="0" w:beforeAutospacing="0" w:after="0" w:afterAutospacing="0"/>
              <w:ind w:left="0" w:right="0"/>
              <w:rPr>
                <w:rFonts w:hint="default" w:ascii="宋体" w:hAnsi="宋体"/>
              </w:rPr>
            </w:pPr>
            <w:r>
              <w:rPr>
                <w:rFonts w:hint="eastAsia" w:ascii="宋体" w:hAnsi="宋体"/>
              </w:rPr>
              <w:t>角色管理</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67C2F0D1">
            <w:pPr>
              <w:keepNext w:val="0"/>
              <w:keepLines w:val="0"/>
              <w:suppressLineNumbers w:val="0"/>
              <w:spacing w:before="0" w:beforeAutospacing="0" w:after="0" w:afterAutospacing="0"/>
              <w:ind w:left="0" w:right="0"/>
              <w:rPr>
                <w:rFonts w:hint="default" w:ascii="宋体" w:hAnsi="宋体"/>
              </w:rPr>
            </w:pPr>
            <w:r>
              <w:rPr>
                <w:rFonts w:hint="eastAsia" w:ascii="宋体" w:hAnsi="宋体"/>
              </w:rPr>
              <w:t>针对角色信息进行新增部门，编辑部门，删除部门等操作。可以根据需要开启三员管理功能</w:t>
            </w:r>
          </w:p>
        </w:tc>
        <w:tc>
          <w:tcPr>
            <w:tcW w:w="750" w:type="dxa"/>
            <w:vMerge w:val="continue"/>
            <w:tcBorders>
              <w:left w:val="single" w:color="auto" w:sz="4" w:space="0"/>
              <w:right w:val="single" w:color="auto" w:sz="4" w:space="0"/>
            </w:tcBorders>
            <w:vAlign w:val="center"/>
          </w:tcPr>
          <w:p w14:paraId="11172CFD">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5449A7CA">
            <w:pPr>
              <w:keepNext w:val="0"/>
              <w:keepLines w:val="0"/>
              <w:suppressLineNumbers w:val="0"/>
              <w:spacing w:before="0" w:beforeAutospacing="0" w:after="0" w:afterAutospacing="0"/>
              <w:ind w:left="0" w:right="0"/>
              <w:rPr>
                <w:rFonts w:hint="default" w:ascii="宋体" w:hAnsi="宋体"/>
              </w:rPr>
            </w:pPr>
          </w:p>
        </w:tc>
      </w:tr>
      <w:tr w14:paraId="6C134A34">
        <w:tblPrEx>
          <w:tblCellMar>
            <w:top w:w="0" w:type="dxa"/>
            <w:left w:w="108" w:type="dxa"/>
            <w:bottom w:w="0" w:type="dxa"/>
            <w:right w:w="108" w:type="dxa"/>
          </w:tblCellMar>
        </w:tblPrEx>
        <w:trPr>
          <w:trHeight w:val="651" w:hRule="atLeast"/>
        </w:trPr>
        <w:tc>
          <w:tcPr>
            <w:tcW w:w="1071" w:type="dxa"/>
            <w:vMerge w:val="continue"/>
            <w:tcBorders>
              <w:left w:val="single" w:color="auto" w:sz="4" w:space="0"/>
              <w:right w:val="single" w:color="auto" w:sz="4" w:space="0"/>
            </w:tcBorders>
            <w:shd w:val="clear" w:color="auto" w:fill="auto"/>
            <w:noWrap/>
            <w:vAlign w:val="center"/>
          </w:tcPr>
          <w:p w14:paraId="49EF9307">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9C1FF">
            <w:pPr>
              <w:keepNext w:val="0"/>
              <w:keepLines w:val="0"/>
              <w:suppressLineNumbers w:val="0"/>
              <w:spacing w:before="0" w:beforeAutospacing="0" w:after="0" w:afterAutospacing="0"/>
              <w:ind w:left="0" w:right="0"/>
              <w:rPr>
                <w:rFonts w:hint="default" w:ascii="宋体" w:hAnsi="宋体"/>
              </w:rPr>
            </w:pPr>
            <w:r>
              <w:rPr>
                <w:rFonts w:hint="eastAsia" w:ascii="宋体" w:hAnsi="宋体"/>
              </w:rPr>
              <w:t>部门管理</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487B99DB">
            <w:pPr>
              <w:keepNext w:val="0"/>
              <w:keepLines w:val="0"/>
              <w:suppressLineNumbers w:val="0"/>
              <w:spacing w:before="0" w:beforeAutospacing="0" w:after="0" w:afterAutospacing="0"/>
              <w:ind w:left="0" w:right="0"/>
              <w:rPr>
                <w:rFonts w:hint="default" w:ascii="宋体" w:hAnsi="宋体"/>
              </w:rPr>
            </w:pPr>
            <w:r>
              <w:rPr>
                <w:rFonts w:hint="eastAsia" w:ascii="宋体" w:hAnsi="宋体"/>
              </w:rPr>
              <w:t>针对部门信息进行新增部门，编辑部门，删除部门等操作</w:t>
            </w:r>
          </w:p>
        </w:tc>
        <w:tc>
          <w:tcPr>
            <w:tcW w:w="750" w:type="dxa"/>
            <w:vMerge w:val="continue"/>
            <w:tcBorders>
              <w:left w:val="single" w:color="auto" w:sz="4" w:space="0"/>
              <w:right w:val="single" w:color="auto" w:sz="4" w:space="0"/>
            </w:tcBorders>
            <w:vAlign w:val="center"/>
          </w:tcPr>
          <w:p w14:paraId="1F9F09B2">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0889237D">
            <w:pPr>
              <w:keepNext w:val="0"/>
              <w:keepLines w:val="0"/>
              <w:suppressLineNumbers w:val="0"/>
              <w:spacing w:before="0" w:beforeAutospacing="0" w:after="0" w:afterAutospacing="0"/>
              <w:ind w:left="0" w:right="0"/>
              <w:rPr>
                <w:rFonts w:hint="default" w:ascii="宋体" w:hAnsi="宋体"/>
              </w:rPr>
            </w:pPr>
          </w:p>
        </w:tc>
      </w:tr>
      <w:tr w14:paraId="458B2457">
        <w:tblPrEx>
          <w:tblCellMar>
            <w:top w:w="0" w:type="dxa"/>
            <w:left w:w="108" w:type="dxa"/>
            <w:bottom w:w="0" w:type="dxa"/>
            <w:right w:w="108" w:type="dxa"/>
          </w:tblCellMar>
        </w:tblPrEx>
        <w:trPr>
          <w:trHeight w:val="477" w:hRule="atLeast"/>
        </w:trPr>
        <w:tc>
          <w:tcPr>
            <w:tcW w:w="1071" w:type="dxa"/>
            <w:vMerge w:val="continue"/>
            <w:tcBorders>
              <w:left w:val="single" w:color="auto" w:sz="4" w:space="0"/>
              <w:right w:val="single" w:color="auto" w:sz="4" w:space="0"/>
            </w:tcBorders>
            <w:shd w:val="clear" w:color="auto" w:fill="auto"/>
            <w:noWrap/>
            <w:vAlign w:val="center"/>
          </w:tcPr>
          <w:p w14:paraId="7538F47E">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2B34C">
            <w:pPr>
              <w:keepNext w:val="0"/>
              <w:keepLines w:val="0"/>
              <w:suppressLineNumbers w:val="0"/>
              <w:spacing w:before="0" w:beforeAutospacing="0" w:after="0" w:afterAutospacing="0"/>
              <w:ind w:left="0" w:right="0"/>
              <w:rPr>
                <w:rFonts w:hint="default" w:ascii="宋体" w:hAnsi="宋体"/>
              </w:rPr>
            </w:pPr>
            <w:r>
              <w:rPr>
                <w:rFonts w:hint="eastAsia" w:ascii="宋体" w:hAnsi="宋体"/>
              </w:rPr>
              <w:t>权限管理</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1EE54A6E">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single" w:color="auto" w:sz="4" w:space="0"/>
              <w:right w:val="single" w:color="auto" w:sz="4" w:space="0"/>
            </w:tcBorders>
            <w:vAlign w:val="center"/>
          </w:tcPr>
          <w:p w14:paraId="50D46ACC">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5BF0BD9A">
            <w:pPr>
              <w:keepNext w:val="0"/>
              <w:keepLines w:val="0"/>
              <w:suppressLineNumbers w:val="0"/>
              <w:spacing w:before="0" w:beforeAutospacing="0" w:after="0" w:afterAutospacing="0"/>
              <w:ind w:left="0" w:right="0"/>
              <w:rPr>
                <w:rFonts w:hint="default" w:ascii="宋体" w:hAnsi="宋体"/>
              </w:rPr>
            </w:pPr>
          </w:p>
        </w:tc>
      </w:tr>
      <w:tr w14:paraId="1C4444CC">
        <w:tblPrEx>
          <w:tblCellMar>
            <w:top w:w="0" w:type="dxa"/>
            <w:left w:w="108" w:type="dxa"/>
            <w:bottom w:w="0" w:type="dxa"/>
            <w:right w:w="108" w:type="dxa"/>
          </w:tblCellMar>
        </w:tblPrEx>
        <w:trPr>
          <w:trHeight w:val="564" w:hRule="atLeast"/>
        </w:trPr>
        <w:tc>
          <w:tcPr>
            <w:tcW w:w="1071" w:type="dxa"/>
            <w:vMerge w:val="continue"/>
            <w:tcBorders>
              <w:left w:val="single" w:color="auto" w:sz="4" w:space="0"/>
              <w:right w:val="single" w:color="auto" w:sz="4" w:space="0"/>
            </w:tcBorders>
            <w:shd w:val="clear" w:color="auto" w:fill="auto"/>
            <w:noWrap/>
            <w:vAlign w:val="center"/>
          </w:tcPr>
          <w:p w14:paraId="73019923">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0F893F2A">
            <w:pPr>
              <w:keepNext w:val="0"/>
              <w:keepLines w:val="0"/>
              <w:suppressLineNumbers w:val="0"/>
              <w:spacing w:before="0" w:beforeAutospacing="0" w:after="0" w:afterAutospacing="0"/>
              <w:ind w:left="0" w:right="0"/>
              <w:rPr>
                <w:rFonts w:hint="default" w:ascii="宋体" w:hAnsi="宋体"/>
              </w:rPr>
            </w:pPr>
            <w:r>
              <w:rPr>
                <w:rFonts w:hint="eastAsia" w:ascii="宋体" w:hAnsi="宋体"/>
              </w:rPr>
              <w:t>权限组管理</w:t>
            </w:r>
          </w:p>
        </w:tc>
        <w:tc>
          <w:tcPr>
            <w:tcW w:w="5518" w:type="dxa"/>
            <w:tcBorders>
              <w:top w:val="single" w:color="auto" w:sz="4" w:space="0"/>
              <w:left w:val="nil"/>
              <w:bottom w:val="single" w:color="auto" w:sz="4" w:space="0"/>
              <w:right w:val="single" w:color="auto" w:sz="4" w:space="0"/>
            </w:tcBorders>
            <w:shd w:val="clear" w:color="auto" w:fill="auto"/>
            <w:vAlign w:val="center"/>
          </w:tcPr>
          <w:p w14:paraId="5A1AD185">
            <w:pPr>
              <w:keepNext w:val="0"/>
              <w:keepLines w:val="0"/>
              <w:suppressLineNumbers w:val="0"/>
              <w:spacing w:before="0" w:beforeAutospacing="0" w:after="0" w:afterAutospacing="0"/>
              <w:ind w:left="0" w:right="0"/>
              <w:rPr>
                <w:rFonts w:hint="default" w:ascii="宋体" w:hAnsi="宋体"/>
              </w:rPr>
            </w:pPr>
            <w:r>
              <w:rPr>
                <w:rFonts w:hint="eastAsia" w:ascii="宋体" w:hAnsi="宋体"/>
              </w:rPr>
              <w:t>设置权限组，每个权限组设置相应权限，权限组可分配用户</w:t>
            </w:r>
          </w:p>
        </w:tc>
        <w:tc>
          <w:tcPr>
            <w:tcW w:w="750" w:type="dxa"/>
            <w:vMerge w:val="continue"/>
            <w:tcBorders>
              <w:left w:val="nil"/>
              <w:right w:val="single" w:color="auto" w:sz="4" w:space="0"/>
            </w:tcBorders>
            <w:vAlign w:val="center"/>
          </w:tcPr>
          <w:p w14:paraId="38691493">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0BD68A22">
            <w:pPr>
              <w:keepNext w:val="0"/>
              <w:keepLines w:val="0"/>
              <w:suppressLineNumbers w:val="0"/>
              <w:spacing w:before="0" w:beforeAutospacing="0" w:after="0" w:afterAutospacing="0"/>
              <w:ind w:left="0" w:right="0"/>
              <w:rPr>
                <w:rFonts w:hint="default" w:ascii="宋体" w:hAnsi="宋体"/>
              </w:rPr>
            </w:pPr>
          </w:p>
        </w:tc>
      </w:tr>
      <w:tr w14:paraId="0238C68D">
        <w:tblPrEx>
          <w:tblCellMar>
            <w:top w:w="0" w:type="dxa"/>
            <w:left w:w="108" w:type="dxa"/>
            <w:bottom w:w="0" w:type="dxa"/>
            <w:right w:w="108" w:type="dxa"/>
          </w:tblCellMar>
        </w:tblPrEx>
        <w:trPr>
          <w:trHeight w:val="575" w:hRule="atLeast"/>
        </w:trPr>
        <w:tc>
          <w:tcPr>
            <w:tcW w:w="1071" w:type="dxa"/>
            <w:vMerge w:val="continue"/>
            <w:tcBorders>
              <w:left w:val="single" w:color="auto" w:sz="4" w:space="0"/>
              <w:right w:val="single" w:color="auto" w:sz="4" w:space="0"/>
            </w:tcBorders>
            <w:shd w:val="clear" w:color="auto" w:fill="auto"/>
            <w:noWrap/>
            <w:vAlign w:val="center"/>
          </w:tcPr>
          <w:p w14:paraId="0F3D1FED">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27C44A27">
            <w:pPr>
              <w:keepNext w:val="0"/>
              <w:keepLines w:val="0"/>
              <w:suppressLineNumbers w:val="0"/>
              <w:spacing w:before="0" w:beforeAutospacing="0" w:after="0" w:afterAutospacing="0"/>
              <w:ind w:left="0" w:right="0"/>
              <w:rPr>
                <w:rFonts w:hint="default" w:ascii="宋体" w:hAnsi="宋体"/>
              </w:rPr>
            </w:pPr>
            <w:r>
              <w:rPr>
                <w:rFonts w:hint="eastAsia" w:ascii="宋体" w:hAnsi="宋体"/>
              </w:rPr>
              <w:t>功能权限管理</w:t>
            </w:r>
          </w:p>
        </w:tc>
        <w:tc>
          <w:tcPr>
            <w:tcW w:w="5518" w:type="dxa"/>
            <w:tcBorders>
              <w:top w:val="nil"/>
              <w:left w:val="nil"/>
              <w:bottom w:val="single" w:color="auto" w:sz="4" w:space="0"/>
              <w:right w:val="single" w:color="auto" w:sz="4" w:space="0"/>
            </w:tcBorders>
            <w:shd w:val="clear" w:color="auto" w:fill="auto"/>
            <w:vAlign w:val="center"/>
          </w:tcPr>
          <w:p w14:paraId="225B3E6D">
            <w:pPr>
              <w:keepNext w:val="0"/>
              <w:keepLines w:val="0"/>
              <w:suppressLineNumbers w:val="0"/>
              <w:spacing w:before="0" w:beforeAutospacing="0" w:after="0" w:afterAutospacing="0"/>
              <w:ind w:left="0" w:right="0"/>
              <w:rPr>
                <w:rFonts w:hint="default" w:ascii="宋体" w:hAnsi="宋体"/>
              </w:rPr>
            </w:pPr>
            <w:r>
              <w:rPr>
                <w:rFonts w:hint="eastAsia" w:ascii="宋体" w:hAnsi="宋体"/>
              </w:rPr>
              <w:t>设置用户可以访问而且只能访问自己被授权的资源</w:t>
            </w:r>
          </w:p>
        </w:tc>
        <w:tc>
          <w:tcPr>
            <w:tcW w:w="750" w:type="dxa"/>
            <w:vMerge w:val="continue"/>
            <w:tcBorders>
              <w:left w:val="nil"/>
              <w:right w:val="single" w:color="auto" w:sz="4" w:space="0"/>
            </w:tcBorders>
            <w:vAlign w:val="center"/>
          </w:tcPr>
          <w:p w14:paraId="183BCBB8">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1F86E41">
            <w:pPr>
              <w:keepNext w:val="0"/>
              <w:keepLines w:val="0"/>
              <w:suppressLineNumbers w:val="0"/>
              <w:spacing w:before="0" w:beforeAutospacing="0" w:after="0" w:afterAutospacing="0"/>
              <w:ind w:left="0" w:right="0"/>
              <w:rPr>
                <w:rFonts w:hint="default" w:ascii="宋体" w:hAnsi="宋体"/>
              </w:rPr>
            </w:pPr>
          </w:p>
        </w:tc>
      </w:tr>
      <w:tr w14:paraId="29074195">
        <w:tblPrEx>
          <w:tblCellMar>
            <w:top w:w="0" w:type="dxa"/>
            <w:left w:w="108" w:type="dxa"/>
            <w:bottom w:w="0" w:type="dxa"/>
            <w:right w:w="108" w:type="dxa"/>
          </w:tblCellMar>
        </w:tblPrEx>
        <w:trPr>
          <w:trHeight w:val="641" w:hRule="atLeast"/>
        </w:trPr>
        <w:tc>
          <w:tcPr>
            <w:tcW w:w="1071" w:type="dxa"/>
            <w:vMerge w:val="continue"/>
            <w:tcBorders>
              <w:left w:val="single" w:color="auto" w:sz="4" w:space="0"/>
              <w:right w:val="single" w:color="auto" w:sz="4" w:space="0"/>
            </w:tcBorders>
            <w:shd w:val="clear" w:color="auto" w:fill="auto"/>
            <w:noWrap/>
            <w:vAlign w:val="center"/>
          </w:tcPr>
          <w:p w14:paraId="5F6E9726">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2B7CD826">
            <w:pPr>
              <w:keepNext w:val="0"/>
              <w:keepLines w:val="0"/>
              <w:suppressLineNumbers w:val="0"/>
              <w:spacing w:before="0" w:beforeAutospacing="0" w:after="0" w:afterAutospacing="0"/>
              <w:ind w:left="0" w:right="0"/>
              <w:rPr>
                <w:rFonts w:hint="default" w:ascii="宋体" w:hAnsi="宋体"/>
              </w:rPr>
            </w:pPr>
            <w:r>
              <w:rPr>
                <w:rFonts w:hint="eastAsia" w:ascii="宋体" w:hAnsi="宋体"/>
              </w:rPr>
              <w:t>数据权限管理</w:t>
            </w:r>
          </w:p>
        </w:tc>
        <w:tc>
          <w:tcPr>
            <w:tcW w:w="5518" w:type="dxa"/>
            <w:tcBorders>
              <w:top w:val="nil"/>
              <w:left w:val="nil"/>
              <w:bottom w:val="single" w:color="auto" w:sz="4" w:space="0"/>
              <w:right w:val="single" w:color="auto" w:sz="4" w:space="0"/>
            </w:tcBorders>
            <w:shd w:val="clear" w:color="auto" w:fill="auto"/>
            <w:vAlign w:val="center"/>
          </w:tcPr>
          <w:p w14:paraId="44C26B01">
            <w:pPr>
              <w:keepNext w:val="0"/>
              <w:keepLines w:val="0"/>
              <w:suppressLineNumbers w:val="0"/>
              <w:spacing w:before="0" w:beforeAutospacing="0" w:after="0" w:afterAutospacing="0"/>
              <w:ind w:left="0" w:right="0"/>
              <w:rPr>
                <w:rFonts w:hint="default" w:ascii="宋体" w:hAnsi="宋体"/>
              </w:rPr>
            </w:pPr>
            <w:r>
              <w:rPr>
                <w:rFonts w:hint="eastAsia" w:ascii="宋体" w:hAnsi="宋体"/>
              </w:rPr>
              <w:t>设置用户可访问权限配置、组织数据权限、原文数据权限配置</w:t>
            </w:r>
          </w:p>
        </w:tc>
        <w:tc>
          <w:tcPr>
            <w:tcW w:w="750" w:type="dxa"/>
            <w:vMerge w:val="continue"/>
            <w:tcBorders>
              <w:left w:val="nil"/>
              <w:right w:val="single" w:color="auto" w:sz="4" w:space="0"/>
            </w:tcBorders>
            <w:vAlign w:val="center"/>
          </w:tcPr>
          <w:p w14:paraId="13B54FB0">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4E53D759">
            <w:pPr>
              <w:keepNext w:val="0"/>
              <w:keepLines w:val="0"/>
              <w:suppressLineNumbers w:val="0"/>
              <w:spacing w:before="0" w:beforeAutospacing="0" w:after="0" w:afterAutospacing="0"/>
              <w:ind w:left="0" w:right="0"/>
              <w:rPr>
                <w:rFonts w:hint="default" w:ascii="宋体" w:hAnsi="宋体"/>
              </w:rPr>
            </w:pPr>
          </w:p>
        </w:tc>
      </w:tr>
      <w:tr w14:paraId="2D6F912B">
        <w:tblPrEx>
          <w:tblCellMar>
            <w:top w:w="0" w:type="dxa"/>
            <w:left w:w="108" w:type="dxa"/>
            <w:bottom w:w="0" w:type="dxa"/>
            <w:right w:w="108" w:type="dxa"/>
          </w:tblCellMar>
        </w:tblPrEx>
        <w:trPr>
          <w:trHeight w:val="499" w:hRule="atLeast"/>
        </w:trPr>
        <w:tc>
          <w:tcPr>
            <w:tcW w:w="1071" w:type="dxa"/>
            <w:vMerge w:val="continue"/>
            <w:tcBorders>
              <w:left w:val="single" w:color="auto" w:sz="4" w:space="0"/>
              <w:right w:val="single" w:color="auto" w:sz="4" w:space="0"/>
            </w:tcBorders>
            <w:shd w:val="clear" w:color="auto" w:fill="auto"/>
            <w:noWrap/>
            <w:vAlign w:val="center"/>
          </w:tcPr>
          <w:p w14:paraId="105CC511">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06849D48">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档案配置</w:t>
            </w:r>
          </w:p>
        </w:tc>
        <w:tc>
          <w:tcPr>
            <w:tcW w:w="5518" w:type="dxa"/>
            <w:tcBorders>
              <w:top w:val="nil"/>
              <w:left w:val="nil"/>
              <w:bottom w:val="single" w:color="auto" w:sz="4" w:space="0"/>
              <w:right w:val="single" w:color="auto" w:sz="4" w:space="0"/>
            </w:tcBorders>
            <w:shd w:val="clear" w:color="auto" w:fill="auto"/>
            <w:vAlign w:val="center"/>
          </w:tcPr>
          <w:p w14:paraId="7AEE4D65">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nil"/>
              <w:right w:val="single" w:color="auto" w:sz="4" w:space="0"/>
            </w:tcBorders>
            <w:vAlign w:val="center"/>
          </w:tcPr>
          <w:p w14:paraId="5DA4C41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3EBA3DDB">
            <w:pPr>
              <w:keepNext w:val="0"/>
              <w:keepLines w:val="0"/>
              <w:suppressLineNumbers w:val="0"/>
              <w:spacing w:before="0" w:beforeAutospacing="0" w:after="0" w:afterAutospacing="0"/>
              <w:ind w:left="0" w:right="0"/>
              <w:rPr>
                <w:rFonts w:hint="default" w:ascii="宋体" w:hAnsi="宋体"/>
              </w:rPr>
            </w:pPr>
          </w:p>
        </w:tc>
      </w:tr>
      <w:tr w14:paraId="7F83EF81">
        <w:tblPrEx>
          <w:tblCellMar>
            <w:top w:w="0" w:type="dxa"/>
            <w:left w:w="108" w:type="dxa"/>
            <w:bottom w:w="0" w:type="dxa"/>
            <w:right w:w="108" w:type="dxa"/>
          </w:tblCellMar>
        </w:tblPrEx>
        <w:trPr>
          <w:trHeight w:val="1821" w:hRule="atLeast"/>
        </w:trPr>
        <w:tc>
          <w:tcPr>
            <w:tcW w:w="1071" w:type="dxa"/>
            <w:vMerge w:val="continue"/>
            <w:tcBorders>
              <w:left w:val="single" w:color="auto" w:sz="4" w:space="0"/>
              <w:right w:val="single" w:color="auto" w:sz="4" w:space="0"/>
            </w:tcBorders>
            <w:shd w:val="clear" w:color="auto" w:fill="auto"/>
            <w:noWrap/>
            <w:vAlign w:val="center"/>
          </w:tcPr>
          <w:p w14:paraId="00580F74">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6E7F3B77">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档案类型管理</w:t>
            </w:r>
          </w:p>
        </w:tc>
        <w:tc>
          <w:tcPr>
            <w:tcW w:w="5518" w:type="dxa"/>
            <w:tcBorders>
              <w:top w:val="nil"/>
              <w:left w:val="nil"/>
              <w:bottom w:val="single" w:color="auto" w:sz="4" w:space="0"/>
              <w:right w:val="single" w:color="auto" w:sz="4" w:space="0"/>
            </w:tcBorders>
            <w:shd w:val="clear" w:color="auto" w:fill="auto"/>
            <w:vAlign w:val="center"/>
          </w:tcPr>
          <w:p w14:paraId="4F436CD0">
            <w:pPr>
              <w:keepNext w:val="0"/>
              <w:keepLines w:val="0"/>
              <w:suppressLineNumbers w:val="0"/>
              <w:spacing w:before="0" w:beforeAutospacing="0" w:after="0" w:afterAutospacing="0"/>
              <w:ind w:left="0" w:right="0"/>
              <w:rPr>
                <w:rFonts w:hint="default" w:ascii="宋体" w:hAnsi="宋体"/>
              </w:rPr>
            </w:pPr>
            <w:r>
              <w:rPr>
                <w:rFonts w:hint="eastAsia" w:ascii="宋体" w:hAnsi="宋体"/>
              </w:rPr>
              <w:t>根据业务情况，建立各种目录来组织和管理自己的业务数据。管理员可以定义文档类型、组织方式和包含关系，建立符合用户需求的各类档案，如：文书档案、基建档案、科技档案、声像档案、荣誉档案、设备档案等。各种不同的档案类型可以任意定义需要的属性字段，字段类型包括：数值、时间、文本。可随时进行修改，增加、删除、修改原有字段后系统会自动保证数据的完整性。实现档案类型定义、档号组成规则自定义、界面定义、列表定义等功能</w:t>
            </w:r>
          </w:p>
        </w:tc>
        <w:tc>
          <w:tcPr>
            <w:tcW w:w="750" w:type="dxa"/>
            <w:vMerge w:val="continue"/>
            <w:tcBorders>
              <w:left w:val="nil"/>
              <w:right w:val="single" w:color="auto" w:sz="4" w:space="0"/>
            </w:tcBorders>
            <w:vAlign w:val="center"/>
          </w:tcPr>
          <w:p w14:paraId="1ED5878E">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7BAE331B">
            <w:pPr>
              <w:keepNext w:val="0"/>
              <w:keepLines w:val="0"/>
              <w:suppressLineNumbers w:val="0"/>
              <w:spacing w:before="0" w:beforeAutospacing="0" w:after="0" w:afterAutospacing="0"/>
              <w:ind w:left="0" w:right="0"/>
              <w:rPr>
                <w:rFonts w:hint="default" w:ascii="宋体" w:hAnsi="宋体"/>
              </w:rPr>
            </w:pPr>
          </w:p>
        </w:tc>
      </w:tr>
      <w:tr w14:paraId="1A0C9DCA">
        <w:tblPrEx>
          <w:tblCellMar>
            <w:top w:w="0" w:type="dxa"/>
            <w:left w:w="108" w:type="dxa"/>
            <w:bottom w:w="0" w:type="dxa"/>
            <w:right w:w="108" w:type="dxa"/>
          </w:tblCellMar>
        </w:tblPrEx>
        <w:trPr>
          <w:trHeight w:val="640" w:hRule="atLeast"/>
        </w:trPr>
        <w:tc>
          <w:tcPr>
            <w:tcW w:w="1071" w:type="dxa"/>
            <w:vMerge w:val="continue"/>
            <w:tcBorders>
              <w:left w:val="single" w:color="auto" w:sz="4" w:space="0"/>
              <w:right w:val="single" w:color="auto" w:sz="4" w:space="0"/>
            </w:tcBorders>
            <w:shd w:val="clear" w:color="auto" w:fill="auto"/>
            <w:noWrap/>
            <w:vAlign w:val="center"/>
          </w:tcPr>
          <w:p w14:paraId="0D58476C">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6E52CE9B">
            <w:pPr>
              <w:keepNext w:val="0"/>
              <w:keepLines w:val="0"/>
              <w:suppressLineNumbers w:val="0"/>
              <w:spacing w:before="0" w:beforeAutospacing="0" w:after="0" w:afterAutospacing="0"/>
              <w:ind w:left="0" w:right="0"/>
              <w:rPr>
                <w:rFonts w:hint="default" w:ascii="宋体" w:hAnsi="宋体"/>
              </w:rPr>
            </w:pPr>
            <w:r>
              <w:rPr>
                <w:rFonts w:hint="eastAsia" w:ascii="宋体" w:hAnsi="宋体"/>
              </w:rPr>
              <w:t>档号设置</w:t>
            </w:r>
          </w:p>
        </w:tc>
        <w:tc>
          <w:tcPr>
            <w:tcW w:w="5518" w:type="dxa"/>
            <w:tcBorders>
              <w:top w:val="nil"/>
              <w:left w:val="nil"/>
              <w:bottom w:val="single" w:color="auto" w:sz="4" w:space="0"/>
              <w:right w:val="single" w:color="auto" w:sz="4" w:space="0"/>
            </w:tcBorders>
            <w:shd w:val="clear" w:color="auto" w:fill="auto"/>
            <w:vAlign w:val="center"/>
          </w:tcPr>
          <w:p w14:paraId="5A987F10">
            <w:pPr>
              <w:keepNext w:val="0"/>
              <w:keepLines w:val="0"/>
              <w:suppressLineNumbers w:val="0"/>
              <w:spacing w:before="0" w:beforeAutospacing="0" w:after="0" w:afterAutospacing="0"/>
              <w:ind w:left="0" w:right="0"/>
              <w:rPr>
                <w:rFonts w:hint="default" w:ascii="宋体" w:hAnsi="宋体"/>
              </w:rPr>
            </w:pPr>
            <w:r>
              <w:rPr>
                <w:rFonts w:hint="eastAsia" w:ascii="宋体" w:hAnsi="宋体"/>
              </w:rPr>
              <w:t>用于定义各种档案类别的档号组成字段，可以根据具体业务的需要，单个档案类型可以配置多种档号方案</w:t>
            </w:r>
          </w:p>
        </w:tc>
        <w:tc>
          <w:tcPr>
            <w:tcW w:w="750" w:type="dxa"/>
            <w:vMerge w:val="continue"/>
            <w:tcBorders>
              <w:left w:val="nil"/>
              <w:right w:val="single" w:color="auto" w:sz="4" w:space="0"/>
            </w:tcBorders>
            <w:vAlign w:val="center"/>
          </w:tcPr>
          <w:p w14:paraId="71B9DC9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A379970">
            <w:pPr>
              <w:keepNext w:val="0"/>
              <w:keepLines w:val="0"/>
              <w:suppressLineNumbers w:val="0"/>
              <w:spacing w:before="0" w:beforeAutospacing="0" w:after="0" w:afterAutospacing="0"/>
              <w:ind w:left="0" w:right="0"/>
              <w:rPr>
                <w:rFonts w:hint="default" w:ascii="宋体" w:hAnsi="宋体"/>
              </w:rPr>
            </w:pPr>
          </w:p>
        </w:tc>
      </w:tr>
      <w:tr w14:paraId="4F574C10">
        <w:tblPrEx>
          <w:tblCellMar>
            <w:top w:w="0" w:type="dxa"/>
            <w:left w:w="108" w:type="dxa"/>
            <w:bottom w:w="0" w:type="dxa"/>
            <w:right w:w="108" w:type="dxa"/>
          </w:tblCellMar>
        </w:tblPrEx>
        <w:trPr>
          <w:trHeight w:val="695" w:hRule="atLeast"/>
        </w:trPr>
        <w:tc>
          <w:tcPr>
            <w:tcW w:w="1071" w:type="dxa"/>
            <w:vMerge w:val="continue"/>
            <w:tcBorders>
              <w:left w:val="single" w:color="auto" w:sz="4" w:space="0"/>
              <w:right w:val="single" w:color="auto" w:sz="4" w:space="0"/>
            </w:tcBorders>
            <w:shd w:val="clear" w:color="auto" w:fill="auto"/>
            <w:noWrap/>
            <w:vAlign w:val="center"/>
          </w:tcPr>
          <w:p w14:paraId="78C623B4">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481663AA">
            <w:pPr>
              <w:keepNext w:val="0"/>
              <w:keepLines w:val="0"/>
              <w:suppressLineNumbers w:val="0"/>
              <w:spacing w:before="0" w:beforeAutospacing="0" w:after="0" w:afterAutospacing="0"/>
              <w:ind w:left="0" w:right="0"/>
              <w:rPr>
                <w:rFonts w:hint="default" w:ascii="宋体" w:hAnsi="宋体"/>
              </w:rPr>
            </w:pPr>
            <w:r>
              <w:rPr>
                <w:rFonts w:hint="eastAsia" w:ascii="宋体" w:hAnsi="宋体"/>
              </w:rPr>
              <w:t>目录模板管理</w:t>
            </w:r>
          </w:p>
        </w:tc>
        <w:tc>
          <w:tcPr>
            <w:tcW w:w="5518" w:type="dxa"/>
            <w:tcBorders>
              <w:top w:val="nil"/>
              <w:left w:val="nil"/>
              <w:bottom w:val="single" w:color="auto" w:sz="4" w:space="0"/>
              <w:right w:val="single" w:color="auto" w:sz="4" w:space="0"/>
            </w:tcBorders>
            <w:shd w:val="clear" w:color="auto" w:fill="auto"/>
            <w:vAlign w:val="center"/>
          </w:tcPr>
          <w:p w14:paraId="1B0D401A">
            <w:pPr>
              <w:keepNext w:val="0"/>
              <w:keepLines w:val="0"/>
              <w:suppressLineNumbers w:val="0"/>
              <w:spacing w:before="0" w:beforeAutospacing="0" w:after="0" w:afterAutospacing="0"/>
              <w:ind w:left="0" w:right="0"/>
              <w:rPr>
                <w:rFonts w:hint="default" w:ascii="宋体" w:hAnsi="宋体"/>
              </w:rPr>
            </w:pPr>
            <w:r>
              <w:rPr>
                <w:rFonts w:hint="eastAsia" w:ascii="宋体" w:hAnsi="宋体"/>
              </w:rPr>
              <w:t>提供对目录模板的分类管理，可以新增、编辑、删除、导出、导入模板</w:t>
            </w:r>
          </w:p>
        </w:tc>
        <w:tc>
          <w:tcPr>
            <w:tcW w:w="750" w:type="dxa"/>
            <w:vMerge w:val="continue"/>
            <w:tcBorders>
              <w:left w:val="nil"/>
              <w:right w:val="single" w:color="auto" w:sz="4" w:space="0"/>
            </w:tcBorders>
            <w:vAlign w:val="center"/>
          </w:tcPr>
          <w:p w14:paraId="4F2814B6">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64A5E6C1">
            <w:pPr>
              <w:keepNext w:val="0"/>
              <w:keepLines w:val="0"/>
              <w:suppressLineNumbers w:val="0"/>
              <w:spacing w:before="0" w:beforeAutospacing="0" w:after="0" w:afterAutospacing="0"/>
              <w:ind w:left="0" w:right="0"/>
              <w:rPr>
                <w:rFonts w:hint="default" w:ascii="宋体" w:hAnsi="宋体"/>
              </w:rPr>
            </w:pPr>
          </w:p>
        </w:tc>
      </w:tr>
      <w:tr w14:paraId="1C157803">
        <w:tblPrEx>
          <w:tblCellMar>
            <w:top w:w="0" w:type="dxa"/>
            <w:left w:w="108" w:type="dxa"/>
            <w:bottom w:w="0" w:type="dxa"/>
            <w:right w:w="108" w:type="dxa"/>
          </w:tblCellMar>
        </w:tblPrEx>
        <w:trPr>
          <w:trHeight w:val="900" w:hRule="atLeast"/>
        </w:trPr>
        <w:tc>
          <w:tcPr>
            <w:tcW w:w="1071" w:type="dxa"/>
            <w:vMerge w:val="continue"/>
            <w:tcBorders>
              <w:left w:val="single" w:color="auto" w:sz="4" w:space="0"/>
              <w:right w:val="single" w:color="auto" w:sz="4" w:space="0"/>
            </w:tcBorders>
            <w:shd w:val="clear" w:color="auto" w:fill="auto"/>
            <w:noWrap/>
            <w:vAlign w:val="center"/>
          </w:tcPr>
          <w:p w14:paraId="32D5F2E8">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51775977">
            <w:pPr>
              <w:keepNext w:val="0"/>
              <w:keepLines w:val="0"/>
              <w:suppressLineNumbers w:val="0"/>
              <w:spacing w:before="0" w:beforeAutospacing="0" w:after="0" w:afterAutospacing="0"/>
              <w:ind w:left="0" w:right="0"/>
              <w:rPr>
                <w:rFonts w:hint="default" w:ascii="宋体" w:hAnsi="宋体"/>
              </w:rPr>
            </w:pPr>
            <w:r>
              <w:rPr>
                <w:rFonts w:hint="eastAsia" w:ascii="宋体" w:hAnsi="宋体"/>
              </w:rPr>
              <w:t>元数据方案管理</w:t>
            </w:r>
          </w:p>
        </w:tc>
        <w:tc>
          <w:tcPr>
            <w:tcW w:w="5518" w:type="dxa"/>
            <w:tcBorders>
              <w:top w:val="nil"/>
              <w:left w:val="nil"/>
              <w:bottom w:val="single" w:color="auto" w:sz="4" w:space="0"/>
              <w:right w:val="single" w:color="auto" w:sz="4" w:space="0"/>
            </w:tcBorders>
            <w:shd w:val="clear" w:color="auto" w:fill="auto"/>
            <w:vAlign w:val="center"/>
          </w:tcPr>
          <w:p w14:paraId="7417A07E">
            <w:pPr>
              <w:keepNext w:val="0"/>
              <w:keepLines w:val="0"/>
              <w:suppressLineNumbers w:val="0"/>
              <w:spacing w:before="0" w:beforeAutospacing="0" w:after="0" w:afterAutospacing="0"/>
              <w:ind w:left="0" w:right="0"/>
              <w:rPr>
                <w:rFonts w:hint="default" w:ascii="宋体" w:hAnsi="宋体"/>
              </w:rPr>
            </w:pPr>
            <w:r>
              <w:rPr>
                <w:rFonts w:hint="eastAsia" w:ascii="宋体" w:hAnsi="宋体"/>
              </w:rPr>
              <w:t>该模块内置有文书类、照片类、录音录像类档案元数据，内置的元数据均符合《DA / T46-2009》标准。提供有对元数据的新增、删除、修改、导入功能</w:t>
            </w:r>
          </w:p>
        </w:tc>
        <w:tc>
          <w:tcPr>
            <w:tcW w:w="750" w:type="dxa"/>
            <w:vMerge w:val="continue"/>
            <w:tcBorders>
              <w:left w:val="nil"/>
              <w:right w:val="single" w:color="auto" w:sz="4" w:space="0"/>
            </w:tcBorders>
            <w:vAlign w:val="center"/>
          </w:tcPr>
          <w:p w14:paraId="302A2012">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1F836C9">
            <w:pPr>
              <w:keepNext w:val="0"/>
              <w:keepLines w:val="0"/>
              <w:suppressLineNumbers w:val="0"/>
              <w:spacing w:before="0" w:beforeAutospacing="0" w:after="0" w:afterAutospacing="0"/>
              <w:ind w:left="0" w:right="0"/>
              <w:rPr>
                <w:rFonts w:hint="default" w:ascii="宋体" w:hAnsi="宋体"/>
              </w:rPr>
            </w:pPr>
          </w:p>
        </w:tc>
      </w:tr>
      <w:tr w14:paraId="38798254">
        <w:tblPrEx>
          <w:tblCellMar>
            <w:top w:w="0" w:type="dxa"/>
            <w:left w:w="108" w:type="dxa"/>
            <w:bottom w:w="0" w:type="dxa"/>
            <w:right w:w="108" w:type="dxa"/>
          </w:tblCellMar>
        </w:tblPrEx>
        <w:trPr>
          <w:trHeight w:val="718" w:hRule="atLeast"/>
        </w:trPr>
        <w:tc>
          <w:tcPr>
            <w:tcW w:w="1071" w:type="dxa"/>
            <w:vMerge w:val="continue"/>
            <w:tcBorders>
              <w:left w:val="single" w:color="auto" w:sz="4" w:space="0"/>
              <w:right w:val="single" w:color="auto" w:sz="4" w:space="0"/>
            </w:tcBorders>
            <w:shd w:val="clear" w:color="auto" w:fill="auto"/>
            <w:noWrap/>
            <w:vAlign w:val="center"/>
          </w:tcPr>
          <w:p w14:paraId="40318E05">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49617">
            <w:pPr>
              <w:keepNext w:val="0"/>
              <w:keepLines w:val="0"/>
              <w:suppressLineNumbers w:val="0"/>
              <w:spacing w:before="0" w:beforeAutospacing="0" w:after="0" w:afterAutospacing="0"/>
              <w:ind w:left="0" w:right="0"/>
              <w:rPr>
                <w:rFonts w:hint="default" w:ascii="宋体" w:hAnsi="宋体"/>
              </w:rPr>
            </w:pPr>
            <w:r>
              <w:rPr>
                <w:rFonts w:hint="eastAsia" w:ascii="宋体" w:hAnsi="宋体"/>
              </w:rPr>
              <w:t>数据处理</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4CB8A04A">
            <w:pPr>
              <w:keepNext w:val="0"/>
              <w:keepLines w:val="0"/>
              <w:suppressLineNumbers w:val="0"/>
              <w:spacing w:before="0" w:beforeAutospacing="0" w:after="0" w:afterAutospacing="0"/>
              <w:ind w:left="0" w:right="0"/>
              <w:rPr>
                <w:rFonts w:hint="default" w:ascii="宋体" w:hAnsi="宋体"/>
              </w:rPr>
            </w:pPr>
            <w:r>
              <w:rPr>
                <w:rFonts w:hint="eastAsia" w:ascii="宋体" w:hAnsi="宋体"/>
              </w:rPr>
              <w:t>数据处理模块，可查看数据清除、清除记录，根据档案类型进行清除数据</w:t>
            </w:r>
          </w:p>
        </w:tc>
        <w:tc>
          <w:tcPr>
            <w:tcW w:w="750" w:type="dxa"/>
            <w:vMerge w:val="continue"/>
            <w:tcBorders>
              <w:left w:val="single" w:color="auto" w:sz="4" w:space="0"/>
              <w:right w:val="single" w:color="auto" w:sz="4" w:space="0"/>
            </w:tcBorders>
            <w:vAlign w:val="center"/>
          </w:tcPr>
          <w:p w14:paraId="3D26D688">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170CE6B0">
            <w:pPr>
              <w:keepNext w:val="0"/>
              <w:keepLines w:val="0"/>
              <w:suppressLineNumbers w:val="0"/>
              <w:spacing w:before="0" w:beforeAutospacing="0" w:after="0" w:afterAutospacing="0"/>
              <w:ind w:left="0" w:right="0"/>
              <w:rPr>
                <w:rFonts w:hint="default" w:ascii="宋体" w:hAnsi="宋体"/>
              </w:rPr>
            </w:pPr>
          </w:p>
        </w:tc>
      </w:tr>
      <w:tr w14:paraId="533700B6">
        <w:tblPrEx>
          <w:tblCellMar>
            <w:top w:w="0" w:type="dxa"/>
            <w:left w:w="108" w:type="dxa"/>
            <w:bottom w:w="0" w:type="dxa"/>
            <w:right w:w="108" w:type="dxa"/>
          </w:tblCellMar>
        </w:tblPrEx>
        <w:trPr>
          <w:trHeight w:val="664" w:hRule="atLeast"/>
        </w:trPr>
        <w:tc>
          <w:tcPr>
            <w:tcW w:w="1071" w:type="dxa"/>
            <w:vMerge w:val="continue"/>
            <w:tcBorders>
              <w:left w:val="single" w:color="auto" w:sz="4" w:space="0"/>
              <w:right w:val="single" w:color="auto" w:sz="4" w:space="0"/>
            </w:tcBorders>
            <w:shd w:val="clear" w:color="auto" w:fill="auto"/>
            <w:noWrap/>
            <w:vAlign w:val="center"/>
          </w:tcPr>
          <w:p w14:paraId="3BFB44EF">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DA56E">
            <w:pPr>
              <w:keepNext w:val="0"/>
              <w:keepLines w:val="0"/>
              <w:suppressLineNumbers w:val="0"/>
              <w:spacing w:before="0" w:beforeAutospacing="0" w:after="0" w:afterAutospacing="0"/>
              <w:ind w:left="0" w:right="0"/>
              <w:rPr>
                <w:rFonts w:hint="default" w:ascii="宋体" w:hAnsi="宋体"/>
              </w:rPr>
            </w:pPr>
            <w:r>
              <w:rPr>
                <w:rFonts w:hint="eastAsia" w:ascii="宋体" w:hAnsi="宋体"/>
              </w:rPr>
              <w:t>回收站</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14:paraId="0154D6D8">
            <w:pPr>
              <w:keepNext w:val="0"/>
              <w:keepLines w:val="0"/>
              <w:suppressLineNumbers w:val="0"/>
              <w:spacing w:before="0" w:beforeAutospacing="0" w:after="0" w:afterAutospacing="0"/>
              <w:ind w:left="0" w:right="0"/>
              <w:rPr>
                <w:rFonts w:hint="default" w:ascii="宋体" w:hAnsi="宋体"/>
              </w:rPr>
            </w:pPr>
            <w:r>
              <w:rPr>
                <w:rFonts w:hint="eastAsia" w:ascii="宋体" w:hAnsi="宋体"/>
              </w:rPr>
              <w:t>可对删除的档案进行复原，从回收站中删除</w:t>
            </w:r>
          </w:p>
        </w:tc>
        <w:tc>
          <w:tcPr>
            <w:tcW w:w="750" w:type="dxa"/>
            <w:vMerge w:val="continue"/>
            <w:tcBorders>
              <w:left w:val="single" w:color="auto" w:sz="4" w:space="0"/>
              <w:right w:val="single" w:color="auto" w:sz="4" w:space="0"/>
            </w:tcBorders>
            <w:vAlign w:val="center"/>
          </w:tcPr>
          <w:p w14:paraId="0825B629">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single" w:color="auto" w:sz="4" w:space="0"/>
              <w:right w:val="single" w:color="auto" w:sz="4" w:space="0"/>
            </w:tcBorders>
            <w:vAlign w:val="center"/>
          </w:tcPr>
          <w:p w14:paraId="6F9301EF">
            <w:pPr>
              <w:keepNext w:val="0"/>
              <w:keepLines w:val="0"/>
              <w:suppressLineNumbers w:val="0"/>
              <w:spacing w:before="0" w:beforeAutospacing="0" w:after="0" w:afterAutospacing="0"/>
              <w:ind w:left="0" w:right="0"/>
              <w:rPr>
                <w:rFonts w:hint="default" w:ascii="宋体" w:hAnsi="宋体"/>
              </w:rPr>
            </w:pPr>
          </w:p>
        </w:tc>
      </w:tr>
      <w:tr w14:paraId="4CDBFDDD">
        <w:tblPrEx>
          <w:tblCellMar>
            <w:top w:w="0" w:type="dxa"/>
            <w:left w:w="108" w:type="dxa"/>
            <w:bottom w:w="0" w:type="dxa"/>
            <w:right w:w="108" w:type="dxa"/>
          </w:tblCellMar>
        </w:tblPrEx>
        <w:trPr>
          <w:trHeight w:val="532" w:hRule="atLeast"/>
        </w:trPr>
        <w:tc>
          <w:tcPr>
            <w:tcW w:w="1071" w:type="dxa"/>
            <w:vMerge w:val="continue"/>
            <w:tcBorders>
              <w:left w:val="single" w:color="auto" w:sz="4" w:space="0"/>
              <w:right w:val="single" w:color="auto" w:sz="4" w:space="0"/>
            </w:tcBorders>
            <w:shd w:val="clear" w:color="auto" w:fill="auto"/>
            <w:noWrap/>
            <w:vAlign w:val="center"/>
          </w:tcPr>
          <w:p w14:paraId="05700D49">
            <w:pPr>
              <w:keepNext w:val="0"/>
              <w:keepLines w:val="0"/>
              <w:suppressLineNumbers w:val="0"/>
              <w:spacing w:before="0" w:beforeAutospacing="0" w:after="0" w:afterAutospacing="0"/>
              <w:ind w:left="0" w:right="0"/>
              <w:rPr>
                <w:rFonts w:hint="default" w:ascii="宋体" w:hAnsi="宋体"/>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035A2A67">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系统选项</w:t>
            </w:r>
          </w:p>
        </w:tc>
        <w:tc>
          <w:tcPr>
            <w:tcW w:w="5518" w:type="dxa"/>
            <w:tcBorders>
              <w:top w:val="single" w:color="auto" w:sz="4" w:space="0"/>
              <w:left w:val="nil"/>
              <w:bottom w:val="single" w:color="auto" w:sz="4" w:space="0"/>
              <w:right w:val="single" w:color="auto" w:sz="4" w:space="0"/>
            </w:tcBorders>
            <w:shd w:val="clear" w:color="auto" w:fill="auto"/>
            <w:vAlign w:val="center"/>
          </w:tcPr>
          <w:p w14:paraId="3C65DC6F">
            <w:pPr>
              <w:keepNext w:val="0"/>
              <w:keepLines w:val="0"/>
              <w:suppressLineNumbers w:val="0"/>
              <w:spacing w:before="0" w:beforeAutospacing="0" w:after="0" w:afterAutospacing="0"/>
              <w:ind w:left="0" w:right="0"/>
              <w:rPr>
                <w:rFonts w:hint="default" w:ascii="宋体" w:hAnsi="宋体"/>
              </w:rPr>
            </w:pPr>
            <w:r>
              <w:rPr>
                <w:rFonts w:hint="eastAsia" w:ascii="宋体" w:hAnsi="宋体"/>
              </w:rPr>
              <w:t>　</w:t>
            </w:r>
          </w:p>
        </w:tc>
        <w:tc>
          <w:tcPr>
            <w:tcW w:w="750" w:type="dxa"/>
            <w:vMerge w:val="continue"/>
            <w:tcBorders>
              <w:left w:val="nil"/>
              <w:right w:val="single" w:color="auto" w:sz="4" w:space="0"/>
            </w:tcBorders>
            <w:vAlign w:val="center"/>
          </w:tcPr>
          <w:p w14:paraId="280926DF">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5F815987">
            <w:pPr>
              <w:keepNext w:val="0"/>
              <w:keepLines w:val="0"/>
              <w:suppressLineNumbers w:val="0"/>
              <w:spacing w:before="0" w:beforeAutospacing="0" w:after="0" w:afterAutospacing="0"/>
              <w:ind w:left="0" w:right="0"/>
              <w:rPr>
                <w:rFonts w:hint="default" w:ascii="宋体" w:hAnsi="宋体"/>
              </w:rPr>
            </w:pPr>
          </w:p>
        </w:tc>
      </w:tr>
      <w:tr w14:paraId="23118593">
        <w:tblPrEx>
          <w:tblCellMar>
            <w:top w:w="0" w:type="dxa"/>
            <w:left w:w="108" w:type="dxa"/>
            <w:bottom w:w="0" w:type="dxa"/>
            <w:right w:w="108" w:type="dxa"/>
          </w:tblCellMar>
        </w:tblPrEx>
        <w:trPr>
          <w:trHeight w:val="1042" w:hRule="atLeast"/>
        </w:trPr>
        <w:tc>
          <w:tcPr>
            <w:tcW w:w="1071" w:type="dxa"/>
            <w:vMerge w:val="continue"/>
            <w:tcBorders>
              <w:left w:val="single" w:color="auto" w:sz="4" w:space="0"/>
              <w:right w:val="single" w:color="auto" w:sz="4" w:space="0"/>
            </w:tcBorders>
            <w:shd w:val="clear" w:color="auto" w:fill="auto"/>
            <w:noWrap/>
            <w:vAlign w:val="center"/>
          </w:tcPr>
          <w:p w14:paraId="0B2B9596">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0A55EE5D">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系统配置</w:t>
            </w:r>
          </w:p>
        </w:tc>
        <w:tc>
          <w:tcPr>
            <w:tcW w:w="5518" w:type="dxa"/>
            <w:tcBorders>
              <w:top w:val="nil"/>
              <w:left w:val="nil"/>
              <w:bottom w:val="single" w:color="auto" w:sz="4" w:space="0"/>
              <w:right w:val="single" w:color="auto" w:sz="4" w:space="0"/>
            </w:tcBorders>
            <w:shd w:val="clear" w:color="auto" w:fill="auto"/>
            <w:vAlign w:val="center"/>
          </w:tcPr>
          <w:p w14:paraId="55C63283">
            <w:pPr>
              <w:keepNext w:val="0"/>
              <w:keepLines w:val="0"/>
              <w:suppressLineNumbers w:val="0"/>
              <w:spacing w:before="0" w:beforeAutospacing="0" w:after="0" w:afterAutospacing="0"/>
              <w:ind w:left="0" w:right="0"/>
              <w:rPr>
                <w:rFonts w:hint="default" w:ascii="宋体" w:hAnsi="宋体"/>
              </w:rPr>
            </w:pPr>
            <w:r>
              <w:rPr>
                <w:rFonts w:hint="eastAsia" w:ascii="宋体" w:hAnsi="宋体"/>
              </w:rPr>
              <w:t>通过系统配置模块，可更改系统名称、单位名称、单位全总号、档案馆代码、应用APPID、应用端密钥、文件服务器、文件路径、备份文件路径、档案移交路径、缓存时间，最大文件上传、上传文件类型信息</w:t>
            </w:r>
          </w:p>
        </w:tc>
        <w:tc>
          <w:tcPr>
            <w:tcW w:w="750" w:type="dxa"/>
            <w:vMerge w:val="continue"/>
            <w:tcBorders>
              <w:left w:val="nil"/>
              <w:right w:val="single" w:color="auto" w:sz="4" w:space="0"/>
            </w:tcBorders>
            <w:vAlign w:val="center"/>
          </w:tcPr>
          <w:p w14:paraId="39E10FDB">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8435EAD">
            <w:pPr>
              <w:keepNext w:val="0"/>
              <w:keepLines w:val="0"/>
              <w:suppressLineNumbers w:val="0"/>
              <w:spacing w:before="0" w:beforeAutospacing="0" w:after="0" w:afterAutospacing="0"/>
              <w:ind w:left="0" w:right="0"/>
              <w:rPr>
                <w:rFonts w:hint="default" w:ascii="宋体" w:hAnsi="宋体"/>
              </w:rPr>
            </w:pPr>
          </w:p>
        </w:tc>
      </w:tr>
      <w:tr w14:paraId="7AA1FA42">
        <w:tblPrEx>
          <w:tblCellMar>
            <w:top w:w="0" w:type="dxa"/>
            <w:left w:w="108" w:type="dxa"/>
            <w:bottom w:w="0" w:type="dxa"/>
            <w:right w:w="108" w:type="dxa"/>
          </w:tblCellMar>
        </w:tblPrEx>
        <w:trPr>
          <w:trHeight w:val="619" w:hRule="atLeast"/>
        </w:trPr>
        <w:tc>
          <w:tcPr>
            <w:tcW w:w="1071" w:type="dxa"/>
            <w:vMerge w:val="continue"/>
            <w:tcBorders>
              <w:left w:val="single" w:color="auto" w:sz="4" w:space="0"/>
              <w:right w:val="single" w:color="auto" w:sz="4" w:space="0"/>
            </w:tcBorders>
            <w:shd w:val="clear" w:color="auto" w:fill="auto"/>
            <w:noWrap/>
            <w:vAlign w:val="center"/>
          </w:tcPr>
          <w:p w14:paraId="30F035E8">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6A5C4731">
            <w:pPr>
              <w:keepNext w:val="0"/>
              <w:keepLines w:val="0"/>
              <w:suppressLineNumbers w:val="0"/>
              <w:spacing w:before="0" w:beforeAutospacing="0" w:after="0" w:afterAutospacing="0"/>
              <w:ind w:left="0" w:right="0"/>
              <w:rPr>
                <w:rFonts w:hint="default" w:ascii="宋体" w:hAnsi="宋体"/>
              </w:rPr>
            </w:pPr>
            <w:r>
              <w:rPr>
                <w:rFonts w:hint="eastAsia" w:ascii="宋体" w:hAnsi="宋体"/>
              </w:rPr>
              <w:t>FTP设置</w:t>
            </w:r>
          </w:p>
        </w:tc>
        <w:tc>
          <w:tcPr>
            <w:tcW w:w="5518" w:type="dxa"/>
            <w:tcBorders>
              <w:top w:val="nil"/>
              <w:left w:val="nil"/>
              <w:bottom w:val="single" w:color="auto" w:sz="4" w:space="0"/>
              <w:right w:val="single" w:color="auto" w:sz="4" w:space="0"/>
            </w:tcBorders>
            <w:shd w:val="clear" w:color="auto" w:fill="auto"/>
            <w:vAlign w:val="center"/>
          </w:tcPr>
          <w:p w14:paraId="68AC4504">
            <w:pPr>
              <w:keepNext w:val="0"/>
              <w:keepLines w:val="0"/>
              <w:suppressLineNumbers w:val="0"/>
              <w:spacing w:before="0" w:beforeAutospacing="0" w:after="0" w:afterAutospacing="0"/>
              <w:ind w:left="0" w:right="0"/>
              <w:rPr>
                <w:rFonts w:hint="default" w:ascii="宋体" w:hAnsi="宋体"/>
              </w:rPr>
            </w:pPr>
            <w:r>
              <w:rPr>
                <w:rFonts w:hint="eastAsia" w:ascii="宋体" w:hAnsi="宋体"/>
              </w:rPr>
              <w:t>用户可通过FTP设置模块，提供对FTP服务的账号信息配置</w:t>
            </w:r>
          </w:p>
        </w:tc>
        <w:tc>
          <w:tcPr>
            <w:tcW w:w="750" w:type="dxa"/>
            <w:vMerge w:val="continue"/>
            <w:tcBorders>
              <w:left w:val="nil"/>
              <w:right w:val="single" w:color="auto" w:sz="4" w:space="0"/>
            </w:tcBorders>
            <w:vAlign w:val="center"/>
          </w:tcPr>
          <w:p w14:paraId="73F38BEB">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16D015D8">
            <w:pPr>
              <w:keepNext w:val="0"/>
              <w:keepLines w:val="0"/>
              <w:suppressLineNumbers w:val="0"/>
              <w:spacing w:before="0" w:beforeAutospacing="0" w:after="0" w:afterAutospacing="0"/>
              <w:ind w:left="0" w:right="0"/>
              <w:rPr>
                <w:rFonts w:hint="default" w:ascii="宋体" w:hAnsi="宋体"/>
              </w:rPr>
            </w:pPr>
          </w:p>
        </w:tc>
      </w:tr>
      <w:tr w14:paraId="329994DB">
        <w:tblPrEx>
          <w:tblCellMar>
            <w:top w:w="0" w:type="dxa"/>
            <w:left w:w="108" w:type="dxa"/>
            <w:bottom w:w="0" w:type="dxa"/>
            <w:right w:w="108" w:type="dxa"/>
          </w:tblCellMar>
        </w:tblPrEx>
        <w:trPr>
          <w:trHeight w:val="630" w:hRule="atLeast"/>
        </w:trPr>
        <w:tc>
          <w:tcPr>
            <w:tcW w:w="1071" w:type="dxa"/>
            <w:vMerge w:val="continue"/>
            <w:tcBorders>
              <w:left w:val="single" w:color="auto" w:sz="4" w:space="0"/>
              <w:right w:val="single" w:color="auto" w:sz="4" w:space="0"/>
            </w:tcBorders>
            <w:shd w:val="clear" w:color="auto" w:fill="auto"/>
            <w:noWrap/>
            <w:vAlign w:val="center"/>
          </w:tcPr>
          <w:p w14:paraId="5D74096D">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08918602">
            <w:pPr>
              <w:keepNext w:val="0"/>
              <w:keepLines w:val="0"/>
              <w:suppressLineNumbers w:val="0"/>
              <w:spacing w:before="0" w:beforeAutospacing="0" w:after="0" w:afterAutospacing="0"/>
              <w:ind w:left="0" w:right="0"/>
              <w:rPr>
                <w:rFonts w:hint="default" w:ascii="宋体" w:hAnsi="宋体"/>
              </w:rPr>
            </w:pPr>
            <w:r>
              <w:rPr>
                <w:rFonts w:hint="eastAsia" w:ascii="宋体" w:hAnsi="宋体"/>
              </w:rPr>
              <w:t>字典管理</w:t>
            </w:r>
          </w:p>
        </w:tc>
        <w:tc>
          <w:tcPr>
            <w:tcW w:w="5518" w:type="dxa"/>
            <w:tcBorders>
              <w:top w:val="nil"/>
              <w:left w:val="nil"/>
              <w:bottom w:val="single" w:color="auto" w:sz="4" w:space="0"/>
              <w:right w:val="single" w:color="auto" w:sz="4" w:space="0"/>
            </w:tcBorders>
            <w:shd w:val="clear" w:color="auto" w:fill="auto"/>
            <w:vAlign w:val="center"/>
          </w:tcPr>
          <w:p w14:paraId="24FE0B5A">
            <w:pPr>
              <w:keepNext w:val="0"/>
              <w:keepLines w:val="0"/>
              <w:suppressLineNumbers w:val="0"/>
              <w:spacing w:before="0" w:beforeAutospacing="0" w:after="0" w:afterAutospacing="0"/>
              <w:ind w:left="0" w:right="0"/>
              <w:rPr>
                <w:rFonts w:hint="default" w:ascii="宋体" w:hAnsi="宋体"/>
              </w:rPr>
            </w:pPr>
            <w:r>
              <w:rPr>
                <w:rFonts w:hint="eastAsia" w:ascii="宋体" w:hAnsi="宋体"/>
              </w:rPr>
              <w:t>字典管理包括维护保管期限、密级、机构、日志类型等系统字段的下拉选项</w:t>
            </w:r>
          </w:p>
        </w:tc>
        <w:tc>
          <w:tcPr>
            <w:tcW w:w="750" w:type="dxa"/>
            <w:vMerge w:val="continue"/>
            <w:tcBorders>
              <w:left w:val="nil"/>
              <w:right w:val="single" w:color="auto" w:sz="4" w:space="0"/>
            </w:tcBorders>
            <w:vAlign w:val="center"/>
          </w:tcPr>
          <w:p w14:paraId="11DE9E1E">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7FBD4E5">
            <w:pPr>
              <w:keepNext w:val="0"/>
              <w:keepLines w:val="0"/>
              <w:suppressLineNumbers w:val="0"/>
              <w:spacing w:before="0" w:beforeAutospacing="0" w:after="0" w:afterAutospacing="0"/>
              <w:ind w:left="0" w:right="0"/>
              <w:rPr>
                <w:rFonts w:hint="default" w:ascii="宋体" w:hAnsi="宋体"/>
              </w:rPr>
            </w:pPr>
          </w:p>
        </w:tc>
      </w:tr>
      <w:tr w14:paraId="78CD7194">
        <w:tblPrEx>
          <w:tblCellMar>
            <w:top w:w="0" w:type="dxa"/>
            <w:left w:w="108" w:type="dxa"/>
            <w:bottom w:w="0" w:type="dxa"/>
            <w:right w:w="108" w:type="dxa"/>
          </w:tblCellMar>
        </w:tblPrEx>
        <w:trPr>
          <w:trHeight w:val="752" w:hRule="atLeast"/>
        </w:trPr>
        <w:tc>
          <w:tcPr>
            <w:tcW w:w="1071" w:type="dxa"/>
            <w:vMerge w:val="continue"/>
            <w:tcBorders>
              <w:left w:val="single" w:color="auto" w:sz="4" w:space="0"/>
              <w:right w:val="single" w:color="auto" w:sz="4" w:space="0"/>
            </w:tcBorders>
            <w:shd w:val="clear" w:color="auto" w:fill="auto"/>
            <w:noWrap/>
            <w:vAlign w:val="center"/>
          </w:tcPr>
          <w:p w14:paraId="4F40B277">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07F4C531">
            <w:pPr>
              <w:keepNext w:val="0"/>
              <w:keepLines w:val="0"/>
              <w:suppressLineNumbers w:val="0"/>
              <w:spacing w:before="0" w:beforeAutospacing="0" w:after="0" w:afterAutospacing="0"/>
              <w:ind w:left="0" w:right="0"/>
              <w:rPr>
                <w:rFonts w:hint="default" w:ascii="宋体" w:hAnsi="宋体"/>
              </w:rPr>
            </w:pPr>
            <w:r>
              <w:rPr>
                <w:rFonts w:hint="eastAsia" w:ascii="宋体" w:hAnsi="宋体"/>
              </w:rPr>
              <w:t>流程管理</w:t>
            </w:r>
          </w:p>
        </w:tc>
        <w:tc>
          <w:tcPr>
            <w:tcW w:w="5518" w:type="dxa"/>
            <w:tcBorders>
              <w:top w:val="nil"/>
              <w:left w:val="nil"/>
              <w:bottom w:val="single" w:color="auto" w:sz="4" w:space="0"/>
              <w:right w:val="single" w:color="auto" w:sz="4" w:space="0"/>
            </w:tcBorders>
            <w:shd w:val="clear" w:color="auto" w:fill="auto"/>
            <w:vAlign w:val="center"/>
          </w:tcPr>
          <w:p w14:paraId="6A9CC8F3">
            <w:pPr>
              <w:keepNext w:val="0"/>
              <w:keepLines w:val="0"/>
              <w:suppressLineNumbers w:val="0"/>
              <w:spacing w:before="0" w:beforeAutospacing="0" w:after="0" w:afterAutospacing="0"/>
              <w:ind w:left="0" w:right="0"/>
              <w:rPr>
                <w:rFonts w:hint="default" w:ascii="宋体" w:hAnsi="宋体"/>
              </w:rPr>
            </w:pPr>
            <w:r>
              <w:rPr>
                <w:rFonts w:hint="eastAsia" w:ascii="宋体" w:hAnsi="宋体"/>
              </w:rPr>
              <w:t>通过流程管理对系统的各项审批流程进行管理，包括流程名称、审批步骤、具体审批人、是否启用状态等</w:t>
            </w:r>
          </w:p>
        </w:tc>
        <w:tc>
          <w:tcPr>
            <w:tcW w:w="750" w:type="dxa"/>
            <w:vMerge w:val="continue"/>
            <w:tcBorders>
              <w:left w:val="nil"/>
              <w:right w:val="single" w:color="auto" w:sz="4" w:space="0"/>
            </w:tcBorders>
            <w:vAlign w:val="center"/>
          </w:tcPr>
          <w:p w14:paraId="774F45BA">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0C33DFCB">
            <w:pPr>
              <w:keepNext w:val="0"/>
              <w:keepLines w:val="0"/>
              <w:suppressLineNumbers w:val="0"/>
              <w:spacing w:before="0" w:beforeAutospacing="0" w:after="0" w:afterAutospacing="0"/>
              <w:ind w:left="0" w:right="0"/>
              <w:rPr>
                <w:rFonts w:hint="default" w:ascii="宋体" w:hAnsi="宋体"/>
              </w:rPr>
            </w:pPr>
          </w:p>
        </w:tc>
      </w:tr>
      <w:tr w14:paraId="34E76EAA">
        <w:tblPrEx>
          <w:tblCellMar>
            <w:top w:w="0" w:type="dxa"/>
            <w:left w:w="108" w:type="dxa"/>
            <w:bottom w:w="0" w:type="dxa"/>
            <w:right w:w="108" w:type="dxa"/>
          </w:tblCellMar>
        </w:tblPrEx>
        <w:trPr>
          <w:trHeight w:val="695" w:hRule="atLeast"/>
        </w:trPr>
        <w:tc>
          <w:tcPr>
            <w:tcW w:w="1071" w:type="dxa"/>
            <w:vMerge w:val="continue"/>
            <w:tcBorders>
              <w:left w:val="single" w:color="auto" w:sz="4" w:space="0"/>
              <w:right w:val="single" w:color="auto" w:sz="4" w:space="0"/>
            </w:tcBorders>
            <w:shd w:val="clear" w:color="auto" w:fill="auto"/>
            <w:noWrap/>
            <w:vAlign w:val="center"/>
          </w:tcPr>
          <w:p w14:paraId="51E4E9F2">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3C08D307">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档案日志</w:t>
            </w:r>
          </w:p>
        </w:tc>
        <w:tc>
          <w:tcPr>
            <w:tcW w:w="5518" w:type="dxa"/>
            <w:tcBorders>
              <w:top w:val="nil"/>
              <w:left w:val="nil"/>
              <w:bottom w:val="single" w:color="auto" w:sz="4" w:space="0"/>
              <w:right w:val="single" w:color="auto" w:sz="4" w:space="0"/>
            </w:tcBorders>
            <w:shd w:val="clear" w:color="auto" w:fill="auto"/>
            <w:vAlign w:val="center"/>
          </w:tcPr>
          <w:p w14:paraId="1171E8DC">
            <w:pPr>
              <w:keepNext w:val="0"/>
              <w:keepLines w:val="0"/>
              <w:suppressLineNumbers w:val="0"/>
              <w:spacing w:before="0" w:beforeAutospacing="0" w:after="0" w:afterAutospacing="0"/>
              <w:ind w:left="0" w:right="0"/>
              <w:rPr>
                <w:rFonts w:hint="default" w:ascii="宋体" w:hAnsi="宋体"/>
              </w:rPr>
            </w:pPr>
            <w:r>
              <w:rPr>
                <w:rFonts w:hint="eastAsia" w:ascii="宋体" w:hAnsi="宋体"/>
              </w:rPr>
              <w:t>可通过档案日志模块，可根据档案类型选择查看档案操作信息日志过程信息</w:t>
            </w:r>
          </w:p>
        </w:tc>
        <w:tc>
          <w:tcPr>
            <w:tcW w:w="750" w:type="dxa"/>
            <w:vMerge w:val="continue"/>
            <w:tcBorders>
              <w:left w:val="nil"/>
              <w:right w:val="single" w:color="auto" w:sz="4" w:space="0"/>
            </w:tcBorders>
            <w:vAlign w:val="center"/>
          </w:tcPr>
          <w:p w14:paraId="5FDA12C0">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04DFF821">
            <w:pPr>
              <w:keepNext w:val="0"/>
              <w:keepLines w:val="0"/>
              <w:suppressLineNumbers w:val="0"/>
              <w:spacing w:before="0" w:beforeAutospacing="0" w:after="0" w:afterAutospacing="0"/>
              <w:ind w:left="0" w:right="0"/>
              <w:rPr>
                <w:rFonts w:hint="default" w:ascii="宋体" w:hAnsi="宋体"/>
              </w:rPr>
            </w:pPr>
          </w:p>
        </w:tc>
      </w:tr>
      <w:tr w14:paraId="3FD32414">
        <w:tblPrEx>
          <w:tblCellMar>
            <w:top w:w="0" w:type="dxa"/>
            <w:left w:w="108" w:type="dxa"/>
            <w:bottom w:w="0" w:type="dxa"/>
            <w:right w:w="108" w:type="dxa"/>
          </w:tblCellMar>
        </w:tblPrEx>
        <w:trPr>
          <w:trHeight w:val="1388" w:hRule="atLeast"/>
        </w:trPr>
        <w:tc>
          <w:tcPr>
            <w:tcW w:w="1071" w:type="dxa"/>
            <w:vMerge w:val="continue"/>
            <w:tcBorders>
              <w:left w:val="single" w:color="auto" w:sz="4" w:space="0"/>
              <w:right w:val="single" w:color="auto" w:sz="4" w:space="0"/>
            </w:tcBorders>
            <w:shd w:val="clear" w:color="auto" w:fill="auto"/>
            <w:noWrap/>
            <w:vAlign w:val="center"/>
          </w:tcPr>
          <w:p w14:paraId="2D060BFD">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364E1C22">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系统日志</w:t>
            </w:r>
          </w:p>
        </w:tc>
        <w:tc>
          <w:tcPr>
            <w:tcW w:w="5518" w:type="dxa"/>
            <w:tcBorders>
              <w:top w:val="nil"/>
              <w:left w:val="nil"/>
              <w:bottom w:val="single" w:color="auto" w:sz="4" w:space="0"/>
              <w:right w:val="single" w:color="auto" w:sz="4" w:space="0"/>
            </w:tcBorders>
            <w:shd w:val="clear" w:color="auto" w:fill="auto"/>
            <w:vAlign w:val="center"/>
          </w:tcPr>
          <w:p w14:paraId="41A80356">
            <w:pPr>
              <w:keepNext w:val="0"/>
              <w:keepLines w:val="0"/>
              <w:suppressLineNumbers w:val="0"/>
              <w:spacing w:before="0" w:beforeAutospacing="0" w:after="0" w:afterAutospacing="0"/>
              <w:ind w:left="0" w:right="0"/>
              <w:rPr>
                <w:rFonts w:hint="default" w:ascii="宋体" w:hAnsi="宋体"/>
              </w:rPr>
            </w:pPr>
            <w:r>
              <w:rPr>
                <w:rFonts w:hint="eastAsia" w:ascii="宋体" w:hAnsi="宋体"/>
              </w:rPr>
              <w:t>系统业务产生的档案操作记录，提供按条件进行检索、查看、管理和导出的功能。为了保证安全和预防破坏行为，也便于系统运行历史的监视审查，系统提供一种跟踪所有动作的可选手段，必要的操作记录在案。系统可以显示所有的用户访问系统的日志记录。如该用户什么时间，用哪台计算机，登录了系统的哪个模块，进行了哪些档案操作操作</w:t>
            </w:r>
          </w:p>
        </w:tc>
        <w:tc>
          <w:tcPr>
            <w:tcW w:w="750" w:type="dxa"/>
            <w:vMerge w:val="continue"/>
            <w:tcBorders>
              <w:left w:val="nil"/>
              <w:right w:val="single" w:color="auto" w:sz="4" w:space="0"/>
            </w:tcBorders>
            <w:vAlign w:val="center"/>
          </w:tcPr>
          <w:p w14:paraId="07288BA6">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right w:val="single" w:color="auto" w:sz="4" w:space="0"/>
            </w:tcBorders>
            <w:vAlign w:val="center"/>
          </w:tcPr>
          <w:p w14:paraId="27F6990D">
            <w:pPr>
              <w:keepNext w:val="0"/>
              <w:keepLines w:val="0"/>
              <w:suppressLineNumbers w:val="0"/>
              <w:spacing w:before="0" w:beforeAutospacing="0" w:after="0" w:afterAutospacing="0"/>
              <w:ind w:left="0" w:right="0"/>
              <w:rPr>
                <w:rFonts w:hint="default" w:ascii="宋体" w:hAnsi="宋体"/>
              </w:rPr>
            </w:pPr>
          </w:p>
        </w:tc>
      </w:tr>
      <w:tr w14:paraId="75C3D7B6">
        <w:tblPrEx>
          <w:tblCellMar>
            <w:top w:w="0" w:type="dxa"/>
            <w:left w:w="108" w:type="dxa"/>
            <w:bottom w:w="0" w:type="dxa"/>
            <w:right w:w="108" w:type="dxa"/>
          </w:tblCellMar>
        </w:tblPrEx>
        <w:trPr>
          <w:trHeight w:val="808" w:hRule="atLeast"/>
        </w:trPr>
        <w:tc>
          <w:tcPr>
            <w:tcW w:w="1071" w:type="dxa"/>
            <w:vMerge w:val="continue"/>
            <w:tcBorders>
              <w:left w:val="single" w:color="auto" w:sz="4" w:space="0"/>
              <w:bottom w:val="single" w:color="auto" w:sz="4" w:space="0"/>
              <w:right w:val="single" w:color="auto" w:sz="4" w:space="0"/>
            </w:tcBorders>
            <w:shd w:val="clear" w:color="auto" w:fill="auto"/>
            <w:noWrap/>
            <w:vAlign w:val="center"/>
          </w:tcPr>
          <w:p w14:paraId="3D709FC9">
            <w:pPr>
              <w:keepNext w:val="0"/>
              <w:keepLines w:val="0"/>
              <w:suppressLineNumbers w:val="0"/>
              <w:spacing w:before="0" w:beforeAutospacing="0" w:after="0" w:afterAutospacing="0"/>
              <w:ind w:left="0" w:right="0"/>
              <w:rPr>
                <w:rFonts w:hint="default" w:ascii="宋体" w:hAnsi="宋体"/>
              </w:rPr>
            </w:pPr>
          </w:p>
        </w:tc>
        <w:tc>
          <w:tcPr>
            <w:tcW w:w="1020" w:type="dxa"/>
            <w:tcBorders>
              <w:top w:val="nil"/>
              <w:left w:val="nil"/>
              <w:bottom w:val="single" w:color="auto" w:sz="4" w:space="0"/>
              <w:right w:val="single" w:color="auto" w:sz="4" w:space="0"/>
            </w:tcBorders>
            <w:shd w:val="clear" w:color="auto" w:fill="auto"/>
            <w:noWrap/>
            <w:vAlign w:val="center"/>
          </w:tcPr>
          <w:p w14:paraId="45AF2C5D">
            <w:pPr>
              <w:keepNext w:val="0"/>
              <w:keepLines w:val="0"/>
              <w:suppressLineNumbers w:val="0"/>
              <w:spacing w:before="0" w:beforeAutospacing="0" w:after="0" w:afterAutospacing="0"/>
              <w:ind w:left="0" w:right="0"/>
              <w:rPr>
                <w:rFonts w:hint="default" w:ascii="宋体" w:hAnsi="宋体"/>
              </w:rPr>
            </w:pPr>
            <w:r>
              <w:rPr>
                <w:rFonts w:hint="eastAsia" w:ascii="宋体" w:hAnsi="宋体"/>
              </w:rPr>
              <w:t>备份管理</w:t>
            </w:r>
          </w:p>
        </w:tc>
        <w:tc>
          <w:tcPr>
            <w:tcW w:w="5518" w:type="dxa"/>
            <w:tcBorders>
              <w:top w:val="nil"/>
              <w:left w:val="nil"/>
              <w:bottom w:val="single" w:color="auto" w:sz="4" w:space="0"/>
              <w:right w:val="single" w:color="auto" w:sz="4" w:space="0"/>
            </w:tcBorders>
            <w:shd w:val="clear" w:color="auto" w:fill="auto"/>
            <w:vAlign w:val="center"/>
          </w:tcPr>
          <w:p w14:paraId="234DC828">
            <w:pPr>
              <w:keepNext w:val="0"/>
              <w:keepLines w:val="0"/>
              <w:suppressLineNumbers w:val="0"/>
              <w:spacing w:before="0" w:beforeAutospacing="0" w:after="0" w:afterAutospacing="0"/>
              <w:ind w:left="0" w:right="0"/>
              <w:rPr>
                <w:rFonts w:hint="default" w:ascii="宋体" w:hAnsi="宋体"/>
              </w:rPr>
            </w:pPr>
            <w:r>
              <w:rPr>
                <w:rFonts w:hint="eastAsia" w:ascii="宋体" w:hAnsi="宋体"/>
              </w:rPr>
              <w:t>通过数据库备份模块，可对数据整库备份、档案备份、业务数据备份、备份恢复和删除备份多种数据备份等操作</w:t>
            </w:r>
          </w:p>
        </w:tc>
        <w:tc>
          <w:tcPr>
            <w:tcW w:w="750" w:type="dxa"/>
            <w:vMerge w:val="continue"/>
            <w:tcBorders>
              <w:left w:val="nil"/>
              <w:bottom w:val="single" w:color="auto" w:sz="4" w:space="0"/>
              <w:right w:val="single" w:color="auto" w:sz="4" w:space="0"/>
            </w:tcBorders>
            <w:vAlign w:val="center"/>
          </w:tcPr>
          <w:p w14:paraId="7B34E462">
            <w:pPr>
              <w:keepNext w:val="0"/>
              <w:keepLines w:val="0"/>
              <w:suppressLineNumbers w:val="0"/>
              <w:spacing w:before="0" w:beforeAutospacing="0" w:after="0" w:afterAutospacing="0"/>
              <w:ind w:left="0" w:right="0"/>
              <w:rPr>
                <w:rFonts w:hint="default" w:ascii="宋体" w:hAnsi="宋体"/>
              </w:rPr>
            </w:pPr>
          </w:p>
        </w:tc>
        <w:tc>
          <w:tcPr>
            <w:tcW w:w="958" w:type="dxa"/>
            <w:vMerge w:val="continue"/>
            <w:tcBorders>
              <w:left w:val="nil"/>
              <w:bottom w:val="single" w:color="auto" w:sz="4" w:space="0"/>
              <w:right w:val="single" w:color="auto" w:sz="4" w:space="0"/>
            </w:tcBorders>
            <w:vAlign w:val="center"/>
          </w:tcPr>
          <w:p w14:paraId="591D2A8D">
            <w:pPr>
              <w:keepNext w:val="0"/>
              <w:keepLines w:val="0"/>
              <w:suppressLineNumbers w:val="0"/>
              <w:spacing w:before="0" w:beforeAutospacing="0" w:after="0" w:afterAutospacing="0"/>
              <w:ind w:left="0" w:right="0"/>
              <w:rPr>
                <w:rFonts w:hint="default" w:ascii="宋体" w:hAnsi="宋体"/>
              </w:rPr>
            </w:pPr>
          </w:p>
        </w:tc>
      </w:tr>
      <w:tr w14:paraId="7BD6BE8C">
        <w:tblPrEx>
          <w:tblCellMar>
            <w:top w:w="0" w:type="dxa"/>
            <w:left w:w="108" w:type="dxa"/>
            <w:bottom w:w="0" w:type="dxa"/>
            <w:right w:w="108" w:type="dxa"/>
          </w:tblCellMar>
        </w:tblPrEx>
        <w:trPr>
          <w:trHeight w:val="808" w:hRule="atLeast"/>
        </w:trPr>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05852">
            <w:pPr>
              <w:keepNext w:val="0"/>
              <w:keepLines w:val="0"/>
              <w:suppressLineNumbers w:val="0"/>
              <w:spacing w:before="0" w:beforeAutospacing="0" w:after="0" w:afterAutospacing="0"/>
              <w:ind w:left="0" w:right="0"/>
              <w:rPr>
                <w:rFonts w:hint="default" w:ascii="宋体" w:hAnsi="宋体"/>
              </w:rPr>
            </w:pPr>
            <w:r>
              <w:rPr>
                <w:rFonts w:hint="eastAsia" w:ascii="宋体" w:hAnsi="宋体"/>
              </w:rPr>
              <w:t>二、国产数据库</w:t>
            </w:r>
          </w:p>
        </w:tc>
        <w:tc>
          <w:tcPr>
            <w:tcW w:w="6538" w:type="dxa"/>
            <w:gridSpan w:val="2"/>
            <w:tcBorders>
              <w:top w:val="single" w:color="auto" w:sz="4" w:space="0"/>
              <w:left w:val="nil"/>
              <w:bottom w:val="single" w:color="auto" w:sz="4" w:space="0"/>
              <w:right w:val="single" w:color="auto" w:sz="4" w:space="0"/>
            </w:tcBorders>
            <w:shd w:val="clear" w:color="auto" w:fill="auto"/>
            <w:noWrap/>
            <w:vAlign w:val="center"/>
          </w:tcPr>
          <w:p w14:paraId="66758205">
            <w:pPr>
              <w:keepNext w:val="0"/>
              <w:keepLines w:val="0"/>
              <w:suppressLineNumbers w:val="0"/>
              <w:spacing w:before="0" w:beforeAutospacing="0" w:after="0" w:afterAutospacing="0"/>
              <w:ind w:left="0" w:right="0"/>
              <w:rPr>
                <w:rFonts w:hint="default" w:ascii="宋体" w:hAnsi="宋体"/>
              </w:rPr>
            </w:pPr>
            <w:r>
              <w:rPr>
                <w:rFonts w:hint="eastAsia" w:ascii="宋体" w:hAnsi="宋体"/>
              </w:rPr>
              <w:t>支持</w:t>
            </w:r>
            <w:r>
              <w:rPr>
                <w:rFonts w:hint="default" w:ascii="宋体" w:hAnsi="宋体"/>
              </w:rPr>
              <w:t>Windows</w:t>
            </w:r>
            <w:r>
              <w:rPr>
                <w:rFonts w:hint="eastAsia" w:ascii="宋体" w:hAnsi="宋体"/>
              </w:rPr>
              <w:t>、</w:t>
            </w:r>
            <w:r>
              <w:rPr>
                <w:rFonts w:hint="default" w:ascii="宋体" w:hAnsi="宋体"/>
              </w:rPr>
              <w:t>Unix</w:t>
            </w:r>
            <w:r>
              <w:rPr>
                <w:rFonts w:hint="eastAsia" w:ascii="宋体" w:hAnsi="宋体"/>
              </w:rPr>
              <w:t>、</w:t>
            </w:r>
            <w:r>
              <w:rPr>
                <w:rFonts w:hint="default" w:ascii="宋体" w:hAnsi="宋体"/>
              </w:rPr>
              <w:t>Linux</w:t>
            </w:r>
            <w:r>
              <w:rPr>
                <w:rFonts w:hint="eastAsia" w:ascii="宋体" w:hAnsi="宋体"/>
              </w:rPr>
              <w:t>、</w:t>
            </w:r>
            <w:r>
              <w:rPr>
                <w:rFonts w:hint="default" w:ascii="宋体" w:hAnsi="宋体"/>
              </w:rPr>
              <w:t>AIX</w:t>
            </w:r>
            <w:r>
              <w:rPr>
                <w:rFonts w:hint="eastAsia" w:ascii="宋体" w:hAnsi="宋体"/>
              </w:rPr>
              <w:t>、</w:t>
            </w:r>
            <w:r>
              <w:rPr>
                <w:rFonts w:hint="default" w:ascii="宋体" w:hAnsi="宋体"/>
              </w:rPr>
              <w:t>SOLARIS</w:t>
            </w:r>
            <w:r>
              <w:rPr>
                <w:rFonts w:hint="eastAsia" w:ascii="宋体" w:hAnsi="宋体"/>
              </w:rPr>
              <w:t>、中标麒麟、银河麒麟国产操作系统等操作系统，支持龙芯、飞腾、海光、兆芯等国产整机。</w:t>
            </w:r>
            <w:r>
              <w:rPr>
                <w:rFonts w:hint="default" w:ascii="宋体" w:hAnsi="宋体"/>
                <w:szCs w:val="21"/>
              </w:rPr>
              <w:t>逻辑备份和物理备份</w:t>
            </w:r>
            <w:r>
              <w:rPr>
                <w:rFonts w:hint="eastAsia" w:ascii="宋体" w:hAnsi="宋体"/>
                <w:szCs w:val="21"/>
              </w:rPr>
              <w:t>可跨windows和linux、32位和64位等不同的操作系统平台进行还原。</w:t>
            </w:r>
            <w:r>
              <w:rPr>
                <w:rFonts w:hint="default" w:ascii="宋体" w:hAnsi="宋体"/>
                <w:szCs w:val="21"/>
              </w:rPr>
              <w:t>兼容多种应用中间件，</w:t>
            </w:r>
            <w:r>
              <w:rPr>
                <w:rFonts w:hint="eastAsia" w:ascii="宋体" w:hAnsi="宋体"/>
                <w:szCs w:val="21"/>
              </w:rPr>
              <w:t>包括但不限于tomcat、Weblogic、websphere、东方通、中创、金蝶</w:t>
            </w:r>
          </w:p>
        </w:tc>
        <w:tc>
          <w:tcPr>
            <w:tcW w:w="750" w:type="dxa"/>
            <w:tcBorders>
              <w:top w:val="single" w:color="auto" w:sz="4" w:space="0"/>
              <w:left w:val="nil"/>
              <w:bottom w:val="single" w:color="auto" w:sz="4" w:space="0"/>
              <w:right w:val="single" w:color="auto" w:sz="4" w:space="0"/>
            </w:tcBorders>
            <w:vAlign w:val="center"/>
          </w:tcPr>
          <w:p w14:paraId="635CF9FA">
            <w:pPr>
              <w:keepNext w:val="0"/>
              <w:keepLines w:val="0"/>
              <w:suppressLineNumbers w:val="0"/>
              <w:spacing w:before="0" w:beforeAutospacing="0" w:after="0" w:afterAutospacing="0"/>
              <w:ind w:left="0" w:right="0"/>
              <w:rPr>
                <w:rFonts w:hint="default" w:ascii="宋体" w:hAnsi="宋体"/>
              </w:rPr>
            </w:pPr>
            <w:r>
              <w:rPr>
                <w:rFonts w:hint="eastAsia" w:ascii="宋体" w:hAnsi="宋体"/>
              </w:rPr>
              <w:t>套</w:t>
            </w:r>
          </w:p>
        </w:tc>
        <w:tc>
          <w:tcPr>
            <w:tcW w:w="958" w:type="dxa"/>
            <w:tcBorders>
              <w:top w:val="single" w:color="auto" w:sz="4" w:space="0"/>
              <w:left w:val="nil"/>
              <w:bottom w:val="single" w:color="auto" w:sz="4" w:space="0"/>
              <w:right w:val="single" w:color="auto" w:sz="4" w:space="0"/>
            </w:tcBorders>
            <w:vAlign w:val="center"/>
          </w:tcPr>
          <w:p w14:paraId="7DA86CBD">
            <w:pPr>
              <w:keepNext w:val="0"/>
              <w:keepLines w:val="0"/>
              <w:suppressLineNumbers w:val="0"/>
              <w:spacing w:before="0" w:beforeAutospacing="0" w:after="0" w:afterAutospacing="0"/>
              <w:ind w:left="0" w:right="0"/>
              <w:rPr>
                <w:rFonts w:hint="default" w:ascii="宋体" w:hAnsi="宋体"/>
              </w:rPr>
            </w:pPr>
            <w:r>
              <w:rPr>
                <w:rFonts w:hint="eastAsia" w:ascii="宋体" w:hAnsi="宋体"/>
              </w:rPr>
              <w:t>1</w:t>
            </w:r>
          </w:p>
        </w:tc>
      </w:tr>
      <w:tr w14:paraId="07F61452">
        <w:tblPrEx>
          <w:tblCellMar>
            <w:top w:w="0" w:type="dxa"/>
            <w:left w:w="108" w:type="dxa"/>
            <w:bottom w:w="0" w:type="dxa"/>
            <w:right w:w="108" w:type="dxa"/>
          </w:tblCellMar>
        </w:tblPrEx>
        <w:trPr>
          <w:trHeight w:val="808" w:hRule="atLeast"/>
        </w:trPr>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16846">
            <w:pPr>
              <w:keepNext w:val="0"/>
              <w:keepLines w:val="0"/>
              <w:suppressLineNumbers w:val="0"/>
              <w:spacing w:before="0" w:beforeAutospacing="0" w:after="0" w:afterAutospacing="0"/>
              <w:ind w:left="0" w:right="0"/>
              <w:rPr>
                <w:rFonts w:hint="default" w:ascii="宋体" w:hAnsi="宋体"/>
              </w:rPr>
            </w:pPr>
            <w:r>
              <w:rPr>
                <w:rFonts w:hint="eastAsia" w:ascii="宋体" w:hAnsi="宋体"/>
              </w:rPr>
              <w:t>三、OCR识别系统</w:t>
            </w:r>
          </w:p>
        </w:tc>
        <w:tc>
          <w:tcPr>
            <w:tcW w:w="6538" w:type="dxa"/>
            <w:gridSpan w:val="2"/>
            <w:tcBorders>
              <w:top w:val="single" w:color="auto" w:sz="4" w:space="0"/>
              <w:left w:val="nil"/>
              <w:bottom w:val="single" w:color="auto" w:sz="4" w:space="0"/>
              <w:right w:val="single" w:color="auto" w:sz="4" w:space="0"/>
            </w:tcBorders>
            <w:shd w:val="clear" w:color="auto" w:fill="auto"/>
            <w:noWrap/>
            <w:vAlign w:val="center"/>
          </w:tcPr>
          <w:p w14:paraId="6FD64EA4">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档案集成OCR识别引擎，该识别引擎支持在windows/linux操作系统，以及国产操作系统的部署，提供OCR识别功能，支持识别的文件类型含图片（JPG、JPEG、TIFF、PNG格式）、版式文件（OFD、PDF格式）。</w:t>
            </w:r>
          </w:p>
        </w:tc>
        <w:tc>
          <w:tcPr>
            <w:tcW w:w="750" w:type="dxa"/>
            <w:tcBorders>
              <w:top w:val="single" w:color="auto" w:sz="4" w:space="0"/>
              <w:left w:val="nil"/>
              <w:bottom w:val="single" w:color="auto" w:sz="4" w:space="0"/>
              <w:right w:val="single" w:color="auto" w:sz="4" w:space="0"/>
            </w:tcBorders>
            <w:vAlign w:val="center"/>
          </w:tcPr>
          <w:p w14:paraId="7BDDA316">
            <w:pPr>
              <w:keepNext w:val="0"/>
              <w:keepLines w:val="0"/>
              <w:suppressLineNumbers w:val="0"/>
              <w:spacing w:before="0" w:beforeAutospacing="0" w:after="0" w:afterAutospacing="0"/>
              <w:ind w:left="0" w:right="0"/>
              <w:rPr>
                <w:rFonts w:hint="default" w:ascii="宋体" w:hAnsi="宋体"/>
              </w:rPr>
            </w:pPr>
            <w:r>
              <w:rPr>
                <w:rFonts w:hint="eastAsia" w:ascii="宋体" w:hAnsi="宋体"/>
              </w:rPr>
              <w:t>套</w:t>
            </w:r>
          </w:p>
        </w:tc>
        <w:tc>
          <w:tcPr>
            <w:tcW w:w="958" w:type="dxa"/>
            <w:tcBorders>
              <w:top w:val="single" w:color="auto" w:sz="4" w:space="0"/>
              <w:left w:val="nil"/>
              <w:bottom w:val="single" w:color="auto" w:sz="4" w:space="0"/>
              <w:right w:val="single" w:color="auto" w:sz="4" w:space="0"/>
            </w:tcBorders>
            <w:vAlign w:val="center"/>
          </w:tcPr>
          <w:p w14:paraId="416B0244">
            <w:pPr>
              <w:keepNext w:val="0"/>
              <w:keepLines w:val="0"/>
              <w:suppressLineNumbers w:val="0"/>
              <w:spacing w:before="0" w:beforeAutospacing="0" w:after="0" w:afterAutospacing="0"/>
              <w:ind w:left="0" w:right="0"/>
              <w:rPr>
                <w:rFonts w:hint="default" w:ascii="宋体" w:hAnsi="宋体"/>
              </w:rPr>
            </w:pPr>
            <w:r>
              <w:rPr>
                <w:rFonts w:hint="eastAsia" w:ascii="宋体" w:hAnsi="宋体"/>
              </w:rPr>
              <w:t>1</w:t>
            </w:r>
          </w:p>
        </w:tc>
      </w:tr>
      <w:tr w14:paraId="7368EF8E">
        <w:tblPrEx>
          <w:tblCellMar>
            <w:top w:w="0" w:type="dxa"/>
            <w:left w:w="108" w:type="dxa"/>
            <w:bottom w:w="0" w:type="dxa"/>
            <w:right w:w="108" w:type="dxa"/>
          </w:tblCellMar>
        </w:tblPrEx>
        <w:trPr>
          <w:trHeight w:val="808" w:hRule="atLeast"/>
        </w:trPr>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438A0">
            <w:pPr>
              <w:keepNext w:val="0"/>
              <w:keepLines w:val="0"/>
              <w:suppressLineNumbers w:val="0"/>
              <w:spacing w:before="0" w:beforeAutospacing="0" w:after="0" w:afterAutospacing="0"/>
              <w:ind w:left="0" w:right="0"/>
              <w:rPr>
                <w:rFonts w:hint="default" w:ascii="宋体" w:hAnsi="宋体"/>
              </w:rPr>
            </w:pPr>
            <w:r>
              <w:rPr>
                <w:rFonts w:hint="eastAsia" w:ascii="宋体" w:hAnsi="宋体"/>
              </w:rPr>
              <w:t>四、OFD文件在线浏览插件</w:t>
            </w:r>
          </w:p>
        </w:tc>
        <w:tc>
          <w:tcPr>
            <w:tcW w:w="6538" w:type="dxa"/>
            <w:gridSpan w:val="2"/>
            <w:tcBorders>
              <w:top w:val="single" w:color="auto" w:sz="4" w:space="0"/>
              <w:left w:val="nil"/>
              <w:bottom w:val="single" w:color="auto" w:sz="4" w:space="0"/>
              <w:right w:val="single" w:color="auto" w:sz="4" w:space="0"/>
            </w:tcBorders>
            <w:shd w:val="clear" w:color="auto" w:fill="auto"/>
            <w:noWrap/>
            <w:vAlign w:val="center"/>
          </w:tcPr>
          <w:p w14:paraId="67916AFE">
            <w:pPr>
              <w:keepNext w:val="0"/>
              <w:keepLines w:val="0"/>
              <w:suppressLineNumbers w:val="0"/>
              <w:spacing w:before="0" w:beforeAutospacing="0" w:after="0" w:afterAutospacing="0"/>
              <w:ind w:left="0" w:right="0"/>
              <w:rPr>
                <w:rFonts w:hint="default" w:ascii="宋体" w:hAnsi="宋体"/>
              </w:rPr>
            </w:pPr>
            <w:r>
              <w:rPr>
                <w:rFonts w:hint="eastAsia" w:ascii="宋体" w:hAnsi="宋体"/>
              </w:rPr>
              <w:t>档案系统集成对OFD文件的在线预览功能，提供纯HTML方式，嵌入档案系统内部预览OFD文件，提供放大、缩小、拖放、打印等功能</w:t>
            </w:r>
          </w:p>
        </w:tc>
        <w:tc>
          <w:tcPr>
            <w:tcW w:w="750" w:type="dxa"/>
            <w:tcBorders>
              <w:top w:val="single" w:color="auto" w:sz="4" w:space="0"/>
              <w:left w:val="nil"/>
              <w:bottom w:val="single" w:color="auto" w:sz="4" w:space="0"/>
              <w:right w:val="single" w:color="auto" w:sz="4" w:space="0"/>
            </w:tcBorders>
            <w:vAlign w:val="center"/>
          </w:tcPr>
          <w:p w14:paraId="0B4BCE24">
            <w:pPr>
              <w:keepNext w:val="0"/>
              <w:keepLines w:val="0"/>
              <w:suppressLineNumbers w:val="0"/>
              <w:spacing w:before="0" w:beforeAutospacing="0" w:after="0" w:afterAutospacing="0"/>
              <w:ind w:left="0" w:right="0"/>
              <w:rPr>
                <w:rFonts w:hint="default" w:ascii="宋体" w:hAnsi="宋体"/>
              </w:rPr>
            </w:pPr>
            <w:r>
              <w:rPr>
                <w:rFonts w:hint="eastAsia" w:ascii="宋体" w:hAnsi="宋体"/>
              </w:rPr>
              <w:t>套</w:t>
            </w:r>
          </w:p>
        </w:tc>
        <w:tc>
          <w:tcPr>
            <w:tcW w:w="958" w:type="dxa"/>
            <w:tcBorders>
              <w:top w:val="single" w:color="auto" w:sz="4" w:space="0"/>
              <w:left w:val="nil"/>
              <w:bottom w:val="single" w:color="auto" w:sz="4" w:space="0"/>
              <w:right w:val="single" w:color="auto" w:sz="4" w:space="0"/>
            </w:tcBorders>
            <w:vAlign w:val="center"/>
          </w:tcPr>
          <w:p w14:paraId="233CD939">
            <w:pPr>
              <w:keepNext w:val="0"/>
              <w:keepLines w:val="0"/>
              <w:suppressLineNumbers w:val="0"/>
              <w:spacing w:before="0" w:beforeAutospacing="0" w:after="0" w:afterAutospacing="0"/>
              <w:ind w:left="0" w:right="0"/>
              <w:rPr>
                <w:rFonts w:hint="default" w:ascii="宋体" w:hAnsi="宋体"/>
              </w:rPr>
            </w:pPr>
            <w:r>
              <w:rPr>
                <w:rFonts w:hint="eastAsia" w:ascii="宋体" w:hAnsi="宋体"/>
              </w:rPr>
              <w:t>1</w:t>
            </w:r>
          </w:p>
        </w:tc>
      </w:tr>
    </w:tbl>
    <w:p w14:paraId="22868840">
      <w:pPr>
        <w:spacing w:line="480" w:lineRule="exact"/>
        <w:outlineLvl w:val="9"/>
        <w:rPr>
          <w:rFonts w:ascii="黑体" w:hAnsi="黑体" w:eastAsia="黑体" w:cs="黑体"/>
          <w:b/>
          <w:bCs/>
          <w:sz w:val="32"/>
          <w:szCs w:val="32"/>
        </w:rPr>
      </w:pPr>
    </w:p>
    <w:p w14:paraId="5B699A12">
      <w:r>
        <w:br w:type="page"/>
      </w:r>
    </w:p>
    <w:p w14:paraId="34810C27">
      <w:pPr>
        <w:pStyle w:val="10"/>
      </w:pPr>
    </w:p>
    <w:p w14:paraId="7B6E4489">
      <w:pPr>
        <w:spacing w:line="480" w:lineRule="exact"/>
        <w:jc w:val="center"/>
        <w:outlineLvl w:val="0"/>
        <w:rPr>
          <w:rFonts w:ascii="黑体" w:hAnsi="黑体" w:eastAsia="黑体" w:cs="黑体"/>
          <w:b/>
          <w:bCs/>
          <w:sz w:val="32"/>
          <w:szCs w:val="32"/>
        </w:rPr>
      </w:pPr>
      <w:r>
        <w:rPr>
          <w:rFonts w:hint="eastAsia" w:ascii="黑体" w:hAnsi="黑体" w:eastAsia="黑体" w:cs="黑体"/>
          <w:b/>
          <w:bCs/>
          <w:sz w:val="32"/>
          <w:szCs w:val="32"/>
        </w:rPr>
        <w:t>第四章 比选申请文件（格式）</w:t>
      </w:r>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66" w:name="_Toc114052391"/>
    </w:p>
    <w:p w14:paraId="0EBBE449">
      <w:pPr>
        <w:spacing w:line="480" w:lineRule="exact"/>
        <w:jc w:val="center"/>
        <w:rPr>
          <w:rFonts w:ascii="仿宋" w:hAnsi="仿宋" w:eastAsia="仿宋" w:cs="仿宋"/>
          <w:b/>
          <w:bCs/>
          <w:sz w:val="28"/>
          <w:szCs w:val="28"/>
        </w:rPr>
      </w:pPr>
    </w:p>
    <w:p w14:paraId="7EB2ADF3">
      <w:pPr>
        <w:spacing w:line="480" w:lineRule="exact"/>
        <w:jc w:val="center"/>
        <w:rPr>
          <w:rFonts w:ascii="仿宋" w:hAnsi="仿宋" w:eastAsia="仿宋" w:cs="仿宋"/>
          <w:b/>
          <w:bCs/>
          <w:sz w:val="28"/>
          <w:szCs w:val="28"/>
        </w:rPr>
      </w:pPr>
    </w:p>
    <w:p w14:paraId="5FE99794">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（封面格式）</w:t>
      </w:r>
    </w:p>
    <w:p w14:paraId="7D580365">
      <w:pPr>
        <w:spacing w:line="480" w:lineRule="exact"/>
        <w:ind w:right="753"/>
        <w:jc w:val="left"/>
        <w:rPr>
          <w:rFonts w:ascii="仿宋" w:hAnsi="仿宋" w:eastAsia="仿宋" w:cs="仿宋"/>
          <w:sz w:val="28"/>
          <w:szCs w:val="28"/>
        </w:rPr>
      </w:pPr>
    </w:p>
    <w:p w14:paraId="1AA4A23C">
      <w:pPr>
        <w:spacing w:line="480" w:lineRule="exact"/>
        <w:ind w:right="753"/>
        <w:jc w:val="left"/>
        <w:rPr>
          <w:rFonts w:ascii="仿宋" w:hAnsi="仿宋" w:eastAsia="仿宋" w:cs="仿宋"/>
          <w:sz w:val="28"/>
          <w:szCs w:val="28"/>
        </w:rPr>
      </w:pPr>
    </w:p>
    <w:p w14:paraId="63B6F3CB">
      <w:pPr>
        <w:spacing w:line="480" w:lineRule="exact"/>
        <w:ind w:right="753"/>
        <w:jc w:val="left"/>
        <w:rPr>
          <w:rFonts w:ascii="仿宋" w:hAnsi="仿宋" w:eastAsia="仿宋" w:cs="仿宋"/>
          <w:sz w:val="44"/>
          <w:szCs w:val="44"/>
        </w:rPr>
      </w:pPr>
    </w:p>
    <w:p w14:paraId="051C1EE3">
      <w:pPr>
        <w:spacing w:line="480" w:lineRule="exact"/>
        <w:jc w:val="center"/>
        <w:rPr>
          <w:rFonts w:ascii="方正小标宋简体" w:hAnsi="方正小标宋简体" w:eastAsia="方正小标宋简体" w:cs="方正小标宋简体"/>
          <w:sz w:val="44"/>
          <w:szCs w:val="44"/>
        </w:rPr>
      </w:pPr>
      <w:bookmarkStart w:id="267" w:name="_Toc10229"/>
      <w:r>
        <w:rPr>
          <w:rFonts w:hint="eastAsia" w:ascii="方正小标宋简体" w:hAnsi="方正小标宋简体" w:eastAsia="方正小标宋简体" w:cs="方正小标宋简体"/>
          <w:sz w:val="44"/>
          <w:szCs w:val="44"/>
        </w:rPr>
        <w:t>项目比选申请文件</w:t>
      </w:r>
      <w:bookmarkEnd w:id="267"/>
    </w:p>
    <w:p w14:paraId="4F773187">
      <w:pPr>
        <w:spacing w:line="480" w:lineRule="exact"/>
        <w:jc w:val="center"/>
        <w:rPr>
          <w:rFonts w:ascii="方正小标宋简体" w:hAnsi="方正小标宋简体" w:eastAsia="方正小标宋简体" w:cs="方正小标宋简体"/>
          <w:sz w:val="44"/>
          <w:szCs w:val="44"/>
        </w:rPr>
      </w:pPr>
      <w:bookmarkStart w:id="268" w:name="_Toc16428"/>
      <w:bookmarkStart w:id="269" w:name="_Toc461525322"/>
      <w:bookmarkStart w:id="270" w:name="_Toc31417"/>
      <w:bookmarkStart w:id="271" w:name="_Toc24727"/>
      <w:bookmarkStart w:id="272" w:name="_Toc18503"/>
      <w:bookmarkStart w:id="273" w:name="_Toc12677"/>
      <w:bookmarkStart w:id="274" w:name="_Toc10669"/>
      <w:bookmarkStart w:id="275" w:name="_Toc22529"/>
      <w:bookmarkStart w:id="276" w:name="_Toc28203"/>
      <w:bookmarkStart w:id="277" w:name="_Toc6045"/>
      <w:bookmarkStart w:id="278" w:name="_Toc30478"/>
      <w:r>
        <w:rPr>
          <w:rFonts w:hint="eastAsia" w:ascii="方正小标宋简体" w:hAnsi="方正小标宋简体" w:eastAsia="方正小标宋简体" w:cs="方正小标宋简体"/>
          <w:sz w:val="44"/>
          <w:szCs w:val="44"/>
        </w:rPr>
        <w:t>资格审查部分</w:t>
      </w:r>
      <w:bookmarkEnd w:id="268"/>
      <w:bookmarkEnd w:id="269"/>
      <w:bookmarkEnd w:id="270"/>
      <w:bookmarkEnd w:id="271"/>
      <w:bookmarkEnd w:id="272"/>
      <w:bookmarkEnd w:id="273"/>
      <w:bookmarkEnd w:id="274"/>
      <w:bookmarkEnd w:id="275"/>
      <w:bookmarkEnd w:id="276"/>
      <w:bookmarkEnd w:id="277"/>
      <w:bookmarkEnd w:id="278"/>
    </w:p>
    <w:p w14:paraId="2E68A42E">
      <w:pPr>
        <w:spacing w:line="480" w:lineRule="exact"/>
        <w:jc w:val="left"/>
        <w:rPr>
          <w:rFonts w:ascii="仿宋" w:hAnsi="仿宋" w:eastAsia="仿宋" w:cs="仿宋"/>
          <w:sz w:val="28"/>
          <w:szCs w:val="28"/>
        </w:rPr>
      </w:pPr>
    </w:p>
    <w:p w14:paraId="1E863D78">
      <w:pPr>
        <w:spacing w:line="480" w:lineRule="exact"/>
        <w:ind w:right="753"/>
        <w:jc w:val="left"/>
        <w:rPr>
          <w:rFonts w:ascii="仿宋" w:hAnsi="仿宋" w:eastAsia="仿宋" w:cs="仿宋"/>
          <w:sz w:val="28"/>
          <w:szCs w:val="28"/>
        </w:rPr>
      </w:pPr>
    </w:p>
    <w:p w14:paraId="1A7C6651">
      <w:pPr>
        <w:spacing w:line="480" w:lineRule="exact"/>
        <w:ind w:right="753"/>
        <w:jc w:val="left"/>
        <w:rPr>
          <w:rFonts w:ascii="仿宋" w:hAnsi="仿宋" w:eastAsia="仿宋" w:cs="仿宋"/>
          <w:sz w:val="28"/>
          <w:szCs w:val="28"/>
        </w:rPr>
      </w:pPr>
    </w:p>
    <w:p w14:paraId="016CF1B4">
      <w:pPr>
        <w:spacing w:line="480" w:lineRule="exact"/>
        <w:ind w:right="753"/>
        <w:jc w:val="left"/>
        <w:rPr>
          <w:rFonts w:ascii="仿宋" w:hAnsi="仿宋" w:eastAsia="仿宋" w:cs="仿宋"/>
          <w:sz w:val="28"/>
          <w:szCs w:val="28"/>
        </w:rPr>
      </w:pPr>
    </w:p>
    <w:p w14:paraId="25073860">
      <w:pPr>
        <w:spacing w:line="480" w:lineRule="exact"/>
        <w:ind w:right="753"/>
        <w:jc w:val="left"/>
        <w:rPr>
          <w:rFonts w:ascii="仿宋" w:hAnsi="仿宋" w:eastAsia="仿宋" w:cs="仿宋"/>
          <w:sz w:val="28"/>
          <w:szCs w:val="28"/>
        </w:rPr>
      </w:pPr>
    </w:p>
    <w:p w14:paraId="12DB706F">
      <w:pPr>
        <w:spacing w:line="480" w:lineRule="exact"/>
        <w:ind w:right="753"/>
        <w:jc w:val="left"/>
        <w:rPr>
          <w:rFonts w:ascii="仿宋" w:hAnsi="仿宋" w:eastAsia="仿宋" w:cs="仿宋"/>
          <w:sz w:val="28"/>
          <w:szCs w:val="28"/>
        </w:rPr>
      </w:pPr>
    </w:p>
    <w:p w14:paraId="1E20C56F">
      <w:pPr>
        <w:spacing w:line="480" w:lineRule="exact"/>
        <w:ind w:right="753"/>
        <w:jc w:val="left"/>
        <w:rPr>
          <w:rFonts w:ascii="仿宋" w:hAnsi="仿宋" w:eastAsia="仿宋" w:cs="仿宋"/>
          <w:sz w:val="28"/>
          <w:szCs w:val="28"/>
        </w:rPr>
      </w:pPr>
    </w:p>
    <w:p w14:paraId="3743BD5F">
      <w:pPr>
        <w:spacing w:line="480" w:lineRule="exact"/>
        <w:ind w:right="753"/>
        <w:jc w:val="left"/>
        <w:rPr>
          <w:rFonts w:ascii="仿宋" w:hAnsi="仿宋" w:eastAsia="仿宋" w:cs="仿宋"/>
          <w:sz w:val="28"/>
          <w:szCs w:val="28"/>
        </w:rPr>
      </w:pPr>
    </w:p>
    <w:p w14:paraId="57DC3175">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w:t>
      </w:r>
      <w:bookmarkEnd w:id="266"/>
      <w:r>
        <w:rPr>
          <w:rFonts w:hint="eastAsia" w:ascii="仿宋_GB2312" w:hAnsi="仿宋_GB2312" w:eastAsia="仿宋_GB2312" w:cs="仿宋_GB2312"/>
          <w:sz w:val="28"/>
          <w:szCs w:val="28"/>
        </w:rPr>
        <w:t>请</w:t>
      </w:r>
      <w:bookmarkStart w:id="279" w:name="_Toc114052392"/>
      <w:r>
        <w:rPr>
          <w:rFonts w:hint="eastAsia" w:ascii="仿宋_GB2312" w:hAnsi="仿宋_GB2312" w:eastAsia="仿宋_GB2312" w:cs="仿宋_GB2312"/>
          <w:sz w:val="28"/>
          <w:szCs w:val="28"/>
        </w:rPr>
        <w:t>人：</w:t>
      </w:r>
      <w:bookmarkEnd w:id="279"/>
      <w:r>
        <w:rPr>
          <w:rFonts w:hint="eastAsia" w:ascii="仿宋_GB2312" w:hAnsi="仿宋_GB2312" w:eastAsia="仿宋_GB2312" w:cs="仿宋_GB2312"/>
          <w:sz w:val="28"/>
          <w:szCs w:val="28"/>
        </w:rPr>
        <w:t>（盖公司公章）</w:t>
      </w:r>
    </w:p>
    <w:p w14:paraId="70104D6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w:t>
      </w:r>
      <w:bookmarkStart w:id="280" w:name="_Toc333307122"/>
      <w:r>
        <w:rPr>
          <w:rFonts w:hint="eastAsia" w:ascii="仿宋_GB2312" w:hAnsi="仿宋_GB2312" w:eastAsia="仿宋_GB2312" w:cs="仿宋_GB2312"/>
          <w:sz w:val="28"/>
          <w:szCs w:val="28"/>
        </w:rPr>
        <w:t>理人</w:t>
      </w:r>
      <w:bookmarkEnd w:id="280"/>
      <w:r>
        <w:rPr>
          <w:rFonts w:hint="eastAsia" w:ascii="仿宋_GB2312" w:hAnsi="仿宋_GB2312" w:eastAsia="仿宋_GB2312" w:cs="仿宋_GB2312"/>
          <w:sz w:val="28"/>
          <w:szCs w:val="28"/>
        </w:rPr>
        <w:t>：（签字或盖章）</w:t>
      </w:r>
    </w:p>
    <w:p w14:paraId="7AAD4A23">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电话/传真：</w:t>
      </w:r>
    </w:p>
    <w:p w14:paraId="09C36CCD">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48590D49">
      <w:pPr>
        <w:spacing w:line="480" w:lineRule="exact"/>
        <w:ind w:right="753" w:firstLine="3080" w:firstLineChars="1100"/>
        <w:rPr>
          <w:rFonts w:ascii="仿宋" w:hAnsi="仿宋" w:eastAsia="仿宋" w:cs="仿宋"/>
          <w:sz w:val="28"/>
          <w:szCs w:val="28"/>
        </w:rPr>
      </w:pPr>
    </w:p>
    <w:p w14:paraId="622FD31A">
      <w:pPr>
        <w:spacing w:line="480" w:lineRule="exact"/>
        <w:ind w:right="753" w:firstLine="3360" w:firstLineChars="1200"/>
        <w:rPr>
          <w:rFonts w:ascii="仿宋_GB2312" w:hAnsi="仿宋_GB2312" w:eastAsia="仿宋_GB2312" w:cs="仿宋_GB2312"/>
          <w:sz w:val="28"/>
          <w:szCs w:val="28"/>
        </w:rPr>
      </w:pPr>
      <w:r>
        <w:rPr>
          <w:rFonts w:hint="eastAsia" w:ascii="仿宋_GB2312" w:hAnsi="仿宋_GB2312" w:eastAsia="仿宋_GB2312" w:cs="仿宋_GB2312"/>
          <w:sz w:val="28"/>
          <w:szCs w:val="28"/>
        </w:rPr>
        <w:t>2024年   月   日</w:t>
      </w:r>
    </w:p>
    <w:p w14:paraId="58C02A97">
      <w:pPr>
        <w:spacing w:line="480" w:lineRule="exact"/>
        <w:ind w:right="753" w:firstLine="3360" w:firstLineChars="1200"/>
        <w:rPr>
          <w:rFonts w:ascii="仿宋" w:hAnsi="仿宋" w:eastAsia="仿宋" w:cs="仿宋"/>
          <w:sz w:val="28"/>
          <w:szCs w:val="28"/>
        </w:rPr>
      </w:pPr>
    </w:p>
    <w:p w14:paraId="784C8812">
      <w:pPr>
        <w:spacing w:line="480" w:lineRule="exact"/>
        <w:ind w:right="753" w:firstLine="3360" w:firstLineChars="1200"/>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7C90412B">
      <w:pPr>
        <w:spacing w:line="480" w:lineRule="exact"/>
        <w:outlineLvl w:val="1"/>
        <w:rPr>
          <w:rFonts w:ascii="仿宋_GB2312" w:hAnsi="仿宋_GB2312" w:eastAsia="仿宋_GB2312" w:cs="仿宋_GB2312"/>
          <w:sz w:val="28"/>
          <w:szCs w:val="28"/>
        </w:rPr>
      </w:pPr>
      <w:bookmarkStart w:id="281" w:name="_Toc8907"/>
      <w:bookmarkStart w:id="282" w:name="_Toc13042"/>
      <w:bookmarkStart w:id="283" w:name="_Toc28967"/>
      <w:bookmarkStart w:id="284" w:name="_Toc7849"/>
      <w:bookmarkStart w:id="285" w:name="_Toc17090"/>
      <w:bookmarkStart w:id="286" w:name="_Toc7514"/>
      <w:bookmarkStart w:id="287" w:name="_Toc24695"/>
      <w:bookmarkStart w:id="288" w:name="_Toc7031"/>
      <w:bookmarkStart w:id="289" w:name="_Toc461525323"/>
      <w:bookmarkStart w:id="290" w:name="_Toc29495"/>
      <w:bookmarkStart w:id="291" w:name="_Toc16191"/>
      <w:r>
        <w:rPr>
          <w:rFonts w:hint="eastAsia" w:ascii="仿宋_GB2312" w:hAnsi="仿宋_GB2312" w:eastAsia="仿宋_GB2312" w:cs="仿宋_GB2312"/>
          <w:b/>
          <w:bCs/>
          <w:sz w:val="32"/>
          <w:szCs w:val="32"/>
        </w:rPr>
        <w:t>一、资格审查章节目录</w:t>
      </w:r>
      <w:bookmarkEnd w:id="281"/>
    </w:p>
    <w:p w14:paraId="147C2D93">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1.诚信声明（原件）；</w:t>
      </w:r>
    </w:p>
    <w:p w14:paraId="527A783D">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2.比选函（原件）；</w:t>
      </w:r>
    </w:p>
    <w:p w14:paraId="368CF410">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3.公司营业执照（复印件加盖公章）；</w:t>
      </w:r>
    </w:p>
    <w:p w14:paraId="6CB9BBC4">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4.公司法人身份证明（复印件加盖公章）；</w:t>
      </w:r>
    </w:p>
    <w:p w14:paraId="1FCB5584">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5.比选申请文件签署授权委托书（原件）</w:t>
      </w:r>
    </w:p>
    <w:p w14:paraId="0FBFF3DF">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6.授权代表人身份证（复印件加盖公章）</w:t>
      </w:r>
    </w:p>
    <w:p w14:paraId="384FF88D">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7.其他。</w:t>
      </w:r>
    </w:p>
    <w:p w14:paraId="29F8466C">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备注：以上材料均需加盖单位公章，并按照目录顺序编排，标注页码</w:t>
      </w:r>
      <w:bookmarkEnd w:id="282"/>
      <w:bookmarkEnd w:id="283"/>
      <w:bookmarkEnd w:id="284"/>
      <w:bookmarkEnd w:id="285"/>
      <w:bookmarkEnd w:id="286"/>
      <w:bookmarkEnd w:id="287"/>
      <w:bookmarkEnd w:id="288"/>
      <w:bookmarkEnd w:id="289"/>
      <w:bookmarkEnd w:id="290"/>
      <w:bookmarkEnd w:id="291"/>
      <w:bookmarkStart w:id="292" w:name="_Toc461525324"/>
      <w:bookmarkStart w:id="293" w:name="_Toc27423"/>
      <w:bookmarkStart w:id="294" w:name="_Toc1582"/>
    </w:p>
    <w:p w14:paraId="5AC41AF9">
      <w:pPr>
        <w:spacing w:line="480" w:lineRule="exact"/>
        <w:ind w:right="-21"/>
        <w:jc w:val="left"/>
        <w:rPr>
          <w:rFonts w:ascii="仿宋" w:hAnsi="仿宋" w:eastAsia="仿宋" w:cs="仿宋"/>
          <w:sz w:val="28"/>
          <w:szCs w:val="28"/>
        </w:rPr>
      </w:pPr>
    </w:p>
    <w:p w14:paraId="0595123E">
      <w:pPr>
        <w:spacing w:line="480" w:lineRule="exact"/>
        <w:ind w:right="-21"/>
        <w:jc w:val="left"/>
        <w:rPr>
          <w:rFonts w:ascii="仿宋" w:hAnsi="仿宋" w:eastAsia="仿宋" w:cs="仿宋"/>
          <w:sz w:val="28"/>
          <w:szCs w:val="28"/>
        </w:rPr>
      </w:pPr>
    </w:p>
    <w:p w14:paraId="06635103">
      <w:pPr>
        <w:spacing w:line="480" w:lineRule="exact"/>
        <w:ind w:right="-21"/>
        <w:jc w:val="left"/>
        <w:rPr>
          <w:rFonts w:ascii="仿宋_GB2312" w:hAnsi="仿宋_GB2312" w:eastAsia="仿宋_GB2312" w:cs="仿宋_GB2312"/>
          <w:b/>
          <w:bCs/>
          <w:sz w:val="32"/>
          <w:szCs w:val="32"/>
        </w:rPr>
      </w:pPr>
      <w:r>
        <w:rPr>
          <w:rFonts w:hint="eastAsia" w:ascii="仿宋" w:hAnsi="仿宋" w:eastAsia="仿宋" w:cs="仿宋"/>
          <w:sz w:val="28"/>
          <w:szCs w:val="28"/>
        </w:rPr>
        <w:br w:type="page"/>
      </w:r>
      <w:bookmarkEnd w:id="292"/>
      <w:bookmarkEnd w:id="293"/>
      <w:bookmarkEnd w:id="294"/>
      <w:bookmarkStart w:id="295" w:name="_Toc32325"/>
      <w:bookmarkStart w:id="296" w:name="_Toc24466"/>
      <w:bookmarkStart w:id="297" w:name="_Toc461525329"/>
      <w:bookmarkStart w:id="298" w:name="_Toc15071"/>
      <w:bookmarkStart w:id="299" w:name="_Toc30157"/>
      <w:bookmarkStart w:id="300" w:name="_Toc29655"/>
      <w:bookmarkStart w:id="301" w:name="_Toc18804"/>
      <w:bookmarkStart w:id="302" w:name="_Toc15465"/>
      <w:bookmarkStart w:id="303" w:name="_Toc29347"/>
      <w:bookmarkStart w:id="304" w:name="_Toc26924"/>
      <w:bookmarkStart w:id="305" w:name="_Toc17531"/>
      <w:bookmarkStart w:id="306" w:name="_Toc14714"/>
      <w:r>
        <w:rPr>
          <w:rFonts w:hint="eastAsia" w:ascii="仿宋_GB2312" w:hAnsi="仿宋_GB2312" w:eastAsia="仿宋_GB2312" w:cs="仿宋_GB2312"/>
          <w:b/>
          <w:bCs/>
          <w:sz w:val="32"/>
          <w:szCs w:val="32"/>
        </w:rPr>
        <w:t>1.诚信声明</w:t>
      </w:r>
    </w:p>
    <w:p w14:paraId="2CF21CD5">
      <w:pPr>
        <w:spacing w:line="480" w:lineRule="exact"/>
        <w:ind w:firstLine="560" w:firstLineChars="200"/>
        <w:rPr>
          <w:rFonts w:ascii="仿宋_GB2312" w:hAnsi="仿宋_GB2312" w:eastAsia="仿宋_GB2312" w:cs="仿宋_GB2312"/>
          <w:sz w:val="28"/>
          <w:szCs w:val="28"/>
        </w:rPr>
      </w:pPr>
    </w:p>
    <w:p w14:paraId="2C701DA5">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本人（法定代表人、身份证号码）郑重声明：</w:t>
      </w:r>
    </w:p>
    <w:p w14:paraId="4FD7D822">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（1）本公司参加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采购项目比选活动所提交的所有资料、填写数据及所包含的附件资料内容是真实的、合法的、有效的；</w:t>
      </w:r>
    </w:p>
    <w:p w14:paraId="3C55CC00">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（2）本公司未被国家、广西壮族自治区、南宁市相关行政主管部门通报停止投标活动，无犯罪行贿记录；</w:t>
      </w:r>
    </w:p>
    <w:p w14:paraId="0DF8CCE2">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（3）同时，我在此所作的声明也是真实有效的，并愿意对在比选过程中有关部门的调查结果承担责任；</w:t>
      </w:r>
    </w:p>
    <w:p w14:paraId="5B7E06FD">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（4）本公司提交的所有比选申请资料如有不实，愿接受相关部门依据有关法律法规给予的处罚。</w:t>
      </w:r>
    </w:p>
    <w:p w14:paraId="31F60931">
      <w:pPr>
        <w:spacing w:line="480" w:lineRule="exact"/>
        <w:ind w:firstLine="548" w:firstLineChars="196"/>
        <w:rPr>
          <w:rFonts w:ascii="仿宋_GB2312" w:hAnsi="仿宋_GB2312" w:eastAsia="仿宋_GB2312" w:cs="仿宋_GB2312"/>
          <w:sz w:val="28"/>
          <w:szCs w:val="28"/>
        </w:rPr>
      </w:pPr>
    </w:p>
    <w:p w14:paraId="78FF13DD">
      <w:pPr>
        <w:spacing w:line="480" w:lineRule="exact"/>
        <w:ind w:firstLine="548" w:firstLineChars="196"/>
        <w:rPr>
          <w:rFonts w:ascii="仿宋_GB2312" w:hAnsi="仿宋_GB2312" w:eastAsia="仿宋_GB2312" w:cs="仿宋_GB2312"/>
          <w:sz w:val="28"/>
          <w:szCs w:val="28"/>
        </w:rPr>
      </w:pPr>
    </w:p>
    <w:p w14:paraId="7026E02B">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比选申请人（公章）</w:t>
      </w:r>
    </w:p>
    <w:p w14:paraId="7AA79FC4">
      <w:pPr>
        <w:spacing w:line="480" w:lineRule="exact"/>
        <w:ind w:firstLine="548" w:firstLineChars="196"/>
        <w:rPr>
          <w:rFonts w:ascii="仿宋_GB2312" w:hAnsi="仿宋_GB2312" w:eastAsia="仿宋_GB2312" w:cs="仿宋_GB2312"/>
          <w:sz w:val="28"/>
          <w:szCs w:val="28"/>
        </w:rPr>
      </w:pPr>
    </w:p>
    <w:p w14:paraId="1DF8B2F1">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负责人（签字或盖章）：</w:t>
      </w:r>
    </w:p>
    <w:p w14:paraId="3F9806A9">
      <w:pPr>
        <w:spacing w:line="480" w:lineRule="exact"/>
        <w:ind w:firstLine="548" w:firstLineChars="196"/>
        <w:rPr>
          <w:rFonts w:ascii="仿宋_GB2312" w:hAnsi="仿宋_GB2312" w:eastAsia="仿宋_GB2312" w:cs="仿宋_GB2312"/>
          <w:sz w:val="28"/>
          <w:szCs w:val="28"/>
        </w:rPr>
      </w:pPr>
    </w:p>
    <w:p w14:paraId="64AD4445">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bookmarkEnd w:id="295"/>
    <w:bookmarkEnd w:id="296"/>
    <w:bookmarkEnd w:id="297"/>
    <w:bookmarkEnd w:id="298"/>
    <w:bookmarkEnd w:id="299"/>
    <w:bookmarkEnd w:id="300"/>
    <w:bookmarkEnd w:id="301"/>
    <w:bookmarkEnd w:id="302"/>
    <w:bookmarkEnd w:id="303"/>
    <w:bookmarkEnd w:id="304"/>
    <w:bookmarkEnd w:id="305"/>
    <w:bookmarkEnd w:id="306"/>
    <w:p w14:paraId="2C676CAB">
      <w:pPr>
        <w:spacing w:line="480" w:lineRule="exact"/>
        <w:ind w:right="-21" w:firstLine="321" w:firstLineChars="100"/>
        <w:jc w:val="left"/>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307" w:name="_Toc750"/>
      <w:bookmarkStart w:id="308" w:name="_Toc25670"/>
      <w:bookmarkStart w:id="309" w:name="_Toc19937"/>
      <w:bookmarkStart w:id="310" w:name="_Toc28436"/>
      <w:bookmarkStart w:id="311" w:name="_Toc32075"/>
      <w:bookmarkStart w:id="312" w:name="_Toc7760"/>
      <w:bookmarkStart w:id="313" w:name="_Toc16756"/>
      <w:bookmarkStart w:id="314" w:name="_Toc3498"/>
      <w:bookmarkStart w:id="315" w:name="_Toc6606"/>
    </w:p>
    <w:p w14:paraId="07D99300">
      <w:pPr>
        <w:spacing w:line="480" w:lineRule="exact"/>
        <w:ind w:right="-21"/>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2.比选函（格式）</w:t>
      </w:r>
    </w:p>
    <w:p w14:paraId="619F37D3">
      <w:pPr>
        <w:spacing w:line="480" w:lineRule="exact"/>
        <w:ind w:right="565" w:rightChars="269"/>
        <w:jc w:val="left"/>
        <w:rPr>
          <w:rFonts w:ascii="仿宋_GB2312" w:hAnsi="仿宋_GB2312" w:eastAsia="仿宋_GB2312" w:cs="仿宋_GB2312"/>
          <w:sz w:val="28"/>
          <w:szCs w:val="28"/>
        </w:rPr>
      </w:pPr>
    </w:p>
    <w:p w14:paraId="12C306B9">
      <w:pPr>
        <w:spacing w:line="480" w:lineRule="exact"/>
        <w:ind w:right="565" w:rightChars="26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致：南宁轨道数智科技有限公司</w:t>
      </w:r>
    </w:p>
    <w:p w14:paraId="10C2AA06">
      <w:pPr>
        <w:spacing w:line="480" w:lineRule="exact"/>
        <w:ind w:right="-21" w:rightChars="-10"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根据贵方提供的南宁轨道数智科技有限公司数字档案管理系统项目</w:t>
      </w:r>
    </w:p>
    <w:p w14:paraId="479B4C84">
      <w:pPr>
        <w:spacing w:line="480" w:lineRule="exact"/>
        <w:ind w:right="-21" w:rightChars="-1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比选文件，我方正式授权下述签字人（姓名和职务）全权代表我方（比选申请人全称）参加贵方组织的有关比选活动，并提交下述文件：</w:t>
      </w:r>
    </w:p>
    <w:p w14:paraId="40C3CE6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一、资格审查文件正本一份，副本四份</w:t>
      </w:r>
    </w:p>
    <w:p w14:paraId="6C3ADD8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二、商务部分文件正本一份，副本四份</w:t>
      </w:r>
    </w:p>
    <w:p w14:paraId="2041799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三、技术部分文件正本一份，副本四份</w:t>
      </w:r>
    </w:p>
    <w:p w14:paraId="33858FC1">
      <w:pPr>
        <w:spacing w:line="480" w:lineRule="exact"/>
        <w:ind w:right="565" w:rightChars="269" w:firstLine="420"/>
        <w:jc w:val="left"/>
        <w:rPr>
          <w:rFonts w:ascii="仿宋_GB2312" w:hAnsi="仿宋_GB2312" w:eastAsia="仿宋_GB2312" w:cs="仿宋_GB2312"/>
          <w:sz w:val="28"/>
          <w:szCs w:val="28"/>
        </w:rPr>
      </w:pPr>
    </w:p>
    <w:p w14:paraId="7B667877">
      <w:pPr>
        <w:spacing w:line="480" w:lineRule="exact"/>
        <w:ind w:right="565" w:rightChars="269" w:firstLine="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据此函，签字人兹宣布同意如下：</w:t>
      </w:r>
    </w:p>
    <w:p w14:paraId="5A69F7E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1.我方同意在比选申请人须知规定的提交比选申请文件截止日期起遵循本比选文件，并在比选申请文件有效期满之前均具有约束力，并有可能中选。</w:t>
      </w:r>
    </w:p>
    <w:p w14:paraId="51805F84">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2.我方承诺已经具备比选申请人应当具备的条件：</w:t>
      </w:r>
    </w:p>
    <w:p w14:paraId="6AAF696D">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（1）经司法行政部门依法批准成立3年以上。</w:t>
      </w:r>
    </w:p>
    <w:p w14:paraId="11CA686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（2）参加此项比选活动前3年内没有受到行政处罚或行业处分。</w:t>
      </w:r>
    </w:p>
    <w:p w14:paraId="0EB1E2E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（3）具有独立承担民事责任的能力；</w:t>
      </w:r>
    </w:p>
    <w:p w14:paraId="7146455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（4）未被国家、广西壮族自治区、南宁市相关行政主管部门通报停止投标活动，无犯罪行贿记录。</w:t>
      </w:r>
    </w:p>
    <w:p w14:paraId="682D5F61">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（5）具有良好的商业信誉和健全的财务会计制度，具备较强的风险承受能力。</w:t>
      </w:r>
    </w:p>
    <w:p w14:paraId="5D75A561">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（6）具有履行合同所必需的设备和专业技术能力；</w:t>
      </w:r>
    </w:p>
    <w:p w14:paraId="673791A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（7）有依法缴纳税收和社会保障资金的良好记录。</w:t>
      </w:r>
    </w:p>
    <w:p w14:paraId="6C32F02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3.我方根据比选文件的规定，承担完成合同的责任和义务。</w:t>
      </w:r>
    </w:p>
    <w:p w14:paraId="4B839BA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4.我方已详细对照比选文件，我方知道必须放弃提出含糊不清或误解问题的权利</w:t>
      </w:r>
    </w:p>
    <w:p w14:paraId="19B0C82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5.同意应贵方要求提供与本比选项目有关的任何数据或资料。</w:t>
      </w:r>
    </w:p>
    <w:p w14:paraId="24EEA387">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6.若贵方需要，我方愿意提供我方作出的一切承诺的证明材料。</w:t>
      </w:r>
    </w:p>
    <w:p w14:paraId="04589AC4">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7.我方将严格遵守规定，我方有下列情形之一的，将接受贵方列入不良行为记录名单、追究法律责任等处罚：</w:t>
      </w:r>
    </w:p>
    <w:p w14:paraId="7BF59C98">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（1）提供虚假材料谋取中选、成交的；</w:t>
      </w:r>
    </w:p>
    <w:p w14:paraId="172AAAD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（2）采取不正当手段诋毁、排挤其他比选申请人的；</w:t>
      </w:r>
    </w:p>
    <w:p w14:paraId="60C801C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（3）与其他比选申请人恶意串通的；</w:t>
      </w:r>
    </w:p>
    <w:p w14:paraId="2A458E8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（4）向比选人行贿或者提供其他不正当利益的；</w:t>
      </w:r>
    </w:p>
    <w:p w14:paraId="1100E2A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（5）拒绝有关部门监督检查或提供虚假情况的。</w:t>
      </w:r>
    </w:p>
    <w:p w14:paraId="4C22D0C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与本比选活动有关的正式通讯地址为：</w:t>
      </w:r>
    </w:p>
    <w:p w14:paraId="7BE8E6EB">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7D438361">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7790CFC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5D367D6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38A8E62C">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开户名称：</w:t>
      </w:r>
    </w:p>
    <w:p w14:paraId="362F68F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4DAD95A5">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帐号：</w:t>
      </w:r>
    </w:p>
    <w:p w14:paraId="37E8118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负责人或其委托代理人（签名或盖章）：</w:t>
      </w:r>
    </w:p>
    <w:p w14:paraId="10F6079D">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65230AF5">
      <w:pPr>
        <w:spacing w:line="480" w:lineRule="exact"/>
        <w:ind w:right="565" w:rightChars="269" w:firstLine="1960" w:firstLineChars="7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29E138FC">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注：未按照本比选函的格式要求填写比选函的，将视为不满</w:t>
      </w:r>
      <w:bookmarkStart w:id="316" w:name="_Toc1460"/>
      <w:r>
        <w:rPr>
          <w:rFonts w:hint="eastAsia" w:ascii="仿宋_GB2312" w:hAnsi="仿宋_GB2312" w:eastAsia="仿宋_GB2312" w:cs="仿宋_GB2312"/>
          <w:sz w:val="28"/>
          <w:szCs w:val="28"/>
        </w:rPr>
        <w:t>足比选文</w:t>
      </w:r>
      <w:bookmarkEnd w:id="316"/>
      <w:r>
        <w:rPr>
          <w:rFonts w:hint="eastAsia" w:ascii="仿宋_GB2312" w:hAnsi="仿宋_GB2312" w:eastAsia="仿宋_GB2312" w:cs="仿宋_GB2312"/>
          <w:sz w:val="28"/>
          <w:szCs w:val="28"/>
        </w:rPr>
        <w:t>件要求，从而导致该比选申请人竞选无效。</w:t>
      </w:r>
    </w:p>
    <w:p w14:paraId="4B934B5F">
      <w:pPr>
        <w:spacing w:line="480" w:lineRule="exact"/>
        <w:ind w:right="565" w:rightChars="269"/>
        <w:jc w:val="left"/>
        <w:rPr>
          <w:rFonts w:ascii="仿宋" w:hAnsi="仿宋" w:eastAsia="仿宋" w:cs="仿宋"/>
          <w:sz w:val="28"/>
          <w:szCs w:val="28"/>
        </w:rPr>
      </w:pPr>
    </w:p>
    <w:p w14:paraId="36F759F3">
      <w:pPr>
        <w:spacing w:line="480" w:lineRule="exact"/>
        <w:ind w:right="565" w:rightChars="269" w:firstLine="560" w:firstLineChars="200"/>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307"/>
    <w:bookmarkEnd w:id="308"/>
    <w:bookmarkEnd w:id="309"/>
    <w:bookmarkEnd w:id="310"/>
    <w:bookmarkEnd w:id="311"/>
    <w:bookmarkEnd w:id="312"/>
    <w:bookmarkEnd w:id="313"/>
    <w:bookmarkEnd w:id="314"/>
    <w:bookmarkEnd w:id="315"/>
    <w:p w14:paraId="05D3777D">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3.公司营业执照（复印件加盖公章）</w:t>
      </w:r>
    </w:p>
    <w:p w14:paraId="4C4C8119">
      <w:pPr>
        <w:spacing w:line="480" w:lineRule="exact"/>
        <w:ind w:right="-21"/>
        <w:jc w:val="left"/>
        <w:rPr>
          <w:rFonts w:ascii="仿宋" w:hAnsi="仿宋" w:eastAsia="仿宋" w:cs="仿宋"/>
          <w:b/>
          <w:bCs/>
          <w:sz w:val="32"/>
          <w:szCs w:val="32"/>
        </w:rPr>
      </w:pPr>
    </w:p>
    <w:p w14:paraId="7B5A5D62">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77F5BA16">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4.公司法人身份证明（复印件加盖公章）</w:t>
      </w:r>
    </w:p>
    <w:p w14:paraId="70EC23BA">
      <w:pPr>
        <w:spacing w:line="480" w:lineRule="exact"/>
        <w:ind w:right="-21"/>
        <w:jc w:val="left"/>
        <w:rPr>
          <w:rFonts w:ascii="仿宋" w:hAnsi="仿宋" w:eastAsia="仿宋" w:cs="仿宋"/>
          <w:b/>
          <w:bCs/>
          <w:sz w:val="32"/>
          <w:szCs w:val="32"/>
        </w:rPr>
      </w:pPr>
    </w:p>
    <w:p w14:paraId="40CE0ECC">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317" w:name="_Toc21578"/>
      <w:bookmarkStart w:id="318" w:name="_Toc20164"/>
      <w:bookmarkStart w:id="319" w:name="_Toc16140"/>
      <w:bookmarkStart w:id="320" w:name="_Toc15718"/>
      <w:bookmarkStart w:id="321" w:name="_Toc14553"/>
      <w:bookmarkStart w:id="322" w:name="_Toc32606"/>
      <w:bookmarkStart w:id="323" w:name="_Toc27593"/>
      <w:bookmarkStart w:id="324" w:name="_Toc31680"/>
      <w:bookmarkStart w:id="325" w:name="_Toc24923"/>
      <w:bookmarkStart w:id="326" w:name="_Toc2861"/>
      <w:bookmarkStart w:id="327" w:name="_Toc12228"/>
      <w:bookmarkStart w:id="328" w:name="_Toc461525326"/>
    </w:p>
    <w:p w14:paraId="48EA499D">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5.授权委托书</w:t>
      </w:r>
      <w:bookmarkEnd w:id="317"/>
      <w:bookmarkEnd w:id="318"/>
      <w:r>
        <w:rPr>
          <w:rFonts w:hint="eastAsia" w:ascii="仿宋" w:hAnsi="仿宋" w:eastAsia="仿宋" w:cs="仿宋"/>
          <w:b/>
          <w:bCs/>
          <w:sz w:val="32"/>
          <w:szCs w:val="32"/>
        </w:rPr>
        <w:t>（格式）</w:t>
      </w:r>
      <w:bookmarkEnd w:id="319"/>
      <w:bookmarkEnd w:id="320"/>
      <w:bookmarkEnd w:id="321"/>
      <w:bookmarkEnd w:id="322"/>
      <w:bookmarkEnd w:id="323"/>
      <w:bookmarkEnd w:id="324"/>
      <w:bookmarkEnd w:id="325"/>
      <w:bookmarkEnd w:id="326"/>
      <w:bookmarkEnd w:id="327"/>
      <w:bookmarkEnd w:id="328"/>
    </w:p>
    <w:p w14:paraId="61438879">
      <w:pPr>
        <w:spacing w:line="480" w:lineRule="exact"/>
        <w:ind w:left="279" w:leftChars="133" w:right="565" w:rightChars="269" w:firstLine="280" w:firstLineChars="100"/>
        <w:jc w:val="left"/>
        <w:rPr>
          <w:rFonts w:ascii="仿宋" w:hAnsi="仿宋" w:eastAsia="仿宋" w:cs="仿宋"/>
          <w:sz w:val="28"/>
          <w:szCs w:val="28"/>
        </w:rPr>
      </w:pPr>
    </w:p>
    <w:p w14:paraId="5852619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本授权委托书声明：我系</w:t>
      </w:r>
      <w:r>
        <w:rPr>
          <w:rFonts w:hint="eastAsia" w:ascii="仿宋" w:hAnsi="仿宋" w:eastAsia="仿宋" w:cs="仿宋"/>
          <w:sz w:val="28"/>
          <w:szCs w:val="28"/>
          <w:u w:val="single"/>
        </w:rPr>
        <w:t xml:space="preserve">        </w:t>
      </w:r>
      <w:r>
        <w:rPr>
          <w:rFonts w:hint="eastAsia" w:ascii="仿宋" w:hAnsi="仿宋" w:eastAsia="仿宋" w:cs="仿宋"/>
          <w:sz w:val="28"/>
          <w:szCs w:val="28"/>
        </w:rPr>
        <w:t>的负责人，现授权委托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为我公司代理人，以本公司名义参加项目的比选活动。代理人在评比、评比、合</w:t>
      </w:r>
      <w:bookmarkStart w:id="329" w:name="_Toc114052397"/>
      <w:r>
        <w:rPr>
          <w:rFonts w:hint="eastAsia" w:ascii="仿宋" w:hAnsi="仿宋" w:eastAsia="仿宋" w:cs="仿宋"/>
          <w:sz w:val="28"/>
          <w:szCs w:val="28"/>
        </w:rPr>
        <w:t>同谈判过程中所签署的一切文</w:t>
      </w:r>
      <w:bookmarkEnd w:id="329"/>
      <w:r>
        <w:rPr>
          <w:rFonts w:hint="eastAsia" w:ascii="仿宋" w:hAnsi="仿宋" w:eastAsia="仿宋" w:cs="仿宋"/>
          <w:sz w:val="28"/>
          <w:szCs w:val="28"/>
        </w:rPr>
        <w:t>件和处理与之有关的一切事务，我均予以确认。</w:t>
      </w:r>
    </w:p>
    <w:p w14:paraId="73DAD8E3">
      <w:pPr>
        <w:spacing w:line="480" w:lineRule="exact"/>
        <w:ind w:right="565" w:rightChars="269"/>
        <w:jc w:val="left"/>
        <w:rPr>
          <w:rFonts w:ascii="仿宋" w:hAnsi="仿宋" w:eastAsia="仿宋" w:cs="仿宋"/>
          <w:sz w:val="28"/>
          <w:szCs w:val="28"/>
        </w:rPr>
      </w:pPr>
    </w:p>
    <w:p w14:paraId="59628C7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代理人无转委权。特此委托。</w:t>
      </w:r>
    </w:p>
    <w:p w14:paraId="656A9EEE">
      <w:pPr>
        <w:spacing w:line="480" w:lineRule="exact"/>
        <w:ind w:right="565" w:rightChars="269"/>
        <w:jc w:val="left"/>
        <w:rPr>
          <w:rFonts w:ascii="仿宋" w:hAnsi="仿宋" w:eastAsia="仿宋" w:cs="仿宋"/>
          <w:sz w:val="28"/>
          <w:szCs w:val="28"/>
        </w:rPr>
      </w:pPr>
    </w:p>
    <w:p w14:paraId="708DE35A">
      <w:pPr>
        <w:spacing w:line="480" w:lineRule="exact"/>
        <w:ind w:right="565" w:rightChars="269"/>
        <w:jc w:val="left"/>
        <w:rPr>
          <w:rFonts w:ascii="仿宋" w:hAnsi="仿宋" w:eastAsia="仿宋" w:cs="仿宋"/>
          <w:sz w:val="28"/>
          <w:szCs w:val="28"/>
        </w:rPr>
      </w:pPr>
    </w:p>
    <w:p w14:paraId="253DA27A">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w:t>
      </w:r>
    </w:p>
    <w:p w14:paraId="3670DDB6">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性别：</w:t>
      </w:r>
    </w:p>
    <w:p w14:paraId="081A7312">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年龄：</w:t>
      </w:r>
    </w:p>
    <w:p w14:paraId="3D5FBC1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单</w:t>
      </w:r>
      <w:bookmarkStart w:id="330" w:name="_Toc114052398"/>
      <w:r>
        <w:rPr>
          <w:rFonts w:hint="eastAsia" w:ascii="仿宋" w:hAnsi="仿宋" w:eastAsia="仿宋" w:cs="仿宋"/>
          <w:sz w:val="28"/>
          <w:szCs w:val="28"/>
        </w:rPr>
        <w:t>位：</w:t>
      </w:r>
      <w:bookmarkEnd w:id="330"/>
      <w:bookmarkStart w:id="331" w:name="_Toc114052399"/>
    </w:p>
    <w:p w14:paraId="2CAB6005">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部门：</w:t>
      </w:r>
      <w:bookmarkEnd w:id="331"/>
    </w:p>
    <w:p w14:paraId="7BD40C7B">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职务：</w:t>
      </w:r>
    </w:p>
    <w:p w14:paraId="14DCBC0E">
      <w:pPr>
        <w:spacing w:line="480" w:lineRule="exact"/>
        <w:ind w:right="565" w:rightChars="269"/>
        <w:jc w:val="left"/>
        <w:rPr>
          <w:rFonts w:ascii="仿宋" w:hAnsi="仿宋" w:eastAsia="仿宋" w:cs="仿宋"/>
          <w:sz w:val="28"/>
          <w:szCs w:val="28"/>
        </w:rPr>
      </w:pPr>
    </w:p>
    <w:p w14:paraId="11792296">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比选申请人：（盖公章）</w:t>
      </w:r>
    </w:p>
    <w:p w14:paraId="45B3FE8C">
      <w:pPr>
        <w:spacing w:line="480" w:lineRule="exact"/>
        <w:ind w:right="565" w:rightChars="269"/>
        <w:jc w:val="left"/>
        <w:rPr>
          <w:rFonts w:ascii="仿宋" w:hAnsi="仿宋" w:eastAsia="仿宋" w:cs="仿宋"/>
          <w:sz w:val="28"/>
          <w:szCs w:val="28"/>
        </w:rPr>
      </w:pPr>
    </w:p>
    <w:p w14:paraId="0DE26498">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负责人：（签字或盖章）</w:t>
      </w:r>
    </w:p>
    <w:p w14:paraId="3C94942C">
      <w:pPr>
        <w:spacing w:line="480" w:lineRule="exact"/>
        <w:ind w:right="565" w:rightChars="269"/>
        <w:jc w:val="left"/>
        <w:rPr>
          <w:rFonts w:ascii="仿宋" w:hAnsi="仿宋" w:eastAsia="仿宋" w:cs="仿宋"/>
          <w:sz w:val="28"/>
          <w:szCs w:val="28"/>
        </w:rPr>
      </w:pPr>
    </w:p>
    <w:p w14:paraId="631FF317">
      <w:pPr>
        <w:spacing w:line="480" w:lineRule="exact"/>
        <w:ind w:right="565" w:rightChars="269"/>
        <w:jc w:val="left"/>
        <w:rPr>
          <w:rFonts w:ascii="仿宋" w:hAnsi="仿宋" w:eastAsia="仿宋" w:cs="仿宋"/>
          <w:sz w:val="28"/>
          <w:szCs w:val="28"/>
        </w:rPr>
      </w:pPr>
    </w:p>
    <w:p w14:paraId="4EA2F211">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日期：</w:t>
      </w:r>
      <w:bookmarkStart w:id="332" w:name="_Toc6110"/>
      <w:bookmarkStart w:id="333" w:name="_Toc333307132"/>
      <w:r>
        <w:rPr>
          <w:rFonts w:hint="eastAsia" w:ascii="仿宋" w:hAnsi="仿宋" w:eastAsia="仿宋" w:cs="仿宋"/>
          <w:sz w:val="28"/>
          <w:szCs w:val="28"/>
        </w:rPr>
        <w:t>年</w:t>
      </w:r>
      <w:bookmarkEnd w:id="332"/>
      <w:bookmarkEnd w:id="333"/>
      <w:r>
        <w:rPr>
          <w:rFonts w:hint="eastAsia" w:ascii="仿宋" w:hAnsi="仿宋" w:eastAsia="仿宋" w:cs="仿宋"/>
          <w:sz w:val="28"/>
          <w:szCs w:val="28"/>
        </w:rPr>
        <w:t xml:space="preserve"> 月 日</w:t>
      </w:r>
    </w:p>
    <w:p w14:paraId="5CC545EE">
      <w:pPr>
        <w:spacing w:line="480" w:lineRule="exact"/>
        <w:ind w:right="565" w:rightChars="269"/>
        <w:jc w:val="left"/>
        <w:rPr>
          <w:rFonts w:ascii="仿宋" w:hAnsi="仿宋" w:eastAsia="仿宋" w:cs="仿宋"/>
          <w:sz w:val="28"/>
          <w:szCs w:val="28"/>
        </w:rPr>
      </w:pPr>
    </w:p>
    <w:p w14:paraId="5BB3F02A">
      <w:pPr>
        <w:autoSpaceDE w:val="0"/>
        <w:autoSpaceDN w:val="0"/>
        <w:adjustRightInd w:val="0"/>
        <w:spacing w:line="480" w:lineRule="exact"/>
        <w:rPr>
          <w:rFonts w:ascii="仿宋" w:hAnsi="仿宋" w:eastAsia="仿宋" w:cs="仿宋"/>
          <w:b/>
          <w:kern w:val="0"/>
          <w:sz w:val="28"/>
          <w:szCs w:val="28"/>
        </w:rPr>
      </w:pPr>
    </w:p>
    <w:p w14:paraId="478A7D2E">
      <w:pPr>
        <w:autoSpaceDE w:val="0"/>
        <w:autoSpaceDN w:val="0"/>
        <w:adjustRightInd w:val="0"/>
        <w:spacing w:line="480" w:lineRule="exact"/>
        <w:rPr>
          <w:rFonts w:ascii="仿宋" w:hAnsi="仿宋" w:eastAsia="仿宋" w:cs="仿宋"/>
          <w:b/>
          <w:bCs/>
          <w:kern w:val="0"/>
          <w:sz w:val="28"/>
          <w:szCs w:val="28"/>
        </w:rPr>
        <w:sectPr>
          <w:pgSz w:w="11906" w:h="16838"/>
          <w:pgMar w:top="2098" w:right="1474" w:bottom="1984" w:left="1587" w:header="851" w:footer="992" w:gutter="0"/>
          <w:pgNumType w:fmt="numberInDash"/>
          <w:cols w:space="720" w:num="1"/>
          <w:docGrid w:type="lines" w:linePitch="312" w:charSpace="0"/>
        </w:sectPr>
      </w:pPr>
      <w:bookmarkStart w:id="334" w:name="_Toc26749"/>
      <w:bookmarkStart w:id="335" w:name="_Toc18479"/>
      <w:bookmarkStart w:id="336" w:name="_Toc30136"/>
      <w:bookmarkStart w:id="337" w:name="_Toc880"/>
      <w:bookmarkStart w:id="338" w:name="_Toc1509"/>
      <w:bookmarkStart w:id="339" w:name="_Toc29504"/>
      <w:bookmarkStart w:id="340" w:name="_Toc2475"/>
      <w:bookmarkStart w:id="341" w:name="_Toc11434"/>
    </w:p>
    <w:p w14:paraId="300D991D">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6.授权代表人身份证明文件（提供复印件加盖法人单位公章）</w:t>
      </w:r>
    </w:p>
    <w:bookmarkEnd w:id="334"/>
    <w:bookmarkEnd w:id="335"/>
    <w:bookmarkEnd w:id="336"/>
    <w:bookmarkEnd w:id="337"/>
    <w:bookmarkEnd w:id="338"/>
    <w:bookmarkEnd w:id="339"/>
    <w:bookmarkEnd w:id="340"/>
    <w:bookmarkEnd w:id="341"/>
    <w:p w14:paraId="53D8271E">
      <w:pPr>
        <w:spacing w:line="480" w:lineRule="exact"/>
        <w:ind w:right="753"/>
        <w:jc w:val="left"/>
        <w:rPr>
          <w:rFonts w:ascii="仿宋" w:hAnsi="仿宋" w:eastAsia="仿宋" w:cs="仿宋"/>
          <w:sz w:val="28"/>
          <w:szCs w:val="28"/>
        </w:rPr>
      </w:pPr>
    </w:p>
    <w:p w14:paraId="3D745466">
      <w:pPr>
        <w:spacing w:line="480" w:lineRule="exact"/>
        <w:ind w:right="753"/>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bookmarkStart w:id="342" w:name="_Toc31521"/>
      <w:bookmarkStart w:id="343" w:name="_Toc1986"/>
      <w:bookmarkStart w:id="344" w:name="_Toc23508"/>
      <w:bookmarkStart w:id="345" w:name="_Toc29536"/>
      <w:bookmarkStart w:id="346" w:name="_Toc21144"/>
      <w:bookmarkStart w:id="347" w:name="_Toc26769"/>
      <w:bookmarkStart w:id="348" w:name="_Toc32510"/>
      <w:bookmarkStart w:id="349" w:name="_Toc31582"/>
      <w:bookmarkStart w:id="350" w:name="_Toc9379"/>
    </w:p>
    <w:p w14:paraId="321AA081">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798CB3D1">
      <w:pPr>
        <w:spacing w:line="480" w:lineRule="exact"/>
        <w:ind w:right="753"/>
        <w:jc w:val="left"/>
        <w:rPr>
          <w:rFonts w:ascii="仿宋" w:hAnsi="仿宋" w:eastAsia="仿宋" w:cs="仿宋"/>
          <w:sz w:val="28"/>
          <w:szCs w:val="28"/>
        </w:rPr>
      </w:pPr>
    </w:p>
    <w:p w14:paraId="07596D48">
      <w:pPr>
        <w:spacing w:line="480" w:lineRule="exact"/>
        <w:ind w:right="753"/>
        <w:jc w:val="left"/>
        <w:rPr>
          <w:rFonts w:ascii="仿宋" w:hAnsi="仿宋" w:eastAsia="仿宋" w:cs="仿宋"/>
          <w:sz w:val="28"/>
          <w:szCs w:val="28"/>
        </w:rPr>
      </w:pPr>
    </w:p>
    <w:p w14:paraId="12B14F62">
      <w:pPr>
        <w:spacing w:line="480" w:lineRule="exact"/>
        <w:ind w:right="753"/>
        <w:jc w:val="left"/>
        <w:rPr>
          <w:rFonts w:ascii="仿宋" w:hAnsi="仿宋" w:eastAsia="仿宋" w:cs="仿宋"/>
          <w:sz w:val="44"/>
          <w:szCs w:val="44"/>
        </w:rPr>
      </w:pPr>
    </w:p>
    <w:p w14:paraId="38FBA3AC">
      <w:pPr>
        <w:spacing w:line="480" w:lineRule="exact"/>
        <w:jc w:val="center"/>
        <w:rPr>
          <w:rFonts w:ascii="方正小标宋简体" w:hAnsi="方正小标宋简体" w:eastAsia="方正小标宋简体" w:cs="方正小标宋简体"/>
          <w:sz w:val="44"/>
          <w:szCs w:val="44"/>
        </w:rPr>
      </w:pPr>
      <w:bookmarkStart w:id="351" w:name="_Toc22484"/>
      <w:r>
        <w:rPr>
          <w:rFonts w:hint="eastAsia" w:ascii="方正小标宋简体" w:hAnsi="方正小标宋简体" w:eastAsia="方正小标宋简体" w:cs="方正小标宋简体"/>
          <w:sz w:val="44"/>
          <w:szCs w:val="44"/>
        </w:rPr>
        <w:t>项目比选申请文件</w:t>
      </w:r>
      <w:bookmarkEnd w:id="351"/>
    </w:p>
    <w:p w14:paraId="2F77E539">
      <w:pPr>
        <w:spacing w:line="480" w:lineRule="exact"/>
        <w:jc w:val="center"/>
        <w:rPr>
          <w:rFonts w:ascii="方正小标宋简体" w:hAnsi="方正小标宋简体" w:eastAsia="方正小标宋简体" w:cs="方正小标宋简体"/>
          <w:sz w:val="44"/>
          <w:szCs w:val="44"/>
        </w:rPr>
      </w:pPr>
      <w:bookmarkStart w:id="352" w:name="_Toc25575"/>
      <w:bookmarkStart w:id="353" w:name="_Toc17902"/>
      <w:bookmarkStart w:id="354" w:name="_Toc10507"/>
      <w:bookmarkStart w:id="355" w:name="_Toc144"/>
      <w:bookmarkStart w:id="356" w:name="_Toc16451"/>
      <w:bookmarkStart w:id="357" w:name="_Toc31069"/>
      <w:bookmarkStart w:id="358" w:name="_Toc18631"/>
      <w:bookmarkStart w:id="359" w:name="_Toc461525334"/>
      <w:bookmarkStart w:id="360" w:name="_Toc17406"/>
      <w:bookmarkStart w:id="361" w:name="_Toc23149"/>
      <w:bookmarkStart w:id="362" w:name="_Toc124"/>
      <w:bookmarkStart w:id="363" w:name="_Toc4828"/>
      <w:r>
        <w:rPr>
          <w:rFonts w:hint="eastAsia" w:ascii="方正小标宋简体" w:hAnsi="方正小标宋简体" w:eastAsia="方正小标宋简体" w:cs="方正小标宋简体"/>
          <w:sz w:val="44"/>
          <w:szCs w:val="44"/>
        </w:rPr>
        <w:t>技术部分</w:t>
      </w:r>
      <w:bookmarkEnd w:id="352"/>
      <w:bookmarkEnd w:id="353"/>
      <w:bookmarkEnd w:id="354"/>
      <w:bookmarkEnd w:id="355"/>
      <w:bookmarkEnd w:id="356"/>
      <w:bookmarkEnd w:id="357"/>
      <w:bookmarkEnd w:id="358"/>
      <w:bookmarkEnd w:id="359"/>
      <w:bookmarkEnd w:id="360"/>
      <w:bookmarkEnd w:id="361"/>
      <w:bookmarkEnd w:id="362"/>
      <w:bookmarkEnd w:id="363"/>
    </w:p>
    <w:p w14:paraId="5B17F377">
      <w:pPr>
        <w:spacing w:line="480" w:lineRule="exact"/>
        <w:jc w:val="left"/>
        <w:rPr>
          <w:rFonts w:ascii="仿宋" w:hAnsi="仿宋" w:eastAsia="仿宋" w:cs="仿宋"/>
          <w:sz w:val="28"/>
          <w:szCs w:val="28"/>
        </w:rPr>
      </w:pPr>
    </w:p>
    <w:p w14:paraId="47479D32">
      <w:pPr>
        <w:spacing w:line="480" w:lineRule="exact"/>
        <w:ind w:right="753"/>
        <w:jc w:val="left"/>
        <w:rPr>
          <w:rFonts w:ascii="仿宋" w:hAnsi="仿宋" w:eastAsia="仿宋" w:cs="仿宋"/>
          <w:sz w:val="28"/>
          <w:szCs w:val="28"/>
        </w:rPr>
      </w:pPr>
    </w:p>
    <w:p w14:paraId="6E44F0E1">
      <w:pPr>
        <w:spacing w:line="480" w:lineRule="exact"/>
        <w:ind w:right="753"/>
        <w:jc w:val="left"/>
        <w:rPr>
          <w:rFonts w:ascii="仿宋" w:hAnsi="仿宋" w:eastAsia="仿宋" w:cs="仿宋"/>
          <w:sz w:val="28"/>
          <w:szCs w:val="28"/>
        </w:rPr>
      </w:pPr>
    </w:p>
    <w:p w14:paraId="3C346CFB">
      <w:pPr>
        <w:spacing w:line="480" w:lineRule="exact"/>
        <w:ind w:right="753"/>
        <w:jc w:val="left"/>
        <w:rPr>
          <w:rFonts w:ascii="仿宋" w:hAnsi="仿宋" w:eastAsia="仿宋" w:cs="仿宋"/>
          <w:sz w:val="28"/>
          <w:szCs w:val="28"/>
        </w:rPr>
      </w:pPr>
    </w:p>
    <w:p w14:paraId="4E5CB5AC">
      <w:pPr>
        <w:spacing w:line="480" w:lineRule="exact"/>
        <w:ind w:right="753"/>
        <w:jc w:val="left"/>
        <w:rPr>
          <w:rFonts w:ascii="仿宋" w:hAnsi="仿宋" w:eastAsia="仿宋" w:cs="仿宋"/>
          <w:sz w:val="28"/>
          <w:szCs w:val="28"/>
        </w:rPr>
      </w:pPr>
    </w:p>
    <w:p w14:paraId="29F1DE12">
      <w:pPr>
        <w:spacing w:line="480" w:lineRule="exact"/>
        <w:ind w:right="753"/>
        <w:jc w:val="left"/>
        <w:rPr>
          <w:rFonts w:ascii="仿宋" w:hAnsi="仿宋" w:eastAsia="仿宋" w:cs="仿宋"/>
          <w:sz w:val="28"/>
          <w:szCs w:val="28"/>
        </w:rPr>
      </w:pPr>
    </w:p>
    <w:p w14:paraId="7FB338EC">
      <w:pPr>
        <w:spacing w:line="480" w:lineRule="exact"/>
        <w:ind w:right="753"/>
        <w:jc w:val="left"/>
        <w:rPr>
          <w:rFonts w:ascii="仿宋" w:hAnsi="仿宋" w:eastAsia="仿宋" w:cs="仿宋"/>
          <w:sz w:val="28"/>
          <w:szCs w:val="28"/>
        </w:rPr>
      </w:pPr>
    </w:p>
    <w:p w14:paraId="70AC4355">
      <w:pPr>
        <w:spacing w:line="480" w:lineRule="exact"/>
        <w:ind w:right="753"/>
        <w:jc w:val="left"/>
        <w:rPr>
          <w:rFonts w:ascii="仿宋" w:hAnsi="仿宋" w:eastAsia="仿宋" w:cs="仿宋"/>
          <w:sz w:val="28"/>
          <w:szCs w:val="28"/>
        </w:rPr>
      </w:pPr>
    </w:p>
    <w:p w14:paraId="1BD71E1A">
      <w:pPr>
        <w:spacing w:line="480" w:lineRule="exact"/>
        <w:ind w:right="753"/>
        <w:jc w:val="left"/>
        <w:rPr>
          <w:rFonts w:ascii="仿宋" w:hAnsi="仿宋" w:eastAsia="仿宋" w:cs="仿宋"/>
          <w:sz w:val="28"/>
          <w:szCs w:val="28"/>
        </w:rPr>
      </w:pPr>
    </w:p>
    <w:p w14:paraId="60E14268">
      <w:pPr>
        <w:spacing w:line="480" w:lineRule="exact"/>
        <w:ind w:right="753"/>
        <w:jc w:val="left"/>
        <w:rPr>
          <w:rFonts w:ascii="仿宋" w:hAnsi="仿宋" w:eastAsia="仿宋" w:cs="仿宋"/>
          <w:sz w:val="28"/>
          <w:szCs w:val="28"/>
        </w:rPr>
      </w:pPr>
    </w:p>
    <w:p w14:paraId="3D84424B">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比选申请人：（盖章）</w:t>
      </w:r>
    </w:p>
    <w:p w14:paraId="4E3A8D87">
      <w:pPr>
        <w:spacing w:line="480" w:lineRule="exact"/>
        <w:ind w:right="753"/>
        <w:jc w:val="left"/>
        <w:rPr>
          <w:rFonts w:ascii="仿宋" w:hAnsi="仿宋" w:eastAsia="仿宋" w:cs="仿宋"/>
          <w:sz w:val="28"/>
          <w:szCs w:val="28"/>
        </w:rPr>
      </w:pPr>
      <w:r>
        <w:rPr>
          <w:rFonts w:hint="eastAsia" w:ascii="仿宋" w:hAnsi="仿宋" w:eastAsia="仿宋" w:cs="仿宋"/>
          <w:sz w:val="28"/>
          <w:szCs w:val="28"/>
        </w:rPr>
        <w:t>负责人或委托代理人：（签字或盖章）</w:t>
      </w:r>
    </w:p>
    <w:p w14:paraId="204C55ED">
      <w:pPr>
        <w:spacing w:line="480" w:lineRule="exact"/>
        <w:ind w:right="753"/>
        <w:jc w:val="left"/>
        <w:rPr>
          <w:rFonts w:ascii="仿宋" w:hAnsi="仿宋" w:eastAsia="仿宋" w:cs="仿宋"/>
          <w:sz w:val="28"/>
          <w:szCs w:val="28"/>
        </w:rPr>
      </w:pPr>
      <w:r>
        <w:rPr>
          <w:rFonts w:hint="eastAsia" w:ascii="仿宋" w:hAnsi="仿宋" w:eastAsia="仿宋" w:cs="仿宋"/>
          <w:sz w:val="28"/>
          <w:szCs w:val="28"/>
        </w:rPr>
        <w:t>电话/传真：</w:t>
      </w:r>
    </w:p>
    <w:p w14:paraId="765EDE11">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地址：</w:t>
      </w:r>
    </w:p>
    <w:p w14:paraId="1B455EDD">
      <w:pPr>
        <w:spacing w:line="480" w:lineRule="exact"/>
        <w:ind w:right="753"/>
        <w:jc w:val="left"/>
        <w:rPr>
          <w:rFonts w:ascii="仿宋" w:hAnsi="仿宋" w:eastAsia="仿宋" w:cs="仿宋"/>
          <w:sz w:val="28"/>
          <w:szCs w:val="28"/>
        </w:rPr>
      </w:pPr>
    </w:p>
    <w:p w14:paraId="454B0E5B">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年   月   日</w:t>
      </w:r>
    </w:p>
    <w:p w14:paraId="4053A080">
      <w:pPr>
        <w:spacing w:line="480" w:lineRule="exact"/>
        <w:ind w:right="753"/>
        <w:jc w:val="left"/>
        <w:rPr>
          <w:rFonts w:ascii="仿宋" w:hAnsi="仿宋" w:eastAsia="仿宋" w:cs="仿宋"/>
          <w:sz w:val="28"/>
          <w:szCs w:val="28"/>
        </w:rPr>
      </w:pPr>
    </w:p>
    <w:p w14:paraId="123DD95C">
      <w:pPr>
        <w:spacing w:line="480" w:lineRule="exact"/>
        <w:rPr>
          <w:rFonts w:ascii="仿宋" w:hAnsi="仿宋" w:eastAsia="仿宋" w:cs="仿宋"/>
          <w:sz w:val="32"/>
          <w:szCs w:val="32"/>
        </w:rPr>
        <w:sectPr>
          <w:pgSz w:w="11906" w:h="16838"/>
          <w:pgMar w:top="2098" w:right="1474" w:bottom="1984" w:left="1587" w:header="851" w:footer="992" w:gutter="0"/>
          <w:pgNumType w:fmt="numberInDash"/>
          <w:cols w:space="720" w:num="1"/>
          <w:docGrid w:type="lines" w:linePitch="312" w:charSpace="0"/>
        </w:sectPr>
      </w:pPr>
    </w:p>
    <w:p w14:paraId="6DBCEE96">
      <w:pPr>
        <w:spacing w:line="480" w:lineRule="exact"/>
        <w:outlineLvl w:val="1"/>
        <w:rPr>
          <w:rFonts w:ascii="仿宋_GB2312" w:hAnsi="仿宋_GB2312" w:eastAsia="仿宋_GB2312" w:cs="仿宋_GB2312"/>
          <w:b/>
          <w:bCs/>
          <w:sz w:val="32"/>
          <w:szCs w:val="32"/>
        </w:rPr>
      </w:pPr>
      <w:bookmarkStart w:id="364" w:name="_Toc559"/>
      <w:r>
        <w:rPr>
          <w:rFonts w:hint="eastAsia" w:ascii="仿宋_GB2312" w:hAnsi="仿宋_GB2312" w:eastAsia="仿宋_GB2312" w:cs="仿宋_GB2312"/>
          <w:b/>
          <w:bCs/>
          <w:sz w:val="32"/>
          <w:szCs w:val="32"/>
        </w:rPr>
        <w:t>二、技术部分材料</w:t>
      </w:r>
      <w:bookmarkEnd w:id="364"/>
    </w:p>
    <w:bookmarkEnd w:id="342"/>
    <w:bookmarkEnd w:id="343"/>
    <w:bookmarkEnd w:id="344"/>
    <w:bookmarkEnd w:id="345"/>
    <w:bookmarkEnd w:id="346"/>
    <w:bookmarkEnd w:id="347"/>
    <w:bookmarkEnd w:id="348"/>
    <w:bookmarkEnd w:id="349"/>
    <w:bookmarkEnd w:id="350"/>
    <w:p w14:paraId="39E87AE6">
      <w:pPr>
        <w:pStyle w:val="10"/>
        <w:sectPr>
          <w:pgSz w:w="16838" w:h="11906" w:orient="landscape"/>
          <w:pgMar w:top="1587" w:right="2098" w:bottom="1474" w:left="1984" w:header="851" w:footer="992" w:gutter="0"/>
          <w:pgNumType w:fmt="numberInDash"/>
          <w:cols w:space="720" w:num="1"/>
          <w:docGrid w:type="lines" w:linePitch="312" w:charSpace="0"/>
        </w:sectPr>
      </w:pPr>
      <w:bookmarkStart w:id="365" w:name="_Toc24408"/>
      <w:bookmarkStart w:id="366" w:name="_Toc461525328"/>
      <w:bookmarkStart w:id="367" w:name="_Toc21835"/>
      <w:bookmarkStart w:id="368" w:name="_Toc4901"/>
      <w:bookmarkStart w:id="369" w:name="_Toc11015"/>
      <w:bookmarkStart w:id="370" w:name="_Toc2010"/>
      <w:bookmarkStart w:id="371" w:name="_Toc30879"/>
      <w:bookmarkStart w:id="372" w:name="_Toc7127"/>
      <w:bookmarkStart w:id="373" w:name="_Toc16542"/>
      <w:bookmarkStart w:id="374" w:name="_Toc17346"/>
      <w:bookmarkStart w:id="375" w:name="_Toc24524"/>
      <w:bookmarkStart w:id="376" w:name="_Toc5616"/>
      <w:bookmarkStart w:id="377" w:name="_Toc333307135"/>
      <w:bookmarkStart w:id="378" w:name="_Toc31867"/>
      <w:bookmarkStart w:id="379" w:name="_Toc19445"/>
      <w:bookmarkStart w:id="380" w:name="_Toc12434"/>
      <w:bookmarkStart w:id="381" w:name="_Toc15155"/>
      <w:bookmarkStart w:id="382" w:name="_Toc27920"/>
      <w:bookmarkStart w:id="383" w:name="_Toc24947"/>
      <w:bookmarkStart w:id="384" w:name="_Toc5462"/>
      <w:bookmarkStart w:id="385" w:name="_Toc26103"/>
      <w:bookmarkStart w:id="386" w:name="_Toc9617"/>
      <w:bookmarkStart w:id="387" w:name="_Toc25435"/>
    </w:p>
    <w:p w14:paraId="17AAAE13">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69E4CC0E">
      <w:pPr>
        <w:spacing w:line="480" w:lineRule="exact"/>
        <w:jc w:val="left"/>
        <w:rPr>
          <w:rFonts w:ascii="仿宋" w:hAnsi="仿宋" w:eastAsia="仿宋" w:cs="仿宋"/>
          <w:sz w:val="28"/>
          <w:szCs w:val="28"/>
        </w:rPr>
      </w:pPr>
    </w:p>
    <w:p w14:paraId="3D53A19C">
      <w:pPr>
        <w:spacing w:line="480" w:lineRule="exact"/>
        <w:jc w:val="left"/>
        <w:rPr>
          <w:rFonts w:ascii="仿宋" w:hAnsi="仿宋" w:eastAsia="仿宋" w:cs="仿宋"/>
          <w:sz w:val="28"/>
          <w:szCs w:val="28"/>
        </w:rPr>
      </w:pPr>
    </w:p>
    <w:p w14:paraId="1F0E6895">
      <w:pPr>
        <w:spacing w:line="480" w:lineRule="exact"/>
        <w:jc w:val="left"/>
        <w:rPr>
          <w:rFonts w:ascii="仿宋" w:hAnsi="仿宋" w:eastAsia="仿宋" w:cs="仿宋"/>
          <w:sz w:val="44"/>
          <w:szCs w:val="44"/>
        </w:rPr>
      </w:pPr>
    </w:p>
    <w:p w14:paraId="01EFCC8A">
      <w:pPr>
        <w:spacing w:line="480" w:lineRule="exact"/>
        <w:jc w:val="center"/>
        <w:rPr>
          <w:rFonts w:ascii="方正小标宋简体" w:hAnsi="方正小标宋简体" w:eastAsia="方正小标宋简体" w:cs="方正小标宋简体"/>
          <w:sz w:val="44"/>
          <w:szCs w:val="44"/>
        </w:rPr>
      </w:pPr>
      <w:bookmarkStart w:id="388" w:name="_Toc28463"/>
      <w:r>
        <w:rPr>
          <w:rFonts w:hint="eastAsia" w:ascii="方正小标宋简体" w:hAnsi="方正小标宋简体" w:eastAsia="方正小标宋简体" w:cs="方正小标宋简体"/>
          <w:sz w:val="44"/>
          <w:szCs w:val="44"/>
        </w:rPr>
        <w:t>项目比选申请文件</w:t>
      </w:r>
      <w:bookmarkEnd w:id="388"/>
    </w:p>
    <w:p w14:paraId="5F594C05">
      <w:pPr>
        <w:spacing w:line="480" w:lineRule="exact"/>
        <w:jc w:val="center"/>
        <w:rPr>
          <w:rFonts w:ascii="方正小标宋简体" w:hAnsi="方正小标宋简体" w:eastAsia="方正小标宋简体" w:cs="方正小标宋简体"/>
          <w:sz w:val="44"/>
          <w:szCs w:val="44"/>
        </w:rPr>
      </w:pPr>
      <w:bookmarkStart w:id="389" w:name="_Toc3587"/>
      <w:bookmarkStart w:id="390" w:name="_Toc25235"/>
      <w:bookmarkStart w:id="391" w:name="_Toc15573"/>
      <w:bookmarkStart w:id="392" w:name="_Toc10925"/>
      <w:bookmarkStart w:id="393" w:name="_Toc20460"/>
      <w:bookmarkStart w:id="394" w:name="_Toc6458"/>
      <w:bookmarkStart w:id="395" w:name="_Toc27059"/>
      <w:bookmarkStart w:id="396" w:name="_Toc461525327"/>
      <w:bookmarkStart w:id="397" w:name="_Toc3278"/>
      <w:bookmarkStart w:id="398" w:name="_Toc196"/>
      <w:bookmarkStart w:id="399" w:name="_Toc21287"/>
      <w:r>
        <w:rPr>
          <w:rFonts w:hint="eastAsia" w:ascii="方正小标宋简体" w:hAnsi="方正小标宋简体" w:eastAsia="方正小标宋简体" w:cs="方正小标宋简体"/>
          <w:sz w:val="44"/>
          <w:szCs w:val="44"/>
        </w:rPr>
        <w:t>商务部分</w:t>
      </w:r>
      <w:bookmarkEnd w:id="389"/>
      <w:bookmarkEnd w:id="390"/>
      <w:bookmarkEnd w:id="391"/>
      <w:bookmarkEnd w:id="392"/>
      <w:bookmarkEnd w:id="393"/>
      <w:bookmarkEnd w:id="394"/>
      <w:bookmarkEnd w:id="395"/>
      <w:bookmarkEnd w:id="396"/>
      <w:bookmarkEnd w:id="397"/>
      <w:bookmarkEnd w:id="398"/>
      <w:bookmarkEnd w:id="399"/>
    </w:p>
    <w:p w14:paraId="5692B9A2">
      <w:pPr>
        <w:spacing w:line="480" w:lineRule="exact"/>
        <w:jc w:val="left"/>
        <w:rPr>
          <w:rFonts w:ascii="仿宋" w:hAnsi="仿宋" w:eastAsia="仿宋" w:cs="仿宋"/>
          <w:sz w:val="28"/>
          <w:szCs w:val="28"/>
        </w:rPr>
      </w:pPr>
    </w:p>
    <w:p w14:paraId="28C66A1E">
      <w:pPr>
        <w:spacing w:line="480" w:lineRule="exact"/>
        <w:ind w:right="753"/>
        <w:jc w:val="left"/>
        <w:rPr>
          <w:rFonts w:ascii="仿宋" w:hAnsi="仿宋" w:eastAsia="仿宋" w:cs="仿宋"/>
          <w:sz w:val="28"/>
          <w:szCs w:val="28"/>
        </w:rPr>
      </w:pPr>
    </w:p>
    <w:p w14:paraId="38EFD5D3">
      <w:pPr>
        <w:spacing w:line="480" w:lineRule="exact"/>
        <w:ind w:right="753"/>
        <w:jc w:val="left"/>
        <w:rPr>
          <w:rFonts w:ascii="仿宋" w:hAnsi="仿宋" w:eastAsia="仿宋" w:cs="仿宋"/>
          <w:sz w:val="28"/>
          <w:szCs w:val="28"/>
        </w:rPr>
      </w:pPr>
    </w:p>
    <w:p w14:paraId="21412B6D">
      <w:pPr>
        <w:spacing w:line="480" w:lineRule="exact"/>
        <w:ind w:right="753"/>
        <w:jc w:val="left"/>
        <w:rPr>
          <w:rFonts w:ascii="仿宋" w:hAnsi="仿宋" w:eastAsia="仿宋" w:cs="仿宋"/>
          <w:sz w:val="28"/>
          <w:szCs w:val="28"/>
        </w:rPr>
      </w:pPr>
    </w:p>
    <w:p w14:paraId="00C41D74">
      <w:pPr>
        <w:spacing w:line="480" w:lineRule="exact"/>
        <w:ind w:right="753"/>
        <w:jc w:val="left"/>
        <w:rPr>
          <w:rFonts w:ascii="仿宋" w:hAnsi="仿宋" w:eastAsia="仿宋" w:cs="仿宋"/>
          <w:sz w:val="28"/>
          <w:szCs w:val="28"/>
        </w:rPr>
      </w:pPr>
    </w:p>
    <w:p w14:paraId="1BBF2D82">
      <w:pPr>
        <w:spacing w:line="480" w:lineRule="exact"/>
        <w:ind w:right="753"/>
        <w:jc w:val="left"/>
        <w:rPr>
          <w:rFonts w:ascii="仿宋" w:hAnsi="仿宋" w:eastAsia="仿宋" w:cs="仿宋"/>
          <w:sz w:val="28"/>
          <w:szCs w:val="28"/>
        </w:rPr>
      </w:pPr>
    </w:p>
    <w:p w14:paraId="1935571C">
      <w:pPr>
        <w:spacing w:line="480" w:lineRule="exact"/>
        <w:ind w:right="753"/>
        <w:jc w:val="left"/>
        <w:rPr>
          <w:rFonts w:ascii="仿宋" w:hAnsi="仿宋" w:eastAsia="仿宋" w:cs="仿宋"/>
          <w:sz w:val="28"/>
          <w:szCs w:val="28"/>
        </w:rPr>
      </w:pPr>
    </w:p>
    <w:p w14:paraId="07B4710A">
      <w:pPr>
        <w:spacing w:line="480" w:lineRule="exact"/>
        <w:ind w:right="753"/>
        <w:jc w:val="left"/>
        <w:rPr>
          <w:rFonts w:ascii="仿宋" w:hAnsi="仿宋" w:eastAsia="仿宋" w:cs="仿宋"/>
          <w:sz w:val="28"/>
          <w:szCs w:val="28"/>
        </w:rPr>
      </w:pPr>
    </w:p>
    <w:p w14:paraId="2A129CAD">
      <w:pPr>
        <w:spacing w:line="480" w:lineRule="exact"/>
        <w:ind w:right="753"/>
        <w:jc w:val="left"/>
        <w:rPr>
          <w:rFonts w:ascii="仿宋" w:hAnsi="仿宋" w:eastAsia="仿宋" w:cs="仿宋"/>
          <w:sz w:val="28"/>
          <w:szCs w:val="28"/>
        </w:rPr>
      </w:pPr>
    </w:p>
    <w:p w14:paraId="3A04830A">
      <w:pPr>
        <w:spacing w:line="480" w:lineRule="exact"/>
        <w:ind w:right="753"/>
        <w:jc w:val="left"/>
        <w:rPr>
          <w:rFonts w:ascii="仿宋" w:hAnsi="仿宋" w:eastAsia="仿宋" w:cs="仿宋"/>
          <w:sz w:val="28"/>
          <w:szCs w:val="28"/>
        </w:rPr>
      </w:pPr>
    </w:p>
    <w:p w14:paraId="11A76969">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5FD5920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负责人或委托代理人：（签字或盖章）</w:t>
      </w:r>
    </w:p>
    <w:p w14:paraId="0EC4E596">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bookmarkStart w:id="400" w:name="_Toc333307133"/>
      <w:r>
        <w:rPr>
          <w:rFonts w:hint="eastAsia" w:ascii="仿宋_GB2312" w:hAnsi="仿宋_GB2312" w:eastAsia="仿宋_GB2312" w:cs="仿宋_GB2312"/>
          <w:sz w:val="28"/>
          <w:szCs w:val="28"/>
        </w:rPr>
        <w:t>传真：</w:t>
      </w:r>
    </w:p>
    <w:p w14:paraId="014EC964">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bookmarkEnd w:id="400"/>
    <w:p w14:paraId="764DACF8">
      <w:pPr>
        <w:spacing w:line="480" w:lineRule="exact"/>
        <w:ind w:right="753" w:firstLine="560" w:firstLineChars="200"/>
        <w:jc w:val="left"/>
        <w:rPr>
          <w:rFonts w:ascii="仿宋_GB2312" w:hAnsi="仿宋_GB2312" w:eastAsia="仿宋_GB2312" w:cs="仿宋_GB2312"/>
          <w:sz w:val="28"/>
          <w:szCs w:val="28"/>
        </w:rPr>
      </w:pPr>
      <w:bookmarkStart w:id="401" w:name="_Toc333307134"/>
    </w:p>
    <w:p w14:paraId="4E3E9E01">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bookmarkEnd w:id="401"/>
      <w:r>
        <w:rPr>
          <w:rFonts w:hint="eastAsia" w:ascii="仿宋_GB2312" w:hAnsi="仿宋_GB2312" w:eastAsia="仿宋_GB2312" w:cs="仿宋_GB2312"/>
          <w:sz w:val="28"/>
          <w:szCs w:val="28"/>
        </w:rPr>
        <w:t xml:space="preserve"> 月 日</w:t>
      </w:r>
    </w:p>
    <w:p w14:paraId="5313B028">
      <w:pPr>
        <w:spacing w:line="480" w:lineRule="exact"/>
        <w:ind w:right="753" w:firstLine="560" w:firstLineChars="200"/>
        <w:jc w:val="left"/>
        <w:rPr>
          <w:rFonts w:ascii="仿宋" w:hAnsi="仿宋" w:eastAsia="仿宋" w:cs="仿宋"/>
          <w:sz w:val="28"/>
          <w:szCs w:val="28"/>
        </w:rPr>
      </w:pPr>
    </w:p>
    <w:p w14:paraId="114B8D43">
      <w:pPr>
        <w:spacing w:line="480" w:lineRule="exact"/>
        <w:ind w:right="753" w:firstLine="560" w:firstLineChars="200"/>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3368EE83">
      <w:pPr>
        <w:spacing w:line="480" w:lineRule="exact"/>
        <w:outlineLvl w:val="1"/>
        <w:rPr>
          <w:rFonts w:ascii="仿宋" w:hAnsi="仿宋" w:eastAsia="仿宋" w:cs="仿宋"/>
          <w:b/>
          <w:bCs/>
          <w:sz w:val="32"/>
          <w:szCs w:val="32"/>
        </w:rPr>
      </w:pPr>
      <w:bookmarkStart w:id="402" w:name="_Toc14893"/>
      <w:r>
        <w:rPr>
          <w:rFonts w:hint="eastAsia" w:ascii="仿宋" w:hAnsi="仿宋" w:eastAsia="仿宋" w:cs="仿宋"/>
          <w:b/>
          <w:bCs/>
          <w:sz w:val="32"/>
          <w:szCs w:val="32"/>
        </w:rPr>
        <w:t>三、商务部分材料</w:t>
      </w:r>
      <w:bookmarkEnd w:id="365"/>
      <w:bookmarkEnd w:id="366"/>
      <w:bookmarkEnd w:id="367"/>
      <w:bookmarkEnd w:id="368"/>
      <w:bookmarkEnd w:id="369"/>
      <w:bookmarkEnd w:id="370"/>
      <w:bookmarkEnd w:id="371"/>
      <w:bookmarkEnd w:id="372"/>
      <w:bookmarkEnd w:id="373"/>
      <w:bookmarkEnd w:id="374"/>
      <w:bookmarkEnd w:id="375"/>
      <w:bookmarkEnd w:id="376"/>
      <w:bookmarkEnd w:id="402"/>
    </w:p>
    <w:bookmarkEnd w:id="377"/>
    <w:p w14:paraId="5B3EDD69">
      <w:pPr>
        <w:spacing w:line="480" w:lineRule="exact"/>
        <w:ind w:right="753"/>
        <w:jc w:val="left"/>
        <w:rPr>
          <w:rFonts w:ascii="仿宋" w:hAnsi="仿宋" w:eastAsia="仿宋" w:cs="仿宋"/>
          <w:sz w:val="28"/>
          <w:szCs w:val="28"/>
        </w:rPr>
      </w:pPr>
    </w:p>
    <w:p w14:paraId="7A22A25F">
      <w:pPr>
        <w:spacing w:line="480" w:lineRule="exact"/>
        <w:ind w:right="753"/>
        <w:jc w:val="left"/>
        <w:rPr>
          <w:rFonts w:ascii="仿宋" w:hAnsi="仿宋" w:eastAsia="仿宋" w:cs="仿宋"/>
          <w:sz w:val="28"/>
          <w:szCs w:val="28"/>
        </w:rPr>
      </w:pPr>
      <w:r>
        <w:rPr>
          <w:rFonts w:hint="eastAsia" w:ascii="仿宋" w:hAnsi="仿宋" w:eastAsia="仿宋" w:cs="仿宋"/>
          <w:sz w:val="28"/>
          <w:szCs w:val="28"/>
        </w:rPr>
        <w:t>1.报价明细表；</w:t>
      </w:r>
    </w:p>
    <w:p w14:paraId="36B49873">
      <w:pPr>
        <w:spacing w:line="480" w:lineRule="exact"/>
        <w:jc w:val="left"/>
        <w:rPr>
          <w:rFonts w:hint="eastAsia" w:ascii="仿宋" w:hAnsi="仿宋" w:eastAsia="仿宋" w:cs="仿宋"/>
          <w:sz w:val="28"/>
          <w:szCs w:val="28"/>
        </w:rPr>
      </w:pPr>
      <w:r>
        <w:rPr>
          <w:rFonts w:hint="eastAsia" w:ascii="仿宋" w:hAnsi="仿宋" w:eastAsia="仿宋" w:cs="仿宋"/>
          <w:sz w:val="28"/>
          <w:szCs w:val="28"/>
        </w:rPr>
        <w:t>备注：以上材料均需加盖单位公章，并按照目录顺序编排，标注页码。</w:t>
      </w:r>
    </w:p>
    <w:p w14:paraId="11AC3C97">
      <w:pPr>
        <w:pStyle w:val="2"/>
      </w:pPr>
    </w:p>
    <w:p w14:paraId="2CDE4FA3">
      <w:pPr>
        <w:pStyle w:val="2"/>
        <w:jc w:val="center"/>
        <w:rPr>
          <w:rFonts w:hint="eastAsia"/>
        </w:rPr>
      </w:pPr>
      <w:r>
        <w:rPr>
          <w:rFonts w:hint="eastAsia" w:ascii="宋体" w:hAnsi="宋体" w:cs="宋体"/>
          <w:b/>
          <w:bCs/>
          <w:kern w:val="0"/>
          <w:sz w:val="36"/>
          <w:szCs w:val="36"/>
          <w:highlight w:val="yellow"/>
          <w:lang w:bidi="ar"/>
        </w:rPr>
        <w:t>报价明细表</w:t>
      </w:r>
    </w:p>
    <w:tbl>
      <w:tblPr>
        <w:tblStyle w:val="20"/>
        <w:tblW w:w="93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8"/>
        <w:gridCol w:w="4045"/>
        <w:gridCol w:w="872"/>
        <w:gridCol w:w="872"/>
        <w:gridCol w:w="1907"/>
        <w:gridCol w:w="858"/>
      </w:tblGrid>
      <w:tr w14:paraId="293B32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8" w:type="dxa"/>
            <w:vAlign w:val="center"/>
          </w:tcPr>
          <w:p w14:paraId="47C25DC2">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序号</w:t>
            </w:r>
          </w:p>
        </w:tc>
        <w:tc>
          <w:tcPr>
            <w:tcW w:w="4045" w:type="dxa"/>
            <w:vAlign w:val="center"/>
          </w:tcPr>
          <w:p w14:paraId="78F4F19C">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服务内容</w:t>
            </w:r>
          </w:p>
        </w:tc>
        <w:tc>
          <w:tcPr>
            <w:tcW w:w="872" w:type="dxa"/>
            <w:vAlign w:val="center"/>
          </w:tcPr>
          <w:p w14:paraId="486DBE4E">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数量</w:t>
            </w:r>
          </w:p>
        </w:tc>
        <w:tc>
          <w:tcPr>
            <w:tcW w:w="872" w:type="dxa"/>
            <w:vAlign w:val="center"/>
          </w:tcPr>
          <w:p w14:paraId="4467258F">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单位</w:t>
            </w:r>
          </w:p>
        </w:tc>
        <w:tc>
          <w:tcPr>
            <w:tcW w:w="1907" w:type="dxa"/>
            <w:vAlign w:val="center"/>
          </w:tcPr>
          <w:p w14:paraId="2D0C8FDD">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sz w:val="28"/>
                <w:szCs w:val="28"/>
              </w:rPr>
              <w:t>报价</w:t>
            </w:r>
            <w:r>
              <w:rPr>
                <w:rFonts w:hint="eastAsia" w:ascii="仿宋_GB2312" w:hAnsi="宋体"/>
                <w:sz w:val="28"/>
                <w:szCs w:val="28"/>
                <w:lang w:eastAsia="zh-CN"/>
              </w:rPr>
              <w:t>（</w:t>
            </w:r>
            <w:r>
              <w:rPr>
                <w:rFonts w:hint="eastAsia" w:ascii="仿宋_GB2312" w:hAnsi="宋体"/>
                <w:sz w:val="28"/>
                <w:szCs w:val="28"/>
                <w:lang w:val="en-US" w:eastAsia="zh-CN"/>
              </w:rPr>
              <w:t>大小写</w:t>
            </w:r>
            <w:r>
              <w:rPr>
                <w:rFonts w:hint="eastAsia" w:ascii="仿宋_GB2312" w:hAnsi="宋体"/>
                <w:sz w:val="28"/>
                <w:szCs w:val="28"/>
                <w:lang w:eastAsia="zh-CN"/>
              </w:rPr>
              <w:t>）</w:t>
            </w:r>
          </w:p>
        </w:tc>
        <w:tc>
          <w:tcPr>
            <w:tcW w:w="858" w:type="dxa"/>
            <w:vAlign w:val="center"/>
          </w:tcPr>
          <w:p w14:paraId="55B51485">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备注</w:t>
            </w:r>
          </w:p>
        </w:tc>
      </w:tr>
      <w:tr w14:paraId="5123C6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768" w:type="dxa"/>
            <w:vAlign w:val="center"/>
          </w:tcPr>
          <w:p w14:paraId="1CCF021A">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r>
              <w:rPr>
                <w:rFonts w:hint="eastAsia" w:ascii="仿宋_GB2312" w:hAnsi="宋体"/>
                <w:sz w:val="28"/>
                <w:szCs w:val="28"/>
              </w:rPr>
              <w:t>1</w:t>
            </w:r>
          </w:p>
        </w:tc>
        <w:tc>
          <w:tcPr>
            <w:tcW w:w="4045" w:type="dxa"/>
            <w:vAlign w:val="center"/>
          </w:tcPr>
          <w:p w14:paraId="240ED8E0">
            <w:pPr>
              <w:keepNext w:val="0"/>
              <w:keepLines w:val="0"/>
              <w:suppressLineNumbers w:val="0"/>
              <w:spacing w:before="0" w:beforeAutospacing="0" w:after="0" w:afterAutospacing="0" w:line="360" w:lineRule="exact"/>
              <w:ind w:left="0" w:right="0"/>
              <w:jc w:val="both"/>
              <w:rPr>
                <w:rFonts w:hint="default" w:ascii="仿宋_GB2312" w:hAnsi="宋体"/>
                <w:sz w:val="28"/>
                <w:szCs w:val="28"/>
              </w:rPr>
            </w:pPr>
            <w:r>
              <w:rPr>
                <w:rFonts w:hint="eastAsia"/>
              </w:rPr>
              <w:t>数字档案管理系统</w:t>
            </w:r>
          </w:p>
        </w:tc>
        <w:tc>
          <w:tcPr>
            <w:tcW w:w="872" w:type="dxa"/>
            <w:vAlign w:val="center"/>
          </w:tcPr>
          <w:p w14:paraId="575A37F8">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1</w:t>
            </w:r>
          </w:p>
        </w:tc>
        <w:tc>
          <w:tcPr>
            <w:tcW w:w="872" w:type="dxa"/>
            <w:vAlign w:val="center"/>
          </w:tcPr>
          <w:p w14:paraId="0A6F5C42">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rPr>
              <w:t>套</w:t>
            </w:r>
          </w:p>
        </w:tc>
        <w:tc>
          <w:tcPr>
            <w:tcW w:w="1907" w:type="dxa"/>
            <w:vAlign w:val="center"/>
          </w:tcPr>
          <w:p w14:paraId="100D1A30">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c>
          <w:tcPr>
            <w:tcW w:w="858" w:type="dxa"/>
            <w:vAlign w:val="center"/>
          </w:tcPr>
          <w:p w14:paraId="37BC9F61">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r>
      <w:tr w14:paraId="49FC7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768" w:type="dxa"/>
            <w:vAlign w:val="center"/>
          </w:tcPr>
          <w:p w14:paraId="58C45402">
            <w:pPr>
              <w:keepNext w:val="0"/>
              <w:keepLines w:val="0"/>
              <w:suppressLineNumbers w:val="0"/>
              <w:spacing w:before="0" w:beforeAutospacing="0" w:after="0" w:afterAutospacing="0" w:line="360" w:lineRule="exact"/>
              <w:ind w:left="0" w:right="0"/>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2</w:t>
            </w:r>
          </w:p>
        </w:tc>
        <w:tc>
          <w:tcPr>
            <w:tcW w:w="4045" w:type="dxa"/>
            <w:vAlign w:val="center"/>
          </w:tcPr>
          <w:p w14:paraId="3A123514">
            <w:pPr>
              <w:keepNext w:val="0"/>
              <w:keepLines w:val="0"/>
              <w:suppressLineNumbers w:val="0"/>
              <w:spacing w:before="0" w:beforeAutospacing="0" w:after="0" w:afterAutospacing="0"/>
              <w:ind w:left="0" w:right="0"/>
              <w:rPr>
                <w:rFonts w:hint="default" w:ascii="仿宋_GB2312" w:hAnsi="宋体"/>
                <w:sz w:val="28"/>
                <w:szCs w:val="28"/>
              </w:rPr>
            </w:pPr>
            <w:r>
              <w:rPr>
                <w:rFonts w:hint="eastAsia"/>
              </w:rPr>
              <w:t>国产数据库</w:t>
            </w:r>
          </w:p>
        </w:tc>
        <w:tc>
          <w:tcPr>
            <w:tcW w:w="872" w:type="dxa"/>
            <w:vAlign w:val="center"/>
          </w:tcPr>
          <w:p w14:paraId="0E9855C7">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1</w:t>
            </w:r>
          </w:p>
        </w:tc>
        <w:tc>
          <w:tcPr>
            <w:tcW w:w="872" w:type="dxa"/>
            <w:vAlign w:val="center"/>
          </w:tcPr>
          <w:p w14:paraId="76A523B1">
            <w:pPr>
              <w:keepNext w:val="0"/>
              <w:keepLines w:val="0"/>
              <w:suppressLineNumbers w:val="0"/>
              <w:spacing w:before="0" w:beforeAutospacing="0" w:after="0" w:afterAutospacing="0"/>
              <w:ind w:left="0" w:right="0"/>
              <w:jc w:val="center"/>
              <w:rPr>
                <w:rFonts w:hint="eastAsia" w:ascii="仿宋_GB2312" w:hAnsi="宋体"/>
                <w:sz w:val="28"/>
                <w:szCs w:val="28"/>
              </w:rPr>
            </w:pPr>
            <w:r>
              <w:rPr>
                <w:rFonts w:hint="eastAsia"/>
              </w:rPr>
              <w:t>套</w:t>
            </w:r>
          </w:p>
        </w:tc>
        <w:tc>
          <w:tcPr>
            <w:tcW w:w="1907" w:type="dxa"/>
            <w:vAlign w:val="center"/>
          </w:tcPr>
          <w:p w14:paraId="2A9F83CD">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c>
          <w:tcPr>
            <w:tcW w:w="858" w:type="dxa"/>
            <w:vAlign w:val="center"/>
          </w:tcPr>
          <w:p w14:paraId="28A9B312">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r>
      <w:tr w14:paraId="1AFFE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768" w:type="dxa"/>
            <w:vAlign w:val="center"/>
          </w:tcPr>
          <w:p w14:paraId="192DE376">
            <w:pPr>
              <w:keepNext w:val="0"/>
              <w:keepLines w:val="0"/>
              <w:suppressLineNumbers w:val="0"/>
              <w:spacing w:before="0" w:beforeAutospacing="0" w:after="0" w:afterAutospacing="0" w:line="360" w:lineRule="exact"/>
              <w:ind w:left="0" w:right="0"/>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3</w:t>
            </w:r>
          </w:p>
        </w:tc>
        <w:tc>
          <w:tcPr>
            <w:tcW w:w="4045" w:type="dxa"/>
            <w:vAlign w:val="center"/>
          </w:tcPr>
          <w:p w14:paraId="1FDF8105">
            <w:pPr>
              <w:keepNext w:val="0"/>
              <w:keepLines w:val="0"/>
              <w:suppressLineNumbers w:val="0"/>
              <w:spacing w:before="0" w:beforeAutospacing="0" w:after="0" w:afterAutospacing="0"/>
              <w:ind w:left="0" w:right="0"/>
              <w:rPr>
                <w:rFonts w:hint="default" w:ascii="仿宋_GB2312" w:hAnsi="宋体"/>
                <w:sz w:val="28"/>
                <w:szCs w:val="28"/>
              </w:rPr>
            </w:pPr>
            <w:r>
              <w:rPr>
                <w:rFonts w:hint="eastAsia"/>
              </w:rPr>
              <w:t>OCR识别系统</w:t>
            </w:r>
          </w:p>
        </w:tc>
        <w:tc>
          <w:tcPr>
            <w:tcW w:w="872" w:type="dxa"/>
            <w:vAlign w:val="center"/>
          </w:tcPr>
          <w:p w14:paraId="3D716716">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1</w:t>
            </w:r>
          </w:p>
        </w:tc>
        <w:tc>
          <w:tcPr>
            <w:tcW w:w="872" w:type="dxa"/>
            <w:vAlign w:val="center"/>
          </w:tcPr>
          <w:p w14:paraId="17FA62F4">
            <w:pPr>
              <w:keepNext w:val="0"/>
              <w:keepLines w:val="0"/>
              <w:suppressLineNumbers w:val="0"/>
              <w:spacing w:before="0" w:beforeAutospacing="0" w:after="0" w:afterAutospacing="0"/>
              <w:ind w:left="0" w:right="0"/>
              <w:jc w:val="center"/>
              <w:rPr>
                <w:rFonts w:hint="eastAsia" w:ascii="仿宋_GB2312" w:hAnsi="宋体"/>
                <w:sz w:val="28"/>
                <w:szCs w:val="28"/>
              </w:rPr>
            </w:pPr>
            <w:r>
              <w:rPr>
                <w:rFonts w:hint="eastAsia"/>
              </w:rPr>
              <w:t>套</w:t>
            </w:r>
          </w:p>
        </w:tc>
        <w:tc>
          <w:tcPr>
            <w:tcW w:w="1907" w:type="dxa"/>
            <w:vAlign w:val="center"/>
          </w:tcPr>
          <w:p w14:paraId="791E5796">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c>
          <w:tcPr>
            <w:tcW w:w="858" w:type="dxa"/>
            <w:vAlign w:val="center"/>
          </w:tcPr>
          <w:p w14:paraId="649AE3BE">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r>
      <w:tr w14:paraId="56C95F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768" w:type="dxa"/>
            <w:vAlign w:val="center"/>
          </w:tcPr>
          <w:p w14:paraId="1C192286">
            <w:pPr>
              <w:keepNext w:val="0"/>
              <w:keepLines w:val="0"/>
              <w:suppressLineNumbers w:val="0"/>
              <w:spacing w:before="0" w:beforeAutospacing="0" w:after="0" w:afterAutospacing="0" w:line="360" w:lineRule="exact"/>
              <w:ind w:left="0" w:right="0"/>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4</w:t>
            </w:r>
          </w:p>
        </w:tc>
        <w:tc>
          <w:tcPr>
            <w:tcW w:w="4045" w:type="dxa"/>
            <w:vAlign w:val="center"/>
          </w:tcPr>
          <w:p w14:paraId="6C2BF2F0">
            <w:pPr>
              <w:keepNext w:val="0"/>
              <w:keepLines w:val="0"/>
              <w:suppressLineNumbers w:val="0"/>
              <w:spacing w:before="0" w:beforeAutospacing="0" w:after="0" w:afterAutospacing="0"/>
              <w:ind w:left="0" w:right="0"/>
              <w:rPr>
                <w:rFonts w:hint="default" w:ascii="仿宋_GB2312" w:hAnsi="宋体"/>
                <w:sz w:val="28"/>
                <w:szCs w:val="28"/>
              </w:rPr>
            </w:pPr>
            <w:r>
              <w:rPr>
                <w:rFonts w:hint="eastAsia"/>
              </w:rPr>
              <w:t>OFD文件在线浏览插件</w:t>
            </w:r>
          </w:p>
        </w:tc>
        <w:tc>
          <w:tcPr>
            <w:tcW w:w="872" w:type="dxa"/>
            <w:vAlign w:val="center"/>
          </w:tcPr>
          <w:p w14:paraId="5B8C7EE2">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1</w:t>
            </w:r>
          </w:p>
        </w:tc>
        <w:tc>
          <w:tcPr>
            <w:tcW w:w="872" w:type="dxa"/>
            <w:vAlign w:val="center"/>
          </w:tcPr>
          <w:p w14:paraId="3B02E39E">
            <w:pPr>
              <w:keepNext w:val="0"/>
              <w:keepLines w:val="0"/>
              <w:suppressLineNumbers w:val="0"/>
              <w:spacing w:before="0" w:beforeAutospacing="0" w:after="0" w:afterAutospacing="0"/>
              <w:ind w:left="0" w:right="0"/>
              <w:jc w:val="center"/>
              <w:rPr>
                <w:rFonts w:hint="eastAsia" w:ascii="仿宋_GB2312" w:hAnsi="宋体"/>
                <w:sz w:val="28"/>
                <w:szCs w:val="28"/>
              </w:rPr>
            </w:pPr>
            <w:r>
              <w:rPr>
                <w:rFonts w:hint="eastAsia"/>
              </w:rPr>
              <w:t>套</w:t>
            </w:r>
          </w:p>
        </w:tc>
        <w:tc>
          <w:tcPr>
            <w:tcW w:w="1907" w:type="dxa"/>
            <w:vAlign w:val="center"/>
          </w:tcPr>
          <w:p w14:paraId="19AE2468">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c>
          <w:tcPr>
            <w:tcW w:w="858" w:type="dxa"/>
            <w:vAlign w:val="center"/>
          </w:tcPr>
          <w:p w14:paraId="02188064">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r>
      <w:tr w14:paraId="4D8A5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768" w:type="dxa"/>
            <w:vAlign w:val="center"/>
          </w:tcPr>
          <w:p w14:paraId="7373DF01">
            <w:pPr>
              <w:keepNext w:val="0"/>
              <w:keepLines w:val="0"/>
              <w:suppressLineNumbers w:val="0"/>
              <w:spacing w:before="0" w:beforeAutospacing="0" w:after="0" w:afterAutospacing="0" w:line="360" w:lineRule="exact"/>
              <w:ind w:left="0" w:right="0"/>
              <w:jc w:val="center"/>
              <w:rPr>
                <w:rFonts w:hint="default" w:ascii="仿宋_GB2312" w:hAnsi="宋体"/>
                <w:sz w:val="28"/>
                <w:szCs w:val="28"/>
                <w:lang w:val="en-US" w:eastAsia="zh-CN"/>
              </w:rPr>
            </w:pPr>
            <w:r>
              <w:rPr>
                <w:rFonts w:hint="eastAsia" w:ascii="仿宋_GB2312" w:hAnsi="宋体"/>
                <w:sz w:val="28"/>
                <w:szCs w:val="28"/>
                <w:lang w:val="en-US" w:eastAsia="zh-CN"/>
              </w:rPr>
              <w:t>5</w:t>
            </w:r>
          </w:p>
        </w:tc>
        <w:tc>
          <w:tcPr>
            <w:tcW w:w="4045" w:type="dxa"/>
            <w:vAlign w:val="center"/>
          </w:tcPr>
          <w:p w14:paraId="7CFC4D21">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国产信创操作系统</w:t>
            </w:r>
          </w:p>
        </w:tc>
        <w:tc>
          <w:tcPr>
            <w:tcW w:w="872" w:type="dxa"/>
            <w:vAlign w:val="center"/>
          </w:tcPr>
          <w:p w14:paraId="2BE73758">
            <w:pPr>
              <w:keepNext w:val="0"/>
              <w:keepLines w:val="0"/>
              <w:suppressLineNumbers w:val="0"/>
              <w:spacing w:before="0" w:beforeAutospacing="0" w:after="0" w:afterAutospacing="0"/>
              <w:ind w:left="0" w:right="0"/>
              <w:jc w:val="center"/>
              <w:rPr>
                <w:rFonts w:hint="eastAsia" w:ascii="仿宋_GB2312" w:hAnsi="宋体"/>
                <w:sz w:val="28"/>
                <w:szCs w:val="28"/>
                <w:lang w:val="en-US" w:eastAsia="zh-CN"/>
              </w:rPr>
            </w:pPr>
            <w:r>
              <w:rPr>
                <w:rFonts w:hint="eastAsia" w:ascii="仿宋_GB2312" w:hAnsi="宋体"/>
                <w:sz w:val="28"/>
                <w:szCs w:val="28"/>
                <w:lang w:val="en-US" w:eastAsia="zh-CN"/>
              </w:rPr>
              <w:t>1</w:t>
            </w:r>
          </w:p>
        </w:tc>
        <w:tc>
          <w:tcPr>
            <w:tcW w:w="872" w:type="dxa"/>
            <w:vAlign w:val="center"/>
          </w:tcPr>
          <w:p w14:paraId="0C239F1C">
            <w:pPr>
              <w:keepNext w:val="0"/>
              <w:keepLines w:val="0"/>
              <w:suppressLineNumbers w:val="0"/>
              <w:spacing w:before="0" w:beforeAutospacing="0" w:after="0" w:afterAutospacing="0"/>
              <w:ind w:left="0" w:right="0"/>
              <w:jc w:val="center"/>
              <w:rPr>
                <w:rFonts w:hint="eastAsia"/>
              </w:rPr>
            </w:pPr>
            <w:r>
              <w:rPr>
                <w:rFonts w:hint="eastAsia"/>
              </w:rPr>
              <w:t>套</w:t>
            </w:r>
          </w:p>
        </w:tc>
        <w:tc>
          <w:tcPr>
            <w:tcW w:w="1907" w:type="dxa"/>
            <w:vAlign w:val="center"/>
          </w:tcPr>
          <w:p w14:paraId="30CB7C66">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c>
          <w:tcPr>
            <w:tcW w:w="858" w:type="dxa"/>
            <w:vAlign w:val="center"/>
          </w:tcPr>
          <w:p w14:paraId="2E2669C5">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r>
    </w:tbl>
    <w:p w14:paraId="03149C72">
      <w:pPr>
        <w:spacing w:line="480" w:lineRule="exact"/>
        <w:ind w:right="565" w:rightChars="269"/>
        <w:jc w:val="left"/>
        <w:rPr>
          <w:rFonts w:ascii="仿宋" w:hAnsi="仿宋" w:eastAsia="仿宋" w:cs="仿宋"/>
          <w:sz w:val="28"/>
          <w:szCs w:val="28"/>
        </w:rPr>
      </w:pPr>
    </w:p>
    <w:p w14:paraId="250FB75D">
      <w:pPr>
        <w:spacing w:line="480" w:lineRule="exact"/>
        <w:ind w:right="565" w:rightChars="269"/>
        <w:jc w:val="left"/>
      </w:pPr>
      <w:r>
        <w:rPr>
          <w:rFonts w:hint="eastAsia" w:ascii="仿宋" w:hAnsi="仿宋" w:eastAsia="仿宋" w:cs="仿宋"/>
          <w:sz w:val="28"/>
          <w:szCs w:val="28"/>
        </w:rPr>
        <w:t>比选申请人（公章）</w:t>
      </w:r>
    </w:p>
    <w:p w14:paraId="6E5FCDE7">
      <w:pPr>
        <w:spacing w:line="480" w:lineRule="exact"/>
        <w:jc w:val="left"/>
        <w:rPr>
          <w:rFonts w:ascii="仿宋" w:hAnsi="仿宋" w:eastAsia="仿宋" w:cs="仿宋"/>
          <w:sz w:val="28"/>
          <w:szCs w:val="28"/>
        </w:rPr>
      </w:pPr>
      <w:r>
        <w:rPr>
          <w:rFonts w:hint="eastAsia" w:ascii="仿宋" w:hAnsi="仿宋" w:eastAsia="仿宋" w:cs="仿宋"/>
          <w:sz w:val="28"/>
          <w:szCs w:val="28"/>
        </w:rPr>
        <w:t>负责人或其委托代理人（签字或盖章）：</w:t>
      </w:r>
    </w:p>
    <w:p w14:paraId="782D1880">
      <w:pPr>
        <w:spacing w:line="480" w:lineRule="exact"/>
        <w:jc w:val="left"/>
        <w:rPr>
          <w:rFonts w:ascii="仿宋" w:hAnsi="仿宋" w:eastAsia="仿宋" w:cs="仿宋"/>
          <w:sz w:val="28"/>
          <w:szCs w:val="28"/>
        </w:rPr>
      </w:pPr>
    </w:p>
    <w:p w14:paraId="431A57E6">
      <w:pPr>
        <w:spacing w:line="480" w:lineRule="exact"/>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378"/>
    <w:bookmarkEnd w:id="379"/>
    <w:bookmarkEnd w:id="380"/>
    <w:bookmarkEnd w:id="381"/>
    <w:bookmarkEnd w:id="382"/>
    <w:bookmarkEnd w:id="383"/>
    <w:bookmarkEnd w:id="384"/>
    <w:bookmarkEnd w:id="385"/>
    <w:bookmarkEnd w:id="386"/>
    <w:bookmarkEnd w:id="387"/>
    <w:p w14:paraId="1ACC7A36">
      <w:pPr>
        <w:spacing w:line="480" w:lineRule="exact"/>
        <w:jc w:val="center"/>
        <w:outlineLvl w:val="0"/>
        <w:rPr>
          <w:rFonts w:ascii="仿宋" w:hAnsi="仿宋" w:eastAsia="仿宋" w:cs="仿宋"/>
          <w:b/>
          <w:bCs/>
          <w:sz w:val="32"/>
          <w:szCs w:val="32"/>
        </w:rPr>
      </w:pPr>
      <w:bookmarkStart w:id="403" w:name="_Toc15166"/>
      <w:r>
        <w:rPr>
          <w:rFonts w:hint="eastAsia" w:ascii="仿宋" w:hAnsi="仿宋" w:eastAsia="仿宋" w:cs="仿宋"/>
          <w:b/>
          <w:bCs/>
          <w:sz w:val="32"/>
          <w:szCs w:val="32"/>
        </w:rPr>
        <w:t>第四章 评比办法</w:t>
      </w:r>
      <w:bookmarkEnd w:id="403"/>
    </w:p>
    <w:p w14:paraId="33DF0704">
      <w:pPr>
        <w:spacing w:line="480" w:lineRule="exact"/>
        <w:ind w:firstLine="560" w:firstLineChars="200"/>
        <w:jc w:val="left"/>
        <w:rPr>
          <w:rFonts w:ascii="仿宋" w:hAnsi="仿宋" w:eastAsia="仿宋" w:cs="仿宋"/>
          <w:sz w:val="28"/>
          <w:szCs w:val="28"/>
        </w:rPr>
      </w:pPr>
      <w:bookmarkStart w:id="404" w:name="_Toc10015"/>
      <w:bookmarkStart w:id="405" w:name="_Toc3898"/>
      <w:bookmarkStart w:id="406" w:name="_Toc16236"/>
      <w:bookmarkStart w:id="407" w:name="_Toc2433"/>
      <w:bookmarkStart w:id="408" w:name="_Toc7201"/>
      <w:bookmarkStart w:id="409" w:name="_Toc31412"/>
      <w:bookmarkStart w:id="410" w:name="_Toc28938"/>
      <w:bookmarkStart w:id="411" w:name="_Toc2996"/>
      <w:bookmarkStart w:id="412" w:name="_Toc17031"/>
    </w:p>
    <w:p w14:paraId="3F791B6C">
      <w:pPr>
        <w:spacing w:line="48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一、综合评分办法</w:t>
      </w:r>
      <w:bookmarkEnd w:id="404"/>
      <w:bookmarkEnd w:id="405"/>
      <w:bookmarkEnd w:id="406"/>
      <w:bookmarkEnd w:id="407"/>
      <w:bookmarkEnd w:id="408"/>
      <w:bookmarkEnd w:id="409"/>
      <w:bookmarkEnd w:id="410"/>
      <w:bookmarkEnd w:id="411"/>
      <w:bookmarkEnd w:id="412"/>
    </w:p>
    <w:p w14:paraId="69F1B4B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27F896C9">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1.资格评审：对比选申请人的资格条件、比选申请文件的完整性和有效性、比选申请文件的有效期等方面进行审查。通过资格评审的比选申请文件进入技术、商务评审。</w:t>
      </w:r>
    </w:p>
    <w:p w14:paraId="11FE2AF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287EF9F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75505F5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35AB171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（1）如果数字表示的金额和用文字表示的金额不一致时，应以文字表示的金额为准；</w:t>
      </w:r>
    </w:p>
    <w:p w14:paraId="6D5B152E">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（2）当单价与数量的乘积与合价不一致时，以合价为准，并调整单价；</w:t>
      </w:r>
    </w:p>
    <w:p w14:paraId="56C8143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（3）当合价与报价总价不一致时，以报价总价为准，调整相关合价；</w:t>
      </w:r>
    </w:p>
    <w:p w14:paraId="070770C7">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（4）评审期间，比选评比委员会不接受任何比选申请人主动提出的对报价及单价、合价的调整；</w:t>
      </w:r>
    </w:p>
    <w:p w14:paraId="70D51BDB">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（5）其它未尽事宜，由评比委员会审议确定(如意见不一致时，以记名方式投票确定)。</w:t>
      </w:r>
    </w:p>
    <w:p w14:paraId="6B6B4E2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6B579F94">
      <w:pPr>
        <w:spacing w:line="480" w:lineRule="exact"/>
        <w:ind w:firstLine="560" w:firstLineChars="200"/>
        <w:jc w:val="left"/>
        <w:rPr>
          <w:rFonts w:ascii="黑体" w:hAnsi="黑体" w:eastAsia="黑体" w:cs="黑体"/>
          <w:sz w:val="28"/>
          <w:szCs w:val="28"/>
        </w:rPr>
      </w:pPr>
      <w:bookmarkStart w:id="413" w:name="_Toc20237"/>
      <w:bookmarkStart w:id="414" w:name="_Toc30979"/>
      <w:bookmarkStart w:id="415" w:name="_Toc5576"/>
      <w:bookmarkStart w:id="416" w:name="_Toc14401"/>
      <w:bookmarkStart w:id="417" w:name="_Toc29182"/>
      <w:bookmarkStart w:id="418" w:name="_Toc7245"/>
      <w:bookmarkStart w:id="419" w:name="_Toc29031"/>
      <w:bookmarkStart w:id="420" w:name="_Toc15054"/>
      <w:bookmarkStart w:id="421" w:name="_Toc5579"/>
      <w:r>
        <w:rPr>
          <w:rFonts w:hint="eastAsia" w:ascii="黑体" w:hAnsi="黑体" w:eastAsia="黑体" w:cs="黑体"/>
          <w:sz w:val="28"/>
          <w:szCs w:val="28"/>
        </w:rPr>
        <w:t>二、总分计算公式</w:t>
      </w:r>
      <w:bookmarkEnd w:id="413"/>
      <w:bookmarkEnd w:id="414"/>
      <w:bookmarkEnd w:id="415"/>
      <w:bookmarkEnd w:id="416"/>
      <w:bookmarkEnd w:id="417"/>
      <w:bookmarkEnd w:id="418"/>
      <w:bookmarkEnd w:id="419"/>
      <w:bookmarkEnd w:id="420"/>
      <w:bookmarkEnd w:id="421"/>
    </w:p>
    <w:p w14:paraId="0E465E0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总分即比选申请人评分综合得分，其计算公式：</w:t>
      </w:r>
    </w:p>
    <w:p w14:paraId="0E98D1E2">
      <w:pPr>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总分=商务部分得分+技术部分得分</w:t>
      </w:r>
    </w:p>
    <w:p w14:paraId="6E88125F">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注：各项指标的分数计算四舍五入，取小数点后两位。</w:t>
      </w:r>
    </w:p>
    <w:p w14:paraId="68F65D5A">
      <w:pPr>
        <w:spacing w:line="480" w:lineRule="exact"/>
        <w:ind w:firstLine="560" w:firstLineChars="200"/>
        <w:jc w:val="left"/>
        <w:rPr>
          <w:rFonts w:ascii="仿宋" w:hAnsi="仿宋" w:eastAsia="仿宋" w:cs="仿宋"/>
          <w:sz w:val="28"/>
          <w:szCs w:val="28"/>
        </w:rPr>
      </w:pPr>
      <w:bookmarkStart w:id="422" w:name="_Toc32296"/>
      <w:bookmarkStart w:id="423" w:name="_Toc31078"/>
      <w:bookmarkStart w:id="424" w:name="_Toc13406"/>
      <w:bookmarkStart w:id="425" w:name="_Toc9696"/>
      <w:bookmarkStart w:id="426" w:name="_Toc10918"/>
      <w:bookmarkStart w:id="427" w:name="_Toc28207"/>
      <w:bookmarkStart w:id="428" w:name="_Toc26842"/>
      <w:bookmarkStart w:id="429" w:name="_Toc2392"/>
      <w:bookmarkStart w:id="430" w:name="_Toc18027"/>
      <w:r>
        <w:rPr>
          <w:rFonts w:hint="eastAsia" w:ascii="仿宋" w:hAnsi="仿宋" w:eastAsia="仿宋" w:cs="仿宋"/>
          <w:sz w:val="28"/>
          <w:szCs w:val="28"/>
        </w:rPr>
        <w:t>评分细则</w:t>
      </w:r>
      <w:bookmarkEnd w:id="422"/>
      <w:bookmarkEnd w:id="423"/>
      <w:bookmarkEnd w:id="424"/>
      <w:bookmarkEnd w:id="425"/>
      <w:bookmarkEnd w:id="426"/>
      <w:bookmarkEnd w:id="427"/>
      <w:bookmarkEnd w:id="428"/>
      <w:bookmarkEnd w:id="429"/>
      <w:bookmarkEnd w:id="430"/>
    </w:p>
    <w:p w14:paraId="392326E4">
      <w:pPr>
        <w:spacing w:line="480" w:lineRule="exact"/>
        <w:ind w:firstLine="562" w:firstLineChars="200"/>
        <w:jc w:val="left"/>
        <w:rPr>
          <w:rFonts w:ascii="仿宋" w:hAnsi="仿宋" w:eastAsia="仿宋" w:cs="仿宋"/>
          <w:b/>
          <w:bCs/>
          <w:sz w:val="28"/>
          <w:szCs w:val="28"/>
        </w:rPr>
      </w:pPr>
      <w:bookmarkStart w:id="431" w:name="_Toc15382"/>
      <w:bookmarkStart w:id="432" w:name="_Toc18752"/>
      <w:bookmarkStart w:id="433" w:name="_Toc1358"/>
      <w:r>
        <w:rPr>
          <w:rFonts w:hint="eastAsia" w:ascii="仿宋" w:hAnsi="仿宋" w:eastAsia="仿宋" w:cs="仿宋"/>
          <w:b/>
          <w:bCs/>
          <w:sz w:val="28"/>
          <w:szCs w:val="28"/>
        </w:rPr>
        <w:t>1.商务部分评分细则（满分</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bookmarkEnd w:id="431"/>
      <w:bookmarkEnd w:id="432"/>
      <w:bookmarkEnd w:id="433"/>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809"/>
        <w:gridCol w:w="6367"/>
      </w:tblGrid>
      <w:tr w14:paraId="3F25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14:paraId="1CE9DD22">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sz w:val="24"/>
              </w:rPr>
              <w:t>序号</w:t>
            </w:r>
          </w:p>
        </w:tc>
        <w:tc>
          <w:tcPr>
            <w:tcW w:w="1809" w:type="dxa"/>
            <w:vAlign w:val="center"/>
          </w:tcPr>
          <w:p w14:paraId="4BE2D130">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评分因素</w:t>
            </w:r>
          </w:p>
        </w:tc>
        <w:tc>
          <w:tcPr>
            <w:tcW w:w="6367" w:type="dxa"/>
            <w:vAlign w:val="center"/>
          </w:tcPr>
          <w:p w14:paraId="669EBE1D">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评分标准</w:t>
            </w:r>
          </w:p>
        </w:tc>
      </w:tr>
      <w:tr w14:paraId="24FB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Align w:val="center"/>
          </w:tcPr>
          <w:p w14:paraId="199B6E8C">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bookmarkStart w:id="434" w:name="OLE_LINK5" w:colFirst="2" w:colLast="2"/>
            <w:r>
              <w:rPr>
                <w:rFonts w:hint="eastAsia" w:ascii="仿宋" w:hAnsi="仿宋" w:eastAsia="仿宋" w:cs="仿宋"/>
                <w:kern w:val="0"/>
                <w:sz w:val="24"/>
              </w:rPr>
              <w:t>1</w:t>
            </w:r>
          </w:p>
        </w:tc>
        <w:tc>
          <w:tcPr>
            <w:tcW w:w="1809" w:type="dxa"/>
            <w:vAlign w:val="center"/>
          </w:tcPr>
          <w:p w14:paraId="686FDB06">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r>
              <w:rPr>
                <w:rFonts w:hint="eastAsia" w:ascii="仿宋" w:hAnsi="仿宋" w:eastAsia="仿宋" w:cs="仿宋"/>
                <w:kern w:val="0"/>
                <w:sz w:val="24"/>
              </w:rPr>
              <w:t xml:space="preserve">本项目报价评分(满分 </w:t>
            </w:r>
            <w:r>
              <w:rPr>
                <w:rFonts w:hint="eastAsia" w:ascii="仿宋" w:hAnsi="仿宋" w:eastAsia="仿宋" w:cs="仿宋"/>
                <w:kern w:val="0"/>
                <w:sz w:val="24"/>
                <w:lang w:val="en-US" w:eastAsia="zh-CN"/>
              </w:rPr>
              <w:t>20</w:t>
            </w:r>
            <w:r>
              <w:rPr>
                <w:rFonts w:hint="eastAsia" w:ascii="仿宋" w:hAnsi="仿宋" w:eastAsia="仿宋" w:cs="仿宋"/>
                <w:kern w:val="0"/>
                <w:sz w:val="24"/>
              </w:rPr>
              <w:t>分)</w:t>
            </w:r>
          </w:p>
        </w:tc>
        <w:tc>
          <w:tcPr>
            <w:tcW w:w="6367" w:type="dxa"/>
            <w:vAlign w:val="center"/>
          </w:tcPr>
          <w:p w14:paraId="1CEAE327">
            <w:pPr>
              <w:keepNext w:val="0"/>
              <w:keepLines w:val="0"/>
              <w:suppressLineNumbers w:val="0"/>
              <w:spacing w:before="0" w:beforeAutospacing="0" w:after="0" w:afterAutospacing="0" w:line="400" w:lineRule="exact"/>
              <w:ind w:left="0" w:right="0"/>
              <w:jc w:val="left"/>
              <w:rPr>
                <w:rFonts w:hint="default" w:ascii="仿宋" w:hAnsi="仿宋" w:eastAsia="仿宋" w:cs="仿宋"/>
                <w:sz w:val="24"/>
              </w:rPr>
            </w:pPr>
            <w:r>
              <w:rPr>
                <w:rFonts w:hint="eastAsia" w:ascii="仿宋" w:hAnsi="仿宋" w:eastAsia="仿宋" w:cs="仿宋"/>
                <w:kern w:val="0"/>
                <w:sz w:val="24"/>
              </w:rPr>
              <w:t>比选申请人价格大于上控价时比选申请文件作无效处理。当比选申请人含税报价小于或者等于上控价时，资格审查合格的有效报价投标人在5家以上(不含5家)的:将去掉最高和最低有效报价后，取有效报价的算术平均值作为评审基准价;资格审查合格的投标人在5 家以下(含5家)的，取有效报价的算术平均值作为评审的基准价。评审时以经评审的基准价为最高分，采用内插法计算，比选申请人报价每高于基准价1%的扣0.6分:每低于基准价1%的扣0.3分，扣完即止。</w:t>
            </w:r>
          </w:p>
        </w:tc>
      </w:tr>
      <w:bookmarkEnd w:id="434"/>
    </w:tbl>
    <w:p w14:paraId="7532E8AB">
      <w:pPr>
        <w:spacing w:line="480" w:lineRule="exact"/>
        <w:ind w:firstLine="562" w:firstLineChars="200"/>
        <w:jc w:val="left"/>
      </w:pPr>
      <w:r>
        <w:rPr>
          <w:rFonts w:hint="eastAsia" w:ascii="仿宋" w:hAnsi="仿宋" w:eastAsia="仿宋" w:cs="仿宋"/>
          <w:b/>
          <w:bCs/>
          <w:sz w:val="28"/>
          <w:szCs w:val="28"/>
        </w:rPr>
        <w:t>2.技术部分评分细则（满分</w:t>
      </w:r>
      <w:r>
        <w:rPr>
          <w:rFonts w:hint="eastAsia" w:ascii="仿宋" w:hAnsi="仿宋" w:eastAsia="仿宋" w:cs="仿宋"/>
          <w:b/>
          <w:bCs/>
          <w:sz w:val="28"/>
          <w:szCs w:val="28"/>
          <w:lang w:val="en-US" w:eastAsia="zh-CN"/>
        </w:rPr>
        <w:t>80</w:t>
      </w:r>
      <w:r>
        <w:rPr>
          <w:rFonts w:hint="eastAsia" w:ascii="仿宋" w:hAnsi="仿宋" w:eastAsia="仿宋" w:cs="仿宋"/>
          <w:b/>
          <w:bCs/>
          <w:sz w:val="28"/>
          <w:szCs w:val="28"/>
        </w:rPr>
        <w:t>分）</w:t>
      </w:r>
    </w:p>
    <w:tbl>
      <w:tblPr>
        <w:tblStyle w:val="19"/>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56"/>
        <w:gridCol w:w="6438"/>
      </w:tblGrid>
      <w:tr w14:paraId="0AD0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3CFAA415">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序号</w:t>
            </w:r>
          </w:p>
        </w:tc>
        <w:tc>
          <w:tcPr>
            <w:tcW w:w="1656" w:type="dxa"/>
            <w:vAlign w:val="center"/>
          </w:tcPr>
          <w:p w14:paraId="352B1161">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评分因素</w:t>
            </w:r>
          </w:p>
        </w:tc>
        <w:tc>
          <w:tcPr>
            <w:tcW w:w="6438" w:type="dxa"/>
            <w:vAlign w:val="center"/>
          </w:tcPr>
          <w:p w14:paraId="209D3D79">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评分标准</w:t>
            </w:r>
          </w:p>
        </w:tc>
      </w:tr>
      <w:tr w14:paraId="2F8D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1" w:type="dxa"/>
            <w:vAlign w:val="center"/>
          </w:tcPr>
          <w:p w14:paraId="7F6A35E3">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656" w:type="dxa"/>
            <w:vAlign w:val="center"/>
          </w:tcPr>
          <w:p w14:paraId="59A1A1D5">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业绩信誉</w:t>
            </w:r>
            <w:r>
              <w:rPr>
                <w:rFonts w:hint="eastAsia" w:ascii="仿宋" w:hAnsi="仿宋" w:eastAsia="仿宋" w:cs="仿宋"/>
                <w:kern w:val="0"/>
                <w:sz w:val="24"/>
              </w:rPr>
              <w:t xml:space="preserve">(满分 </w:t>
            </w:r>
            <w:r>
              <w:rPr>
                <w:rFonts w:hint="eastAsia" w:ascii="仿宋" w:hAnsi="仿宋" w:eastAsia="仿宋" w:cs="仿宋"/>
                <w:kern w:val="0"/>
                <w:sz w:val="24"/>
                <w:lang w:val="en-US" w:eastAsia="zh-CN"/>
              </w:rPr>
              <w:t>20</w:t>
            </w:r>
            <w:r>
              <w:rPr>
                <w:rFonts w:hint="eastAsia" w:ascii="仿宋" w:hAnsi="仿宋" w:eastAsia="仿宋" w:cs="仿宋"/>
                <w:kern w:val="0"/>
                <w:sz w:val="24"/>
              </w:rPr>
              <w:t xml:space="preserve"> 分)</w:t>
            </w:r>
          </w:p>
        </w:tc>
        <w:tc>
          <w:tcPr>
            <w:tcW w:w="6438" w:type="dxa"/>
            <w:vAlign w:val="center"/>
          </w:tcPr>
          <w:p w14:paraId="58A574EF">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（1）</w:t>
            </w:r>
            <w:r>
              <w:rPr>
                <w:rFonts w:hint="eastAsia" w:ascii="仿宋" w:hAnsi="仿宋" w:eastAsia="仿宋" w:cs="仿宋"/>
                <w:color w:val="000000" w:themeColor="text1"/>
                <w:sz w:val="24"/>
                <w14:textFill>
                  <w14:solidFill>
                    <w14:schemeClr w14:val="tx1"/>
                  </w14:solidFill>
                </w14:textFill>
              </w:rPr>
              <w:t>供应商具备国家秘密载体印制（涉密档案数字化加工）乙级（含乙级）以上资质</w:t>
            </w:r>
            <w:r>
              <w:rPr>
                <w:rFonts w:hint="eastAsia" w:ascii="仿宋" w:hAnsi="仿宋" w:eastAsia="仿宋" w:cs="仿宋"/>
                <w:sz w:val="24"/>
                <w:lang w:val="zh-CN"/>
              </w:rPr>
              <w:t>，</w:t>
            </w:r>
            <w:r>
              <w:rPr>
                <w:rFonts w:hint="eastAsia" w:ascii="仿宋" w:hAnsi="仿宋" w:eastAsia="仿宋" w:cs="仿宋"/>
                <w:color w:val="000000" w:themeColor="text1"/>
                <w:sz w:val="24"/>
                <w14:textFill>
                  <w14:solidFill>
                    <w14:schemeClr w14:val="tx1"/>
                  </w14:solidFill>
                </w14:textFill>
              </w:rPr>
              <w:t>提供国家秘密载体印制资质证书，得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sz w:val="24"/>
                <w:lang w:val="zh-CN"/>
              </w:rPr>
              <w:t>。</w:t>
            </w:r>
            <w:r>
              <w:rPr>
                <w:rFonts w:hint="eastAsia" w:ascii="仿宋" w:hAnsi="仿宋" w:eastAsia="仿宋" w:cs="仿宋"/>
                <w:b/>
                <w:bCs/>
                <w:sz w:val="24"/>
                <w:lang w:val="zh-CN"/>
              </w:rPr>
              <w:t>（在</w:t>
            </w:r>
            <w:r>
              <w:rPr>
                <w:rFonts w:hint="eastAsia" w:ascii="仿宋" w:hAnsi="仿宋" w:eastAsia="仿宋" w:cs="仿宋"/>
                <w:b/>
                <w:bCs/>
                <w:sz w:val="24"/>
              </w:rPr>
              <w:t>响应</w:t>
            </w:r>
            <w:r>
              <w:rPr>
                <w:rFonts w:hint="eastAsia" w:ascii="仿宋" w:hAnsi="仿宋" w:eastAsia="仿宋" w:cs="仿宋"/>
                <w:b/>
                <w:bCs/>
                <w:sz w:val="24"/>
                <w:lang w:val="zh-CN"/>
              </w:rPr>
              <w:t>文件中提供证书复印件并加盖供应商公章，</w:t>
            </w:r>
            <w:r>
              <w:rPr>
                <w:rFonts w:hint="eastAsia" w:ascii="仿宋" w:hAnsi="仿宋" w:eastAsia="仿宋" w:cs="仿宋"/>
                <w:b/>
                <w:bCs/>
                <w:sz w:val="24"/>
              </w:rPr>
              <w:t>否则不得分</w:t>
            </w:r>
            <w:r>
              <w:rPr>
                <w:rFonts w:hint="eastAsia" w:ascii="仿宋" w:hAnsi="仿宋" w:eastAsia="仿宋" w:cs="仿宋"/>
                <w:b/>
                <w:bCs/>
                <w:sz w:val="24"/>
                <w:lang w:val="zh-CN"/>
              </w:rPr>
              <w:t>）</w:t>
            </w:r>
          </w:p>
          <w:p w14:paraId="43B0E34F">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供应商具有</w:t>
            </w:r>
            <w:r>
              <w:rPr>
                <w:rFonts w:hint="eastAsia" w:ascii="仿宋" w:hAnsi="仿宋" w:eastAsia="仿宋" w:cs="仿宋"/>
                <w:sz w:val="24"/>
              </w:rPr>
              <w:t>有效期内的</w:t>
            </w:r>
            <w:r>
              <w:rPr>
                <w:rFonts w:hint="eastAsia" w:ascii="仿宋" w:hAnsi="仿宋" w:eastAsia="仿宋" w:cs="仿宋"/>
                <w:sz w:val="24"/>
                <w:lang w:val="zh-CN"/>
              </w:rPr>
              <w:t>质量管理体系认证（符合</w:t>
            </w:r>
            <w:r>
              <w:rPr>
                <w:rFonts w:hint="eastAsia" w:ascii="仿宋" w:hAnsi="仿宋" w:eastAsia="仿宋" w:cs="仿宋"/>
                <w:sz w:val="24"/>
              </w:rPr>
              <w:t>GB/T19001-2016)</w:t>
            </w:r>
            <w:r>
              <w:rPr>
                <w:rFonts w:hint="eastAsia" w:ascii="仿宋" w:hAnsi="仿宋" w:eastAsia="仿宋" w:cs="仿宋"/>
                <w:sz w:val="24"/>
                <w:lang w:val="zh-CN"/>
              </w:rPr>
              <w:t>、信息安全管理体系认证证书（符合</w:t>
            </w:r>
            <w:r>
              <w:rPr>
                <w:rFonts w:hint="eastAsia" w:ascii="仿宋" w:hAnsi="仿宋" w:eastAsia="仿宋" w:cs="仿宋"/>
                <w:sz w:val="24"/>
              </w:rPr>
              <w:t>ISO/IEC-27001</w:t>
            </w:r>
            <w:r>
              <w:rPr>
                <w:rFonts w:hint="eastAsia" w:ascii="仿宋" w:hAnsi="仿宋" w:eastAsia="仿宋" w:cs="仿宋"/>
                <w:sz w:val="24"/>
                <w:lang w:val="zh-CN"/>
              </w:rPr>
              <w:t>），每提供一个证书得</w:t>
            </w:r>
            <w:r>
              <w:rPr>
                <w:rFonts w:hint="eastAsia" w:ascii="仿宋" w:hAnsi="仿宋" w:eastAsia="仿宋" w:cs="仿宋"/>
                <w:sz w:val="24"/>
              </w:rPr>
              <w:t>1</w:t>
            </w:r>
            <w:r>
              <w:rPr>
                <w:rFonts w:hint="eastAsia" w:ascii="仿宋" w:hAnsi="仿宋" w:eastAsia="仿宋" w:cs="仿宋"/>
                <w:sz w:val="24"/>
                <w:lang w:val="zh-CN"/>
              </w:rPr>
              <w:t>分，</w:t>
            </w:r>
            <w:r>
              <w:rPr>
                <w:rFonts w:hint="eastAsia" w:ascii="仿宋" w:hAnsi="仿宋" w:eastAsia="仿宋" w:cs="仿宋"/>
                <w:sz w:val="24"/>
              </w:rPr>
              <w:t>此项</w:t>
            </w:r>
            <w:r>
              <w:rPr>
                <w:rFonts w:hint="eastAsia" w:ascii="仿宋" w:hAnsi="仿宋" w:eastAsia="仿宋" w:cs="仿宋"/>
                <w:sz w:val="24"/>
                <w:lang w:val="zh-CN"/>
              </w:rPr>
              <w:t>满分</w:t>
            </w:r>
            <w:r>
              <w:rPr>
                <w:rFonts w:hint="eastAsia" w:ascii="仿宋" w:hAnsi="仿宋" w:eastAsia="仿宋" w:cs="仿宋"/>
                <w:sz w:val="24"/>
              </w:rPr>
              <w:t>2</w:t>
            </w:r>
            <w:r>
              <w:rPr>
                <w:rFonts w:hint="eastAsia" w:ascii="仿宋" w:hAnsi="仿宋" w:eastAsia="仿宋" w:cs="仿宋"/>
                <w:sz w:val="24"/>
                <w:lang w:val="zh-CN"/>
              </w:rPr>
              <w:t>分。</w:t>
            </w:r>
            <w:r>
              <w:rPr>
                <w:rFonts w:hint="eastAsia" w:ascii="仿宋" w:hAnsi="仿宋" w:eastAsia="仿宋" w:cs="仿宋"/>
                <w:b/>
                <w:bCs/>
                <w:sz w:val="24"/>
                <w:lang w:val="zh-CN"/>
              </w:rPr>
              <w:t>（在</w:t>
            </w:r>
            <w:r>
              <w:rPr>
                <w:rFonts w:hint="eastAsia" w:ascii="仿宋" w:hAnsi="仿宋" w:eastAsia="仿宋" w:cs="仿宋"/>
                <w:b/>
                <w:bCs/>
                <w:sz w:val="24"/>
              </w:rPr>
              <w:t>响应</w:t>
            </w:r>
            <w:r>
              <w:rPr>
                <w:rFonts w:hint="eastAsia" w:ascii="仿宋" w:hAnsi="仿宋" w:eastAsia="仿宋" w:cs="仿宋"/>
                <w:b/>
                <w:bCs/>
                <w:sz w:val="24"/>
                <w:lang w:val="zh-CN"/>
              </w:rPr>
              <w:t>文件中提供证书复印件并加盖供应商公章，</w:t>
            </w:r>
            <w:r>
              <w:rPr>
                <w:rFonts w:hint="eastAsia" w:ascii="仿宋" w:hAnsi="仿宋" w:eastAsia="仿宋" w:cs="仿宋"/>
                <w:b/>
                <w:bCs/>
                <w:sz w:val="24"/>
              </w:rPr>
              <w:t>否则不得分</w:t>
            </w:r>
            <w:r>
              <w:rPr>
                <w:rFonts w:hint="eastAsia" w:ascii="仿宋" w:hAnsi="仿宋" w:eastAsia="仿宋" w:cs="仿宋"/>
                <w:b/>
                <w:bCs/>
                <w:sz w:val="24"/>
                <w:lang w:val="zh-CN"/>
              </w:rPr>
              <w:t>）</w:t>
            </w:r>
          </w:p>
          <w:p w14:paraId="4A70293D">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b/>
                <w:bCs/>
                <w:sz w:val="24"/>
                <w:lang w:val="zh-CN"/>
              </w:rPr>
            </w:pP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）供应商自</w:t>
            </w:r>
            <w:r>
              <w:rPr>
                <w:rFonts w:hint="eastAsia" w:ascii="仿宋" w:hAnsi="仿宋" w:eastAsia="仿宋" w:cs="仿宋"/>
                <w:sz w:val="24"/>
                <w:lang w:val="en-US" w:eastAsia="zh-CN"/>
              </w:rPr>
              <w:t>2021年1月1日起</w:t>
            </w:r>
            <w:r>
              <w:rPr>
                <w:rFonts w:hint="eastAsia" w:ascii="仿宋" w:hAnsi="仿宋" w:eastAsia="仿宋" w:cs="仿宋"/>
                <w:sz w:val="24"/>
                <w:lang w:val="zh-CN"/>
              </w:rPr>
              <w:t>具有同类</w:t>
            </w:r>
            <w:r>
              <w:rPr>
                <w:rFonts w:hint="eastAsia" w:ascii="仿宋" w:hAnsi="仿宋" w:eastAsia="仿宋" w:cs="仿宋"/>
                <w:sz w:val="24"/>
              </w:rPr>
              <w:t>档案</w:t>
            </w:r>
            <w:r>
              <w:rPr>
                <w:rFonts w:hint="eastAsia" w:ascii="仿宋" w:hAnsi="仿宋" w:eastAsia="仿宋" w:cs="仿宋"/>
                <w:sz w:val="24"/>
                <w:lang w:eastAsia="zh-CN"/>
              </w:rPr>
              <w:t>管理</w:t>
            </w:r>
            <w:r>
              <w:rPr>
                <w:rFonts w:hint="eastAsia" w:ascii="仿宋" w:hAnsi="仿宋" w:eastAsia="仿宋" w:cs="仿宋"/>
                <w:sz w:val="24"/>
              </w:rPr>
              <w:t>系统案例</w:t>
            </w:r>
            <w:r>
              <w:rPr>
                <w:rFonts w:hint="eastAsia" w:ascii="仿宋" w:hAnsi="仿宋" w:eastAsia="仿宋" w:cs="仿宋"/>
                <w:sz w:val="24"/>
                <w:lang w:eastAsia="zh-CN"/>
              </w:rPr>
              <w:t>的，</w:t>
            </w:r>
            <w:r>
              <w:rPr>
                <w:rFonts w:hint="eastAsia" w:ascii="仿宋" w:hAnsi="仿宋" w:eastAsia="仿宋" w:cs="仿宋"/>
                <w:sz w:val="24"/>
              </w:rPr>
              <w:t>每</w:t>
            </w:r>
            <w:r>
              <w:rPr>
                <w:rFonts w:hint="eastAsia" w:ascii="仿宋" w:hAnsi="仿宋" w:eastAsia="仿宋" w:cs="仿宋"/>
                <w:sz w:val="24"/>
                <w:lang w:val="zh-CN"/>
              </w:rPr>
              <w:t>提供一个得2分，</w:t>
            </w:r>
            <w:r>
              <w:rPr>
                <w:rFonts w:hint="eastAsia" w:ascii="仿宋" w:hAnsi="仿宋" w:eastAsia="仿宋" w:cs="仿宋"/>
                <w:sz w:val="24"/>
              </w:rPr>
              <w:t>共计</w:t>
            </w:r>
            <w:r>
              <w:rPr>
                <w:rFonts w:hint="eastAsia" w:ascii="仿宋" w:hAnsi="仿宋" w:eastAsia="仿宋" w:cs="仿宋"/>
                <w:sz w:val="24"/>
                <w:lang w:val="zh-CN"/>
              </w:rPr>
              <w:t>满分</w:t>
            </w:r>
            <w:r>
              <w:rPr>
                <w:rFonts w:hint="eastAsia" w:ascii="仿宋" w:hAnsi="仿宋" w:eastAsia="仿宋" w:cs="仿宋"/>
                <w:sz w:val="24"/>
                <w:lang w:val="en-US" w:eastAsia="zh-CN"/>
              </w:rPr>
              <w:t>8</w:t>
            </w:r>
            <w:r>
              <w:rPr>
                <w:rFonts w:hint="eastAsia" w:ascii="仿宋" w:hAnsi="仿宋" w:eastAsia="仿宋" w:cs="仿宋"/>
                <w:sz w:val="24"/>
                <w:lang w:val="zh-CN"/>
              </w:rPr>
              <w:t>分。</w:t>
            </w:r>
            <w:r>
              <w:rPr>
                <w:rFonts w:hint="eastAsia" w:ascii="仿宋" w:hAnsi="仿宋" w:eastAsia="仿宋" w:cs="仿宋"/>
                <w:b/>
                <w:bCs/>
                <w:sz w:val="24"/>
                <w:lang w:val="zh-CN"/>
              </w:rPr>
              <w:t>（需提供中标/成交通知书或合同复印件并加盖单位公章，否则不得分）</w:t>
            </w:r>
          </w:p>
          <w:p w14:paraId="4E0AC0E6">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4</w:t>
            </w:r>
            <w:r>
              <w:rPr>
                <w:rFonts w:hint="eastAsia" w:ascii="仿宋" w:hAnsi="仿宋" w:eastAsia="仿宋" w:cs="仿宋"/>
                <w:sz w:val="24"/>
                <w:lang w:val="zh-CN"/>
              </w:rPr>
              <w:t>）</w:t>
            </w:r>
            <w:r>
              <w:rPr>
                <w:rFonts w:hint="eastAsia" w:ascii="仿宋" w:hAnsi="仿宋" w:eastAsia="仿宋" w:cs="仿宋"/>
                <w:sz w:val="24"/>
              </w:rPr>
              <w:t>具有</w:t>
            </w:r>
            <w:r>
              <w:rPr>
                <w:rFonts w:hint="eastAsia" w:ascii="仿宋" w:hAnsi="仿宋" w:eastAsia="仿宋" w:cs="仿宋"/>
                <w:sz w:val="24"/>
                <w:lang w:val="zh-CN"/>
              </w:rPr>
              <w:t>国产化方面的兼容适配证书，</w:t>
            </w:r>
            <w:r>
              <w:rPr>
                <w:rFonts w:hint="eastAsia" w:ascii="仿宋" w:hAnsi="仿宋" w:eastAsia="仿宋" w:cs="仿宋"/>
                <w:sz w:val="24"/>
              </w:rPr>
              <w:t>包括CPU、操作系统、数据库。</w:t>
            </w:r>
            <w:r>
              <w:rPr>
                <w:rFonts w:hint="eastAsia" w:ascii="仿宋" w:hAnsi="仿宋" w:eastAsia="仿宋" w:cs="仿宋"/>
                <w:sz w:val="24"/>
                <w:lang w:val="zh-CN"/>
              </w:rPr>
              <w:t>每个</w:t>
            </w:r>
            <w:r>
              <w:rPr>
                <w:rFonts w:hint="eastAsia" w:ascii="仿宋" w:hAnsi="仿宋" w:eastAsia="仿宋" w:cs="仿宋"/>
                <w:sz w:val="24"/>
              </w:rPr>
              <w:t>1分，满分3分</w:t>
            </w:r>
            <w:r>
              <w:rPr>
                <w:rFonts w:hint="eastAsia" w:ascii="仿宋" w:hAnsi="仿宋" w:eastAsia="仿宋" w:cs="仿宋"/>
                <w:b/>
                <w:bCs/>
                <w:sz w:val="24"/>
              </w:rPr>
              <w:t>（</w:t>
            </w:r>
            <w:r>
              <w:rPr>
                <w:rFonts w:hint="eastAsia" w:ascii="仿宋" w:hAnsi="仿宋" w:eastAsia="仿宋" w:cs="仿宋"/>
                <w:b/>
                <w:bCs/>
                <w:sz w:val="24"/>
                <w:lang w:val="zh-CN"/>
              </w:rPr>
              <w:t>复印件并加盖单位公章，原件备查，否则不得分</w:t>
            </w:r>
            <w:r>
              <w:rPr>
                <w:rFonts w:hint="eastAsia" w:ascii="仿宋" w:hAnsi="仿宋" w:eastAsia="仿宋" w:cs="仿宋"/>
                <w:b/>
                <w:bCs/>
                <w:sz w:val="24"/>
              </w:rPr>
              <w:t>）</w:t>
            </w:r>
          </w:p>
          <w:p w14:paraId="41055AD5">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b/>
                <w:bCs/>
                <w:sz w:val="24"/>
              </w:rPr>
            </w:pPr>
            <w:r>
              <w:rPr>
                <w:rFonts w:hint="eastAsia" w:ascii="仿宋" w:hAnsi="仿宋" w:eastAsia="仿宋" w:cs="仿宋"/>
                <w:sz w:val="24"/>
              </w:rPr>
              <w:t>（5）具有省级或国家级检测机构提供的软件检测报告，得</w:t>
            </w:r>
            <w:r>
              <w:rPr>
                <w:rFonts w:hint="eastAsia" w:ascii="仿宋" w:hAnsi="仿宋" w:eastAsia="仿宋" w:cs="仿宋"/>
                <w:sz w:val="24"/>
                <w:lang w:val="en-US" w:eastAsia="zh-CN"/>
              </w:rPr>
              <w:t>3</w:t>
            </w:r>
            <w:r>
              <w:rPr>
                <w:rFonts w:hint="eastAsia" w:ascii="仿宋" w:hAnsi="仿宋" w:eastAsia="仿宋" w:cs="仿宋"/>
                <w:sz w:val="24"/>
              </w:rPr>
              <w:t>分，不提供不得分</w:t>
            </w:r>
            <w:r>
              <w:rPr>
                <w:rFonts w:hint="eastAsia" w:ascii="仿宋" w:hAnsi="仿宋" w:eastAsia="仿宋" w:cs="仿宋"/>
                <w:b/>
                <w:bCs/>
                <w:sz w:val="24"/>
              </w:rPr>
              <w:t>（关键页</w:t>
            </w:r>
            <w:r>
              <w:rPr>
                <w:rFonts w:hint="eastAsia" w:ascii="仿宋" w:hAnsi="仿宋" w:eastAsia="仿宋" w:cs="仿宋"/>
                <w:b/>
                <w:bCs/>
                <w:sz w:val="24"/>
                <w:lang w:val="zh-CN"/>
              </w:rPr>
              <w:t>复印件并加盖单位公章，原件备查，否则不得分</w:t>
            </w:r>
            <w:r>
              <w:rPr>
                <w:rFonts w:hint="eastAsia" w:ascii="仿宋" w:hAnsi="仿宋" w:eastAsia="仿宋" w:cs="仿宋"/>
                <w:b/>
                <w:bCs/>
                <w:sz w:val="24"/>
              </w:rPr>
              <w:t>）</w:t>
            </w:r>
          </w:p>
          <w:p w14:paraId="7E32D287">
            <w:pPr>
              <w:keepNext w:val="0"/>
              <w:keepLines w:val="0"/>
              <w:suppressLineNumbers w:val="0"/>
              <w:spacing w:before="0" w:beforeAutospacing="0" w:after="0" w:afterAutospacing="0" w:line="400" w:lineRule="exact"/>
              <w:ind w:left="0" w:right="0" w:firstLine="480" w:firstLineChars="200"/>
              <w:jc w:val="left"/>
              <w:rPr>
                <w:rFonts w:hint="eastAsia" w:ascii="仿宋" w:hAnsi="仿宋" w:eastAsia="仿宋" w:cs="仿宋"/>
                <w:kern w:val="0"/>
                <w:sz w:val="24"/>
              </w:rPr>
            </w:pPr>
            <w:r>
              <w:rPr>
                <w:rFonts w:hint="eastAsia" w:ascii="仿宋" w:hAnsi="仿宋" w:eastAsia="仿宋" w:cs="仿宋"/>
                <w:sz w:val="24"/>
              </w:rPr>
              <w:t>（6）</w:t>
            </w:r>
            <w:r>
              <w:rPr>
                <w:rFonts w:hint="eastAsia" w:ascii="仿宋" w:hAnsi="仿宋" w:eastAsia="仿宋" w:cs="仿宋"/>
                <w:sz w:val="24"/>
                <w:lang w:eastAsia="zh-CN"/>
              </w:rPr>
              <w:t>供应商具有</w:t>
            </w:r>
            <w:r>
              <w:rPr>
                <w:rFonts w:hint="eastAsia" w:ascii="仿宋" w:hAnsi="仿宋" w:eastAsia="仿宋" w:cs="仿宋"/>
                <w:sz w:val="24"/>
              </w:rPr>
              <w:t>高新技术企业证书</w:t>
            </w:r>
            <w:r>
              <w:rPr>
                <w:rFonts w:hint="eastAsia" w:ascii="仿宋" w:hAnsi="仿宋" w:eastAsia="仿宋" w:cs="仿宋"/>
                <w:sz w:val="24"/>
                <w:lang w:eastAsia="zh-CN"/>
              </w:rPr>
              <w:t>的</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分，不提供不得分。</w:t>
            </w:r>
          </w:p>
        </w:tc>
      </w:tr>
      <w:tr w14:paraId="39ED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3458E75C">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1656" w:type="dxa"/>
            <w:vAlign w:val="center"/>
          </w:tcPr>
          <w:p w14:paraId="734E6AB2">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r>
              <w:rPr>
                <w:rFonts w:hint="eastAsia" w:ascii="仿宋" w:hAnsi="仿宋" w:eastAsia="仿宋" w:cs="仿宋"/>
                <w:b/>
                <w:bCs/>
                <w:sz w:val="24"/>
              </w:rPr>
              <w:t>技术方案</w:t>
            </w:r>
            <w:r>
              <w:rPr>
                <w:rFonts w:hint="eastAsia" w:ascii="仿宋" w:hAnsi="仿宋" w:eastAsia="仿宋" w:cs="仿宋"/>
                <w:kern w:val="0"/>
                <w:sz w:val="24"/>
              </w:rPr>
              <w:t>（满分</w:t>
            </w:r>
            <w:r>
              <w:rPr>
                <w:rFonts w:hint="eastAsia" w:ascii="仿宋" w:hAnsi="仿宋" w:eastAsia="仿宋" w:cs="仿宋"/>
                <w:kern w:val="0"/>
                <w:sz w:val="24"/>
                <w:lang w:val="en-US" w:eastAsia="zh-CN"/>
              </w:rPr>
              <w:t>15</w:t>
            </w:r>
            <w:r>
              <w:rPr>
                <w:rFonts w:hint="eastAsia" w:ascii="仿宋" w:hAnsi="仿宋" w:eastAsia="仿宋" w:cs="仿宋"/>
                <w:kern w:val="0"/>
                <w:sz w:val="24"/>
              </w:rPr>
              <w:t>分）</w:t>
            </w:r>
          </w:p>
        </w:tc>
        <w:tc>
          <w:tcPr>
            <w:tcW w:w="6438" w:type="dxa"/>
            <w:vAlign w:val="center"/>
          </w:tcPr>
          <w:p w14:paraId="32AECB54">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档案系统整体功能齐全，技术方案须围绕系统WEB端、客户端挂接端功能，进行详细阐述</w:t>
            </w:r>
          </w:p>
          <w:p w14:paraId="500057D6">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一档（</w:t>
            </w:r>
            <w:r>
              <w:rPr>
                <w:rFonts w:hint="eastAsia" w:ascii="仿宋" w:hAnsi="仿宋" w:eastAsia="仿宋" w:cs="仿宋"/>
                <w:sz w:val="24"/>
                <w:lang w:val="en-US" w:eastAsia="zh-CN"/>
              </w:rPr>
              <w:t>5</w:t>
            </w:r>
            <w:r>
              <w:rPr>
                <w:rFonts w:hint="eastAsia" w:ascii="仿宋" w:hAnsi="仿宋" w:eastAsia="仿宋" w:cs="仿宋"/>
                <w:sz w:val="24"/>
              </w:rPr>
              <w:t>分）：方案整体性、兼容性、可行性、安全性较差，技术方案论述基本准确，没有明显技术错误，技术方案较单一化，需求说明及开发功能不能满足采购文件中的系统功能要求及性能要求。</w:t>
            </w:r>
          </w:p>
          <w:p w14:paraId="75DC10EB">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二档（1</w:t>
            </w:r>
            <w:r>
              <w:rPr>
                <w:rFonts w:hint="eastAsia" w:ascii="仿宋" w:hAnsi="仿宋" w:eastAsia="仿宋" w:cs="仿宋"/>
                <w:sz w:val="24"/>
                <w:lang w:val="en-US" w:eastAsia="zh-CN"/>
              </w:rPr>
              <w:t>0</w:t>
            </w:r>
            <w:r>
              <w:rPr>
                <w:rFonts w:hint="eastAsia" w:ascii="仿宋" w:hAnsi="仿宋" w:eastAsia="仿宋" w:cs="仿宋"/>
                <w:sz w:val="24"/>
              </w:rPr>
              <w:t>分）：方案整体性、可靠性、兼容性、可扩展性、可维护性、安全性较好，技术较成熟，描述了对用户需求的理解、各模块的功能以及实现的技术方案，满足采购文件中的系统功能要求及性能要求。</w:t>
            </w:r>
          </w:p>
          <w:p w14:paraId="25D9E9F2">
            <w:pPr>
              <w:keepNext w:val="0"/>
              <w:keepLines w:val="0"/>
              <w:suppressLineNumbers w:val="0"/>
              <w:spacing w:before="0" w:beforeAutospacing="0" w:after="0" w:afterAutospacing="0" w:line="400" w:lineRule="exact"/>
              <w:ind w:left="0" w:right="0"/>
              <w:jc w:val="left"/>
              <w:rPr>
                <w:rFonts w:hint="default" w:ascii="仿宋" w:hAnsi="仿宋" w:eastAsia="仿宋" w:cs="仿宋"/>
                <w:kern w:val="0"/>
                <w:sz w:val="24"/>
              </w:rPr>
            </w:pPr>
            <w:r>
              <w:rPr>
                <w:rFonts w:hint="eastAsia" w:ascii="仿宋" w:hAnsi="仿宋" w:eastAsia="仿宋" w:cs="仿宋"/>
                <w:sz w:val="24"/>
              </w:rPr>
              <w:t>三档（</w:t>
            </w:r>
            <w:r>
              <w:rPr>
                <w:rFonts w:hint="eastAsia" w:ascii="仿宋" w:hAnsi="仿宋" w:eastAsia="仿宋" w:cs="仿宋"/>
                <w:sz w:val="24"/>
                <w:lang w:val="en-US" w:eastAsia="zh-CN"/>
              </w:rPr>
              <w:t>15</w:t>
            </w:r>
            <w:r>
              <w:rPr>
                <w:rFonts w:hint="eastAsia" w:ascii="仿宋" w:hAnsi="仿宋" w:eastAsia="仿宋" w:cs="仿宋"/>
                <w:sz w:val="24"/>
              </w:rPr>
              <w:t>分）：方案整体性、可靠性、先进性、兼容性、可扩展性、可维护性、安全性好，技术成熟可行，对用户需求理解透彻、方案针对性强、详细描述了各模块的功能以及实现的技术方案，模块功能描述较为详细，系统功能上响应所有必须响应项，技术方案可行且具有一定的先进性，完全满足采购文件中的系统功能要求及性能要求。</w:t>
            </w:r>
          </w:p>
        </w:tc>
      </w:tr>
      <w:tr w14:paraId="7B14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24CD0C7B">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1656" w:type="dxa"/>
            <w:vAlign w:val="center"/>
          </w:tcPr>
          <w:p w14:paraId="1469335C">
            <w:pPr>
              <w:keepNext w:val="0"/>
              <w:keepLines w:val="0"/>
              <w:suppressLineNumbers w:val="0"/>
              <w:spacing w:before="0" w:beforeAutospacing="0" w:after="0" w:afterAutospacing="0"/>
              <w:ind w:left="0" w:right="0"/>
              <w:jc w:val="center"/>
              <w:rPr>
                <w:rFonts w:hint="default" w:ascii="仿宋" w:hAnsi="仿宋" w:eastAsia="仿宋" w:cs="仿宋"/>
                <w:kern w:val="0"/>
                <w:sz w:val="24"/>
              </w:rPr>
            </w:pPr>
            <w:r>
              <w:rPr>
                <w:rFonts w:hint="eastAsia" w:ascii="仿宋" w:hAnsi="仿宋" w:eastAsia="仿宋" w:cs="仿宋"/>
                <w:b/>
                <w:bCs/>
                <w:sz w:val="24"/>
              </w:rPr>
              <w:t>项目实施方案</w:t>
            </w:r>
            <w:r>
              <w:rPr>
                <w:rFonts w:hint="eastAsia" w:ascii="仿宋" w:hAnsi="仿宋" w:eastAsia="仿宋" w:cs="仿宋"/>
                <w:kern w:val="0"/>
                <w:sz w:val="24"/>
              </w:rPr>
              <w:t>（满分1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tc>
        <w:tc>
          <w:tcPr>
            <w:tcW w:w="6438" w:type="dxa"/>
            <w:vAlign w:val="center"/>
          </w:tcPr>
          <w:p w14:paraId="365108F5">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未提供项目实施方案或达不到一档要求的不得分。</w:t>
            </w:r>
          </w:p>
          <w:p w14:paraId="43159315">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一档（5分）：对</w:t>
            </w:r>
            <w:r>
              <w:rPr>
                <w:rFonts w:hint="eastAsia" w:ascii="仿宋" w:hAnsi="仿宋" w:eastAsia="仿宋" w:cs="仿宋"/>
                <w:sz w:val="24"/>
                <w:lang w:eastAsia="zh-CN"/>
              </w:rPr>
              <w:t>数字</w:t>
            </w:r>
            <w:r>
              <w:rPr>
                <w:rFonts w:hint="eastAsia" w:ascii="仿宋" w:hAnsi="仿宋" w:eastAsia="仿宋" w:cs="仿宋"/>
                <w:sz w:val="24"/>
              </w:rPr>
              <w:t>档案管理系统总体需求功能描述不全，提供了项目实施进度计划但进度计划不够完整，条理不清晰，安排不具体，未能考虑到项目实施过程中的关键点，无各环节分段，对安全控制措施、保密管理措施及质量保证措施描述简单。</w:t>
            </w:r>
          </w:p>
          <w:p w14:paraId="1C252143">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二档（10分）：对</w:t>
            </w:r>
            <w:r>
              <w:rPr>
                <w:rFonts w:hint="eastAsia" w:ascii="仿宋" w:hAnsi="仿宋" w:eastAsia="仿宋" w:cs="仿宋"/>
                <w:sz w:val="24"/>
                <w:lang w:eastAsia="zh-CN"/>
              </w:rPr>
              <w:t>数字</w:t>
            </w:r>
            <w:r>
              <w:rPr>
                <w:rFonts w:hint="eastAsia" w:ascii="仿宋" w:hAnsi="仿宋" w:eastAsia="仿宋" w:cs="仿宋"/>
                <w:sz w:val="24"/>
              </w:rPr>
              <w:t>档案管理系统总体需求功能描述全面，有较好的项目实施进度计划和质量保证措施，工作进度计划完整，条理较清晰，安排较具体，能够考虑到项目实施过程中的关键点但不全面，对项目安全控制措施、保密管理措施及质量保证措施描述完整、具体。</w:t>
            </w:r>
          </w:p>
          <w:p w14:paraId="58BBF19E">
            <w:pPr>
              <w:keepNext w:val="0"/>
              <w:keepLines w:val="0"/>
              <w:suppressLineNumbers w:val="0"/>
              <w:spacing w:before="0" w:beforeAutospacing="0" w:after="0" w:afterAutospacing="0" w:line="400" w:lineRule="exact"/>
              <w:ind w:left="0" w:right="0"/>
              <w:jc w:val="both"/>
              <w:rPr>
                <w:rFonts w:hint="default" w:ascii="仿宋" w:hAnsi="仿宋" w:eastAsia="仿宋" w:cs="仿宋"/>
                <w:kern w:val="0"/>
                <w:sz w:val="24"/>
              </w:rPr>
            </w:pPr>
            <w:r>
              <w:rPr>
                <w:rFonts w:hint="eastAsia" w:ascii="仿宋" w:hAnsi="仿宋" w:eastAsia="仿宋" w:cs="仿宋"/>
                <w:sz w:val="24"/>
              </w:rPr>
              <w:t>三档（15分）：对</w:t>
            </w:r>
            <w:r>
              <w:rPr>
                <w:rFonts w:hint="eastAsia" w:ascii="仿宋" w:hAnsi="仿宋" w:eastAsia="仿宋" w:cs="仿宋"/>
                <w:sz w:val="24"/>
                <w:lang w:eastAsia="zh-CN"/>
              </w:rPr>
              <w:t>数字</w:t>
            </w:r>
            <w:r>
              <w:rPr>
                <w:rFonts w:hint="eastAsia" w:ascii="仿宋" w:hAnsi="仿宋" w:eastAsia="仿宋" w:cs="仿宋"/>
                <w:sz w:val="24"/>
              </w:rPr>
              <w:t>档案管理系统总体需求功能描述透彻，项目实施计划可行明晰，能详细说明各个阶段实施进度安排，有详细具体的项目实施安全管理规范、保密管理措施、质量保证措施及质量管理程序，实施方案包含了工作时间进度表、工作程序和步骤、管理和协调方法、关键步骤的思路和要点等，且工作进度计划完整、科学，条理清晰。</w:t>
            </w:r>
          </w:p>
        </w:tc>
      </w:tr>
      <w:tr w14:paraId="2621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56C7DF73">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656" w:type="dxa"/>
            <w:vAlign w:val="center"/>
          </w:tcPr>
          <w:p w14:paraId="6985CD18">
            <w:pPr>
              <w:keepNext w:val="0"/>
              <w:keepLines w:val="0"/>
              <w:suppressLineNumbers w:val="0"/>
              <w:spacing w:before="0" w:beforeAutospacing="0" w:after="0" w:afterAutospacing="0"/>
              <w:ind w:left="0" w:right="0"/>
              <w:jc w:val="center"/>
              <w:rPr>
                <w:rFonts w:hint="eastAsia" w:ascii="仿宋" w:hAnsi="仿宋" w:eastAsia="仿宋" w:cs="仿宋"/>
                <w:b/>
                <w:bCs/>
                <w:sz w:val="24"/>
                <w:lang w:eastAsia="zh-CN"/>
              </w:rPr>
            </w:pPr>
            <w:r>
              <w:rPr>
                <w:rFonts w:hint="eastAsia" w:ascii="仿宋" w:hAnsi="仿宋" w:eastAsia="仿宋" w:cs="仿宋"/>
                <w:b/>
                <w:bCs/>
                <w:sz w:val="24"/>
                <w:lang w:eastAsia="zh-CN"/>
              </w:rPr>
              <w:t>人员技能</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7DC0B179">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拟</w:t>
            </w:r>
            <w:r>
              <w:rPr>
                <w:rFonts w:hint="eastAsia" w:ascii="仿宋" w:hAnsi="仿宋" w:eastAsia="仿宋" w:cs="仿宋"/>
                <w:sz w:val="24"/>
                <w:lang w:val="zh-CN"/>
              </w:rPr>
              <w:t>投入的</w:t>
            </w:r>
            <w:r>
              <w:rPr>
                <w:rFonts w:hint="eastAsia" w:ascii="仿宋" w:hAnsi="仿宋" w:eastAsia="仿宋" w:cs="仿宋"/>
                <w:sz w:val="24"/>
              </w:rPr>
              <w:t>项目负责人</w:t>
            </w:r>
            <w:r>
              <w:rPr>
                <w:rFonts w:hint="eastAsia" w:ascii="仿宋" w:hAnsi="仿宋" w:eastAsia="仿宋" w:cs="仿宋"/>
                <w:sz w:val="24"/>
                <w:lang w:val="zh-CN"/>
              </w:rPr>
              <w:t>具有系统集成项目管理工程师（</w:t>
            </w:r>
            <w:r>
              <w:rPr>
                <w:rFonts w:hint="eastAsia" w:ascii="仿宋" w:hAnsi="仿宋" w:eastAsia="仿宋" w:cs="仿宋"/>
                <w:sz w:val="24"/>
              </w:rPr>
              <w:t>中级或以上</w:t>
            </w:r>
            <w:r>
              <w:rPr>
                <w:rFonts w:hint="eastAsia" w:ascii="仿宋" w:hAnsi="仿宋" w:eastAsia="仿宋" w:cs="仿宋"/>
                <w:sz w:val="24"/>
                <w:lang w:val="zh-CN"/>
              </w:rPr>
              <w:t>）</w:t>
            </w:r>
            <w:r>
              <w:rPr>
                <w:rFonts w:hint="eastAsia" w:ascii="仿宋" w:hAnsi="仿宋" w:eastAsia="仿宋" w:cs="仿宋"/>
                <w:sz w:val="24"/>
              </w:rPr>
              <w:t>职称</w:t>
            </w:r>
            <w:r>
              <w:rPr>
                <w:rFonts w:hint="eastAsia" w:ascii="仿宋" w:hAnsi="仿宋" w:eastAsia="仿宋" w:cs="仿宋"/>
                <w:sz w:val="24"/>
                <w:lang w:val="zh-CN"/>
              </w:rPr>
              <w:t>证书</w:t>
            </w:r>
            <w:r>
              <w:rPr>
                <w:rFonts w:hint="eastAsia" w:ascii="仿宋" w:hAnsi="仿宋" w:eastAsia="仿宋" w:cs="仿宋"/>
                <w:sz w:val="24"/>
              </w:rPr>
              <w:t>的得3分；负责人同时具有</w:t>
            </w:r>
            <w:r>
              <w:rPr>
                <w:rFonts w:hint="eastAsia" w:ascii="仿宋" w:hAnsi="仿宋" w:eastAsia="仿宋" w:cs="仿宋"/>
                <w:sz w:val="24"/>
                <w:lang w:val="zh-CN"/>
              </w:rPr>
              <w:t>档案业务培训合格证书</w:t>
            </w:r>
            <w:r>
              <w:rPr>
                <w:rFonts w:hint="eastAsia" w:ascii="仿宋" w:hAnsi="仿宋" w:eastAsia="仿宋" w:cs="仿宋"/>
                <w:sz w:val="24"/>
              </w:rPr>
              <w:t>或</w:t>
            </w:r>
            <w:r>
              <w:rPr>
                <w:rFonts w:hint="eastAsia" w:ascii="仿宋" w:hAnsi="仿宋" w:eastAsia="仿宋" w:cs="仿宋"/>
                <w:sz w:val="24"/>
                <w:lang w:val="zh-CN"/>
              </w:rPr>
              <w:t>涉密人员上岗资格考试合格证书的</w:t>
            </w:r>
            <w:r>
              <w:rPr>
                <w:rFonts w:hint="eastAsia" w:ascii="仿宋" w:hAnsi="仿宋" w:eastAsia="仿宋" w:cs="仿宋"/>
                <w:sz w:val="24"/>
              </w:rPr>
              <w:t>加2</w:t>
            </w:r>
            <w:r>
              <w:rPr>
                <w:rFonts w:hint="eastAsia" w:ascii="仿宋" w:hAnsi="仿宋" w:eastAsia="仿宋" w:cs="仿宋"/>
                <w:sz w:val="24"/>
                <w:lang w:val="zh-CN"/>
              </w:rPr>
              <w:t>分。</w:t>
            </w:r>
            <w:r>
              <w:rPr>
                <w:rFonts w:hint="eastAsia" w:ascii="仿宋" w:hAnsi="仿宋" w:eastAsia="仿宋" w:cs="仿宋"/>
                <w:sz w:val="24"/>
              </w:rPr>
              <w:t>此项满分5</w:t>
            </w:r>
            <w:r>
              <w:rPr>
                <w:rFonts w:hint="eastAsia" w:ascii="仿宋" w:hAnsi="仿宋" w:eastAsia="仿宋" w:cs="仿宋"/>
                <w:sz w:val="24"/>
                <w:lang w:val="zh-CN"/>
              </w:rPr>
              <w:t>分。</w:t>
            </w:r>
          </w:p>
          <w:p w14:paraId="78EA30CD">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拟</w:t>
            </w:r>
            <w:r>
              <w:rPr>
                <w:rFonts w:hint="eastAsia" w:ascii="仿宋" w:hAnsi="仿宋" w:eastAsia="仿宋" w:cs="仿宋"/>
                <w:sz w:val="24"/>
                <w:lang w:val="zh-CN"/>
              </w:rPr>
              <w:t>投入</w:t>
            </w:r>
            <w:r>
              <w:rPr>
                <w:rFonts w:hint="eastAsia" w:ascii="仿宋" w:hAnsi="仿宋" w:eastAsia="仿宋" w:cs="仿宋"/>
                <w:sz w:val="24"/>
              </w:rPr>
              <w:t>团队</w:t>
            </w:r>
            <w:r>
              <w:rPr>
                <w:rFonts w:hint="eastAsia" w:ascii="仿宋" w:hAnsi="仿宋" w:eastAsia="仿宋" w:cs="仿宋"/>
                <w:sz w:val="24"/>
                <w:lang w:val="zh-CN"/>
              </w:rPr>
              <w:t>人员</w:t>
            </w:r>
            <w:r>
              <w:rPr>
                <w:rFonts w:hint="eastAsia" w:ascii="仿宋" w:hAnsi="仿宋" w:eastAsia="仿宋" w:cs="仿宋"/>
                <w:sz w:val="24"/>
              </w:rPr>
              <w:t>（除项目负责人外）</w:t>
            </w:r>
            <w:r>
              <w:rPr>
                <w:rFonts w:hint="eastAsia" w:ascii="仿宋" w:hAnsi="仿宋" w:eastAsia="仿宋" w:cs="仿宋"/>
                <w:sz w:val="24"/>
                <w:lang w:val="zh-CN"/>
              </w:rPr>
              <w:t>具有档案业务培训合格证书</w:t>
            </w:r>
            <w:r>
              <w:rPr>
                <w:rFonts w:hint="eastAsia" w:ascii="仿宋" w:hAnsi="仿宋" w:eastAsia="仿宋" w:cs="仿宋"/>
                <w:sz w:val="24"/>
              </w:rPr>
              <w:t>或</w:t>
            </w:r>
            <w:r>
              <w:rPr>
                <w:rFonts w:hint="eastAsia" w:ascii="仿宋" w:hAnsi="仿宋" w:eastAsia="仿宋" w:cs="仿宋"/>
                <w:sz w:val="24"/>
                <w:lang w:val="zh-CN"/>
              </w:rPr>
              <w:t>涉密人员培训合格证书</w:t>
            </w:r>
            <w:r>
              <w:rPr>
                <w:rFonts w:hint="eastAsia" w:ascii="仿宋" w:hAnsi="仿宋" w:eastAsia="仿宋" w:cs="仿宋"/>
                <w:sz w:val="24"/>
              </w:rPr>
              <w:t>的</w:t>
            </w:r>
            <w:r>
              <w:rPr>
                <w:rFonts w:hint="eastAsia" w:ascii="仿宋" w:hAnsi="仿宋" w:eastAsia="仿宋" w:cs="仿宋"/>
                <w:sz w:val="24"/>
                <w:lang w:val="zh-CN"/>
              </w:rPr>
              <w:t>，每人得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此项满分</w:t>
            </w:r>
            <w:r>
              <w:rPr>
                <w:rFonts w:hint="eastAsia" w:ascii="仿宋" w:hAnsi="仿宋" w:eastAsia="仿宋" w:cs="仿宋"/>
                <w:sz w:val="24"/>
                <w:lang w:val="en-US" w:eastAsia="zh-CN"/>
              </w:rPr>
              <w:t>5</w:t>
            </w:r>
            <w:r>
              <w:rPr>
                <w:rFonts w:hint="eastAsia" w:ascii="仿宋" w:hAnsi="仿宋" w:eastAsia="仿宋" w:cs="仿宋"/>
                <w:sz w:val="24"/>
                <w:lang w:val="zh-CN"/>
              </w:rPr>
              <w:t>分。</w:t>
            </w:r>
          </w:p>
          <w:p w14:paraId="4B490F6A">
            <w:pPr>
              <w:keepNext w:val="0"/>
              <w:keepLines w:val="0"/>
              <w:suppressLineNumbers w:val="0"/>
              <w:spacing w:before="0" w:beforeAutospacing="0" w:after="0" w:afterAutospacing="0" w:line="400" w:lineRule="exact"/>
              <w:ind w:left="0" w:right="0"/>
              <w:jc w:val="both"/>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注：</w:t>
            </w:r>
            <w:r>
              <w:rPr>
                <w:rFonts w:hint="eastAsia" w:ascii="仿宋" w:hAnsi="仿宋" w:eastAsia="仿宋" w:cs="仿宋"/>
                <w:color w:val="C00000"/>
                <w:sz w:val="24"/>
              </w:rPr>
              <w:t>拟投入团队人员（含项目负责人）需</w:t>
            </w:r>
            <w:r>
              <w:rPr>
                <w:rFonts w:hint="eastAsia" w:ascii="仿宋" w:hAnsi="仿宋" w:eastAsia="仿宋" w:cs="仿宋"/>
                <w:color w:val="C00000"/>
                <w:sz w:val="24"/>
                <w:lang w:val="zh-CN"/>
              </w:rPr>
              <w:t>提供</w:t>
            </w:r>
            <w:r>
              <w:rPr>
                <w:rFonts w:hint="eastAsia" w:ascii="仿宋" w:hAnsi="仿宋" w:eastAsia="仿宋" w:cs="仿宋"/>
                <w:color w:val="C00000"/>
                <w:sz w:val="24"/>
              </w:rPr>
              <w:t>近6个月的南宁本地社保缴交证明</w:t>
            </w:r>
            <w:r>
              <w:rPr>
                <w:rFonts w:hint="eastAsia" w:ascii="仿宋" w:hAnsi="仿宋" w:eastAsia="仿宋" w:cs="仿宋"/>
                <w:color w:val="C00000"/>
                <w:sz w:val="24"/>
                <w:lang w:val="zh-CN"/>
              </w:rPr>
              <w:t>材料</w:t>
            </w:r>
            <w:r>
              <w:rPr>
                <w:rFonts w:hint="eastAsia" w:ascii="仿宋" w:hAnsi="仿宋" w:eastAsia="仿宋" w:cs="仿宋"/>
                <w:color w:val="C00000"/>
                <w:sz w:val="24"/>
              </w:rPr>
              <w:t>并加盖单位公章</w:t>
            </w:r>
            <w:r>
              <w:rPr>
                <w:rFonts w:hint="eastAsia" w:ascii="仿宋" w:hAnsi="仿宋" w:eastAsia="仿宋" w:cs="仿宋"/>
                <w:sz w:val="24"/>
                <w:lang w:val="zh-CN"/>
              </w:rPr>
              <w:t>，否则</w:t>
            </w:r>
            <w:r>
              <w:rPr>
                <w:rFonts w:hint="eastAsia" w:ascii="仿宋" w:hAnsi="仿宋" w:eastAsia="仿宋" w:cs="仿宋"/>
                <w:sz w:val="24"/>
              </w:rPr>
              <w:t>不得</w:t>
            </w:r>
            <w:r>
              <w:rPr>
                <w:rFonts w:hint="eastAsia" w:ascii="仿宋" w:hAnsi="仿宋" w:eastAsia="仿宋" w:cs="仿宋"/>
                <w:sz w:val="24"/>
                <w:lang w:val="zh-CN"/>
              </w:rPr>
              <w:t>分）。</w:t>
            </w:r>
          </w:p>
        </w:tc>
      </w:tr>
      <w:tr w14:paraId="007E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2718D1C0">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1656" w:type="dxa"/>
            <w:vAlign w:val="center"/>
          </w:tcPr>
          <w:p w14:paraId="29E93E33">
            <w:pPr>
              <w:keepNext w:val="0"/>
              <w:keepLines w:val="0"/>
              <w:suppressLineNumbers w:val="0"/>
              <w:spacing w:before="0" w:beforeAutospacing="0" w:after="0" w:afterAutospacing="0"/>
              <w:ind w:left="0" w:right="0"/>
              <w:jc w:val="center"/>
              <w:rPr>
                <w:rFonts w:hint="eastAsia" w:ascii="仿宋" w:hAnsi="仿宋" w:eastAsia="仿宋" w:cs="仿宋"/>
                <w:b/>
                <w:bCs/>
                <w:sz w:val="24"/>
                <w:lang w:eastAsia="zh-CN"/>
              </w:rPr>
            </w:pPr>
            <w:r>
              <w:rPr>
                <w:rFonts w:hint="eastAsia" w:ascii="仿宋" w:hAnsi="仿宋" w:eastAsia="仿宋" w:cs="仿宋"/>
                <w:b/>
                <w:bCs/>
                <w:sz w:val="24"/>
                <w:lang w:eastAsia="zh-CN"/>
              </w:rPr>
              <w:t>运维服务</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62E02E41">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未提供运维服务方案或达不到一档要求的不得分。</w:t>
            </w:r>
          </w:p>
          <w:p w14:paraId="015880D4">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一档（4分）：运维服务方案简单，有简单的维护服务流程、维护管理方式及计划和应急保障方案，基本满足项目需求。</w:t>
            </w:r>
          </w:p>
          <w:p w14:paraId="4346CA44">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二档（7分）：运维服务方案具体，有具体的维护流程、故障排查处理流程及组织架构，提出故障技术处理手段及应急保障方案，方案可行较详细及具备应急保障服务能力，较好满足项目需求。</w:t>
            </w:r>
          </w:p>
          <w:p w14:paraId="325E464C">
            <w:pPr>
              <w:keepNext w:val="0"/>
              <w:keepLines w:val="0"/>
              <w:suppressLineNumbers w:val="0"/>
              <w:spacing w:before="0" w:beforeAutospacing="0" w:after="0" w:afterAutospacing="0" w:line="400" w:lineRule="exact"/>
              <w:ind w:left="0" w:right="0"/>
              <w:jc w:val="both"/>
              <w:rPr>
                <w:rFonts w:hint="eastAsia" w:ascii="仿宋" w:hAnsi="仿宋" w:eastAsia="仿宋" w:cs="仿宋"/>
                <w:sz w:val="24"/>
                <w:lang w:val="zh-CN"/>
              </w:rPr>
            </w:pPr>
            <w:r>
              <w:rPr>
                <w:rFonts w:hint="eastAsia" w:ascii="仿宋" w:hAnsi="仿宋" w:eastAsia="仿宋" w:cs="仿宋"/>
                <w:sz w:val="24"/>
                <w:lang w:val="zh-CN"/>
              </w:rPr>
              <w:t>三档（10分）：运维服务方案详细，有详细的维护流程、故障排查处理流程及组织架构，并能对本项目常见故障、系统异常、数据错误、故障修复时间等情况进行描述，提出故障技术处理手段及应急保障方案，方案科学、完整及具备应急保障服务能力，制定有详细的定期检查、升级更新方案。</w:t>
            </w:r>
          </w:p>
        </w:tc>
      </w:tr>
      <w:tr w14:paraId="1895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4F59E0A5">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1656" w:type="dxa"/>
            <w:vAlign w:val="center"/>
          </w:tcPr>
          <w:p w14:paraId="2A77069F">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培训及售后服务</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6AC234C3">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未提供培训及售后服务方案或达不到一档要求的不得分。</w:t>
            </w:r>
          </w:p>
          <w:p w14:paraId="7320AD73">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一档（</w:t>
            </w:r>
            <w:r>
              <w:rPr>
                <w:rFonts w:hint="eastAsia" w:ascii="仿宋" w:hAnsi="仿宋" w:eastAsia="仿宋" w:cs="仿宋"/>
                <w:sz w:val="24"/>
                <w:lang w:val="en-US" w:eastAsia="zh-CN"/>
              </w:rPr>
              <w:t>4</w:t>
            </w:r>
            <w:r>
              <w:rPr>
                <w:rFonts w:hint="eastAsia" w:ascii="仿宋" w:hAnsi="仿宋" w:eastAsia="仿宋" w:cs="仿宋"/>
                <w:sz w:val="24"/>
                <w:lang w:val="zh-CN"/>
              </w:rPr>
              <w:t>分）：售后服务方案简单，可行性较差，售后技术服务方案等内容不够完善，响应时间安排不够合理；对培训方案有描述但内容简单，培训计划安排不合理，培训流程说明不明确。</w:t>
            </w:r>
          </w:p>
          <w:p w14:paraId="09A293EB">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二档（</w:t>
            </w:r>
            <w:r>
              <w:rPr>
                <w:rFonts w:hint="default" w:ascii="仿宋" w:hAnsi="仿宋" w:eastAsia="仿宋" w:cs="仿宋"/>
                <w:sz w:val="24"/>
                <w:lang w:val="zh-CN"/>
              </w:rPr>
              <w:t>7</w:t>
            </w:r>
            <w:r>
              <w:rPr>
                <w:rFonts w:hint="eastAsia" w:ascii="仿宋" w:hAnsi="仿宋" w:eastAsia="仿宋" w:cs="仿宋"/>
                <w:sz w:val="24"/>
                <w:lang w:val="zh-CN"/>
              </w:rPr>
              <w:t>分）：售后服务方案较具体，售后技术方案内容较详细、具体，措施有效可行，响应时间安排合理；提供专门的售后服务技术支持；培训方案详细，培训计划安排合理，有详细的培训流程说明，各项培训流程、时间安排明确。</w:t>
            </w:r>
          </w:p>
          <w:p w14:paraId="36AA1D9E">
            <w:pPr>
              <w:keepNext w:val="0"/>
              <w:keepLines w:val="0"/>
              <w:suppressLineNumbers w:val="0"/>
              <w:spacing w:before="0" w:beforeAutospacing="0" w:after="0" w:afterAutospacing="0" w:line="400" w:lineRule="exact"/>
              <w:ind w:left="0" w:right="0"/>
              <w:jc w:val="both"/>
              <w:rPr>
                <w:rFonts w:hint="eastAsia" w:ascii="仿宋" w:hAnsi="仿宋" w:eastAsia="仿宋" w:cs="仿宋"/>
                <w:sz w:val="24"/>
              </w:rPr>
            </w:pPr>
            <w:r>
              <w:rPr>
                <w:rFonts w:hint="eastAsia" w:ascii="仿宋" w:hAnsi="仿宋" w:eastAsia="仿宋" w:cs="仿宋"/>
                <w:sz w:val="24"/>
                <w:lang w:val="zh-CN"/>
              </w:rPr>
              <w:t>三档（1</w:t>
            </w:r>
            <w:r>
              <w:rPr>
                <w:rFonts w:hint="default" w:ascii="仿宋" w:hAnsi="仿宋" w:eastAsia="仿宋" w:cs="仿宋"/>
                <w:sz w:val="24"/>
                <w:lang w:val="zh-CN"/>
              </w:rPr>
              <w:t>0</w:t>
            </w:r>
            <w:r>
              <w:rPr>
                <w:rFonts w:hint="eastAsia" w:ascii="仿宋" w:hAnsi="仿宋" w:eastAsia="仿宋" w:cs="仿宋"/>
                <w:sz w:val="24"/>
                <w:lang w:val="zh-CN"/>
              </w:rPr>
              <w:t>分）：售后服务方案合理，方案表述清晰、完整，措施有效可行，售后技术方案内容详实、完整，具有针对性，响应时间合理及时，配备有专门的售后服务团队并提供详细的售后服务人员信息表，维护期内按季度巡查系统；培训方案在满足二档的基础上，培训方案涉及操作维护方法、系统调测、排除故障流程等各方面，满足采购人使用人员的工作需求，培训方式多样化，方案针对性及可行性强。</w:t>
            </w:r>
          </w:p>
        </w:tc>
      </w:tr>
    </w:tbl>
    <w:p w14:paraId="5C366898">
      <w:pPr>
        <w:spacing w:line="480" w:lineRule="exact"/>
        <w:jc w:val="left"/>
        <w:rPr>
          <w:rFonts w:ascii="仿宋" w:hAnsi="仿宋" w:eastAsia="仿宋" w:cs="仿宋"/>
          <w:b/>
          <w:bCs/>
          <w:sz w:val="28"/>
          <w:szCs w:val="28"/>
        </w:rPr>
        <w:sectPr>
          <w:pgSz w:w="11906" w:h="16838"/>
          <w:pgMar w:top="2098" w:right="1474" w:bottom="1984" w:left="1587" w:header="851" w:footer="992" w:gutter="0"/>
          <w:pgNumType w:fmt="numberInDash"/>
          <w:cols w:space="720" w:num="1"/>
          <w:docGrid w:type="lines" w:linePitch="312" w:charSpace="0"/>
        </w:sectPr>
      </w:pPr>
      <w:bookmarkStart w:id="435" w:name="_Toc19593"/>
      <w:bookmarkStart w:id="436" w:name="_Toc19365"/>
      <w:bookmarkStart w:id="437" w:name="_Toc15663"/>
      <w:bookmarkStart w:id="438" w:name="_Toc24296"/>
      <w:bookmarkStart w:id="439" w:name="_Toc19395"/>
      <w:bookmarkStart w:id="440" w:name="_Toc27525"/>
      <w:bookmarkStart w:id="441" w:name="_Toc21685"/>
      <w:bookmarkStart w:id="442" w:name="_Toc22367"/>
      <w:bookmarkStart w:id="443" w:name="_Toc10183"/>
    </w:p>
    <w:p w14:paraId="67CCE924">
      <w:pPr>
        <w:spacing w:line="480" w:lineRule="exact"/>
        <w:jc w:val="center"/>
        <w:outlineLvl w:val="0"/>
        <w:rPr>
          <w:rFonts w:ascii="仿宋" w:hAnsi="仿宋" w:eastAsia="仿宋" w:cs="仿宋"/>
          <w:b/>
          <w:bCs/>
          <w:sz w:val="32"/>
          <w:szCs w:val="32"/>
        </w:rPr>
      </w:pPr>
      <w:bookmarkStart w:id="444" w:name="_Toc2271"/>
      <w:r>
        <w:rPr>
          <w:rFonts w:hint="eastAsia" w:ascii="仿宋" w:hAnsi="仿宋" w:eastAsia="仿宋" w:cs="仿宋"/>
          <w:b/>
          <w:bCs/>
          <w:sz w:val="32"/>
          <w:szCs w:val="32"/>
        </w:rPr>
        <w:t>第五章 中选标准</w:t>
      </w:r>
      <w:bookmarkEnd w:id="435"/>
      <w:bookmarkEnd w:id="436"/>
      <w:bookmarkEnd w:id="437"/>
      <w:bookmarkEnd w:id="438"/>
      <w:bookmarkEnd w:id="439"/>
      <w:bookmarkEnd w:id="440"/>
      <w:bookmarkEnd w:id="441"/>
      <w:bookmarkEnd w:id="442"/>
      <w:bookmarkEnd w:id="443"/>
      <w:bookmarkEnd w:id="444"/>
    </w:p>
    <w:p w14:paraId="54CEC6CA">
      <w:pPr>
        <w:spacing w:line="480" w:lineRule="exact"/>
        <w:jc w:val="center"/>
        <w:rPr>
          <w:rFonts w:ascii="仿宋" w:hAnsi="仿宋" w:eastAsia="仿宋" w:cs="仿宋"/>
          <w:sz w:val="28"/>
          <w:szCs w:val="28"/>
        </w:rPr>
      </w:pPr>
    </w:p>
    <w:p w14:paraId="43C0A5E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56B44911">
      <w:pPr>
        <w:spacing w:line="480" w:lineRule="exact"/>
        <w:ind w:right="753"/>
        <w:jc w:val="left"/>
        <w:rPr>
          <w:rFonts w:ascii="仿宋" w:hAnsi="仿宋" w:eastAsia="仿宋" w:cs="仿宋"/>
          <w:sz w:val="28"/>
          <w:szCs w:val="28"/>
        </w:rPr>
      </w:pPr>
    </w:p>
    <w:p w14:paraId="63E23D1F">
      <w:pPr>
        <w:spacing w:line="480" w:lineRule="exact"/>
        <w:rPr>
          <w:rFonts w:ascii="仿宋" w:hAnsi="仿宋" w:eastAsia="仿宋" w:cs="仿宋"/>
          <w:sz w:val="28"/>
          <w:szCs w:val="28"/>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B84E77-D50F-4984-A9B6-CEA6F58AF8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YZhongHeiKW">
    <w:altName w:val="宋体"/>
    <w:panose1 w:val="00020600040101010101"/>
    <w:charset w:val="86"/>
    <w:family w:val="swiss"/>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74360A23-11B1-4849-8A06-F47E9E2034C7}"/>
  </w:font>
  <w:font w:name="仿宋_GB2312">
    <w:panose1 w:val="02010609030101010101"/>
    <w:charset w:val="86"/>
    <w:family w:val="modern"/>
    <w:pitch w:val="default"/>
    <w:sig w:usb0="00000001" w:usb1="080E0000" w:usb2="00000000" w:usb3="00000000" w:csb0="00040000" w:csb1="00000000"/>
    <w:embedRegular r:id="rId3" w:fontKey="{1EB52BCC-D36A-48B6-A509-9F9624792CAB}"/>
  </w:font>
  <w:font w:name="仿宋">
    <w:panose1 w:val="02010609060101010101"/>
    <w:charset w:val="86"/>
    <w:family w:val="modern"/>
    <w:pitch w:val="default"/>
    <w:sig w:usb0="800002BF" w:usb1="38CF7CFA" w:usb2="00000016" w:usb3="00000000" w:csb0="00040001" w:csb1="00000000"/>
    <w:embedRegular r:id="rId4" w:fontKey="{F3BE9E2C-D94A-454B-99C9-1645ED8A9CB7}"/>
  </w:font>
  <w:font w:name="楷体">
    <w:panose1 w:val="02010609060101010101"/>
    <w:charset w:val="86"/>
    <w:family w:val="modern"/>
    <w:pitch w:val="default"/>
    <w:sig w:usb0="800002BF" w:usb1="38CF7CFA" w:usb2="00000016" w:usb3="00000000" w:csb0="00040001" w:csb1="00000000"/>
    <w:embedRegular r:id="rId5" w:fontKey="{EBA92559-BD09-4A19-BA43-A2BA81BC5B62}"/>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038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DC6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14:paraId="6232527B">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o/kjQAAAAAwEAAA8AAAAAAAAAAQAgAAAAIgAAAGRy&#10;cy9kb3ducmV2LnhtbFBLAQIUABQAAAAIAIdO4kCZfSNRDQIAABAEAAAOAAAAAAAAAAEAIAAAAB8B&#10;AABkcnMvZTJvRG9jLnhtbFBLBQYAAAAABgAGAFkBAACeBQAAAAA=&#10;">
              <v:fill on="f" focussize="0,0"/>
              <v:stroke on="f"/>
              <v:imagedata o:title=""/>
              <o:lock v:ext="edit" aspectratio="f"/>
              <v:textbox inset="0mm,0mm,0mm,0mm" style="mso-fit-shape-to-text:t;">
                <w:txbxContent>
                  <w:p w14:paraId="6232527B">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CE91C"/>
    <w:multiLevelType w:val="singleLevel"/>
    <w:tmpl w:val="5FBCE91C"/>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ZWE3YWJjOTA0NjhmNTI2YzQ2YjZhMzg4YmJhN2QifQ=="/>
    <w:docVar w:name="KSO_WPS_MARK_KEY" w:val="b8e7615e-8ba0-49e5-a3ee-69855562a19e"/>
  </w:docVars>
  <w:rsids>
    <w:rsidRoot w:val="00AF2965"/>
    <w:rsid w:val="000159E7"/>
    <w:rsid w:val="000676F0"/>
    <w:rsid w:val="000D0650"/>
    <w:rsid w:val="000F70E0"/>
    <w:rsid w:val="00115695"/>
    <w:rsid w:val="00165052"/>
    <w:rsid w:val="00196FF4"/>
    <w:rsid w:val="001A3155"/>
    <w:rsid w:val="001B6DFF"/>
    <w:rsid w:val="001C43CF"/>
    <w:rsid w:val="001E6448"/>
    <w:rsid w:val="00216B86"/>
    <w:rsid w:val="0028484E"/>
    <w:rsid w:val="00370F9E"/>
    <w:rsid w:val="003B46CC"/>
    <w:rsid w:val="003C20A5"/>
    <w:rsid w:val="003D6C2C"/>
    <w:rsid w:val="003E3B12"/>
    <w:rsid w:val="004437CB"/>
    <w:rsid w:val="0046303C"/>
    <w:rsid w:val="004726AB"/>
    <w:rsid w:val="004A4ACF"/>
    <w:rsid w:val="004E72D4"/>
    <w:rsid w:val="0052626E"/>
    <w:rsid w:val="005A2C64"/>
    <w:rsid w:val="005B0CD3"/>
    <w:rsid w:val="005C3257"/>
    <w:rsid w:val="005D4E0C"/>
    <w:rsid w:val="00622A84"/>
    <w:rsid w:val="00702607"/>
    <w:rsid w:val="00721090"/>
    <w:rsid w:val="007A3882"/>
    <w:rsid w:val="007B76C3"/>
    <w:rsid w:val="007C2593"/>
    <w:rsid w:val="00884953"/>
    <w:rsid w:val="0089005E"/>
    <w:rsid w:val="0089268C"/>
    <w:rsid w:val="0090701B"/>
    <w:rsid w:val="00941197"/>
    <w:rsid w:val="009F66B6"/>
    <w:rsid w:val="00A3470B"/>
    <w:rsid w:val="00AA7229"/>
    <w:rsid w:val="00AF2965"/>
    <w:rsid w:val="00B129B0"/>
    <w:rsid w:val="00B4759C"/>
    <w:rsid w:val="00B9039D"/>
    <w:rsid w:val="00BB0B54"/>
    <w:rsid w:val="00C46923"/>
    <w:rsid w:val="00C76400"/>
    <w:rsid w:val="00CB0D17"/>
    <w:rsid w:val="00D4549A"/>
    <w:rsid w:val="00D777DC"/>
    <w:rsid w:val="00D84153"/>
    <w:rsid w:val="00DF35EA"/>
    <w:rsid w:val="00E12298"/>
    <w:rsid w:val="00E559E8"/>
    <w:rsid w:val="00E83D05"/>
    <w:rsid w:val="00EC08F7"/>
    <w:rsid w:val="00F12B7C"/>
    <w:rsid w:val="00F644DC"/>
    <w:rsid w:val="00FE02FC"/>
    <w:rsid w:val="00FE075C"/>
    <w:rsid w:val="00FE556F"/>
    <w:rsid w:val="020B1A92"/>
    <w:rsid w:val="02374EF4"/>
    <w:rsid w:val="054933A7"/>
    <w:rsid w:val="060005BC"/>
    <w:rsid w:val="07FFAFD2"/>
    <w:rsid w:val="091B098F"/>
    <w:rsid w:val="0A471C6E"/>
    <w:rsid w:val="0A861711"/>
    <w:rsid w:val="0AC119AE"/>
    <w:rsid w:val="0D444B28"/>
    <w:rsid w:val="0E4A3FF1"/>
    <w:rsid w:val="0EF24286"/>
    <w:rsid w:val="100E1475"/>
    <w:rsid w:val="10595C63"/>
    <w:rsid w:val="107C7498"/>
    <w:rsid w:val="10AD0C8E"/>
    <w:rsid w:val="10E271A4"/>
    <w:rsid w:val="125421D6"/>
    <w:rsid w:val="12BC1DDA"/>
    <w:rsid w:val="12E86920"/>
    <w:rsid w:val="13BF4CA4"/>
    <w:rsid w:val="14073E96"/>
    <w:rsid w:val="14975E18"/>
    <w:rsid w:val="14A405FA"/>
    <w:rsid w:val="150B76A1"/>
    <w:rsid w:val="152D239E"/>
    <w:rsid w:val="164A32E8"/>
    <w:rsid w:val="16CA5DD1"/>
    <w:rsid w:val="178D5376"/>
    <w:rsid w:val="17B93E9D"/>
    <w:rsid w:val="199E386A"/>
    <w:rsid w:val="1A734CF7"/>
    <w:rsid w:val="1B9577E8"/>
    <w:rsid w:val="1CC932F4"/>
    <w:rsid w:val="1EA074D2"/>
    <w:rsid w:val="20307CEB"/>
    <w:rsid w:val="20503F08"/>
    <w:rsid w:val="205E123F"/>
    <w:rsid w:val="20E16986"/>
    <w:rsid w:val="237C1760"/>
    <w:rsid w:val="23AC3027"/>
    <w:rsid w:val="24123531"/>
    <w:rsid w:val="256309BB"/>
    <w:rsid w:val="280B7FA5"/>
    <w:rsid w:val="287A0F04"/>
    <w:rsid w:val="28924EE2"/>
    <w:rsid w:val="28A86B6C"/>
    <w:rsid w:val="297D524A"/>
    <w:rsid w:val="2A125123"/>
    <w:rsid w:val="2A5F0DF4"/>
    <w:rsid w:val="2BC37160"/>
    <w:rsid w:val="2C6902CF"/>
    <w:rsid w:val="2C7751E8"/>
    <w:rsid w:val="2CFB0976"/>
    <w:rsid w:val="2E2C7332"/>
    <w:rsid w:val="2EDD3C61"/>
    <w:rsid w:val="301B7790"/>
    <w:rsid w:val="302B56C4"/>
    <w:rsid w:val="30A47560"/>
    <w:rsid w:val="30EC71DD"/>
    <w:rsid w:val="325B6297"/>
    <w:rsid w:val="32994C8F"/>
    <w:rsid w:val="32D83E39"/>
    <w:rsid w:val="3435414F"/>
    <w:rsid w:val="356E3DC6"/>
    <w:rsid w:val="35BE23CF"/>
    <w:rsid w:val="36223643"/>
    <w:rsid w:val="36EF52AD"/>
    <w:rsid w:val="388760E5"/>
    <w:rsid w:val="38A81BB8"/>
    <w:rsid w:val="38AD5420"/>
    <w:rsid w:val="390A63CE"/>
    <w:rsid w:val="390B0AC4"/>
    <w:rsid w:val="39693A3D"/>
    <w:rsid w:val="39E83B69"/>
    <w:rsid w:val="39FA0E5E"/>
    <w:rsid w:val="3A064DE8"/>
    <w:rsid w:val="3ACE361F"/>
    <w:rsid w:val="3BB01A4F"/>
    <w:rsid w:val="3BDD50CD"/>
    <w:rsid w:val="3E3C024A"/>
    <w:rsid w:val="3ED43F5F"/>
    <w:rsid w:val="3F752B94"/>
    <w:rsid w:val="3F981F88"/>
    <w:rsid w:val="3FCE5321"/>
    <w:rsid w:val="3FDD1211"/>
    <w:rsid w:val="40251D40"/>
    <w:rsid w:val="40381640"/>
    <w:rsid w:val="40EA4619"/>
    <w:rsid w:val="411A73CB"/>
    <w:rsid w:val="414865FC"/>
    <w:rsid w:val="4448502D"/>
    <w:rsid w:val="448049CA"/>
    <w:rsid w:val="44BC2CA0"/>
    <w:rsid w:val="45181E73"/>
    <w:rsid w:val="45D466E2"/>
    <w:rsid w:val="46F8408C"/>
    <w:rsid w:val="47FF3EE0"/>
    <w:rsid w:val="485650D9"/>
    <w:rsid w:val="48C63A07"/>
    <w:rsid w:val="490C081C"/>
    <w:rsid w:val="4AC54ECC"/>
    <w:rsid w:val="4AFF0728"/>
    <w:rsid w:val="4B1F5216"/>
    <w:rsid w:val="4B895879"/>
    <w:rsid w:val="4C0E47ED"/>
    <w:rsid w:val="4CE979A8"/>
    <w:rsid w:val="4DE84BDB"/>
    <w:rsid w:val="4EE821F5"/>
    <w:rsid w:val="4F674B21"/>
    <w:rsid w:val="4FE73824"/>
    <w:rsid w:val="4FEE7696"/>
    <w:rsid w:val="4FF359B6"/>
    <w:rsid w:val="501047FC"/>
    <w:rsid w:val="50BF2EE1"/>
    <w:rsid w:val="50D03C13"/>
    <w:rsid w:val="50F6750C"/>
    <w:rsid w:val="51F0337D"/>
    <w:rsid w:val="526A6DA4"/>
    <w:rsid w:val="526E4715"/>
    <w:rsid w:val="53070102"/>
    <w:rsid w:val="53172865"/>
    <w:rsid w:val="53DD0CAB"/>
    <w:rsid w:val="55E63326"/>
    <w:rsid w:val="5686787A"/>
    <w:rsid w:val="571B7CCD"/>
    <w:rsid w:val="57D8796C"/>
    <w:rsid w:val="582C4935"/>
    <w:rsid w:val="594A5DFE"/>
    <w:rsid w:val="597C52F7"/>
    <w:rsid w:val="59EE0733"/>
    <w:rsid w:val="5AC21FCE"/>
    <w:rsid w:val="5C5E240A"/>
    <w:rsid w:val="5D112212"/>
    <w:rsid w:val="5DB22A0D"/>
    <w:rsid w:val="5E6E385C"/>
    <w:rsid w:val="5F2227C7"/>
    <w:rsid w:val="5F937A2D"/>
    <w:rsid w:val="5FAC54F2"/>
    <w:rsid w:val="60744E06"/>
    <w:rsid w:val="60EE69CE"/>
    <w:rsid w:val="61706E67"/>
    <w:rsid w:val="61CE3B8D"/>
    <w:rsid w:val="61F37D91"/>
    <w:rsid w:val="625132E0"/>
    <w:rsid w:val="62991FE0"/>
    <w:rsid w:val="62A36DC8"/>
    <w:rsid w:val="62CC4571"/>
    <w:rsid w:val="63612F0B"/>
    <w:rsid w:val="64FA7C33"/>
    <w:rsid w:val="66263F98"/>
    <w:rsid w:val="6659546A"/>
    <w:rsid w:val="670E46EB"/>
    <w:rsid w:val="67F9DD84"/>
    <w:rsid w:val="684626D0"/>
    <w:rsid w:val="68963B71"/>
    <w:rsid w:val="68D40C60"/>
    <w:rsid w:val="690B1002"/>
    <w:rsid w:val="6974326C"/>
    <w:rsid w:val="6AAE58CC"/>
    <w:rsid w:val="6B431148"/>
    <w:rsid w:val="6B454EC0"/>
    <w:rsid w:val="6CB97EBC"/>
    <w:rsid w:val="6CD42E74"/>
    <w:rsid w:val="6D0B5154"/>
    <w:rsid w:val="6DED43D2"/>
    <w:rsid w:val="6E8A3A47"/>
    <w:rsid w:val="6F7E0C66"/>
    <w:rsid w:val="6F7E7546"/>
    <w:rsid w:val="6FB35FDE"/>
    <w:rsid w:val="71076449"/>
    <w:rsid w:val="71387300"/>
    <w:rsid w:val="73FF8424"/>
    <w:rsid w:val="74395C55"/>
    <w:rsid w:val="763E70DC"/>
    <w:rsid w:val="76444C59"/>
    <w:rsid w:val="76584F51"/>
    <w:rsid w:val="767E1022"/>
    <w:rsid w:val="77721545"/>
    <w:rsid w:val="78757A47"/>
    <w:rsid w:val="788560B8"/>
    <w:rsid w:val="78CE1EFE"/>
    <w:rsid w:val="78CF226D"/>
    <w:rsid w:val="795A5FDB"/>
    <w:rsid w:val="797D97FD"/>
    <w:rsid w:val="7A142D98"/>
    <w:rsid w:val="7A3602B8"/>
    <w:rsid w:val="7ABB1E98"/>
    <w:rsid w:val="7AC704D2"/>
    <w:rsid w:val="7BB125F7"/>
    <w:rsid w:val="7BBD1F19"/>
    <w:rsid w:val="7C0A057E"/>
    <w:rsid w:val="7CE93C24"/>
    <w:rsid w:val="7D9F088F"/>
    <w:rsid w:val="7DFB9C77"/>
    <w:rsid w:val="7E392A85"/>
    <w:rsid w:val="7FAF62B7"/>
    <w:rsid w:val="7FD246FA"/>
    <w:rsid w:val="7FFF529A"/>
    <w:rsid w:val="99FF49B7"/>
    <w:rsid w:val="ABEB31BD"/>
    <w:rsid w:val="BFE92655"/>
    <w:rsid w:val="BFFED897"/>
    <w:rsid w:val="D7EBC47B"/>
    <w:rsid w:val="D95F44BD"/>
    <w:rsid w:val="DFF26859"/>
    <w:rsid w:val="EFF58317"/>
    <w:rsid w:val="FA733D17"/>
    <w:rsid w:val="FBBBFA4C"/>
    <w:rsid w:val="FDFBA040"/>
    <w:rsid w:val="FFFA8EF9"/>
    <w:rsid w:val="FFFB8992"/>
    <w:rsid w:val="FFFEE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6" w:lineRule="auto"/>
      <w:jc w:val="center"/>
      <w:outlineLvl w:val="0"/>
    </w:pPr>
    <w:rPr>
      <w:rFonts w:ascii="Times New Roman" w:hAnsi="Times New Roman"/>
      <w:b/>
      <w:kern w:val="44"/>
      <w:sz w:val="28"/>
      <w:szCs w:val="20"/>
    </w:rPr>
  </w:style>
  <w:style w:type="paragraph" w:styleId="5">
    <w:name w:val="heading 2"/>
    <w:basedOn w:val="1"/>
    <w:next w:val="1"/>
    <w:qFormat/>
    <w:uiPriority w:val="0"/>
    <w:pPr>
      <w:keepNext/>
      <w:keepLines/>
      <w:spacing w:before="260" w:after="260" w:line="413" w:lineRule="auto"/>
      <w:outlineLvl w:val="1"/>
    </w:pPr>
    <w:rPr>
      <w:rFonts w:ascii="Arial" w:hAnsi="Arial"/>
      <w:kern w:val="0"/>
      <w:sz w:val="28"/>
      <w:szCs w:val="20"/>
    </w:rPr>
  </w:style>
  <w:style w:type="paragraph" w:styleId="6">
    <w:name w:val="heading 3"/>
    <w:basedOn w:val="1"/>
    <w:next w:val="1"/>
    <w:link w:val="23"/>
    <w:qFormat/>
    <w:uiPriority w:val="0"/>
    <w:pPr>
      <w:keepNext/>
      <w:keepLines/>
      <w:spacing w:before="260" w:after="260" w:line="413" w:lineRule="auto"/>
      <w:outlineLvl w:val="2"/>
    </w:pPr>
    <w:rPr>
      <w:kern w:val="0"/>
      <w:sz w:val="28"/>
      <w:szCs w:val="20"/>
    </w:rPr>
  </w:style>
  <w:style w:type="paragraph" w:styleId="7">
    <w:name w:val="heading 4"/>
    <w:basedOn w:val="1"/>
    <w:next w:val="1"/>
    <w:qFormat/>
    <w:uiPriority w:val="0"/>
    <w:pPr>
      <w:keepNext/>
      <w:keepLines/>
      <w:spacing w:line="374"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120" w:rightChars="-120"/>
      <w:jc w:val="left"/>
    </w:pPr>
    <w:rPr>
      <w:rFonts w:ascii="宋体" w:hAnsi="宋体" w:eastAsia="宋体" w:cs="Times New Roman"/>
      <w:sz w:val="28"/>
    </w:rPr>
  </w:style>
  <w:style w:type="paragraph" w:styleId="4">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rPr>
      <w:rFonts w:ascii="Calibri" w:hAnsi="Calibri"/>
      <w:szCs w:val="22"/>
    </w:rPr>
  </w:style>
  <w:style w:type="paragraph" w:styleId="9">
    <w:name w:val="Body Text"/>
    <w:basedOn w:val="1"/>
    <w:link w:val="33"/>
    <w:unhideWhenUsed/>
    <w:qFormat/>
    <w:uiPriority w:val="99"/>
    <w:pPr>
      <w:spacing w:after="120" w:line="600" w:lineRule="exact"/>
      <w:ind w:firstLine="200" w:firstLineChars="200"/>
    </w:pPr>
    <w:rPr>
      <w:rFonts w:ascii="Calibri" w:hAnsi="Calibri" w:cs="宋体"/>
    </w:rPr>
  </w:style>
  <w:style w:type="paragraph" w:styleId="10">
    <w:name w:val="Plain Text"/>
    <w:basedOn w:val="1"/>
    <w:next w:val="7"/>
    <w:qFormat/>
    <w:uiPriority w:val="0"/>
    <w:pPr>
      <w:adjustRightInd w:val="0"/>
      <w:spacing w:line="312" w:lineRule="atLeast"/>
      <w:textAlignment w:val="baseline"/>
    </w:pPr>
    <w:rPr>
      <w:rFonts w:ascii="宋体" w:hAnsi="Courier New"/>
    </w:rPr>
  </w:style>
  <w:style w:type="paragraph" w:styleId="11">
    <w:name w:val="Date"/>
    <w:basedOn w:val="1"/>
    <w:next w:val="1"/>
    <w:qFormat/>
    <w:uiPriority w:val="0"/>
    <w:pPr>
      <w:ind w:left="100" w:leftChars="2500"/>
    </w:pPr>
  </w:style>
  <w:style w:type="paragraph" w:styleId="12">
    <w:name w:val="Balloon Text"/>
    <w:basedOn w:val="1"/>
    <w:link w:val="24"/>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rPr>
      <w:sz w:val="24"/>
    </w:rPr>
  </w:style>
  <w:style w:type="paragraph" w:styleId="18">
    <w:name w:val="annotation subject"/>
    <w:basedOn w:val="8"/>
    <w:next w:val="8"/>
    <w:qFormat/>
    <w:uiPriority w:val="0"/>
    <w:rPr>
      <w:rFonts w:ascii="Times New Roman" w:hAnsi="Times New Roman"/>
      <w:b/>
      <w:bCs/>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Hyperlink"/>
    <w:unhideWhenUsed/>
    <w:qFormat/>
    <w:uiPriority w:val="99"/>
    <w:rPr>
      <w:color w:val="0000FF"/>
      <w:u w:val="single"/>
    </w:rPr>
  </w:style>
  <w:style w:type="character" w:customStyle="1" w:styleId="23">
    <w:name w:val="标题 3 字符"/>
    <w:link w:val="6"/>
    <w:qFormat/>
    <w:uiPriority w:val="0"/>
    <w:rPr>
      <w:kern w:val="0"/>
      <w:sz w:val="28"/>
      <w:szCs w:val="20"/>
    </w:rPr>
  </w:style>
  <w:style w:type="character" w:customStyle="1" w:styleId="24">
    <w:name w:val="批注框文本 字符"/>
    <w:link w:val="12"/>
    <w:qFormat/>
    <w:uiPriority w:val="0"/>
    <w:rPr>
      <w:kern w:val="2"/>
      <w:sz w:val="18"/>
      <w:szCs w:val="18"/>
    </w:rPr>
  </w:style>
  <w:style w:type="character" w:customStyle="1" w:styleId="25">
    <w:name w:val="页脚 字符"/>
    <w:link w:val="13"/>
    <w:qFormat/>
    <w:uiPriority w:val="0"/>
    <w:rPr>
      <w:kern w:val="2"/>
      <w:sz w:val="18"/>
      <w:szCs w:val="18"/>
    </w:rPr>
  </w:style>
  <w:style w:type="character" w:customStyle="1" w:styleId="26">
    <w:name w:val="页眉 字符"/>
    <w:link w:val="14"/>
    <w:qFormat/>
    <w:uiPriority w:val="0"/>
    <w:rPr>
      <w:kern w:val="2"/>
      <w:sz w:val="18"/>
      <w:szCs w:val="18"/>
    </w:rPr>
  </w:style>
  <w:style w:type="paragraph" w:customStyle="1" w:styleId="27">
    <w:name w:val="纯文本1"/>
    <w:basedOn w:val="1"/>
    <w:qFormat/>
    <w:uiPriority w:val="0"/>
    <w:rPr>
      <w:rFonts w:ascii="宋体" w:hAnsi="Courier New" w:cs="黑体"/>
      <w:szCs w:val="21"/>
    </w:rPr>
  </w:style>
  <w:style w:type="paragraph" w:customStyle="1" w:styleId="28">
    <w:name w:val="列出段落1"/>
    <w:basedOn w:val="1"/>
    <w:qFormat/>
    <w:uiPriority w:val="34"/>
    <w:pPr>
      <w:ind w:firstLine="420" w:firstLineChars="200"/>
    </w:pPr>
    <w:rPr>
      <w:rFonts w:ascii="Calibri" w:hAnsi="Calibri"/>
      <w:szCs w:val="22"/>
    </w:rPr>
  </w:style>
  <w:style w:type="paragraph" w:customStyle="1" w:styleId="29">
    <w:name w:val="样式1"/>
    <w:qFormat/>
    <w:uiPriority w:val="0"/>
    <w:pPr>
      <w:framePr w:wrap="around" w:vAnchor="margin" w:hAnchor="text" w:y="1"/>
      <w:spacing w:before="240" w:after="240" w:line="400" w:lineRule="exact"/>
    </w:pPr>
    <w:rPr>
      <w:rFonts w:hint="eastAsia" w:ascii="Arial Unicode MS" w:hAnsi="Arial Unicode MS" w:eastAsia="Arial Unicode MS" w:cs="Arial Unicode MS"/>
      <w:color w:val="000000"/>
      <w:sz w:val="21"/>
      <w:szCs w:val="21"/>
      <w:lang w:val="en-US" w:eastAsia="zh-CN" w:bidi="ar-SA"/>
    </w:rPr>
  </w:style>
  <w:style w:type="paragraph" w:customStyle="1" w:styleId="30">
    <w:name w:val="CM4"/>
    <w:basedOn w:val="31"/>
    <w:next w:val="31"/>
    <w:unhideWhenUsed/>
    <w:qFormat/>
    <w:uiPriority w:val="99"/>
    <w:pPr>
      <w:spacing w:line="468" w:lineRule="atLeast"/>
    </w:pPr>
    <w:rPr>
      <w:rFonts w:hint="default"/>
    </w:rPr>
  </w:style>
  <w:style w:type="paragraph" w:customStyle="1" w:styleId="31">
    <w:name w:val="Default"/>
    <w:unhideWhenUsed/>
    <w:qFormat/>
    <w:uiPriority w:val="99"/>
    <w:pPr>
      <w:widowControl w:val="0"/>
      <w:autoSpaceDE w:val="0"/>
      <w:autoSpaceDN w:val="0"/>
      <w:adjustRightInd w:val="0"/>
    </w:pPr>
    <w:rPr>
      <w:rFonts w:hint="eastAsia" w:ascii="HYZhongHeiKW" w:hAnsi="HYZhongHeiKW" w:eastAsia="HYZhongHeiKW" w:cs="Times New Roman"/>
      <w:color w:val="000000"/>
      <w:sz w:val="24"/>
      <w:szCs w:val="24"/>
      <w:lang w:val="en-US" w:eastAsia="zh-CN" w:bidi="ar-SA"/>
    </w:rPr>
  </w:style>
  <w:style w:type="paragraph" w:customStyle="1" w:styleId="32">
    <w:name w:val="CM6"/>
    <w:basedOn w:val="31"/>
    <w:next w:val="31"/>
    <w:unhideWhenUsed/>
    <w:qFormat/>
    <w:uiPriority w:val="99"/>
    <w:pPr>
      <w:spacing w:line="468" w:lineRule="atLeast"/>
    </w:pPr>
    <w:rPr>
      <w:rFonts w:hint="default"/>
    </w:rPr>
  </w:style>
  <w:style w:type="character" w:customStyle="1" w:styleId="33">
    <w:name w:val="正文文本 字符"/>
    <w:basedOn w:val="21"/>
    <w:link w:val="9"/>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16236</Words>
  <Characters>17027</Characters>
  <Lines>139</Lines>
  <Paragraphs>39</Paragraphs>
  <TotalTime>10</TotalTime>
  <ScaleCrop>false</ScaleCrop>
  <LinksUpToDate>false</LinksUpToDate>
  <CharactersWithSpaces>17276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2024-11-17T16:13:00Z</dcterms:created>
  <dc:creator>NNRT</dc:creator>
  <cp:lastModifiedBy>综合部</cp:lastModifiedBy>
  <dcterms:modified xsi:type="dcterms:W3CDTF">2024-11-20T09:58:30Z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B36DBD0ADEF47CB1C8EF3B673B604D38_43</vt:lpwstr>
  </property>
</Properties>
</file>