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ind w:firstLine="437"/>
        <w:jc w:val="center"/>
        <w:rPr>
          <w:rFonts w:ascii="宋体" w:cs="Arial"/>
          <w:b/>
          <w:sz w:val="44"/>
          <w:szCs w:val="44"/>
        </w:rPr>
      </w:pPr>
      <w:bookmarkStart w:id="0" w:name="_Toc143421653"/>
      <w:bookmarkStart w:id="1" w:name="_Toc128451845"/>
      <w:bookmarkStart w:id="2" w:name="_Toc140045840"/>
    </w:p>
    <w:p>
      <w:pPr>
        <w:spacing w:line="360" w:lineRule="auto"/>
        <w:ind w:firstLine="437"/>
        <w:jc w:val="center"/>
        <w:rPr>
          <w:rFonts w:ascii="宋体" w:cs="Arial"/>
          <w:b/>
          <w:sz w:val="44"/>
          <w:szCs w:val="44"/>
        </w:rPr>
      </w:pPr>
    </w:p>
    <w:p>
      <w:pPr>
        <w:spacing w:line="360" w:lineRule="auto"/>
        <w:ind w:firstLine="437"/>
        <w:jc w:val="center"/>
        <w:rPr>
          <w:rFonts w:ascii="宋体" w:cs="Arial"/>
          <w:b/>
          <w:sz w:val="44"/>
          <w:szCs w:val="44"/>
        </w:rPr>
      </w:pPr>
    </w:p>
    <w:p>
      <w:pPr>
        <w:spacing w:line="360" w:lineRule="auto"/>
        <w:jc w:val="center"/>
        <w:rPr>
          <w:b/>
          <w:spacing w:val="-4"/>
          <w:sz w:val="44"/>
          <w:szCs w:val="44"/>
        </w:rPr>
      </w:pPr>
      <w:r>
        <w:rPr>
          <w:rFonts w:hint="eastAsia"/>
          <w:b/>
          <w:spacing w:val="-4"/>
          <w:sz w:val="44"/>
          <w:szCs w:val="44"/>
        </w:rPr>
        <w:t>项目名称：南宁轨道数智科技有限公司资产管理系统采购项目</w:t>
      </w:r>
    </w:p>
    <w:p>
      <w:pPr>
        <w:spacing w:line="360" w:lineRule="auto"/>
        <w:ind w:firstLine="437"/>
        <w:jc w:val="center"/>
        <w:rPr>
          <w:rFonts w:ascii="宋体" w:cs="Arial"/>
          <w:b/>
          <w:sz w:val="44"/>
          <w:szCs w:val="44"/>
        </w:rPr>
      </w:pPr>
    </w:p>
    <w:p>
      <w:pPr>
        <w:spacing w:line="360" w:lineRule="auto"/>
        <w:ind w:firstLine="437"/>
        <w:jc w:val="center"/>
        <w:rPr>
          <w:rFonts w:ascii="宋体" w:cs="Arial"/>
          <w:b/>
          <w:sz w:val="44"/>
          <w:szCs w:val="44"/>
        </w:rPr>
      </w:pPr>
    </w:p>
    <w:p>
      <w:pPr>
        <w:spacing w:line="360" w:lineRule="auto"/>
        <w:jc w:val="center"/>
        <w:rPr>
          <w:sz w:val="72"/>
          <w:szCs w:val="72"/>
        </w:rPr>
      </w:pPr>
      <w:r>
        <w:rPr>
          <w:rFonts w:hint="eastAsia" w:hAnsi="宋体"/>
          <w:sz w:val="72"/>
          <w:szCs w:val="72"/>
        </w:rPr>
        <w:t>招</w:t>
      </w:r>
      <w:r>
        <w:rPr>
          <w:sz w:val="72"/>
          <w:szCs w:val="72"/>
        </w:rPr>
        <w:t xml:space="preserve"> </w:t>
      </w:r>
      <w:r>
        <w:rPr>
          <w:rFonts w:hint="eastAsia" w:hAnsi="宋体"/>
          <w:sz w:val="72"/>
          <w:szCs w:val="72"/>
        </w:rPr>
        <w:t>标</w:t>
      </w:r>
      <w:r>
        <w:rPr>
          <w:sz w:val="72"/>
          <w:szCs w:val="72"/>
        </w:rPr>
        <w:t xml:space="preserve"> </w:t>
      </w:r>
      <w:r>
        <w:rPr>
          <w:rFonts w:hint="eastAsia" w:hAnsi="宋体"/>
          <w:sz w:val="72"/>
          <w:szCs w:val="72"/>
        </w:rPr>
        <w:t>文</w:t>
      </w:r>
      <w:r>
        <w:rPr>
          <w:sz w:val="72"/>
          <w:szCs w:val="72"/>
        </w:rPr>
        <w:t xml:space="preserve"> </w:t>
      </w:r>
      <w:r>
        <w:rPr>
          <w:rFonts w:hint="eastAsia" w:hAnsi="宋体"/>
          <w:sz w:val="72"/>
          <w:szCs w:val="72"/>
        </w:rPr>
        <w:t>件</w:t>
      </w:r>
    </w:p>
    <w:p>
      <w:pPr>
        <w:spacing w:line="360" w:lineRule="auto"/>
        <w:ind w:firstLine="437"/>
        <w:jc w:val="center"/>
        <w:rPr>
          <w:szCs w:val="21"/>
        </w:rPr>
      </w:pPr>
    </w:p>
    <w:p>
      <w:pPr>
        <w:spacing w:line="360" w:lineRule="auto"/>
        <w:ind w:firstLine="437"/>
        <w:jc w:val="center"/>
        <w:rPr>
          <w:szCs w:val="21"/>
        </w:rPr>
      </w:pPr>
    </w:p>
    <w:p>
      <w:pPr>
        <w:spacing w:line="360" w:lineRule="auto"/>
        <w:ind w:firstLine="437"/>
        <w:jc w:val="center"/>
        <w:rPr>
          <w:szCs w:val="21"/>
        </w:rPr>
      </w:pPr>
    </w:p>
    <w:p>
      <w:pPr>
        <w:spacing w:line="360" w:lineRule="auto"/>
        <w:jc w:val="center"/>
        <w:rPr>
          <w:rFonts w:hAnsi="宋体"/>
          <w:sz w:val="28"/>
          <w:szCs w:val="28"/>
        </w:rPr>
      </w:pPr>
      <w:r>
        <w:rPr>
          <w:rFonts w:hint="eastAsia" w:hAnsi="宋体"/>
          <w:sz w:val="28"/>
          <w:szCs w:val="28"/>
        </w:rPr>
        <w:t>项目编号：</w:t>
      </w:r>
      <w:r>
        <w:rPr>
          <w:rFonts w:hAnsi="宋体"/>
          <w:sz w:val="28"/>
          <w:szCs w:val="28"/>
        </w:rPr>
        <w:t>GD-202410</w:t>
      </w:r>
    </w:p>
    <w:p>
      <w:pPr>
        <w:spacing w:line="360" w:lineRule="auto"/>
        <w:ind w:firstLine="437"/>
        <w:jc w:val="center"/>
        <w:rPr>
          <w:szCs w:val="21"/>
        </w:rPr>
      </w:pPr>
    </w:p>
    <w:p>
      <w:pPr>
        <w:spacing w:line="360" w:lineRule="auto"/>
        <w:ind w:firstLine="437"/>
        <w:jc w:val="center"/>
        <w:rPr>
          <w:szCs w:val="21"/>
        </w:rPr>
      </w:pPr>
    </w:p>
    <w:p>
      <w:pPr>
        <w:spacing w:line="360" w:lineRule="auto"/>
        <w:ind w:firstLine="437"/>
        <w:jc w:val="center"/>
        <w:rPr>
          <w:szCs w:val="21"/>
        </w:rPr>
      </w:pPr>
    </w:p>
    <w:p>
      <w:pPr>
        <w:spacing w:line="360" w:lineRule="auto"/>
        <w:ind w:firstLine="437"/>
        <w:jc w:val="center"/>
        <w:rPr>
          <w:szCs w:val="21"/>
        </w:rPr>
      </w:pPr>
    </w:p>
    <w:p>
      <w:pPr>
        <w:spacing w:line="360" w:lineRule="auto"/>
        <w:ind w:firstLine="437"/>
        <w:jc w:val="center"/>
        <w:rPr>
          <w:szCs w:val="21"/>
        </w:rPr>
      </w:pPr>
    </w:p>
    <w:p>
      <w:pPr>
        <w:spacing w:line="360" w:lineRule="auto"/>
        <w:ind w:firstLine="437"/>
        <w:jc w:val="center"/>
        <w:rPr>
          <w:sz w:val="32"/>
          <w:szCs w:val="32"/>
        </w:rPr>
      </w:pPr>
      <w:r>
        <w:rPr>
          <w:rFonts w:hint="eastAsia" w:hAnsi="宋体"/>
          <w:sz w:val="32"/>
          <w:szCs w:val="32"/>
        </w:rPr>
        <w:t>招</w:t>
      </w:r>
      <w:r>
        <w:rPr>
          <w:sz w:val="32"/>
          <w:szCs w:val="32"/>
        </w:rPr>
        <w:t xml:space="preserve"> </w:t>
      </w:r>
      <w:r>
        <w:rPr>
          <w:rFonts w:hint="eastAsia" w:hAnsi="宋体"/>
          <w:sz w:val="32"/>
          <w:szCs w:val="32"/>
        </w:rPr>
        <w:t>标</w:t>
      </w:r>
      <w:r>
        <w:rPr>
          <w:sz w:val="32"/>
          <w:szCs w:val="32"/>
        </w:rPr>
        <w:t xml:space="preserve"> </w:t>
      </w:r>
      <w:r>
        <w:rPr>
          <w:rFonts w:hint="eastAsia" w:hAnsi="宋体"/>
          <w:sz w:val="32"/>
          <w:szCs w:val="32"/>
        </w:rPr>
        <w:t>人：</w:t>
      </w:r>
      <w:r>
        <w:rPr>
          <w:rFonts w:hAnsi="宋体"/>
          <w:sz w:val="32"/>
          <w:szCs w:val="32"/>
        </w:rPr>
        <w:t>南宁轨道数智科技有限公司</w:t>
      </w:r>
      <w:r>
        <w:rPr>
          <w:rFonts w:hint="eastAsia" w:hAnsi="宋体"/>
          <w:sz w:val="32"/>
          <w:szCs w:val="32"/>
        </w:rPr>
        <w:t>（盖单位章）</w:t>
      </w:r>
    </w:p>
    <w:p>
      <w:pPr>
        <w:ind w:firstLine="437"/>
        <w:jc w:val="center"/>
        <w:rPr>
          <w:sz w:val="32"/>
          <w:szCs w:val="32"/>
        </w:rPr>
      </w:pPr>
    </w:p>
    <w:p>
      <w:pPr>
        <w:spacing w:line="360" w:lineRule="auto"/>
        <w:ind w:firstLine="437"/>
        <w:jc w:val="center"/>
        <w:rPr>
          <w:sz w:val="32"/>
          <w:szCs w:val="32"/>
        </w:rPr>
      </w:pPr>
      <w:r>
        <w:rPr>
          <w:rFonts w:hint="eastAsia" w:hAnsi="宋体"/>
          <w:sz w:val="32"/>
          <w:szCs w:val="32"/>
        </w:rPr>
        <w:t>招标代理机构：广西城通工程咨询有限责任公司（盖单位章）</w:t>
      </w:r>
    </w:p>
    <w:p>
      <w:pPr>
        <w:ind w:firstLine="437"/>
        <w:jc w:val="center"/>
        <w:rPr>
          <w:sz w:val="32"/>
          <w:szCs w:val="32"/>
        </w:rPr>
      </w:pPr>
    </w:p>
    <w:p>
      <w:pPr>
        <w:tabs>
          <w:tab w:val="left" w:pos="5040"/>
        </w:tabs>
        <w:spacing w:line="360" w:lineRule="auto"/>
        <w:jc w:val="center"/>
        <w:rPr>
          <w:rFonts w:hAnsi="宋体"/>
          <w:sz w:val="32"/>
          <w:szCs w:val="32"/>
        </w:rPr>
      </w:pPr>
      <w:r>
        <w:rPr>
          <w:rFonts w:hint="eastAsia" w:hAnsi="宋体"/>
          <w:sz w:val="32"/>
          <w:szCs w:val="32"/>
        </w:rPr>
        <w:t>日期：</w:t>
      </w:r>
      <w:r>
        <w:rPr>
          <w:rFonts w:hint="eastAsia" w:hAnsi="宋体"/>
          <w:sz w:val="32"/>
          <w:szCs w:val="32"/>
          <w:u w:val="single"/>
        </w:rPr>
        <w:t>2024年1</w:t>
      </w:r>
      <w:r>
        <w:rPr>
          <w:rFonts w:hAnsi="宋体"/>
          <w:sz w:val="32"/>
          <w:szCs w:val="32"/>
          <w:u w:val="single"/>
        </w:rPr>
        <w:t>1</w:t>
      </w:r>
      <w:r>
        <w:rPr>
          <w:rFonts w:hint="eastAsia" w:hAnsi="宋体"/>
          <w:sz w:val="32"/>
          <w:szCs w:val="32"/>
          <w:u w:val="single"/>
        </w:rPr>
        <w:t>月</w:t>
      </w:r>
      <w:bookmarkStart w:id="3" w:name="_Toc374888830"/>
    </w:p>
    <w:bookmarkEnd w:id="3"/>
    <w:p>
      <w:pPr>
        <w:pStyle w:val="42"/>
        <w:tabs>
          <w:tab w:val="right" w:leader="dot" w:pos="8659"/>
        </w:tabs>
        <w:spacing w:line="360" w:lineRule="auto"/>
        <w:ind w:left="0" w:leftChars="0"/>
        <w:jc w:val="center"/>
        <w:rPr>
          <w:rFonts w:eastAsia="黑体"/>
          <w:sz w:val="32"/>
          <w:szCs w:val="32"/>
        </w:rPr>
      </w:pPr>
    </w:p>
    <w:p>
      <w:pPr>
        <w:spacing w:line="360" w:lineRule="auto"/>
        <w:jc w:val="center"/>
        <w:rPr>
          <w:b/>
          <w:spacing w:val="-4"/>
          <w:sz w:val="44"/>
          <w:szCs w:val="44"/>
        </w:rPr>
        <w:sectPr>
          <w:headerReference r:id="rId3" w:type="default"/>
          <w:footerReference r:id="rId4" w:type="default"/>
          <w:footerReference r:id="rId5" w:type="even"/>
          <w:pgSz w:w="11906" w:h="16838"/>
          <w:pgMar w:top="1418" w:right="1418" w:bottom="1418" w:left="1418" w:header="851" w:footer="992" w:gutter="0"/>
          <w:cols w:space="720" w:num="1"/>
          <w:docGrid w:linePitch="312" w:charSpace="0"/>
        </w:sectPr>
      </w:pPr>
    </w:p>
    <w:p>
      <w:pPr>
        <w:spacing w:line="360" w:lineRule="auto"/>
        <w:jc w:val="center"/>
        <w:rPr>
          <w:rFonts w:eastAsia="黑体"/>
          <w:sz w:val="32"/>
          <w:szCs w:val="32"/>
        </w:rPr>
      </w:pPr>
      <w:r>
        <w:rPr>
          <w:rFonts w:hint="eastAsia" w:eastAsia="黑体"/>
          <w:sz w:val="32"/>
          <w:szCs w:val="32"/>
        </w:rPr>
        <w:t>目</w:t>
      </w:r>
      <w:r>
        <w:rPr>
          <w:rFonts w:eastAsia="黑体"/>
          <w:sz w:val="32"/>
          <w:szCs w:val="32"/>
        </w:rPr>
        <w:t xml:space="preserve"> </w:t>
      </w:r>
      <w:r>
        <w:rPr>
          <w:rFonts w:hint="eastAsia" w:eastAsia="黑体"/>
          <w:sz w:val="32"/>
          <w:szCs w:val="32"/>
        </w:rPr>
        <w:t>录</w:t>
      </w:r>
    </w:p>
    <w:p>
      <w:pPr>
        <w:pStyle w:val="33"/>
        <w:tabs>
          <w:tab w:val="right" w:leader="dot" w:pos="9070"/>
        </w:tabs>
      </w:pPr>
      <w:bookmarkStart w:id="4" w:name="_Toc10255"/>
      <w:bookmarkStart w:id="5" w:name="_Toc23891"/>
      <w:bookmarkStart w:id="6" w:name="_Toc604"/>
      <w:bookmarkStart w:id="7" w:name="_Toc21416"/>
      <w:bookmarkStart w:id="8" w:name="_Toc341255922"/>
      <w:bookmarkStart w:id="9" w:name="_Toc234121005"/>
      <w:bookmarkStart w:id="10" w:name="_Toc530736520"/>
      <w:r>
        <w:rPr>
          <w:rFonts w:ascii="宋体" w:hAnsi="宋体"/>
          <w:sz w:val="24"/>
        </w:rPr>
        <w:fldChar w:fldCharType="begin"/>
      </w:r>
      <w:r>
        <w:rPr>
          <w:rFonts w:ascii="宋体" w:hAnsi="宋体"/>
          <w:sz w:val="24"/>
        </w:rPr>
        <w:instrText xml:space="preserve"> TOC \o "1-2" \h \z \u </w:instrText>
      </w:r>
      <w:r>
        <w:rPr>
          <w:rFonts w:ascii="宋体" w:hAnsi="宋体"/>
          <w:sz w:val="24"/>
        </w:rPr>
        <w:fldChar w:fldCharType="separate"/>
      </w:r>
      <w:r>
        <w:fldChar w:fldCharType="begin"/>
      </w:r>
      <w:r>
        <w:instrText xml:space="preserve"> HYPERLINK \l "_Toc15541" </w:instrText>
      </w:r>
      <w:r>
        <w:fldChar w:fldCharType="separate"/>
      </w:r>
      <w:r>
        <w:rPr>
          <w:rFonts w:hint="eastAsia" w:eastAsia="黑体"/>
          <w:bCs/>
          <w:kern w:val="0"/>
          <w:szCs w:val="32"/>
        </w:rPr>
        <w:t>第一章</w:t>
      </w:r>
      <w:r>
        <w:rPr>
          <w:rFonts w:eastAsia="黑体"/>
          <w:bCs/>
          <w:kern w:val="0"/>
          <w:szCs w:val="32"/>
        </w:rPr>
        <w:t xml:space="preserve">  </w:t>
      </w:r>
      <w:r>
        <w:rPr>
          <w:rFonts w:hint="eastAsia" w:eastAsia="黑体"/>
          <w:bCs/>
          <w:kern w:val="0"/>
          <w:szCs w:val="32"/>
        </w:rPr>
        <w:t>招标公告</w:t>
      </w:r>
      <w:r>
        <w:tab/>
      </w:r>
      <w:r>
        <w:fldChar w:fldCharType="begin"/>
      </w:r>
      <w:r>
        <w:instrText xml:space="preserve"> PAGEREF _Toc15541 \h </w:instrText>
      </w:r>
      <w:r>
        <w:fldChar w:fldCharType="separate"/>
      </w:r>
      <w:r>
        <w:t>4</w:t>
      </w:r>
      <w:r>
        <w:fldChar w:fldCharType="end"/>
      </w:r>
      <w:r>
        <w:fldChar w:fldCharType="end"/>
      </w:r>
    </w:p>
    <w:p>
      <w:pPr>
        <w:pStyle w:val="42"/>
        <w:tabs>
          <w:tab w:val="right" w:leader="dot" w:pos="9070"/>
        </w:tabs>
      </w:pPr>
      <w:r>
        <w:fldChar w:fldCharType="begin"/>
      </w:r>
      <w:r>
        <w:instrText xml:space="preserve"> HYPERLINK \l "_Toc8890" </w:instrText>
      </w:r>
      <w:r>
        <w:fldChar w:fldCharType="separate"/>
      </w:r>
      <w:r>
        <w:rPr>
          <w:rFonts w:hint="eastAsia"/>
        </w:rPr>
        <w:t>1</w:t>
      </w:r>
      <w:r>
        <w:t xml:space="preserve"> </w:t>
      </w:r>
      <w:r>
        <w:rPr>
          <w:rFonts w:hint="eastAsia"/>
        </w:rPr>
        <w:t>项目概况与招标范围</w:t>
      </w:r>
      <w:r>
        <w:tab/>
      </w:r>
      <w:r>
        <w:fldChar w:fldCharType="begin"/>
      </w:r>
      <w:r>
        <w:instrText xml:space="preserve"> PAGEREF _Toc8890 \h </w:instrText>
      </w:r>
      <w:r>
        <w:fldChar w:fldCharType="separate"/>
      </w:r>
      <w:r>
        <w:t>4</w:t>
      </w:r>
      <w:r>
        <w:fldChar w:fldCharType="end"/>
      </w:r>
      <w:r>
        <w:fldChar w:fldCharType="end"/>
      </w:r>
    </w:p>
    <w:p>
      <w:pPr>
        <w:pStyle w:val="42"/>
        <w:tabs>
          <w:tab w:val="right" w:leader="dot" w:pos="9070"/>
        </w:tabs>
      </w:pPr>
      <w:r>
        <w:fldChar w:fldCharType="begin"/>
      </w:r>
      <w:r>
        <w:instrText xml:space="preserve"> HYPERLINK \l "_Toc26492" </w:instrText>
      </w:r>
      <w:r>
        <w:fldChar w:fldCharType="separate"/>
      </w:r>
      <w:r>
        <w:rPr>
          <w:rFonts w:hint="eastAsia"/>
        </w:rPr>
        <w:t>2</w:t>
      </w:r>
      <w:r>
        <w:t xml:space="preserve"> </w:t>
      </w:r>
      <w:r>
        <w:rPr>
          <w:rFonts w:hint="eastAsia"/>
        </w:rPr>
        <w:t>投标人资格要求</w:t>
      </w:r>
      <w:r>
        <w:tab/>
      </w:r>
      <w:r>
        <w:fldChar w:fldCharType="begin"/>
      </w:r>
      <w:r>
        <w:instrText xml:space="preserve"> PAGEREF _Toc26492 \h </w:instrText>
      </w:r>
      <w:r>
        <w:fldChar w:fldCharType="separate"/>
      </w:r>
      <w:r>
        <w:t>4</w:t>
      </w:r>
      <w:r>
        <w:fldChar w:fldCharType="end"/>
      </w:r>
      <w:r>
        <w:fldChar w:fldCharType="end"/>
      </w:r>
    </w:p>
    <w:p>
      <w:pPr>
        <w:pStyle w:val="42"/>
        <w:tabs>
          <w:tab w:val="right" w:leader="dot" w:pos="9070"/>
        </w:tabs>
      </w:pPr>
      <w:r>
        <w:fldChar w:fldCharType="begin"/>
      </w:r>
      <w:r>
        <w:instrText xml:space="preserve"> HYPERLINK \l "_Toc29236" </w:instrText>
      </w:r>
      <w:r>
        <w:fldChar w:fldCharType="separate"/>
      </w:r>
      <w:r>
        <w:rPr>
          <w:rFonts w:hint="eastAsia"/>
        </w:rPr>
        <w:t>3</w:t>
      </w:r>
      <w:r>
        <w:t xml:space="preserve"> </w:t>
      </w:r>
      <w:r>
        <w:rPr>
          <w:rFonts w:hint="eastAsia"/>
        </w:rPr>
        <w:t>资格审查方式</w:t>
      </w:r>
      <w:r>
        <w:tab/>
      </w:r>
      <w:r>
        <w:fldChar w:fldCharType="begin"/>
      </w:r>
      <w:r>
        <w:instrText xml:space="preserve"> PAGEREF _Toc29236 \h </w:instrText>
      </w:r>
      <w:r>
        <w:fldChar w:fldCharType="separate"/>
      </w:r>
      <w:r>
        <w:t>5</w:t>
      </w:r>
      <w:r>
        <w:fldChar w:fldCharType="end"/>
      </w:r>
      <w:r>
        <w:fldChar w:fldCharType="end"/>
      </w:r>
    </w:p>
    <w:p>
      <w:pPr>
        <w:pStyle w:val="42"/>
        <w:tabs>
          <w:tab w:val="right" w:leader="dot" w:pos="9070"/>
        </w:tabs>
      </w:pPr>
      <w:r>
        <w:fldChar w:fldCharType="begin"/>
      </w:r>
      <w:r>
        <w:instrText xml:space="preserve"> HYPERLINK \l "_Toc20161" </w:instrText>
      </w:r>
      <w:r>
        <w:fldChar w:fldCharType="separate"/>
      </w:r>
      <w:r>
        <w:rPr>
          <w:rFonts w:hint="eastAsia"/>
        </w:rPr>
        <w:t>4招标文件的获取</w:t>
      </w:r>
      <w:r>
        <w:tab/>
      </w:r>
      <w:r>
        <w:fldChar w:fldCharType="begin"/>
      </w:r>
      <w:r>
        <w:instrText xml:space="preserve"> PAGEREF _Toc20161 \h </w:instrText>
      </w:r>
      <w:r>
        <w:fldChar w:fldCharType="separate"/>
      </w:r>
      <w:r>
        <w:t>5</w:t>
      </w:r>
      <w:r>
        <w:fldChar w:fldCharType="end"/>
      </w:r>
      <w:r>
        <w:fldChar w:fldCharType="end"/>
      </w:r>
    </w:p>
    <w:p>
      <w:pPr>
        <w:pStyle w:val="42"/>
        <w:tabs>
          <w:tab w:val="right" w:leader="dot" w:pos="9070"/>
        </w:tabs>
      </w:pPr>
      <w:r>
        <w:fldChar w:fldCharType="begin"/>
      </w:r>
      <w:r>
        <w:instrText xml:space="preserve"> HYPERLINK \l "_Toc27627" </w:instrText>
      </w:r>
      <w:r>
        <w:fldChar w:fldCharType="separate"/>
      </w:r>
      <w:r>
        <w:rPr>
          <w:rFonts w:hint="eastAsia"/>
        </w:rPr>
        <w:t>5</w:t>
      </w:r>
      <w:r>
        <w:t xml:space="preserve"> </w:t>
      </w:r>
      <w:r>
        <w:rPr>
          <w:rFonts w:hint="eastAsia"/>
        </w:rPr>
        <w:t>投标文件的递交</w:t>
      </w:r>
      <w:r>
        <w:tab/>
      </w:r>
      <w:r>
        <w:fldChar w:fldCharType="begin"/>
      </w:r>
      <w:r>
        <w:instrText xml:space="preserve"> PAGEREF _Toc27627 \h </w:instrText>
      </w:r>
      <w:r>
        <w:fldChar w:fldCharType="separate"/>
      </w:r>
      <w:r>
        <w:t>5</w:t>
      </w:r>
      <w:r>
        <w:fldChar w:fldCharType="end"/>
      </w:r>
      <w:r>
        <w:fldChar w:fldCharType="end"/>
      </w:r>
    </w:p>
    <w:p>
      <w:pPr>
        <w:pStyle w:val="42"/>
        <w:tabs>
          <w:tab w:val="right" w:leader="dot" w:pos="9070"/>
        </w:tabs>
      </w:pPr>
      <w:r>
        <w:fldChar w:fldCharType="begin"/>
      </w:r>
      <w:r>
        <w:instrText xml:space="preserve"> HYPERLINK \l "_Toc16686" </w:instrText>
      </w:r>
      <w:r>
        <w:fldChar w:fldCharType="separate"/>
      </w:r>
      <w:r>
        <w:t>6.评标方式</w:t>
      </w:r>
      <w:r>
        <w:tab/>
      </w:r>
      <w:r>
        <w:fldChar w:fldCharType="begin"/>
      </w:r>
      <w:r>
        <w:instrText xml:space="preserve"> PAGEREF _Toc16686 \h </w:instrText>
      </w:r>
      <w:r>
        <w:fldChar w:fldCharType="separate"/>
      </w:r>
      <w:r>
        <w:t>5</w:t>
      </w:r>
      <w:r>
        <w:fldChar w:fldCharType="end"/>
      </w:r>
      <w:r>
        <w:fldChar w:fldCharType="end"/>
      </w:r>
    </w:p>
    <w:p>
      <w:pPr>
        <w:pStyle w:val="42"/>
        <w:tabs>
          <w:tab w:val="right" w:leader="dot" w:pos="9070"/>
        </w:tabs>
      </w:pPr>
      <w:r>
        <w:fldChar w:fldCharType="begin"/>
      </w:r>
      <w:r>
        <w:instrText xml:space="preserve"> HYPERLINK \l "_Toc11153" </w:instrText>
      </w:r>
      <w:r>
        <w:fldChar w:fldCharType="separate"/>
      </w:r>
      <w:r>
        <w:rPr>
          <w:rFonts w:hint="eastAsia"/>
        </w:rPr>
        <w:t>7</w:t>
      </w:r>
      <w:r>
        <w:t xml:space="preserve"> </w:t>
      </w:r>
      <w:r>
        <w:rPr>
          <w:rFonts w:hint="eastAsia"/>
        </w:rPr>
        <w:t>发布公告的媒介</w:t>
      </w:r>
      <w:r>
        <w:tab/>
      </w:r>
      <w:r>
        <w:fldChar w:fldCharType="begin"/>
      </w:r>
      <w:r>
        <w:instrText xml:space="preserve"> PAGEREF _Toc11153 \h </w:instrText>
      </w:r>
      <w:r>
        <w:fldChar w:fldCharType="separate"/>
      </w:r>
      <w:r>
        <w:t>5</w:t>
      </w:r>
      <w:r>
        <w:fldChar w:fldCharType="end"/>
      </w:r>
      <w:r>
        <w:fldChar w:fldCharType="end"/>
      </w:r>
    </w:p>
    <w:p>
      <w:pPr>
        <w:pStyle w:val="42"/>
        <w:tabs>
          <w:tab w:val="right" w:leader="dot" w:pos="9070"/>
        </w:tabs>
      </w:pPr>
      <w:r>
        <w:fldChar w:fldCharType="begin"/>
      </w:r>
      <w:r>
        <w:instrText xml:space="preserve"> HYPERLINK \l "_Toc7316" </w:instrText>
      </w:r>
      <w:r>
        <w:fldChar w:fldCharType="separate"/>
      </w:r>
      <w:r>
        <w:t>8.交易服务单位</w:t>
      </w:r>
      <w:r>
        <w:tab/>
      </w:r>
      <w:r>
        <w:fldChar w:fldCharType="begin"/>
      </w:r>
      <w:r>
        <w:instrText xml:space="preserve"> PAGEREF _Toc7316 \h </w:instrText>
      </w:r>
      <w:r>
        <w:fldChar w:fldCharType="separate"/>
      </w:r>
      <w:r>
        <w:t>5</w:t>
      </w:r>
      <w:r>
        <w:fldChar w:fldCharType="end"/>
      </w:r>
      <w:r>
        <w:fldChar w:fldCharType="end"/>
      </w:r>
    </w:p>
    <w:p>
      <w:pPr>
        <w:pStyle w:val="42"/>
        <w:tabs>
          <w:tab w:val="right" w:leader="dot" w:pos="9070"/>
        </w:tabs>
      </w:pPr>
      <w:r>
        <w:fldChar w:fldCharType="begin"/>
      </w:r>
      <w:r>
        <w:instrText xml:space="preserve"> HYPERLINK \l "_Toc11512" </w:instrText>
      </w:r>
      <w:r>
        <w:fldChar w:fldCharType="separate"/>
      </w:r>
      <w:r>
        <w:rPr>
          <w:rFonts w:hint="eastAsia"/>
        </w:rPr>
        <w:t>9</w:t>
      </w:r>
      <w:r>
        <w:t xml:space="preserve"> </w:t>
      </w:r>
      <w:r>
        <w:rPr>
          <w:rFonts w:hint="eastAsia"/>
        </w:rPr>
        <w:t>联系方式</w:t>
      </w:r>
      <w:r>
        <w:tab/>
      </w:r>
      <w:r>
        <w:fldChar w:fldCharType="begin"/>
      </w:r>
      <w:r>
        <w:instrText xml:space="preserve"> PAGEREF _Toc11512 \h </w:instrText>
      </w:r>
      <w:r>
        <w:fldChar w:fldCharType="separate"/>
      </w:r>
      <w:r>
        <w:t>5</w:t>
      </w:r>
      <w:r>
        <w:fldChar w:fldCharType="end"/>
      </w:r>
      <w:r>
        <w:fldChar w:fldCharType="end"/>
      </w:r>
    </w:p>
    <w:p>
      <w:pPr>
        <w:pStyle w:val="33"/>
        <w:tabs>
          <w:tab w:val="right" w:leader="dot" w:pos="9070"/>
        </w:tabs>
      </w:pPr>
      <w:r>
        <w:fldChar w:fldCharType="begin"/>
      </w:r>
      <w:r>
        <w:instrText xml:space="preserve"> HYPERLINK \l "_Toc13754" </w:instrText>
      </w:r>
      <w:r>
        <w:fldChar w:fldCharType="separate"/>
      </w:r>
      <w:r>
        <w:rPr>
          <w:rFonts w:hint="eastAsia" w:eastAsia="黑体"/>
          <w:bCs/>
          <w:kern w:val="0"/>
          <w:szCs w:val="32"/>
        </w:rPr>
        <w:t>第二章</w:t>
      </w:r>
      <w:r>
        <w:rPr>
          <w:rFonts w:eastAsia="黑体"/>
          <w:bCs/>
          <w:kern w:val="0"/>
          <w:szCs w:val="32"/>
        </w:rPr>
        <w:t xml:space="preserve">  </w:t>
      </w:r>
      <w:r>
        <w:rPr>
          <w:rFonts w:hint="eastAsia" w:eastAsia="黑体"/>
          <w:bCs/>
          <w:kern w:val="0"/>
          <w:szCs w:val="32"/>
        </w:rPr>
        <w:t>投标人须知</w:t>
      </w:r>
      <w:r>
        <w:tab/>
      </w:r>
      <w:r>
        <w:fldChar w:fldCharType="begin"/>
      </w:r>
      <w:r>
        <w:instrText xml:space="preserve"> PAGEREF _Toc13754 \h </w:instrText>
      </w:r>
      <w:r>
        <w:fldChar w:fldCharType="separate"/>
      </w:r>
      <w:r>
        <w:t>7</w:t>
      </w:r>
      <w:r>
        <w:fldChar w:fldCharType="end"/>
      </w:r>
      <w:r>
        <w:fldChar w:fldCharType="end"/>
      </w:r>
    </w:p>
    <w:p>
      <w:pPr>
        <w:pStyle w:val="42"/>
        <w:tabs>
          <w:tab w:val="right" w:leader="dot" w:pos="9070"/>
        </w:tabs>
      </w:pPr>
      <w:r>
        <w:fldChar w:fldCharType="begin"/>
      </w:r>
      <w:r>
        <w:instrText xml:space="preserve"> HYPERLINK \l "_Toc281" </w:instrText>
      </w:r>
      <w:r>
        <w:fldChar w:fldCharType="separate"/>
      </w:r>
      <w:r>
        <w:rPr>
          <w:rFonts w:hint="eastAsia"/>
          <w:kern w:val="0"/>
          <w:szCs w:val="28"/>
        </w:rPr>
        <w:t>一、投标人须知前附表</w:t>
      </w:r>
      <w:r>
        <w:tab/>
      </w:r>
      <w:r>
        <w:fldChar w:fldCharType="begin"/>
      </w:r>
      <w:r>
        <w:instrText xml:space="preserve"> PAGEREF _Toc281 \h </w:instrText>
      </w:r>
      <w:r>
        <w:fldChar w:fldCharType="separate"/>
      </w:r>
      <w:r>
        <w:t>7</w:t>
      </w:r>
      <w:r>
        <w:fldChar w:fldCharType="end"/>
      </w:r>
      <w:r>
        <w:fldChar w:fldCharType="end"/>
      </w:r>
    </w:p>
    <w:p>
      <w:pPr>
        <w:pStyle w:val="42"/>
        <w:tabs>
          <w:tab w:val="right" w:leader="dot" w:pos="9070"/>
        </w:tabs>
      </w:pPr>
      <w:r>
        <w:fldChar w:fldCharType="begin"/>
      </w:r>
      <w:r>
        <w:instrText xml:space="preserve"> HYPERLINK \l "_Toc29625" </w:instrText>
      </w:r>
      <w:r>
        <w:fldChar w:fldCharType="separate"/>
      </w:r>
      <w:r>
        <w:rPr>
          <w:rFonts w:hint="eastAsia" w:eastAsia="黑体"/>
          <w:bCs/>
          <w:kern w:val="0"/>
          <w:szCs w:val="28"/>
        </w:rPr>
        <w:t>二、投标人须知正文部分</w:t>
      </w:r>
      <w:r>
        <w:tab/>
      </w:r>
      <w:r>
        <w:fldChar w:fldCharType="begin"/>
      </w:r>
      <w:r>
        <w:instrText xml:space="preserve"> PAGEREF _Toc29625 \h </w:instrText>
      </w:r>
      <w:r>
        <w:fldChar w:fldCharType="separate"/>
      </w:r>
      <w:r>
        <w:t>12</w:t>
      </w:r>
      <w:r>
        <w:fldChar w:fldCharType="end"/>
      </w:r>
      <w:r>
        <w:fldChar w:fldCharType="end"/>
      </w:r>
    </w:p>
    <w:p>
      <w:pPr>
        <w:pStyle w:val="33"/>
        <w:tabs>
          <w:tab w:val="right" w:leader="dot" w:pos="9070"/>
        </w:tabs>
      </w:pPr>
      <w:r>
        <w:fldChar w:fldCharType="begin"/>
      </w:r>
      <w:r>
        <w:instrText xml:space="preserve"> HYPERLINK \l "_Toc19597" </w:instrText>
      </w:r>
      <w:r>
        <w:fldChar w:fldCharType="separate"/>
      </w:r>
      <w:r>
        <w:rPr>
          <w:rFonts w:hint="eastAsia" w:eastAsia="黑体"/>
          <w:bCs/>
          <w:kern w:val="0"/>
          <w:szCs w:val="32"/>
        </w:rPr>
        <w:t>第三章</w:t>
      </w:r>
      <w:r>
        <w:rPr>
          <w:rFonts w:eastAsia="黑体"/>
          <w:bCs/>
          <w:kern w:val="0"/>
          <w:szCs w:val="32"/>
        </w:rPr>
        <w:t xml:space="preserve">  </w:t>
      </w:r>
      <w:r>
        <w:rPr>
          <w:rFonts w:hint="eastAsia" w:eastAsia="黑体"/>
          <w:bCs/>
          <w:kern w:val="0"/>
          <w:szCs w:val="32"/>
        </w:rPr>
        <w:t>评标办法及标准</w:t>
      </w:r>
      <w:r>
        <w:tab/>
      </w:r>
      <w:r>
        <w:fldChar w:fldCharType="begin"/>
      </w:r>
      <w:r>
        <w:instrText xml:space="preserve"> PAGEREF _Toc19597 \h </w:instrText>
      </w:r>
      <w:r>
        <w:fldChar w:fldCharType="separate"/>
      </w:r>
      <w:r>
        <w:t>23</w:t>
      </w:r>
      <w:r>
        <w:fldChar w:fldCharType="end"/>
      </w:r>
      <w:r>
        <w:fldChar w:fldCharType="end"/>
      </w:r>
    </w:p>
    <w:p>
      <w:pPr>
        <w:pStyle w:val="33"/>
        <w:tabs>
          <w:tab w:val="right" w:leader="dot" w:pos="9070"/>
        </w:tabs>
      </w:pPr>
      <w:r>
        <w:fldChar w:fldCharType="begin"/>
      </w:r>
      <w:r>
        <w:instrText xml:space="preserve"> HYPERLINK \l "_Toc25383" </w:instrText>
      </w:r>
      <w:r>
        <w:fldChar w:fldCharType="separate"/>
      </w:r>
      <w:r>
        <w:rPr>
          <w:rFonts w:hint="eastAsia" w:eastAsia="黑体"/>
          <w:bCs/>
          <w:kern w:val="0"/>
          <w:szCs w:val="32"/>
        </w:rPr>
        <w:t>第四章 合同条款及格式</w:t>
      </w:r>
      <w:r>
        <w:tab/>
      </w:r>
      <w:r>
        <w:fldChar w:fldCharType="begin"/>
      </w:r>
      <w:r>
        <w:instrText xml:space="preserve"> PAGEREF _Toc25383 \h </w:instrText>
      </w:r>
      <w:r>
        <w:fldChar w:fldCharType="separate"/>
      </w:r>
      <w:r>
        <w:t>34</w:t>
      </w:r>
      <w:r>
        <w:fldChar w:fldCharType="end"/>
      </w:r>
      <w:r>
        <w:fldChar w:fldCharType="end"/>
      </w:r>
    </w:p>
    <w:p>
      <w:pPr>
        <w:pStyle w:val="42"/>
        <w:tabs>
          <w:tab w:val="right" w:leader="dot" w:pos="9070"/>
        </w:tabs>
      </w:pPr>
      <w:r>
        <w:fldChar w:fldCharType="begin"/>
      </w:r>
      <w:r>
        <w:instrText xml:space="preserve"> HYPERLINK \l "_Toc25220" </w:instrText>
      </w:r>
      <w:r>
        <w:fldChar w:fldCharType="separate"/>
      </w:r>
      <w:r>
        <w:rPr>
          <w:rFonts w:hint="eastAsia" w:eastAsia="黑体"/>
          <w:bCs/>
          <w:kern w:val="0"/>
          <w:szCs w:val="28"/>
        </w:rPr>
        <w:t>第一部分</w:t>
      </w:r>
      <w:r>
        <w:rPr>
          <w:rFonts w:eastAsia="黑体"/>
          <w:bCs/>
          <w:kern w:val="0"/>
          <w:szCs w:val="28"/>
        </w:rPr>
        <w:t xml:space="preserve">  </w:t>
      </w:r>
      <w:r>
        <w:rPr>
          <w:rFonts w:hint="eastAsia" w:eastAsia="黑体"/>
          <w:bCs/>
          <w:kern w:val="0"/>
          <w:szCs w:val="28"/>
        </w:rPr>
        <w:t>合同协议书</w:t>
      </w:r>
      <w:r>
        <w:tab/>
      </w:r>
      <w:r>
        <w:fldChar w:fldCharType="begin"/>
      </w:r>
      <w:r>
        <w:instrText xml:space="preserve"> PAGEREF _Toc25220 \h </w:instrText>
      </w:r>
      <w:r>
        <w:fldChar w:fldCharType="separate"/>
      </w:r>
      <w:r>
        <w:t>36</w:t>
      </w:r>
      <w:r>
        <w:fldChar w:fldCharType="end"/>
      </w:r>
      <w:r>
        <w:fldChar w:fldCharType="end"/>
      </w:r>
    </w:p>
    <w:p>
      <w:pPr>
        <w:pStyle w:val="42"/>
        <w:tabs>
          <w:tab w:val="right" w:leader="dot" w:pos="9070"/>
        </w:tabs>
      </w:pPr>
      <w:r>
        <w:fldChar w:fldCharType="begin"/>
      </w:r>
      <w:r>
        <w:instrText xml:space="preserve"> HYPERLINK \l "_Toc26523" </w:instrText>
      </w:r>
      <w:r>
        <w:fldChar w:fldCharType="separate"/>
      </w:r>
      <w:r>
        <w:rPr>
          <w:rFonts w:hint="eastAsia" w:eastAsia="黑体"/>
          <w:bCs/>
          <w:kern w:val="0"/>
          <w:szCs w:val="28"/>
        </w:rPr>
        <w:t>第二部分</w:t>
      </w:r>
      <w:r>
        <w:rPr>
          <w:rFonts w:eastAsia="黑体"/>
          <w:bCs/>
          <w:kern w:val="0"/>
          <w:szCs w:val="28"/>
        </w:rPr>
        <w:t xml:space="preserve">  </w:t>
      </w:r>
      <w:r>
        <w:rPr>
          <w:rFonts w:hint="eastAsia" w:eastAsia="黑体"/>
          <w:bCs/>
          <w:kern w:val="0"/>
          <w:szCs w:val="28"/>
        </w:rPr>
        <w:t>中标通知书</w:t>
      </w:r>
      <w:r>
        <w:tab/>
      </w:r>
      <w:r>
        <w:fldChar w:fldCharType="begin"/>
      </w:r>
      <w:r>
        <w:instrText xml:space="preserve"> PAGEREF _Toc26523 \h </w:instrText>
      </w:r>
      <w:r>
        <w:fldChar w:fldCharType="separate"/>
      </w:r>
      <w:r>
        <w:t>38</w:t>
      </w:r>
      <w:r>
        <w:fldChar w:fldCharType="end"/>
      </w:r>
      <w:r>
        <w:fldChar w:fldCharType="end"/>
      </w:r>
    </w:p>
    <w:p>
      <w:pPr>
        <w:pStyle w:val="42"/>
        <w:tabs>
          <w:tab w:val="right" w:leader="dot" w:pos="9070"/>
        </w:tabs>
      </w:pPr>
      <w:r>
        <w:fldChar w:fldCharType="begin"/>
      </w:r>
      <w:r>
        <w:instrText xml:space="preserve"> HYPERLINK \l "_Toc10430" </w:instrText>
      </w:r>
      <w:r>
        <w:fldChar w:fldCharType="separate"/>
      </w:r>
      <w:r>
        <w:rPr>
          <w:rFonts w:hint="eastAsia" w:eastAsia="黑体"/>
          <w:bCs/>
          <w:kern w:val="0"/>
          <w:szCs w:val="28"/>
        </w:rPr>
        <w:t>第三部分</w:t>
      </w:r>
      <w:r>
        <w:rPr>
          <w:rFonts w:eastAsia="黑体"/>
          <w:bCs/>
          <w:kern w:val="0"/>
          <w:szCs w:val="28"/>
        </w:rPr>
        <w:t xml:space="preserve">  </w:t>
      </w:r>
      <w:r>
        <w:rPr>
          <w:rFonts w:hint="eastAsia" w:eastAsia="黑体"/>
          <w:bCs/>
          <w:kern w:val="0"/>
          <w:szCs w:val="28"/>
        </w:rPr>
        <w:t>合同条款</w:t>
      </w:r>
      <w:r>
        <w:tab/>
      </w:r>
      <w:r>
        <w:fldChar w:fldCharType="begin"/>
      </w:r>
      <w:r>
        <w:instrText xml:space="preserve"> PAGEREF _Toc10430 \h </w:instrText>
      </w:r>
      <w:r>
        <w:fldChar w:fldCharType="separate"/>
      </w:r>
      <w:r>
        <w:t>39</w:t>
      </w:r>
      <w:r>
        <w:fldChar w:fldCharType="end"/>
      </w:r>
      <w:r>
        <w:fldChar w:fldCharType="end"/>
      </w:r>
    </w:p>
    <w:p>
      <w:pPr>
        <w:pStyle w:val="42"/>
        <w:tabs>
          <w:tab w:val="right" w:leader="dot" w:pos="9070"/>
        </w:tabs>
      </w:pPr>
      <w:r>
        <w:fldChar w:fldCharType="begin"/>
      </w:r>
      <w:r>
        <w:instrText xml:space="preserve"> HYPERLINK \l "_Toc9808" </w:instrText>
      </w:r>
      <w:r>
        <w:fldChar w:fldCharType="separate"/>
      </w:r>
      <w:r>
        <w:rPr>
          <w:rFonts w:hint="eastAsia" w:ascii="宋体" w:hAnsi="宋体"/>
          <w:szCs w:val="28"/>
        </w:rPr>
        <w:t>第四部分 价格组成文件</w:t>
      </w:r>
      <w:r>
        <w:tab/>
      </w:r>
      <w:r>
        <w:fldChar w:fldCharType="begin"/>
      </w:r>
      <w:r>
        <w:instrText xml:space="preserve"> PAGEREF _Toc9808 \h </w:instrText>
      </w:r>
      <w:r>
        <w:fldChar w:fldCharType="separate"/>
      </w:r>
      <w:r>
        <w:t>56</w:t>
      </w:r>
      <w:r>
        <w:fldChar w:fldCharType="end"/>
      </w:r>
      <w:r>
        <w:fldChar w:fldCharType="end"/>
      </w:r>
    </w:p>
    <w:p>
      <w:pPr>
        <w:pStyle w:val="42"/>
        <w:tabs>
          <w:tab w:val="right" w:leader="dot" w:pos="9070"/>
        </w:tabs>
      </w:pPr>
      <w:r>
        <w:fldChar w:fldCharType="begin"/>
      </w:r>
      <w:r>
        <w:instrText xml:space="preserve"> HYPERLINK \l "_Toc5145" </w:instrText>
      </w:r>
      <w:r>
        <w:fldChar w:fldCharType="separate"/>
      </w:r>
      <w:r>
        <w:rPr>
          <w:rFonts w:hint="eastAsia" w:ascii="宋体" w:hAnsi="宋体"/>
          <w:szCs w:val="28"/>
        </w:rPr>
        <w:t>第五部分 技术规格书</w:t>
      </w:r>
      <w:r>
        <w:tab/>
      </w:r>
      <w:r>
        <w:fldChar w:fldCharType="begin"/>
      </w:r>
      <w:r>
        <w:instrText xml:space="preserve"> PAGEREF _Toc5145 \h </w:instrText>
      </w:r>
      <w:r>
        <w:fldChar w:fldCharType="separate"/>
      </w:r>
      <w:r>
        <w:t>57</w:t>
      </w:r>
      <w:r>
        <w:fldChar w:fldCharType="end"/>
      </w:r>
      <w:r>
        <w:fldChar w:fldCharType="end"/>
      </w:r>
    </w:p>
    <w:p>
      <w:pPr>
        <w:pStyle w:val="42"/>
        <w:tabs>
          <w:tab w:val="right" w:leader="dot" w:pos="9070"/>
        </w:tabs>
      </w:pPr>
      <w:r>
        <w:fldChar w:fldCharType="begin"/>
      </w:r>
      <w:r>
        <w:instrText xml:space="preserve"> HYPERLINK \l "_Toc23285" </w:instrText>
      </w:r>
      <w:r>
        <w:fldChar w:fldCharType="separate"/>
      </w:r>
      <w:r>
        <w:rPr>
          <w:rFonts w:hint="eastAsia" w:ascii="宋体" w:hAnsi="宋体"/>
          <w:szCs w:val="28"/>
        </w:rPr>
        <w:t>第六部分 合同附件</w:t>
      </w:r>
      <w:r>
        <w:tab/>
      </w:r>
      <w:r>
        <w:fldChar w:fldCharType="begin"/>
      </w:r>
      <w:r>
        <w:instrText xml:space="preserve"> PAGEREF _Toc23285 \h </w:instrText>
      </w:r>
      <w:r>
        <w:fldChar w:fldCharType="separate"/>
      </w:r>
      <w:r>
        <w:t>58</w:t>
      </w:r>
      <w:r>
        <w:fldChar w:fldCharType="end"/>
      </w:r>
      <w:r>
        <w:fldChar w:fldCharType="end"/>
      </w:r>
    </w:p>
    <w:p>
      <w:pPr>
        <w:pStyle w:val="42"/>
        <w:tabs>
          <w:tab w:val="right" w:leader="dot" w:pos="9070"/>
        </w:tabs>
      </w:pPr>
      <w:r>
        <w:fldChar w:fldCharType="begin"/>
      </w:r>
      <w:r>
        <w:instrText xml:space="preserve"> HYPERLINK \l "_Toc19111" </w:instrText>
      </w:r>
      <w:r>
        <w:fldChar w:fldCharType="separate"/>
      </w:r>
      <w:r>
        <w:rPr>
          <w:rFonts w:hint="eastAsia" w:ascii="宋体" w:hAnsi="宋体"/>
          <w:szCs w:val="28"/>
        </w:rPr>
        <w:t>第七部分 招标文件（含招标文件补充文件）</w:t>
      </w:r>
      <w:r>
        <w:tab/>
      </w:r>
      <w:r>
        <w:fldChar w:fldCharType="begin"/>
      </w:r>
      <w:r>
        <w:instrText xml:space="preserve"> PAGEREF _Toc19111 \h </w:instrText>
      </w:r>
      <w:r>
        <w:fldChar w:fldCharType="separate"/>
      </w:r>
      <w:r>
        <w:t>59</w:t>
      </w:r>
      <w:r>
        <w:fldChar w:fldCharType="end"/>
      </w:r>
      <w:r>
        <w:fldChar w:fldCharType="end"/>
      </w:r>
    </w:p>
    <w:p>
      <w:pPr>
        <w:pStyle w:val="42"/>
        <w:tabs>
          <w:tab w:val="right" w:leader="dot" w:pos="9070"/>
        </w:tabs>
      </w:pPr>
      <w:r>
        <w:fldChar w:fldCharType="begin"/>
      </w:r>
      <w:r>
        <w:instrText xml:space="preserve"> HYPERLINK \l "_Toc4079" </w:instrText>
      </w:r>
      <w:r>
        <w:fldChar w:fldCharType="separate"/>
      </w:r>
      <w:r>
        <w:rPr>
          <w:rFonts w:hint="eastAsia" w:ascii="宋体" w:hAnsi="宋体"/>
          <w:szCs w:val="28"/>
        </w:rPr>
        <w:t>第八部分 投标文件（含投标文件补充文件）</w:t>
      </w:r>
      <w:r>
        <w:tab/>
      </w:r>
      <w:r>
        <w:fldChar w:fldCharType="begin"/>
      </w:r>
      <w:r>
        <w:instrText xml:space="preserve"> PAGEREF _Toc4079 \h </w:instrText>
      </w:r>
      <w:r>
        <w:fldChar w:fldCharType="separate"/>
      </w:r>
      <w:r>
        <w:t>60</w:t>
      </w:r>
      <w:r>
        <w:fldChar w:fldCharType="end"/>
      </w:r>
      <w:r>
        <w:fldChar w:fldCharType="end"/>
      </w:r>
    </w:p>
    <w:p>
      <w:pPr>
        <w:pStyle w:val="33"/>
        <w:tabs>
          <w:tab w:val="right" w:leader="dot" w:pos="9070"/>
        </w:tabs>
      </w:pPr>
      <w:r>
        <w:fldChar w:fldCharType="begin"/>
      </w:r>
      <w:r>
        <w:instrText xml:space="preserve"> HYPERLINK \l "_Toc8049" </w:instrText>
      </w:r>
      <w:r>
        <w:fldChar w:fldCharType="separate"/>
      </w:r>
      <w:r>
        <w:rPr>
          <w:rFonts w:hint="eastAsia" w:eastAsia="黑体"/>
          <w:bCs/>
          <w:kern w:val="0"/>
          <w:szCs w:val="32"/>
        </w:rPr>
        <w:t>第五章  用户需求书</w:t>
      </w:r>
      <w:r>
        <w:tab/>
      </w:r>
      <w:r>
        <w:fldChar w:fldCharType="begin"/>
      </w:r>
      <w:r>
        <w:instrText xml:space="preserve"> PAGEREF _Toc8049 \h </w:instrText>
      </w:r>
      <w:r>
        <w:fldChar w:fldCharType="separate"/>
      </w:r>
      <w:r>
        <w:t>61</w:t>
      </w:r>
      <w:r>
        <w:fldChar w:fldCharType="end"/>
      </w:r>
      <w:r>
        <w:fldChar w:fldCharType="end"/>
      </w:r>
    </w:p>
    <w:p>
      <w:pPr>
        <w:pStyle w:val="33"/>
        <w:tabs>
          <w:tab w:val="right" w:leader="dot" w:pos="9070"/>
        </w:tabs>
      </w:pPr>
      <w:r>
        <w:fldChar w:fldCharType="begin"/>
      </w:r>
      <w:r>
        <w:instrText xml:space="preserve"> HYPERLINK \l "_Toc15755" </w:instrText>
      </w:r>
      <w:r>
        <w:fldChar w:fldCharType="separate"/>
      </w:r>
      <w:r>
        <w:rPr>
          <w:rFonts w:hint="eastAsia" w:ascii="黑体" w:hAnsi="黑体" w:eastAsia="黑体" w:cs="黑体"/>
          <w:bCs/>
          <w:kern w:val="44"/>
          <w:szCs w:val="32"/>
        </w:rPr>
        <w:t>项目背景</w:t>
      </w:r>
      <w:r>
        <w:tab/>
      </w:r>
      <w:r>
        <w:fldChar w:fldCharType="begin"/>
      </w:r>
      <w:r>
        <w:instrText xml:space="preserve"> PAGEREF _Toc15755 \h </w:instrText>
      </w:r>
      <w:r>
        <w:fldChar w:fldCharType="separate"/>
      </w:r>
      <w:r>
        <w:t>62</w:t>
      </w:r>
      <w:r>
        <w:fldChar w:fldCharType="end"/>
      </w:r>
      <w:r>
        <w:fldChar w:fldCharType="end"/>
      </w:r>
    </w:p>
    <w:p>
      <w:pPr>
        <w:pStyle w:val="33"/>
        <w:tabs>
          <w:tab w:val="right" w:leader="dot" w:pos="9070"/>
        </w:tabs>
      </w:pPr>
      <w:r>
        <w:fldChar w:fldCharType="begin"/>
      </w:r>
      <w:r>
        <w:instrText xml:space="preserve"> HYPERLINK \l "_Toc32079" </w:instrText>
      </w:r>
      <w:r>
        <w:fldChar w:fldCharType="separate"/>
      </w:r>
      <w:r>
        <w:rPr>
          <w:rFonts w:hint="eastAsia" w:ascii="黑体" w:hAnsi="黑体" w:eastAsia="黑体" w:cs="黑体"/>
          <w:bCs/>
          <w:kern w:val="44"/>
          <w:szCs w:val="32"/>
        </w:rPr>
        <w:t>项目需求</w:t>
      </w:r>
      <w:r>
        <w:tab/>
      </w:r>
      <w:r>
        <w:fldChar w:fldCharType="begin"/>
      </w:r>
      <w:r>
        <w:instrText xml:space="preserve"> PAGEREF _Toc32079 \h </w:instrText>
      </w:r>
      <w:r>
        <w:fldChar w:fldCharType="separate"/>
      </w:r>
      <w:r>
        <w:t>62</w:t>
      </w:r>
      <w:r>
        <w:fldChar w:fldCharType="end"/>
      </w:r>
      <w:r>
        <w:fldChar w:fldCharType="end"/>
      </w:r>
    </w:p>
    <w:p>
      <w:pPr>
        <w:pStyle w:val="42"/>
        <w:tabs>
          <w:tab w:val="right" w:leader="dot" w:pos="9070"/>
        </w:tabs>
      </w:pPr>
      <w:r>
        <w:fldChar w:fldCharType="begin"/>
      </w:r>
      <w:r>
        <w:instrText xml:space="preserve"> HYPERLINK \l "_Toc12283" </w:instrText>
      </w:r>
      <w:r>
        <w:fldChar w:fldCharType="separate"/>
      </w:r>
      <w:r>
        <w:rPr>
          <w:rFonts w:hint="eastAsia" w:ascii="方正楷体_GB2312" w:hAnsi="方正楷体_GB2312" w:eastAsia="方正楷体_GB2312" w:cs="方正楷体_GB2312"/>
        </w:rPr>
        <w:t>资产管理的需求</w:t>
      </w:r>
      <w:r>
        <w:tab/>
      </w:r>
      <w:r>
        <w:fldChar w:fldCharType="begin"/>
      </w:r>
      <w:r>
        <w:instrText xml:space="preserve"> PAGEREF _Toc12283 \h </w:instrText>
      </w:r>
      <w:r>
        <w:fldChar w:fldCharType="separate"/>
      </w:r>
      <w:r>
        <w:t>62</w:t>
      </w:r>
      <w:r>
        <w:fldChar w:fldCharType="end"/>
      </w:r>
      <w:r>
        <w:fldChar w:fldCharType="end"/>
      </w:r>
    </w:p>
    <w:p>
      <w:pPr>
        <w:pStyle w:val="42"/>
        <w:tabs>
          <w:tab w:val="right" w:leader="dot" w:pos="9070"/>
        </w:tabs>
      </w:pPr>
      <w:r>
        <w:fldChar w:fldCharType="begin"/>
      </w:r>
      <w:r>
        <w:instrText xml:space="preserve"> HYPERLINK \l "_Toc16765" </w:instrText>
      </w:r>
      <w:r>
        <w:fldChar w:fldCharType="separate"/>
      </w:r>
      <w:r>
        <w:rPr>
          <w:rFonts w:hint="eastAsia" w:ascii="方正楷体_GB2312" w:hAnsi="方正楷体_GB2312" w:eastAsia="方正楷体_GB2312" w:cs="方正楷体_GB2312"/>
        </w:rPr>
        <w:t>资产经营管理的需求</w:t>
      </w:r>
      <w:r>
        <w:tab/>
      </w:r>
      <w:r>
        <w:fldChar w:fldCharType="begin"/>
      </w:r>
      <w:r>
        <w:instrText xml:space="preserve"> PAGEREF _Toc16765 \h </w:instrText>
      </w:r>
      <w:r>
        <w:fldChar w:fldCharType="separate"/>
      </w:r>
      <w:r>
        <w:t>63</w:t>
      </w:r>
      <w:r>
        <w:fldChar w:fldCharType="end"/>
      </w:r>
      <w:r>
        <w:fldChar w:fldCharType="end"/>
      </w:r>
    </w:p>
    <w:p>
      <w:pPr>
        <w:pStyle w:val="42"/>
        <w:tabs>
          <w:tab w:val="right" w:leader="dot" w:pos="9070"/>
        </w:tabs>
      </w:pPr>
      <w:r>
        <w:fldChar w:fldCharType="begin"/>
      </w:r>
      <w:r>
        <w:instrText xml:space="preserve"> HYPERLINK \l "_Toc21016" </w:instrText>
      </w:r>
      <w:r>
        <w:fldChar w:fldCharType="separate"/>
      </w:r>
      <w:r>
        <w:rPr>
          <w:rFonts w:hint="eastAsia" w:ascii="方正楷体_GB2312" w:hAnsi="方正楷体_GB2312" w:eastAsia="方正楷体_GB2312" w:cs="方正楷体_GB2312"/>
        </w:rPr>
        <w:t>满足国资委监管标准的需求</w:t>
      </w:r>
      <w:r>
        <w:tab/>
      </w:r>
      <w:r>
        <w:fldChar w:fldCharType="begin"/>
      </w:r>
      <w:r>
        <w:instrText xml:space="preserve"> PAGEREF _Toc21016 \h </w:instrText>
      </w:r>
      <w:r>
        <w:fldChar w:fldCharType="separate"/>
      </w:r>
      <w:r>
        <w:t>64</w:t>
      </w:r>
      <w:r>
        <w:fldChar w:fldCharType="end"/>
      </w:r>
      <w:r>
        <w:fldChar w:fldCharType="end"/>
      </w:r>
    </w:p>
    <w:p>
      <w:pPr>
        <w:pStyle w:val="42"/>
        <w:tabs>
          <w:tab w:val="right" w:leader="dot" w:pos="9070"/>
        </w:tabs>
      </w:pPr>
      <w:r>
        <w:fldChar w:fldCharType="begin"/>
      </w:r>
      <w:r>
        <w:instrText xml:space="preserve"> HYPERLINK \l "_Toc19411" </w:instrText>
      </w:r>
      <w:r>
        <w:fldChar w:fldCharType="separate"/>
      </w:r>
      <w:r>
        <w:rPr>
          <w:rFonts w:hint="eastAsia" w:ascii="方正楷体_GB2312" w:hAnsi="方正楷体_GB2312" w:eastAsia="方正楷体_GB2312" w:cs="方正楷体_GB2312"/>
        </w:rPr>
        <w:t>系统集成的需求</w:t>
      </w:r>
      <w:r>
        <w:tab/>
      </w:r>
      <w:r>
        <w:fldChar w:fldCharType="begin"/>
      </w:r>
      <w:r>
        <w:instrText xml:space="preserve"> PAGEREF _Toc19411 \h </w:instrText>
      </w:r>
      <w:r>
        <w:fldChar w:fldCharType="separate"/>
      </w:r>
      <w:r>
        <w:t>64</w:t>
      </w:r>
      <w:r>
        <w:fldChar w:fldCharType="end"/>
      </w:r>
      <w:r>
        <w:fldChar w:fldCharType="end"/>
      </w:r>
    </w:p>
    <w:p>
      <w:pPr>
        <w:pStyle w:val="33"/>
        <w:tabs>
          <w:tab w:val="right" w:leader="dot" w:pos="9070"/>
        </w:tabs>
      </w:pPr>
      <w:r>
        <w:fldChar w:fldCharType="begin"/>
      </w:r>
      <w:r>
        <w:instrText xml:space="preserve"> HYPERLINK \l "_Toc11060" </w:instrText>
      </w:r>
      <w:r>
        <w:fldChar w:fldCharType="separate"/>
      </w:r>
      <w:r>
        <w:rPr>
          <w:rFonts w:hint="eastAsia" w:ascii="黑体" w:hAnsi="黑体" w:eastAsia="黑体" w:cs="黑体"/>
          <w:bCs/>
          <w:kern w:val="44"/>
          <w:szCs w:val="32"/>
        </w:rPr>
        <w:t>建设目标</w:t>
      </w:r>
      <w:r>
        <w:tab/>
      </w:r>
      <w:r>
        <w:fldChar w:fldCharType="begin"/>
      </w:r>
      <w:r>
        <w:instrText xml:space="preserve"> PAGEREF _Toc11060 \h </w:instrText>
      </w:r>
      <w:r>
        <w:fldChar w:fldCharType="separate"/>
      </w:r>
      <w:r>
        <w:t>66</w:t>
      </w:r>
      <w:r>
        <w:fldChar w:fldCharType="end"/>
      </w:r>
      <w:r>
        <w:fldChar w:fldCharType="end"/>
      </w:r>
    </w:p>
    <w:p>
      <w:pPr>
        <w:pStyle w:val="42"/>
        <w:tabs>
          <w:tab w:val="right" w:leader="dot" w:pos="9070"/>
        </w:tabs>
      </w:pPr>
      <w:r>
        <w:fldChar w:fldCharType="begin"/>
      </w:r>
      <w:r>
        <w:instrText xml:space="preserve"> HYPERLINK \l "_Toc31179" </w:instrText>
      </w:r>
      <w:r>
        <w:fldChar w:fldCharType="separate"/>
      </w:r>
      <w:r>
        <w:rPr>
          <w:rFonts w:hint="eastAsia" w:ascii="方正楷体_GB2312" w:hAnsi="方正楷体_GB2312" w:eastAsia="方正楷体_GB2312" w:cs="方正楷体_GB2312"/>
        </w:rPr>
        <w:t>项目建设目标</w:t>
      </w:r>
      <w:r>
        <w:tab/>
      </w:r>
      <w:r>
        <w:fldChar w:fldCharType="begin"/>
      </w:r>
      <w:r>
        <w:instrText xml:space="preserve"> PAGEREF _Toc31179 \h </w:instrText>
      </w:r>
      <w:r>
        <w:fldChar w:fldCharType="separate"/>
      </w:r>
      <w:r>
        <w:t>66</w:t>
      </w:r>
      <w:r>
        <w:fldChar w:fldCharType="end"/>
      </w:r>
      <w:r>
        <w:fldChar w:fldCharType="end"/>
      </w:r>
    </w:p>
    <w:p>
      <w:pPr>
        <w:pStyle w:val="42"/>
        <w:tabs>
          <w:tab w:val="right" w:leader="dot" w:pos="9070"/>
        </w:tabs>
      </w:pPr>
      <w:r>
        <w:fldChar w:fldCharType="begin"/>
      </w:r>
      <w:r>
        <w:instrText xml:space="preserve"> HYPERLINK \l "_Toc4231" </w:instrText>
      </w:r>
      <w:r>
        <w:fldChar w:fldCharType="separate"/>
      </w:r>
      <w:r>
        <w:rPr>
          <w:rFonts w:hint="eastAsia" w:ascii="方正楷体_GB2312" w:hAnsi="方正楷体_GB2312" w:eastAsia="方正楷体_GB2312" w:cs="方正楷体_GB2312"/>
        </w:rPr>
        <w:t>项目建设原则</w:t>
      </w:r>
      <w:r>
        <w:tab/>
      </w:r>
      <w:r>
        <w:fldChar w:fldCharType="begin"/>
      </w:r>
      <w:r>
        <w:instrText xml:space="preserve"> PAGEREF _Toc4231 \h </w:instrText>
      </w:r>
      <w:r>
        <w:fldChar w:fldCharType="separate"/>
      </w:r>
      <w:r>
        <w:t>67</w:t>
      </w:r>
      <w:r>
        <w:fldChar w:fldCharType="end"/>
      </w:r>
      <w:r>
        <w:fldChar w:fldCharType="end"/>
      </w:r>
    </w:p>
    <w:p>
      <w:pPr>
        <w:pStyle w:val="33"/>
        <w:tabs>
          <w:tab w:val="right" w:leader="dot" w:pos="9070"/>
        </w:tabs>
      </w:pPr>
      <w:r>
        <w:fldChar w:fldCharType="begin"/>
      </w:r>
      <w:r>
        <w:instrText xml:space="preserve"> HYPERLINK \l "_Toc10944" </w:instrText>
      </w:r>
      <w:r>
        <w:fldChar w:fldCharType="separate"/>
      </w:r>
      <w:r>
        <w:rPr>
          <w:rFonts w:hint="eastAsia" w:ascii="黑体" w:hAnsi="黑体" w:eastAsia="黑体" w:cs="黑体"/>
          <w:bCs/>
          <w:kern w:val="44"/>
          <w:szCs w:val="32"/>
        </w:rPr>
        <w:t>功能规划</w:t>
      </w:r>
      <w:r>
        <w:tab/>
      </w:r>
      <w:r>
        <w:fldChar w:fldCharType="begin"/>
      </w:r>
      <w:r>
        <w:instrText xml:space="preserve"> PAGEREF _Toc10944 \h </w:instrText>
      </w:r>
      <w:r>
        <w:fldChar w:fldCharType="separate"/>
      </w:r>
      <w:r>
        <w:t>68</w:t>
      </w:r>
      <w:r>
        <w:fldChar w:fldCharType="end"/>
      </w:r>
      <w:r>
        <w:fldChar w:fldCharType="end"/>
      </w:r>
    </w:p>
    <w:p>
      <w:pPr>
        <w:pStyle w:val="42"/>
        <w:tabs>
          <w:tab w:val="right" w:leader="dot" w:pos="9070"/>
        </w:tabs>
      </w:pPr>
      <w:r>
        <w:fldChar w:fldCharType="begin"/>
      </w:r>
      <w:r>
        <w:instrText xml:space="preserve"> HYPERLINK \l "_Toc20220" </w:instrText>
      </w:r>
      <w:r>
        <w:fldChar w:fldCharType="separate"/>
      </w:r>
      <w:r>
        <w:rPr>
          <w:rFonts w:hint="eastAsia" w:ascii="方正楷体_GB2312" w:hAnsi="方正楷体_GB2312" w:eastAsia="方正楷体_GB2312" w:cs="方正楷体_GB2312"/>
        </w:rPr>
        <w:t>国资监管数据上报功能</w:t>
      </w:r>
      <w:r>
        <w:tab/>
      </w:r>
      <w:r>
        <w:fldChar w:fldCharType="begin"/>
      </w:r>
      <w:r>
        <w:instrText xml:space="preserve"> PAGEREF _Toc20220 \h </w:instrText>
      </w:r>
      <w:r>
        <w:fldChar w:fldCharType="separate"/>
      </w:r>
      <w:r>
        <w:t>69</w:t>
      </w:r>
      <w:r>
        <w:fldChar w:fldCharType="end"/>
      </w:r>
      <w:r>
        <w:fldChar w:fldCharType="end"/>
      </w:r>
    </w:p>
    <w:p>
      <w:pPr>
        <w:pStyle w:val="42"/>
        <w:tabs>
          <w:tab w:val="right" w:leader="dot" w:pos="9070"/>
        </w:tabs>
      </w:pPr>
      <w:r>
        <w:fldChar w:fldCharType="begin"/>
      </w:r>
      <w:r>
        <w:instrText xml:space="preserve"> HYPERLINK \l "_Toc7940" </w:instrText>
      </w:r>
      <w:r>
        <w:fldChar w:fldCharType="separate"/>
      </w:r>
      <w:r>
        <w:rPr>
          <w:rFonts w:hint="eastAsia" w:ascii="方正楷体_GB2312" w:hAnsi="方正楷体_GB2312" w:eastAsia="方正楷体_GB2312" w:cs="方正楷体_GB2312"/>
        </w:rPr>
        <w:t>资产管理功能</w:t>
      </w:r>
      <w:r>
        <w:tab/>
      </w:r>
      <w:r>
        <w:fldChar w:fldCharType="begin"/>
      </w:r>
      <w:r>
        <w:instrText xml:space="preserve"> PAGEREF _Toc7940 \h </w:instrText>
      </w:r>
      <w:r>
        <w:fldChar w:fldCharType="separate"/>
      </w:r>
      <w:r>
        <w:t>69</w:t>
      </w:r>
      <w:r>
        <w:fldChar w:fldCharType="end"/>
      </w:r>
      <w:r>
        <w:fldChar w:fldCharType="end"/>
      </w:r>
    </w:p>
    <w:p>
      <w:pPr>
        <w:pStyle w:val="42"/>
        <w:tabs>
          <w:tab w:val="right" w:leader="dot" w:pos="9070"/>
        </w:tabs>
      </w:pPr>
      <w:r>
        <w:fldChar w:fldCharType="begin"/>
      </w:r>
      <w:r>
        <w:instrText xml:space="preserve"> HYPERLINK \l "_Toc30821" </w:instrText>
      </w:r>
      <w:r>
        <w:fldChar w:fldCharType="separate"/>
      </w:r>
      <w:r>
        <w:rPr>
          <w:rFonts w:hint="eastAsia" w:ascii="方正楷体_GB2312" w:hAnsi="方正楷体_GB2312" w:eastAsia="方正楷体_GB2312" w:cs="方正楷体_GB2312"/>
        </w:rPr>
        <w:t>资产经营管理功能</w:t>
      </w:r>
      <w:r>
        <w:tab/>
      </w:r>
      <w:r>
        <w:fldChar w:fldCharType="begin"/>
      </w:r>
      <w:r>
        <w:instrText xml:space="preserve"> PAGEREF _Toc30821 \h </w:instrText>
      </w:r>
      <w:r>
        <w:fldChar w:fldCharType="separate"/>
      </w:r>
      <w:r>
        <w:t>72</w:t>
      </w:r>
      <w:r>
        <w:fldChar w:fldCharType="end"/>
      </w:r>
      <w:r>
        <w:fldChar w:fldCharType="end"/>
      </w:r>
    </w:p>
    <w:p>
      <w:pPr>
        <w:pStyle w:val="42"/>
        <w:tabs>
          <w:tab w:val="right" w:leader="dot" w:pos="9070"/>
        </w:tabs>
      </w:pPr>
      <w:r>
        <w:fldChar w:fldCharType="begin"/>
      </w:r>
      <w:r>
        <w:instrText xml:space="preserve"> HYPERLINK \l "_Toc20672" </w:instrText>
      </w:r>
      <w:r>
        <w:fldChar w:fldCharType="separate"/>
      </w:r>
      <w:r>
        <w:rPr>
          <w:rFonts w:hint="eastAsia" w:ascii="方正楷体_GB2312" w:hAnsi="方正楷体_GB2312" w:eastAsia="方正楷体_GB2312" w:cs="方正楷体_GB2312"/>
        </w:rPr>
        <w:t>决策分析功能</w:t>
      </w:r>
      <w:r>
        <w:tab/>
      </w:r>
      <w:r>
        <w:fldChar w:fldCharType="begin"/>
      </w:r>
      <w:r>
        <w:instrText xml:space="preserve"> PAGEREF _Toc20672 \h </w:instrText>
      </w:r>
      <w:r>
        <w:fldChar w:fldCharType="separate"/>
      </w:r>
      <w:r>
        <w:t>75</w:t>
      </w:r>
      <w:r>
        <w:fldChar w:fldCharType="end"/>
      </w:r>
      <w:r>
        <w:fldChar w:fldCharType="end"/>
      </w:r>
    </w:p>
    <w:p>
      <w:pPr>
        <w:pStyle w:val="42"/>
        <w:tabs>
          <w:tab w:val="right" w:leader="dot" w:pos="9070"/>
        </w:tabs>
      </w:pPr>
      <w:r>
        <w:fldChar w:fldCharType="begin"/>
      </w:r>
      <w:r>
        <w:instrText xml:space="preserve"> HYPERLINK \l "_Toc5992" </w:instrText>
      </w:r>
      <w:r>
        <w:fldChar w:fldCharType="separate"/>
      </w:r>
      <w:r>
        <w:rPr>
          <w:rFonts w:hint="eastAsia" w:ascii="方正楷体_GB2312" w:hAnsi="方正楷体_GB2312" w:eastAsia="方正楷体_GB2312" w:cs="方正楷体_GB2312"/>
        </w:rPr>
        <w:t>风险预警功能</w:t>
      </w:r>
      <w:r>
        <w:tab/>
      </w:r>
      <w:r>
        <w:fldChar w:fldCharType="begin"/>
      </w:r>
      <w:r>
        <w:instrText xml:space="preserve"> PAGEREF _Toc5992 \h </w:instrText>
      </w:r>
      <w:r>
        <w:fldChar w:fldCharType="separate"/>
      </w:r>
      <w:r>
        <w:t>76</w:t>
      </w:r>
      <w:r>
        <w:fldChar w:fldCharType="end"/>
      </w:r>
      <w:r>
        <w:fldChar w:fldCharType="end"/>
      </w:r>
    </w:p>
    <w:p>
      <w:pPr>
        <w:pStyle w:val="42"/>
        <w:tabs>
          <w:tab w:val="right" w:leader="dot" w:pos="9070"/>
        </w:tabs>
      </w:pPr>
      <w:r>
        <w:fldChar w:fldCharType="begin"/>
      </w:r>
      <w:r>
        <w:instrText xml:space="preserve"> HYPERLINK \l "_Toc7354" </w:instrText>
      </w:r>
      <w:r>
        <w:fldChar w:fldCharType="separate"/>
      </w:r>
      <w:r>
        <w:rPr>
          <w:rFonts w:hint="eastAsia" w:ascii="方正楷体_GB2312" w:hAnsi="方正楷体_GB2312" w:eastAsia="方正楷体_GB2312" w:cs="方正楷体_GB2312"/>
        </w:rPr>
        <w:t>移动端系统功能</w:t>
      </w:r>
      <w:r>
        <w:tab/>
      </w:r>
      <w:r>
        <w:fldChar w:fldCharType="begin"/>
      </w:r>
      <w:r>
        <w:instrText xml:space="preserve"> PAGEREF _Toc7354 \h </w:instrText>
      </w:r>
      <w:r>
        <w:fldChar w:fldCharType="separate"/>
      </w:r>
      <w:r>
        <w:t>76</w:t>
      </w:r>
      <w:r>
        <w:fldChar w:fldCharType="end"/>
      </w:r>
      <w:r>
        <w:fldChar w:fldCharType="end"/>
      </w:r>
    </w:p>
    <w:p>
      <w:pPr>
        <w:pStyle w:val="42"/>
        <w:tabs>
          <w:tab w:val="right" w:leader="dot" w:pos="9070"/>
        </w:tabs>
      </w:pPr>
      <w:r>
        <w:fldChar w:fldCharType="begin"/>
      </w:r>
      <w:r>
        <w:instrText xml:space="preserve"> HYPERLINK \l "_Toc26519" </w:instrText>
      </w:r>
      <w:r>
        <w:fldChar w:fldCharType="separate"/>
      </w:r>
      <w:r>
        <w:rPr>
          <w:rFonts w:hint="eastAsia" w:ascii="方正楷体_GB2312" w:hAnsi="方正楷体_GB2312" w:eastAsia="方正楷体_GB2312" w:cs="方正楷体_GB2312"/>
        </w:rPr>
        <w:t>系统集成</w:t>
      </w:r>
      <w:r>
        <w:tab/>
      </w:r>
      <w:r>
        <w:fldChar w:fldCharType="begin"/>
      </w:r>
      <w:r>
        <w:instrText xml:space="preserve"> PAGEREF _Toc26519 \h </w:instrText>
      </w:r>
      <w:r>
        <w:fldChar w:fldCharType="separate"/>
      </w:r>
      <w:r>
        <w:t>77</w:t>
      </w:r>
      <w:r>
        <w:fldChar w:fldCharType="end"/>
      </w:r>
      <w:r>
        <w:fldChar w:fldCharType="end"/>
      </w:r>
    </w:p>
    <w:p>
      <w:pPr>
        <w:pStyle w:val="33"/>
        <w:tabs>
          <w:tab w:val="right" w:leader="dot" w:pos="9070"/>
        </w:tabs>
      </w:pPr>
      <w:r>
        <w:fldChar w:fldCharType="begin"/>
      </w:r>
      <w:r>
        <w:instrText xml:space="preserve"> HYPERLINK \l "_Toc633" </w:instrText>
      </w:r>
      <w:r>
        <w:fldChar w:fldCharType="separate"/>
      </w:r>
      <w:r>
        <w:rPr>
          <w:rFonts w:hint="eastAsia" w:ascii="黑体" w:hAnsi="黑体" w:eastAsia="黑体" w:cs="黑体"/>
          <w:bCs/>
          <w:kern w:val="44"/>
          <w:szCs w:val="32"/>
        </w:rPr>
        <w:t>产品规划</w:t>
      </w:r>
      <w:r>
        <w:tab/>
      </w:r>
      <w:r>
        <w:fldChar w:fldCharType="begin"/>
      </w:r>
      <w:r>
        <w:instrText xml:space="preserve"> PAGEREF _Toc633 \h </w:instrText>
      </w:r>
      <w:r>
        <w:fldChar w:fldCharType="separate"/>
      </w:r>
      <w:r>
        <w:t>78</w:t>
      </w:r>
      <w:r>
        <w:fldChar w:fldCharType="end"/>
      </w:r>
      <w:r>
        <w:fldChar w:fldCharType="end"/>
      </w:r>
    </w:p>
    <w:p>
      <w:pPr>
        <w:pStyle w:val="33"/>
        <w:tabs>
          <w:tab w:val="right" w:leader="dot" w:pos="9070"/>
        </w:tabs>
      </w:pPr>
      <w:r>
        <w:fldChar w:fldCharType="begin"/>
      </w:r>
      <w:r>
        <w:instrText xml:space="preserve"> HYPERLINK \l "_Toc23447" </w:instrText>
      </w:r>
      <w:r>
        <w:fldChar w:fldCharType="separate"/>
      </w:r>
      <w:r>
        <w:rPr>
          <w:rFonts w:hint="eastAsia" w:ascii="黑体" w:hAnsi="黑体" w:eastAsia="黑体" w:cs="黑体"/>
          <w:bCs/>
          <w:kern w:val="44"/>
          <w:szCs w:val="32"/>
        </w:rPr>
        <w:t>配套服务能力规划</w:t>
      </w:r>
      <w:r>
        <w:tab/>
      </w:r>
      <w:r>
        <w:fldChar w:fldCharType="begin"/>
      </w:r>
      <w:r>
        <w:instrText xml:space="preserve"> PAGEREF _Toc23447 \h </w:instrText>
      </w:r>
      <w:r>
        <w:fldChar w:fldCharType="separate"/>
      </w:r>
      <w:r>
        <w:t>79</w:t>
      </w:r>
      <w:r>
        <w:fldChar w:fldCharType="end"/>
      </w:r>
      <w:r>
        <w:fldChar w:fldCharType="end"/>
      </w:r>
    </w:p>
    <w:p>
      <w:pPr>
        <w:pStyle w:val="33"/>
        <w:tabs>
          <w:tab w:val="right" w:leader="dot" w:pos="9070"/>
        </w:tabs>
      </w:pPr>
      <w:r>
        <w:fldChar w:fldCharType="begin"/>
      </w:r>
      <w:r>
        <w:instrText xml:space="preserve"> HYPERLINK \l "_Toc15968" </w:instrText>
      </w:r>
      <w:r>
        <w:fldChar w:fldCharType="separate"/>
      </w:r>
      <w:r>
        <w:rPr>
          <w:rFonts w:hint="eastAsia" w:ascii="黑体" w:hAnsi="黑体" w:eastAsia="黑体" w:cs="黑体"/>
          <w:bCs/>
          <w:kern w:val="44"/>
          <w:szCs w:val="32"/>
        </w:rPr>
        <w:t>里程碑节点</w:t>
      </w:r>
      <w:r>
        <w:rPr>
          <w:rFonts w:ascii="黑体" w:hAnsi="黑体" w:eastAsia="黑体" w:cs="黑体"/>
          <w:bCs/>
          <w:kern w:val="44"/>
          <w:szCs w:val="32"/>
        </w:rPr>
        <w:t>：</w:t>
      </w:r>
      <w:r>
        <w:tab/>
      </w:r>
      <w:r>
        <w:fldChar w:fldCharType="begin"/>
      </w:r>
      <w:r>
        <w:instrText xml:space="preserve"> PAGEREF _Toc15968 \h </w:instrText>
      </w:r>
      <w:r>
        <w:fldChar w:fldCharType="separate"/>
      </w:r>
      <w:r>
        <w:t>79</w:t>
      </w:r>
      <w:r>
        <w:fldChar w:fldCharType="end"/>
      </w:r>
      <w:r>
        <w:fldChar w:fldCharType="end"/>
      </w:r>
    </w:p>
    <w:p>
      <w:pPr>
        <w:pStyle w:val="33"/>
        <w:tabs>
          <w:tab w:val="right" w:leader="dot" w:pos="9070"/>
        </w:tabs>
      </w:pPr>
      <w:r>
        <w:fldChar w:fldCharType="begin"/>
      </w:r>
      <w:r>
        <w:instrText xml:space="preserve"> HYPERLINK \l "_Toc18760" </w:instrText>
      </w:r>
      <w:r>
        <w:fldChar w:fldCharType="separate"/>
      </w:r>
      <w:r>
        <w:rPr>
          <w:rFonts w:hint="eastAsia" w:eastAsia="黑体"/>
          <w:bCs/>
          <w:kern w:val="0"/>
          <w:szCs w:val="32"/>
        </w:rPr>
        <w:t>第六章  投标文件格式</w:t>
      </w:r>
      <w:r>
        <w:tab/>
      </w:r>
      <w:r>
        <w:fldChar w:fldCharType="begin"/>
      </w:r>
      <w:r>
        <w:instrText xml:space="preserve"> PAGEREF _Toc18760 \h </w:instrText>
      </w:r>
      <w:r>
        <w:fldChar w:fldCharType="separate"/>
      </w:r>
      <w:r>
        <w:t>82</w:t>
      </w:r>
      <w:r>
        <w:fldChar w:fldCharType="end"/>
      </w:r>
      <w:r>
        <w:fldChar w:fldCharType="end"/>
      </w:r>
    </w:p>
    <w:p>
      <w:pPr>
        <w:pStyle w:val="42"/>
        <w:tabs>
          <w:tab w:val="right" w:leader="dot" w:pos="9070"/>
        </w:tabs>
      </w:pPr>
      <w:r>
        <w:fldChar w:fldCharType="begin"/>
      </w:r>
      <w:r>
        <w:instrText xml:space="preserve"> HYPERLINK \l "_Toc21938" </w:instrText>
      </w:r>
      <w:r>
        <w:fldChar w:fldCharType="separate"/>
      </w:r>
      <w:r>
        <w:rPr>
          <w:rFonts w:hint="eastAsia" w:ascii="宋体" w:hAnsi="宋体"/>
          <w:bCs/>
        </w:rPr>
        <w:t>一、资格审查文件格式</w:t>
      </w:r>
      <w:r>
        <w:tab/>
      </w:r>
      <w:r>
        <w:fldChar w:fldCharType="begin"/>
      </w:r>
      <w:r>
        <w:instrText xml:space="preserve"> PAGEREF _Toc21938 \h </w:instrText>
      </w:r>
      <w:r>
        <w:fldChar w:fldCharType="separate"/>
      </w:r>
      <w:r>
        <w:t>82</w:t>
      </w:r>
      <w:r>
        <w:fldChar w:fldCharType="end"/>
      </w:r>
      <w:r>
        <w:fldChar w:fldCharType="end"/>
      </w:r>
    </w:p>
    <w:p>
      <w:pPr>
        <w:pStyle w:val="42"/>
        <w:tabs>
          <w:tab w:val="right" w:leader="dot" w:pos="9070"/>
        </w:tabs>
      </w:pPr>
      <w:r>
        <w:fldChar w:fldCharType="begin"/>
      </w:r>
      <w:r>
        <w:instrText xml:space="preserve"> HYPERLINK \l "_Toc5186" </w:instrText>
      </w:r>
      <w:r>
        <w:fldChar w:fldCharType="separate"/>
      </w:r>
      <w:r>
        <w:rPr>
          <w:rFonts w:hint="eastAsia" w:ascii="宋体" w:hAnsi="宋体"/>
          <w:bCs/>
        </w:rPr>
        <w:t>二、资信文件格式</w:t>
      </w:r>
      <w:r>
        <w:tab/>
      </w:r>
      <w:r>
        <w:fldChar w:fldCharType="begin"/>
      </w:r>
      <w:r>
        <w:instrText xml:space="preserve"> PAGEREF _Toc5186 \h </w:instrText>
      </w:r>
      <w:r>
        <w:fldChar w:fldCharType="separate"/>
      </w:r>
      <w:r>
        <w:t>88</w:t>
      </w:r>
      <w:r>
        <w:fldChar w:fldCharType="end"/>
      </w:r>
      <w:r>
        <w:fldChar w:fldCharType="end"/>
      </w:r>
    </w:p>
    <w:p>
      <w:pPr>
        <w:pStyle w:val="42"/>
        <w:tabs>
          <w:tab w:val="right" w:leader="dot" w:pos="9070"/>
        </w:tabs>
      </w:pPr>
      <w:r>
        <w:fldChar w:fldCharType="begin"/>
      </w:r>
      <w:r>
        <w:instrText xml:space="preserve"> HYPERLINK \l "_Toc11162" </w:instrText>
      </w:r>
      <w:r>
        <w:fldChar w:fldCharType="separate"/>
      </w:r>
      <w:r>
        <w:rPr>
          <w:rFonts w:hint="eastAsia" w:ascii="宋体" w:hAnsi="宋体"/>
          <w:bCs/>
        </w:rPr>
        <w:t>三、技术文件格式</w:t>
      </w:r>
      <w:r>
        <w:tab/>
      </w:r>
      <w:r>
        <w:fldChar w:fldCharType="begin"/>
      </w:r>
      <w:r>
        <w:instrText xml:space="preserve"> PAGEREF _Toc11162 \h </w:instrText>
      </w:r>
      <w:r>
        <w:fldChar w:fldCharType="separate"/>
      </w:r>
      <w:r>
        <w:t>93</w:t>
      </w:r>
      <w:r>
        <w:fldChar w:fldCharType="end"/>
      </w:r>
      <w:r>
        <w:fldChar w:fldCharType="end"/>
      </w:r>
    </w:p>
    <w:p>
      <w:pPr>
        <w:pStyle w:val="42"/>
        <w:tabs>
          <w:tab w:val="right" w:leader="dot" w:pos="9070"/>
        </w:tabs>
      </w:pPr>
      <w:r>
        <w:fldChar w:fldCharType="begin"/>
      </w:r>
      <w:r>
        <w:instrText xml:space="preserve"> HYPERLINK \l "_Toc12582" </w:instrText>
      </w:r>
      <w:r>
        <w:fldChar w:fldCharType="separate"/>
      </w:r>
      <w:r>
        <w:rPr>
          <w:rFonts w:hint="eastAsia" w:ascii="宋体" w:hAnsi="宋体"/>
          <w:bCs/>
        </w:rPr>
        <w:t>四、报价文件格式</w:t>
      </w:r>
      <w:r>
        <w:tab/>
      </w:r>
      <w:r>
        <w:fldChar w:fldCharType="begin"/>
      </w:r>
      <w:r>
        <w:instrText xml:space="preserve"> PAGEREF _Toc12582 \h </w:instrText>
      </w:r>
      <w:r>
        <w:fldChar w:fldCharType="separate"/>
      </w:r>
      <w:r>
        <w:t>99</w:t>
      </w:r>
      <w:r>
        <w:fldChar w:fldCharType="end"/>
      </w:r>
      <w:r>
        <w:fldChar w:fldCharType="end"/>
      </w:r>
    </w:p>
    <w:p>
      <w:pPr>
        <w:spacing w:line="312" w:lineRule="auto"/>
        <w:jc w:val="center"/>
        <w:rPr>
          <w:rFonts w:ascii="宋体" w:hAnsi="宋体"/>
        </w:rPr>
        <w:sectPr>
          <w:footerReference r:id="rId6" w:type="default"/>
          <w:pgSz w:w="11906" w:h="16838"/>
          <w:pgMar w:top="1418" w:right="1418" w:bottom="1418" w:left="1418" w:header="851" w:footer="992" w:gutter="0"/>
          <w:cols w:space="720" w:num="1"/>
          <w:docGrid w:linePitch="312" w:charSpace="0"/>
        </w:sectPr>
      </w:pPr>
      <w:r>
        <w:rPr>
          <w:rFonts w:ascii="宋体" w:hAnsi="宋体"/>
        </w:rPr>
        <w:fldChar w:fldCharType="end"/>
      </w:r>
    </w:p>
    <w:p>
      <w:pPr>
        <w:spacing w:line="312" w:lineRule="auto"/>
        <w:jc w:val="center"/>
        <w:outlineLvl w:val="0"/>
        <w:rPr>
          <w:rFonts w:ascii="宋体" w:hAnsi="宋体"/>
          <w:sz w:val="24"/>
        </w:rPr>
      </w:pPr>
      <w:bookmarkStart w:id="11" w:name="_Toc31798"/>
      <w:bookmarkStart w:id="12" w:name="_Toc13185"/>
      <w:bookmarkStart w:id="13" w:name="_Toc32396"/>
      <w:bookmarkStart w:id="14" w:name="_Toc15541"/>
      <w:bookmarkStart w:id="15" w:name="_Toc180507096"/>
      <w:r>
        <w:rPr>
          <w:rFonts w:hint="eastAsia" w:eastAsia="黑体"/>
          <w:b/>
          <w:bCs/>
          <w:kern w:val="0"/>
          <w:sz w:val="32"/>
          <w:szCs w:val="32"/>
        </w:rPr>
        <w:t>第一章</w:t>
      </w:r>
      <w:r>
        <w:rPr>
          <w:rFonts w:eastAsia="黑体"/>
          <w:b/>
          <w:bCs/>
          <w:kern w:val="0"/>
          <w:sz w:val="32"/>
          <w:szCs w:val="32"/>
        </w:rPr>
        <w:t xml:space="preserve">  </w:t>
      </w:r>
      <w:r>
        <w:rPr>
          <w:rFonts w:hint="eastAsia" w:eastAsia="黑体"/>
          <w:b/>
          <w:bCs/>
          <w:kern w:val="0"/>
          <w:sz w:val="32"/>
          <w:szCs w:val="32"/>
        </w:rPr>
        <w:t>招标公告</w:t>
      </w:r>
      <w:bookmarkEnd w:id="4"/>
      <w:bookmarkEnd w:id="5"/>
      <w:bookmarkEnd w:id="6"/>
      <w:bookmarkEnd w:id="7"/>
      <w:bookmarkEnd w:id="8"/>
      <w:bookmarkEnd w:id="9"/>
      <w:bookmarkEnd w:id="10"/>
      <w:bookmarkEnd w:id="11"/>
      <w:bookmarkEnd w:id="12"/>
      <w:bookmarkEnd w:id="13"/>
      <w:bookmarkEnd w:id="14"/>
      <w:bookmarkEnd w:id="15"/>
    </w:p>
    <w:p>
      <w:pPr>
        <w:spacing w:line="312" w:lineRule="auto"/>
        <w:jc w:val="center"/>
        <w:rPr>
          <w:rFonts w:ascii="Arial" w:hAnsi="宋体" w:eastAsia="黑体"/>
          <w:b/>
          <w:bCs/>
          <w:sz w:val="28"/>
          <w:szCs w:val="28"/>
        </w:rPr>
      </w:pPr>
      <w:r>
        <w:rPr>
          <w:rFonts w:hint="eastAsia" w:ascii="Arial" w:hAnsi="宋体" w:eastAsia="黑体"/>
          <w:b/>
          <w:bCs/>
          <w:sz w:val="28"/>
          <w:szCs w:val="28"/>
        </w:rPr>
        <w:t>南宁轨道数智科技有限公司资产管理系统采购项目（项目编号：</w:t>
      </w:r>
      <w:r>
        <w:rPr>
          <w:rFonts w:ascii="Arial" w:hAnsi="宋体" w:eastAsia="黑体"/>
          <w:b/>
          <w:bCs/>
          <w:sz w:val="28"/>
          <w:szCs w:val="28"/>
        </w:rPr>
        <w:t>GD-202410</w:t>
      </w:r>
      <w:r>
        <w:rPr>
          <w:rFonts w:hint="eastAsia" w:ascii="Arial" w:hAnsi="宋体" w:eastAsia="黑体"/>
          <w:b/>
          <w:bCs/>
          <w:sz w:val="28"/>
          <w:szCs w:val="28"/>
        </w:rPr>
        <w:t>）招标公告</w:t>
      </w:r>
    </w:p>
    <w:p>
      <w:pPr>
        <w:spacing w:line="348" w:lineRule="auto"/>
        <w:ind w:firstLine="420" w:firstLineChars="200"/>
        <w:rPr>
          <w:szCs w:val="21"/>
        </w:rPr>
      </w:pPr>
      <w:r>
        <w:rPr>
          <w:rFonts w:hint="eastAsia" w:ascii="宋体" w:hAnsi="宋体"/>
        </w:rPr>
        <w:t xml:space="preserve">本招标项目 </w:t>
      </w:r>
      <w:r>
        <w:rPr>
          <w:rFonts w:hint="eastAsia"/>
          <w:szCs w:val="21"/>
          <w:u w:val="single"/>
        </w:rPr>
        <w:t>南宁轨道数智科技有限公司资产管理系统采购项目</w:t>
      </w:r>
      <w:r>
        <w:rPr>
          <w:rFonts w:hint="eastAsia"/>
          <w:szCs w:val="21"/>
        </w:rPr>
        <w:t>，</w:t>
      </w:r>
      <w:r>
        <w:rPr>
          <w:rFonts w:hint="eastAsia" w:ascii="宋体" w:hAnsi="宋体"/>
        </w:rPr>
        <w:t xml:space="preserve">招标人为 </w:t>
      </w:r>
      <w:bookmarkStart w:id="16" w:name="OLE_LINK7"/>
      <w:bookmarkStart w:id="17" w:name="OLE_LINK6"/>
      <w:r>
        <w:rPr>
          <w:rFonts w:hint="eastAsia" w:ascii="宋体" w:hAnsi="宋体"/>
          <w:u w:val="single"/>
        </w:rPr>
        <w:t>南宁轨道数智科技有限公司</w:t>
      </w:r>
      <w:bookmarkEnd w:id="16"/>
      <w:bookmarkEnd w:id="17"/>
      <w:r>
        <w:rPr>
          <w:rFonts w:hint="eastAsia" w:ascii="宋体" w:hAnsi="宋体"/>
        </w:rPr>
        <w:t xml:space="preserve">，招标项目资金来源 </w:t>
      </w:r>
      <w:r>
        <w:rPr>
          <w:rFonts w:hint="eastAsia" w:ascii="宋体" w:hAnsi="宋体"/>
          <w:u w:val="single"/>
        </w:rPr>
        <w:t>企业自筹</w:t>
      </w:r>
      <w:r>
        <w:rPr>
          <w:rFonts w:hint="eastAsia" w:ascii="宋体" w:hAnsi="宋体"/>
        </w:rPr>
        <w:t>。该项目已具备招标条件，现对本项目进行公开招标</w:t>
      </w:r>
      <w:r>
        <w:rPr>
          <w:rFonts w:hint="eastAsia" w:ascii="宋体" w:hAnsi="宋体"/>
          <w:kern w:val="0"/>
          <w:szCs w:val="21"/>
        </w:rPr>
        <w:t>，现邀请有意向的合格投标人参加投标</w:t>
      </w:r>
      <w:r>
        <w:rPr>
          <w:rFonts w:hint="eastAsia" w:ascii="宋体" w:hAnsi="宋体"/>
        </w:rPr>
        <w:t>。</w:t>
      </w:r>
    </w:p>
    <w:p>
      <w:pPr>
        <w:pStyle w:val="3"/>
        <w:spacing w:before="240" w:beforeLines="100" w:after="0" w:line="348" w:lineRule="auto"/>
        <w:rPr>
          <w:sz w:val="24"/>
          <w:szCs w:val="24"/>
        </w:rPr>
      </w:pPr>
      <w:bookmarkStart w:id="18" w:name="_Toc24118"/>
      <w:bookmarkStart w:id="19" w:name="_Toc16976"/>
      <w:bookmarkStart w:id="20" w:name="_Toc20822"/>
      <w:bookmarkStart w:id="21" w:name="_Toc8890"/>
      <w:bookmarkStart w:id="22" w:name="_Toc530736521"/>
      <w:bookmarkStart w:id="23" w:name="_Toc24050"/>
      <w:bookmarkStart w:id="24" w:name="_Toc450657240"/>
      <w:bookmarkStart w:id="25" w:name="_Toc17196"/>
      <w:bookmarkStart w:id="26" w:name="_Toc441064051"/>
      <w:bookmarkStart w:id="27" w:name="_Toc441059940"/>
      <w:bookmarkStart w:id="28" w:name="_Toc180507097"/>
      <w:bookmarkStart w:id="29" w:name="_Toc450314168"/>
      <w:bookmarkStart w:id="30" w:name="_Toc16045"/>
      <w:bookmarkStart w:id="31" w:name="_Toc7639"/>
      <w:r>
        <w:rPr>
          <w:rFonts w:hint="eastAsia"/>
          <w:sz w:val="24"/>
          <w:szCs w:val="24"/>
        </w:rPr>
        <w:t>1</w:t>
      </w:r>
      <w:r>
        <w:rPr>
          <w:sz w:val="24"/>
          <w:szCs w:val="24"/>
        </w:rPr>
        <w:t xml:space="preserve"> </w:t>
      </w:r>
      <w:r>
        <w:rPr>
          <w:rFonts w:hint="eastAsia"/>
          <w:sz w:val="24"/>
          <w:szCs w:val="24"/>
        </w:rPr>
        <w:t>项目概况与招标范围</w:t>
      </w:r>
      <w:bookmarkEnd w:id="18"/>
      <w:bookmarkEnd w:id="19"/>
      <w:bookmarkEnd w:id="20"/>
      <w:bookmarkEnd w:id="21"/>
      <w:bookmarkEnd w:id="22"/>
      <w:bookmarkEnd w:id="23"/>
      <w:bookmarkEnd w:id="24"/>
      <w:bookmarkEnd w:id="25"/>
      <w:bookmarkEnd w:id="26"/>
      <w:bookmarkEnd w:id="27"/>
      <w:bookmarkEnd w:id="28"/>
      <w:bookmarkEnd w:id="29"/>
      <w:bookmarkEnd w:id="30"/>
      <w:bookmarkEnd w:id="31"/>
    </w:p>
    <w:p>
      <w:pPr>
        <w:widowControl/>
        <w:spacing w:line="360" w:lineRule="auto"/>
        <w:ind w:firstLine="420" w:firstLineChars="200"/>
        <w:jc w:val="left"/>
        <w:rPr>
          <w:rFonts w:ascii="宋体" w:hAnsi="宋体" w:cs="宋体"/>
          <w:szCs w:val="21"/>
        </w:rPr>
      </w:pPr>
      <w:r>
        <w:rPr>
          <w:rFonts w:hint="eastAsia" w:ascii="宋体" w:hAnsi="宋体" w:cs="宋体"/>
          <w:b/>
          <w:szCs w:val="21"/>
        </w:rPr>
        <w:t>1.1项目名称：</w:t>
      </w:r>
      <w:r>
        <w:rPr>
          <w:rFonts w:hint="eastAsia" w:ascii="宋体" w:hAnsi="宋体" w:cs="宋体"/>
          <w:szCs w:val="21"/>
        </w:rPr>
        <w:t>南宁轨道数智科技有限公司资产管理系统采购项目</w:t>
      </w:r>
    </w:p>
    <w:p>
      <w:pPr>
        <w:widowControl/>
        <w:spacing w:line="360" w:lineRule="auto"/>
        <w:ind w:firstLine="420" w:firstLineChars="200"/>
        <w:jc w:val="left"/>
        <w:rPr>
          <w:rFonts w:ascii="宋体" w:hAnsi="宋体" w:cs="宋体"/>
          <w:szCs w:val="21"/>
        </w:rPr>
      </w:pPr>
      <w:r>
        <w:rPr>
          <w:rFonts w:hint="eastAsia" w:ascii="宋体" w:hAnsi="宋体" w:cs="宋体"/>
          <w:b/>
          <w:szCs w:val="21"/>
        </w:rPr>
        <w:t>1.2项目地点：</w:t>
      </w:r>
      <w:r>
        <w:rPr>
          <w:rFonts w:hint="eastAsia" w:ascii="宋体" w:hAnsi="宋体" w:cs="宋体"/>
          <w:szCs w:val="21"/>
        </w:rPr>
        <w:t>广西壮族自治区南宁市</w:t>
      </w:r>
      <w:bookmarkStart w:id="32" w:name="_Toc30177"/>
      <w:bookmarkStart w:id="33" w:name="_Toc21883"/>
    </w:p>
    <w:p>
      <w:pPr>
        <w:widowControl/>
        <w:spacing w:line="360" w:lineRule="auto"/>
        <w:ind w:firstLine="420" w:firstLineChars="200"/>
        <w:jc w:val="left"/>
        <w:rPr>
          <w:rFonts w:ascii="Calibri" w:hAnsi="Calibri"/>
          <w:szCs w:val="21"/>
        </w:rPr>
      </w:pPr>
      <w:r>
        <w:rPr>
          <w:rFonts w:hint="eastAsia" w:ascii="宋体" w:hAnsi="宋体"/>
          <w:b/>
          <w:szCs w:val="21"/>
        </w:rPr>
        <w:t>1.3招标范围：</w:t>
      </w:r>
      <w:bookmarkEnd w:id="32"/>
      <w:r>
        <w:rPr>
          <w:rFonts w:hint="eastAsia" w:ascii="宋体" w:hAnsi="宋体" w:cs="宋体"/>
          <w:szCs w:val="21"/>
        </w:rPr>
        <w:t>本次资产管理系统采购项目建设与服务内容主要包括：资产</w:t>
      </w:r>
      <w:r>
        <w:rPr>
          <w:rFonts w:ascii="宋体" w:hAnsi="宋体" w:cs="宋体"/>
          <w:szCs w:val="21"/>
        </w:rPr>
        <w:t>管理、</w:t>
      </w:r>
      <w:r>
        <w:rPr>
          <w:rFonts w:hint="eastAsia" w:ascii="宋体" w:hAnsi="宋体" w:cs="宋体"/>
          <w:szCs w:val="21"/>
        </w:rPr>
        <w:t>租赁</w:t>
      </w:r>
      <w:r>
        <w:rPr>
          <w:rFonts w:ascii="宋体" w:hAnsi="宋体" w:cs="宋体"/>
          <w:szCs w:val="21"/>
        </w:rPr>
        <w:t>管理</w:t>
      </w:r>
      <w:r>
        <w:rPr>
          <w:rFonts w:hint="eastAsia" w:ascii="宋体" w:hAnsi="宋体" w:cs="宋体"/>
          <w:szCs w:val="21"/>
        </w:rPr>
        <w:t>、国资监管数据上报和系统集成（系统集成包括业财一体</w:t>
      </w:r>
      <w:r>
        <w:rPr>
          <w:rFonts w:ascii="宋体" w:hAnsi="宋体" w:cs="宋体"/>
          <w:szCs w:val="21"/>
        </w:rPr>
        <w:t>集成、</w:t>
      </w:r>
      <w:r>
        <w:rPr>
          <w:rFonts w:hint="eastAsia" w:ascii="宋体" w:hAnsi="宋体" w:cs="宋体"/>
          <w:szCs w:val="21"/>
        </w:rPr>
        <w:t>租售一体集成、电子签章集成等）等功能及配套系统软件，具体详见招标文件第五章用户需求书。</w:t>
      </w:r>
      <w:bookmarkEnd w:id="33"/>
    </w:p>
    <w:p>
      <w:pPr>
        <w:widowControl/>
        <w:spacing w:line="360" w:lineRule="auto"/>
        <w:ind w:firstLine="420" w:firstLineChars="200"/>
        <w:jc w:val="left"/>
        <w:rPr>
          <w:rFonts w:ascii="宋体" w:hAnsi="宋体" w:cs="宋体"/>
          <w:kern w:val="0"/>
          <w:szCs w:val="21"/>
          <w:lang w:val="zh-CN"/>
        </w:rPr>
      </w:pPr>
      <w:r>
        <w:rPr>
          <w:rFonts w:hint="eastAsia" w:ascii="宋体" w:hAnsi="宋体"/>
          <w:b/>
          <w:szCs w:val="21"/>
        </w:rPr>
        <w:t>1.4招标上限控制价：</w:t>
      </w:r>
      <w:r>
        <w:rPr>
          <w:rFonts w:hint="eastAsia" w:ascii="宋体" w:hAnsi="宋体" w:cs="宋体"/>
          <w:kern w:val="0"/>
          <w:szCs w:val="21"/>
          <w:lang w:val="zh-CN"/>
        </w:rPr>
        <w:t>本项目含税招标控制价为大写</w:t>
      </w:r>
      <w:r>
        <w:rPr>
          <w:rFonts w:ascii="宋体" w:hAnsi="宋体" w:cs="宋体"/>
          <w:kern w:val="0"/>
          <w:szCs w:val="21"/>
          <w:lang w:val="zh-CN"/>
        </w:rPr>
        <w:t>：叁佰肆拾玖万元整；小写：</w:t>
      </w:r>
      <w:r>
        <w:rPr>
          <w:rFonts w:ascii="宋体" w:hAnsi="宋体" w:cs="宋体"/>
          <w:kern w:val="0"/>
          <w:szCs w:val="21"/>
        </w:rPr>
        <w:t>349.00</w:t>
      </w:r>
      <w:r>
        <w:rPr>
          <w:rFonts w:hint="eastAsia" w:ascii="宋体" w:hAnsi="宋体" w:cs="宋体"/>
          <w:kern w:val="0"/>
          <w:szCs w:val="21"/>
          <w:lang w:val="zh-CN"/>
        </w:rPr>
        <w:t>万元。</w:t>
      </w:r>
      <w:r>
        <w:rPr>
          <w:rFonts w:hint="eastAsia" w:ascii="宋体" w:hAnsi="宋体"/>
          <w:kern w:val="0"/>
          <w:szCs w:val="21"/>
        </w:rPr>
        <w:t>详见第五章</w:t>
      </w:r>
      <w:r>
        <w:rPr>
          <w:rFonts w:ascii="宋体" w:hAnsi="宋体"/>
          <w:kern w:val="0"/>
          <w:szCs w:val="21"/>
        </w:rPr>
        <w:t>用户需求</w:t>
      </w:r>
      <w:r>
        <w:rPr>
          <w:rFonts w:hint="eastAsia" w:ascii="宋体" w:hAnsi="宋体"/>
          <w:kern w:val="0"/>
          <w:szCs w:val="21"/>
        </w:rPr>
        <w:t>。</w:t>
      </w:r>
    </w:p>
    <w:p>
      <w:pPr>
        <w:widowControl/>
        <w:spacing w:line="360" w:lineRule="auto"/>
        <w:ind w:firstLine="420" w:firstLineChars="200"/>
        <w:jc w:val="left"/>
        <w:rPr>
          <w:rFonts w:ascii="宋体" w:hAnsi="宋体"/>
        </w:rPr>
      </w:pPr>
      <w:r>
        <w:rPr>
          <w:rFonts w:hint="eastAsia" w:ascii="宋体" w:hAnsi="宋体"/>
          <w:b/>
          <w:szCs w:val="21"/>
        </w:rPr>
        <w:t>1.5服务期：</w:t>
      </w:r>
      <w:r>
        <w:rPr>
          <w:rFonts w:hint="eastAsia" w:ascii="宋体" w:hAnsi="宋体" w:cs="宋体"/>
          <w:szCs w:val="21"/>
        </w:rPr>
        <w:t>本项目实施周期暂定14个月，并在项目整体验收通过后的第二天开始进入12个月的质保期，投标人在质保期内须提供项目有关质保服务。</w:t>
      </w:r>
    </w:p>
    <w:p>
      <w:pPr>
        <w:spacing w:line="360" w:lineRule="auto"/>
        <w:ind w:firstLine="420" w:firstLineChars="200"/>
        <w:rPr>
          <w:rFonts w:ascii="宋体" w:hAnsi="宋体"/>
          <w:sz w:val="24"/>
        </w:rPr>
      </w:pPr>
      <w:r>
        <w:rPr>
          <w:rFonts w:hint="eastAsia" w:ascii="宋体" w:hAnsi="宋体"/>
          <w:b/>
          <w:szCs w:val="21"/>
        </w:rPr>
        <w:t>1.6质量要求：</w:t>
      </w:r>
      <w:r>
        <w:rPr>
          <w:rFonts w:hint="eastAsia" w:ascii="宋体" w:hAnsi="宋体" w:cs="宋体"/>
          <w:bCs/>
          <w:szCs w:val="21"/>
        </w:rPr>
        <w:t>满足国家现行规范、标准、招标文件要求和项目实际需要。</w:t>
      </w:r>
      <w:bookmarkStart w:id="34" w:name="_Toc16098"/>
      <w:bookmarkStart w:id="35" w:name="_Toc441059941"/>
      <w:bookmarkStart w:id="36" w:name="_Toc450314169"/>
      <w:bookmarkStart w:id="37" w:name="_Toc530736522"/>
      <w:bookmarkStart w:id="38" w:name="_Toc441064052"/>
      <w:bookmarkStart w:id="39" w:name="_Toc31663"/>
      <w:bookmarkStart w:id="40" w:name="_Toc30993"/>
      <w:bookmarkStart w:id="41" w:name="_Toc450657241"/>
    </w:p>
    <w:p>
      <w:pPr>
        <w:pStyle w:val="3"/>
        <w:spacing w:before="240" w:beforeLines="100" w:after="0" w:line="348" w:lineRule="auto"/>
        <w:rPr>
          <w:sz w:val="24"/>
          <w:szCs w:val="24"/>
        </w:rPr>
      </w:pPr>
      <w:bookmarkStart w:id="42" w:name="_Toc29219"/>
      <w:bookmarkStart w:id="43" w:name="_Toc24639"/>
      <w:bookmarkStart w:id="44" w:name="_Toc26492"/>
      <w:bookmarkStart w:id="45" w:name="_Toc180507098"/>
      <w:bookmarkStart w:id="46" w:name="_Toc14121"/>
      <w:bookmarkStart w:id="47" w:name="_Toc11493"/>
      <w:r>
        <w:rPr>
          <w:rFonts w:hint="eastAsia"/>
          <w:sz w:val="24"/>
          <w:szCs w:val="24"/>
        </w:rPr>
        <w:t>2</w:t>
      </w:r>
      <w:r>
        <w:rPr>
          <w:sz w:val="24"/>
          <w:szCs w:val="24"/>
        </w:rPr>
        <w:t xml:space="preserve"> </w:t>
      </w:r>
      <w:r>
        <w:rPr>
          <w:rFonts w:hint="eastAsia"/>
          <w:sz w:val="24"/>
          <w:szCs w:val="24"/>
        </w:rPr>
        <w:t>投标人资格要求</w:t>
      </w:r>
      <w:bookmarkEnd w:id="34"/>
      <w:bookmarkEnd w:id="35"/>
      <w:bookmarkEnd w:id="36"/>
      <w:bookmarkEnd w:id="37"/>
      <w:bookmarkEnd w:id="38"/>
      <w:bookmarkEnd w:id="39"/>
      <w:bookmarkEnd w:id="40"/>
      <w:bookmarkEnd w:id="41"/>
      <w:bookmarkEnd w:id="42"/>
      <w:bookmarkEnd w:id="43"/>
      <w:bookmarkEnd w:id="44"/>
      <w:bookmarkEnd w:id="45"/>
      <w:bookmarkEnd w:id="46"/>
      <w:bookmarkEnd w:id="47"/>
    </w:p>
    <w:p>
      <w:pPr>
        <w:spacing w:line="360" w:lineRule="auto"/>
        <w:ind w:firstLine="420" w:firstLineChars="200"/>
        <w:textAlignment w:val="baseline"/>
        <w:rPr>
          <w:rFonts w:ascii="宋体" w:hAnsi="宋体"/>
          <w:szCs w:val="21"/>
        </w:rPr>
      </w:pPr>
      <w:r>
        <w:rPr>
          <w:rFonts w:hint="eastAsia" w:ascii="宋体" w:hAnsi="宋体"/>
          <w:szCs w:val="21"/>
        </w:rPr>
        <w:t>2.1投标人为中华人民共和国境内依法设立的法人或其他组织（若以分公司名义参与投标的须出具总公司授权参与的证明)。</w:t>
      </w:r>
    </w:p>
    <w:p>
      <w:pPr>
        <w:spacing w:line="360" w:lineRule="auto"/>
        <w:ind w:firstLine="420" w:firstLineChars="200"/>
        <w:textAlignment w:val="baseline"/>
        <w:rPr>
          <w:rFonts w:ascii="宋体" w:hAnsi="宋体"/>
          <w:szCs w:val="21"/>
        </w:rPr>
      </w:pPr>
      <w:r>
        <w:rPr>
          <w:rFonts w:hint="eastAsia" w:ascii="宋体" w:hAnsi="宋体"/>
          <w:szCs w:val="21"/>
        </w:rPr>
        <w:t>2.2投标人若不是软件的生产企业须获得软件生产企业的销售授权。（在</w:t>
      </w:r>
      <w:r>
        <w:rPr>
          <w:rFonts w:ascii="宋体" w:hAnsi="宋体"/>
          <w:szCs w:val="21"/>
        </w:rPr>
        <w:t>本</w:t>
      </w:r>
      <w:r>
        <w:rPr>
          <w:rFonts w:hint="eastAsia" w:ascii="宋体" w:hAnsi="宋体"/>
          <w:szCs w:val="21"/>
        </w:rPr>
        <w:t>项目</w:t>
      </w:r>
      <w:r>
        <w:rPr>
          <w:rFonts w:ascii="宋体" w:hAnsi="宋体"/>
          <w:szCs w:val="21"/>
        </w:rPr>
        <w:t>中</w:t>
      </w:r>
      <w:r>
        <w:rPr>
          <w:rFonts w:hint="eastAsia" w:ascii="宋体" w:hAnsi="宋体"/>
          <w:szCs w:val="21"/>
        </w:rPr>
        <w:t>软件生产企业的销售授权为</w:t>
      </w:r>
      <w:r>
        <w:rPr>
          <w:rFonts w:ascii="宋体" w:hAnsi="宋体"/>
          <w:szCs w:val="21"/>
        </w:rPr>
        <w:t>唯一授权：即仅能授权给一家投标人</w:t>
      </w:r>
      <w:r>
        <w:rPr>
          <w:rFonts w:hint="eastAsia" w:ascii="宋体" w:hAnsi="宋体"/>
          <w:szCs w:val="21"/>
        </w:rPr>
        <w:t>）。</w:t>
      </w:r>
    </w:p>
    <w:p>
      <w:pPr>
        <w:spacing w:line="360" w:lineRule="auto"/>
        <w:ind w:firstLine="420" w:firstLineChars="200"/>
        <w:textAlignment w:val="baseline"/>
        <w:rPr>
          <w:rFonts w:ascii="宋体" w:hAnsi="宋体"/>
          <w:szCs w:val="21"/>
        </w:rPr>
      </w:pPr>
      <w:r>
        <w:rPr>
          <w:rFonts w:hint="eastAsia" w:ascii="宋体" w:hAnsi="宋体"/>
          <w:szCs w:val="21"/>
        </w:rPr>
        <w:t>2.3资质要求：无。</w:t>
      </w:r>
    </w:p>
    <w:p>
      <w:pPr>
        <w:spacing w:line="360" w:lineRule="auto"/>
        <w:ind w:firstLine="420" w:firstLineChars="200"/>
        <w:textAlignment w:val="baseline"/>
        <w:rPr>
          <w:rFonts w:ascii="宋体" w:hAnsi="宋体"/>
          <w:szCs w:val="21"/>
        </w:rPr>
      </w:pPr>
      <w:r>
        <w:rPr>
          <w:rFonts w:hint="eastAsia" w:ascii="宋体" w:hAnsi="宋体"/>
          <w:szCs w:val="21"/>
        </w:rPr>
        <w:t xml:space="preserve">2.4 </w:t>
      </w:r>
      <w:r>
        <w:rPr>
          <w:rFonts w:hint="eastAsia" w:ascii="MS Gothic" w:hAnsi="MS Gothic" w:eastAsia="MS Gothic" w:cs="MS Gothic"/>
          <w:szCs w:val="21"/>
        </w:rPr>
        <w:t>☑</w:t>
      </w:r>
      <w:r>
        <w:rPr>
          <w:rFonts w:hint="eastAsia" w:ascii="宋体" w:hAnsi="宋体"/>
          <w:szCs w:val="21"/>
        </w:rPr>
        <w:t>业绩要求：投标人自2020年1月1日至今至少承接过1项含有资产管理（资产管理或固定资产或资产租赁）相关内容的信息化系统建设项目实施案例（实施案例合同含税金额在75万（含）以上）。同时投标人须提供业绩证明文件：项目合同，证明文件中须体现合同甲乙方、合同签订时间、合同标的内容等信息，否则视为无效证明文件，</w:t>
      </w:r>
      <w:r>
        <w:rPr>
          <w:rFonts w:ascii="宋体" w:hAnsi="宋体"/>
          <w:szCs w:val="21"/>
        </w:rPr>
        <w:t>分包合同不予认可</w:t>
      </w:r>
      <w:r>
        <w:rPr>
          <w:rFonts w:hint="eastAsia" w:ascii="宋体" w:hAnsi="宋体"/>
          <w:szCs w:val="21"/>
        </w:rPr>
        <w:t>。</w:t>
      </w:r>
    </w:p>
    <w:p>
      <w:pPr>
        <w:spacing w:line="360" w:lineRule="auto"/>
        <w:ind w:firstLine="420" w:firstLineChars="200"/>
        <w:textAlignment w:val="baseline"/>
        <w:rPr>
          <w:rFonts w:ascii="宋体" w:hAnsi="宋体"/>
          <w:szCs w:val="21"/>
        </w:rPr>
      </w:pPr>
      <w:r>
        <w:rPr>
          <w:rFonts w:hint="eastAsia" w:ascii="宋体" w:hAnsi="宋体"/>
          <w:szCs w:val="21"/>
        </w:rPr>
        <w:t>2.5投标人没有处于被责令停业，或投标资格被行政主管部门取消，或财产被接管、冻结、破产状态，在投标截止前3年内没有骗取中标、严重违约或重大安全质量事故。</w:t>
      </w:r>
    </w:p>
    <w:p>
      <w:pPr>
        <w:spacing w:line="360" w:lineRule="auto"/>
        <w:ind w:firstLine="420" w:firstLineChars="200"/>
        <w:textAlignment w:val="baseline"/>
      </w:pPr>
      <w:r>
        <w:rPr>
          <w:rFonts w:hint="eastAsia" w:ascii="宋体" w:hAnsi="宋体"/>
          <w:szCs w:val="21"/>
        </w:rPr>
        <w:t>2.6其他要求：单位负责人为同一人或者存在控股、管理关系的不同单位，不得参加同一标段投标或者未划分标段的同一招标项目投标。</w:t>
      </w:r>
    </w:p>
    <w:p>
      <w:pPr>
        <w:spacing w:line="360" w:lineRule="auto"/>
        <w:ind w:left="210" w:leftChars="100" w:firstLine="210" w:firstLineChars="100"/>
        <w:textAlignment w:val="baseline"/>
        <w:rPr>
          <w:rFonts w:ascii="宋体" w:hAnsi="宋体"/>
          <w:szCs w:val="21"/>
        </w:rPr>
      </w:pPr>
      <w:r>
        <w:rPr>
          <w:rFonts w:hint="eastAsia" w:ascii="宋体" w:hAnsi="宋体"/>
        </w:rPr>
        <w:t>2.7联合体投标：</w:t>
      </w:r>
      <w:r>
        <w:rPr>
          <w:rFonts w:hint="eastAsia" w:ascii="MS Gothic" w:hAnsi="MS Gothic" w:eastAsia="MS Gothic" w:cs="MS Gothic"/>
        </w:rPr>
        <w:t>☑</w:t>
      </w:r>
      <w:r>
        <w:rPr>
          <w:rFonts w:hint="eastAsia" w:ascii="宋体" w:hAnsi="宋体"/>
          <w:szCs w:val="21"/>
        </w:rPr>
        <w:t>本次招标不接受联合体投标。</w:t>
      </w:r>
    </w:p>
    <w:p>
      <w:pPr>
        <w:spacing w:line="360" w:lineRule="auto"/>
        <w:ind w:left="210" w:leftChars="100" w:firstLine="210" w:firstLineChars="100"/>
        <w:textAlignment w:val="baseline"/>
        <w:rPr>
          <w:rFonts w:ascii="宋体" w:hAnsi="宋体"/>
          <w:szCs w:val="21"/>
        </w:rPr>
      </w:pPr>
      <w:r>
        <w:rPr>
          <w:rFonts w:hint="eastAsia" w:ascii="宋体" w:hAnsi="宋体"/>
          <w:szCs w:val="21"/>
        </w:rPr>
        <w:t>2.8投标人未列入招标人不良信用名单的。</w:t>
      </w:r>
    </w:p>
    <w:p>
      <w:pPr>
        <w:pStyle w:val="3"/>
        <w:spacing w:before="240" w:beforeLines="100" w:after="0" w:line="348" w:lineRule="auto"/>
        <w:rPr>
          <w:sz w:val="24"/>
          <w:szCs w:val="24"/>
        </w:rPr>
      </w:pPr>
      <w:bookmarkStart w:id="48" w:name="_Toc3842"/>
      <w:bookmarkStart w:id="49" w:name="_Toc18885"/>
      <w:bookmarkStart w:id="50" w:name="_Toc14648"/>
      <w:bookmarkStart w:id="51" w:name="_Toc180507099"/>
      <w:bookmarkStart w:id="52" w:name="_Toc7610"/>
      <w:bookmarkStart w:id="53" w:name="_Toc29236"/>
      <w:r>
        <w:rPr>
          <w:rFonts w:hint="eastAsia"/>
          <w:sz w:val="24"/>
          <w:szCs w:val="24"/>
        </w:rPr>
        <w:t>3</w:t>
      </w:r>
      <w:r>
        <w:rPr>
          <w:sz w:val="24"/>
          <w:szCs w:val="24"/>
        </w:rPr>
        <w:t xml:space="preserve"> </w:t>
      </w:r>
      <w:r>
        <w:rPr>
          <w:rFonts w:hint="eastAsia"/>
          <w:sz w:val="24"/>
          <w:szCs w:val="24"/>
        </w:rPr>
        <w:t>资格审查方式</w:t>
      </w:r>
      <w:bookmarkEnd w:id="48"/>
      <w:bookmarkEnd w:id="49"/>
      <w:bookmarkEnd w:id="50"/>
      <w:bookmarkEnd w:id="51"/>
      <w:bookmarkEnd w:id="52"/>
      <w:bookmarkEnd w:id="53"/>
    </w:p>
    <w:p>
      <w:pPr>
        <w:pStyle w:val="50"/>
        <w:ind w:left="0" w:leftChars="0"/>
        <w:rPr>
          <w:rFonts w:eastAsia="宋体"/>
        </w:rPr>
      </w:pPr>
      <w:r>
        <w:rPr>
          <w:rFonts w:hint="eastAsia" w:ascii="宋体" w:hAnsi="宋体"/>
          <w:sz w:val="21"/>
          <w:szCs w:val="21"/>
        </w:rPr>
        <w:t>本项目采用资格后审方式。</w:t>
      </w:r>
    </w:p>
    <w:p>
      <w:pPr>
        <w:pStyle w:val="3"/>
        <w:spacing w:before="240" w:beforeLines="100" w:after="0" w:line="348" w:lineRule="auto"/>
        <w:rPr>
          <w:sz w:val="24"/>
          <w:szCs w:val="24"/>
        </w:rPr>
      </w:pPr>
      <w:bookmarkStart w:id="54" w:name="_Toc441059942"/>
      <w:bookmarkStart w:id="55" w:name="_Toc20161"/>
      <w:bookmarkStart w:id="56" w:name="_Toc180507100"/>
      <w:bookmarkStart w:id="57" w:name="_Toc530736523"/>
      <w:bookmarkStart w:id="58" w:name="_Toc7571"/>
      <w:bookmarkStart w:id="59" w:name="_Toc450657242"/>
      <w:bookmarkStart w:id="60" w:name="_Toc450314170"/>
      <w:bookmarkStart w:id="61" w:name="_Toc1386"/>
      <w:bookmarkStart w:id="62" w:name="_Toc7570"/>
      <w:bookmarkStart w:id="63" w:name="_Toc441064053"/>
      <w:bookmarkStart w:id="64" w:name="_Toc17760"/>
      <w:bookmarkStart w:id="65" w:name="_Toc8846"/>
      <w:bookmarkStart w:id="66" w:name="_Toc8299"/>
      <w:r>
        <w:rPr>
          <w:rFonts w:hint="eastAsia"/>
          <w:sz w:val="24"/>
          <w:szCs w:val="24"/>
        </w:rPr>
        <w:t>4招标文件的获取</w:t>
      </w:r>
      <w:bookmarkEnd w:id="54"/>
      <w:bookmarkEnd w:id="55"/>
      <w:bookmarkEnd w:id="56"/>
      <w:bookmarkEnd w:id="57"/>
      <w:bookmarkEnd w:id="58"/>
      <w:bookmarkEnd w:id="59"/>
      <w:bookmarkEnd w:id="60"/>
      <w:bookmarkEnd w:id="61"/>
      <w:bookmarkEnd w:id="62"/>
      <w:bookmarkEnd w:id="63"/>
      <w:bookmarkEnd w:id="64"/>
      <w:bookmarkEnd w:id="65"/>
      <w:bookmarkEnd w:id="66"/>
    </w:p>
    <w:p>
      <w:pPr>
        <w:spacing w:line="360" w:lineRule="auto"/>
        <w:ind w:firstLine="420" w:firstLineChars="200"/>
        <w:textAlignment w:val="baseline"/>
        <w:rPr>
          <w:rFonts w:ascii="宋体" w:hAnsi="宋体"/>
          <w:szCs w:val="21"/>
        </w:rPr>
      </w:pPr>
      <w:bookmarkStart w:id="67" w:name="_Toc450657243"/>
      <w:bookmarkStart w:id="68" w:name="_Toc441059943"/>
      <w:bookmarkStart w:id="69" w:name="_Toc16275"/>
      <w:bookmarkStart w:id="70" w:name="_Toc2465"/>
      <w:bookmarkStart w:id="71" w:name="_Toc27494"/>
      <w:bookmarkStart w:id="72" w:name="_Toc441064054"/>
      <w:bookmarkStart w:id="73" w:name="_Toc19311"/>
      <w:bookmarkStart w:id="74" w:name="_Toc530736524"/>
      <w:bookmarkStart w:id="75" w:name="_Toc450314171"/>
      <w:bookmarkStart w:id="76" w:name="_Toc32053"/>
      <w:r>
        <w:rPr>
          <w:rFonts w:ascii="宋体" w:hAnsi="宋体"/>
          <w:szCs w:val="21"/>
        </w:rPr>
        <w:t>4.1 投标报名：本项目无需报名。</w:t>
      </w:r>
      <w:bookmarkStart w:id="77" w:name="_Hlk41635853"/>
    </w:p>
    <w:p>
      <w:pPr>
        <w:spacing w:line="360" w:lineRule="exact"/>
        <w:rPr>
          <w:rFonts w:ascii="宋体" w:hAnsi="宋体"/>
          <w:bCs/>
          <w:kern w:val="0"/>
          <w:szCs w:val="21"/>
        </w:rPr>
      </w:pPr>
      <w:r>
        <w:rPr>
          <w:rFonts w:hint="eastAsia" w:ascii="宋体" w:hAnsi="宋体"/>
          <w:bCs/>
          <w:kern w:val="0"/>
          <w:szCs w:val="21"/>
        </w:rPr>
        <w:t xml:space="preserve">    </w:t>
      </w:r>
      <w:r>
        <w:rPr>
          <w:rFonts w:ascii="宋体" w:hAnsi="宋体"/>
          <w:bCs/>
          <w:kern w:val="0"/>
          <w:szCs w:val="21"/>
        </w:rPr>
        <w:t xml:space="preserve">4.2 </w:t>
      </w:r>
      <w:r>
        <w:rPr>
          <w:rFonts w:ascii="宋体" w:hAnsi="宋体"/>
          <w:szCs w:val="21"/>
        </w:rPr>
        <w:t>招标文件获取</w:t>
      </w:r>
      <w:r>
        <w:rPr>
          <w:rFonts w:ascii="宋体" w:hAnsi="宋体"/>
          <w:bCs/>
          <w:kern w:val="0"/>
          <w:szCs w:val="21"/>
        </w:rPr>
        <w:t>：投标人通过登陆</w:t>
      </w:r>
      <w:r>
        <w:rPr>
          <w:rFonts w:hint="eastAsia" w:ascii="宋体" w:hAnsi="宋体"/>
          <w:bCs/>
          <w:kern w:val="0"/>
          <w:szCs w:val="21"/>
        </w:rPr>
        <w:t>南宁轨道数智科技有限公司官网（http://www.</w:t>
      </w:r>
      <w:r>
        <w:rPr>
          <w:rFonts w:ascii="宋体" w:hAnsi="宋体"/>
          <w:bCs/>
          <w:kern w:val="0"/>
          <w:szCs w:val="21"/>
        </w:rPr>
        <w:t>nn-cc</w:t>
      </w:r>
      <w:r>
        <w:rPr>
          <w:rFonts w:hint="eastAsia" w:ascii="宋体" w:hAnsi="宋体"/>
          <w:bCs/>
          <w:kern w:val="0"/>
          <w:szCs w:val="21"/>
        </w:rPr>
        <w:t>.c</w:t>
      </w:r>
      <w:r>
        <w:rPr>
          <w:rFonts w:ascii="宋体" w:hAnsi="宋体"/>
          <w:bCs/>
          <w:kern w:val="0"/>
          <w:szCs w:val="21"/>
        </w:rPr>
        <w:t>n</w:t>
      </w:r>
      <w:r>
        <w:rPr>
          <w:rFonts w:hint="eastAsia" w:ascii="宋体" w:hAnsi="宋体"/>
          <w:bCs/>
          <w:kern w:val="0"/>
          <w:szCs w:val="21"/>
        </w:rPr>
        <w:t>/index.html）</w:t>
      </w:r>
      <w:r>
        <w:rPr>
          <w:rFonts w:ascii="宋体" w:hAnsi="宋体"/>
          <w:bCs/>
          <w:kern w:val="0"/>
          <w:szCs w:val="21"/>
        </w:rPr>
        <w:t>后下载招标文件及相关资料。投标人如未按要求或未完整下载相关文件，或由于未及时关注招标文件补充通知、答疑等相关项目信息而影响投标的，其责任由投标人自行承担。</w:t>
      </w:r>
      <w:bookmarkEnd w:id="77"/>
    </w:p>
    <w:p>
      <w:pPr>
        <w:pStyle w:val="3"/>
        <w:spacing w:before="240" w:beforeLines="100" w:after="0" w:line="348" w:lineRule="auto"/>
        <w:rPr>
          <w:rFonts w:ascii="宋体" w:hAnsi="宋体"/>
          <w:strike/>
          <w:szCs w:val="21"/>
        </w:rPr>
      </w:pPr>
      <w:bookmarkStart w:id="78" w:name="_Toc21229"/>
      <w:bookmarkStart w:id="79" w:name="_Toc27627"/>
      <w:bookmarkStart w:id="80" w:name="_Toc418"/>
      <w:bookmarkStart w:id="81" w:name="_Toc180507101"/>
      <w:r>
        <w:rPr>
          <w:rFonts w:hint="eastAsia"/>
          <w:sz w:val="24"/>
          <w:szCs w:val="24"/>
        </w:rPr>
        <w:t>5</w:t>
      </w:r>
      <w:r>
        <w:rPr>
          <w:sz w:val="24"/>
          <w:szCs w:val="24"/>
        </w:rPr>
        <w:t xml:space="preserve"> </w:t>
      </w:r>
      <w:r>
        <w:rPr>
          <w:rFonts w:hint="eastAsia"/>
          <w:sz w:val="24"/>
          <w:szCs w:val="24"/>
        </w:rPr>
        <w:t>投标文件的递交</w:t>
      </w:r>
      <w:bookmarkEnd w:id="67"/>
      <w:bookmarkEnd w:id="68"/>
      <w:bookmarkEnd w:id="69"/>
      <w:bookmarkEnd w:id="70"/>
      <w:bookmarkEnd w:id="71"/>
      <w:bookmarkEnd w:id="72"/>
      <w:bookmarkEnd w:id="73"/>
      <w:bookmarkEnd w:id="74"/>
      <w:bookmarkEnd w:id="75"/>
      <w:bookmarkEnd w:id="76"/>
      <w:bookmarkEnd w:id="78"/>
      <w:bookmarkEnd w:id="79"/>
      <w:bookmarkEnd w:id="80"/>
      <w:bookmarkEnd w:id="81"/>
    </w:p>
    <w:p>
      <w:pPr>
        <w:adjustRightInd w:val="0"/>
        <w:snapToGrid w:val="0"/>
        <w:spacing w:line="360" w:lineRule="auto"/>
        <w:ind w:firstLine="420" w:firstLineChars="200"/>
        <w:rPr>
          <w:rFonts w:ascii="宋体" w:hAnsi="宋体"/>
          <w:szCs w:val="21"/>
        </w:rPr>
      </w:pPr>
      <w:bookmarkStart w:id="82" w:name="_Hlk40774014"/>
      <w:bookmarkStart w:id="83" w:name="_Toc10626"/>
      <w:bookmarkStart w:id="84" w:name="_Toc530736525"/>
      <w:bookmarkStart w:id="85" w:name="_Toc441059944"/>
      <w:bookmarkStart w:id="86" w:name="_Toc32545"/>
      <w:bookmarkStart w:id="87" w:name="_Toc441064055"/>
      <w:bookmarkStart w:id="88" w:name="_Toc450314172"/>
      <w:bookmarkStart w:id="89" w:name="_Toc450657244"/>
      <w:bookmarkStart w:id="90" w:name="_Toc9663"/>
      <w:bookmarkStart w:id="91" w:name="_Toc19265"/>
      <w:r>
        <w:rPr>
          <w:rFonts w:ascii="宋体" w:hAnsi="宋体"/>
          <w:szCs w:val="21"/>
        </w:rPr>
        <w:t>5.1 投标文件递交的截止时间（投标截止时间）为</w:t>
      </w:r>
      <w:bookmarkStart w:id="92" w:name="_Hlk41635943"/>
      <w:r>
        <w:rPr>
          <w:rFonts w:hint="eastAsia" w:ascii="宋体" w:hAnsi="宋体"/>
          <w:szCs w:val="21"/>
        </w:rPr>
        <w:t>202</w:t>
      </w:r>
      <w:r>
        <w:rPr>
          <w:rFonts w:ascii="宋体" w:hAnsi="宋体"/>
          <w:szCs w:val="21"/>
        </w:rPr>
        <w:t>4年</w:t>
      </w:r>
      <w:r>
        <w:rPr>
          <w:rFonts w:hint="eastAsia" w:ascii="宋体" w:hAnsi="宋体"/>
          <w:szCs w:val="21"/>
        </w:rPr>
        <w:t>12</w:t>
      </w:r>
      <w:r>
        <w:rPr>
          <w:rFonts w:ascii="宋体" w:hAnsi="宋体"/>
          <w:szCs w:val="21"/>
        </w:rPr>
        <w:t>月</w:t>
      </w:r>
      <w:r>
        <w:rPr>
          <w:rFonts w:hint="eastAsia" w:ascii="宋体" w:hAnsi="宋体"/>
          <w:szCs w:val="21"/>
        </w:rPr>
        <w:t>06</w:t>
      </w:r>
      <w:r>
        <w:rPr>
          <w:rFonts w:ascii="宋体" w:hAnsi="宋体"/>
          <w:szCs w:val="21"/>
        </w:rPr>
        <w:t>日09时30分</w:t>
      </w:r>
      <w:bookmarkEnd w:id="92"/>
      <w:r>
        <w:rPr>
          <w:rFonts w:ascii="宋体" w:hAnsi="宋体"/>
          <w:szCs w:val="21"/>
        </w:rPr>
        <w:t>。</w:t>
      </w:r>
    </w:p>
    <w:p>
      <w:pPr>
        <w:adjustRightInd w:val="0"/>
        <w:snapToGrid w:val="0"/>
        <w:spacing w:line="360" w:lineRule="auto"/>
        <w:ind w:firstLine="420" w:firstLineChars="200"/>
        <w:rPr>
          <w:rFonts w:ascii="宋体" w:hAnsi="宋体"/>
          <w:szCs w:val="21"/>
        </w:rPr>
      </w:pPr>
      <w:bookmarkStart w:id="93" w:name="_Hlk40771518"/>
      <w:bookmarkStart w:id="94" w:name="_Hlk40772548"/>
      <w:r>
        <w:rPr>
          <w:rFonts w:ascii="宋体" w:hAnsi="宋体"/>
          <w:szCs w:val="21"/>
        </w:rPr>
        <w:t>5.2</w:t>
      </w:r>
      <w:r>
        <w:rPr>
          <w:rFonts w:hint="eastAsia" w:ascii="宋体" w:hAnsi="宋体"/>
          <w:szCs w:val="21"/>
        </w:rPr>
        <w:t>递交</w:t>
      </w:r>
      <w:r>
        <w:rPr>
          <w:rFonts w:ascii="宋体" w:hAnsi="宋体"/>
          <w:szCs w:val="21"/>
        </w:rPr>
        <w:t>地点：</w:t>
      </w:r>
      <w:r>
        <w:rPr>
          <w:rFonts w:hint="eastAsia" w:ascii="宋体" w:hAnsi="宋体"/>
          <w:szCs w:val="21"/>
          <w:u w:val="single"/>
        </w:rPr>
        <w:t>广西城通工程咨询有限责任公司（</w:t>
      </w:r>
      <w:r>
        <w:rPr>
          <w:rFonts w:hint="eastAsia" w:ascii="宋体" w:hAnsi="宋体" w:cs="宋体"/>
          <w:szCs w:val="21"/>
          <w:u w:val="single"/>
        </w:rPr>
        <w:t>南宁市青秀区云景路7</w:t>
      </w:r>
      <w:r>
        <w:rPr>
          <w:rFonts w:ascii="宋体" w:hAnsi="宋体" w:cs="宋体"/>
          <w:szCs w:val="21"/>
          <w:u w:val="single"/>
        </w:rPr>
        <w:t>1</w:t>
      </w:r>
      <w:r>
        <w:rPr>
          <w:rFonts w:hint="eastAsia" w:ascii="宋体" w:hAnsi="宋体" w:cs="宋体"/>
          <w:szCs w:val="21"/>
          <w:u w:val="single"/>
        </w:rPr>
        <w:t>号</w:t>
      </w:r>
      <w:r>
        <w:rPr>
          <w:rFonts w:ascii="宋体" w:hAnsi="宋体" w:cs="宋体"/>
          <w:szCs w:val="21"/>
          <w:u w:val="single"/>
        </w:rPr>
        <w:t>401</w:t>
      </w:r>
      <w:r>
        <w:rPr>
          <w:rFonts w:hint="eastAsia" w:ascii="宋体" w:hAnsi="宋体" w:cs="宋体"/>
          <w:szCs w:val="21"/>
          <w:u w:val="single"/>
        </w:rPr>
        <w:t>室</w:t>
      </w:r>
      <w:r>
        <w:rPr>
          <w:rFonts w:hint="eastAsia" w:ascii="宋体" w:hAnsi="宋体"/>
          <w:szCs w:val="21"/>
          <w:u w:val="single"/>
        </w:rPr>
        <w:t>）</w:t>
      </w:r>
      <w:r>
        <w:rPr>
          <w:rFonts w:hint="eastAsia" w:ascii="宋体" w:hAnsi="宋体"/>
          <w:szCs w:val="21"/>
        </w:rPr>
        <w:t>，逾期送达或未密封将予以拒收（或作无效响应文件处理）。</w:t>
      </w:r>
    </w:p>
    <w:bookmarkEnd w:id="82"/>
    <w:bookmarkEnd w:id="93"/>
    <w:bookmarkEnd w:id="94"/>
    <w:p>
      <w:pPr>
        <w:pStyle w:val="3"/>
        <w:spacing w:before="240" w:beforeLines="100" w:after="0" w:line="348" w:lineRule="auto"/>
        <w:rPr>
          <w:sz w:val="24"/>
          <w:szCs w:val="24"/>
        </w:rPr>
      </w:pPr>
      <w:bookmarkStart w:id="95" w:name="_Toc46135640"/>
      <w:bookmarkStart w:id="96" w:name="_Toc1995"/>
      <w:bookmarkStart w:id="97" w:name="_Toc16686"/>
      <w:bookmarkStart w:id="98" w:name="_Toc147917065"/>
      <w:bookmarkStart w:id="99" w:name="_Toc180507102"/>
      <w:bookmarkStart w:id="100" w:name="_Toc8913"/>
      <w:bookmarkStart w:id="101" w:name="_Toc389065128"/>
      <w:bookmarkStart w:id="102" w:name="_Toc13044"/>
      <w:r>
        <w:rPr>
          <w:sz w:val="24"/>
          <w:szCs w:val="24"/>
        </w:rPr>
        <w:t>6.评标方式</w:t>
      </w:r>
      <w:bookmarkEnd w:id="95"/>
      <w:bookmarkEnd w:id="96"/>
      <w:bookmarkEnd w:id="97"/>
      <w:bookmarkEnd w:id="98"/>
      <w:bookmarkEnd w:id="99"/>
      <w:bookmarkEnd w:id="100"/>
      <w:bookmarkEnd w:id="101"/>
    </w:p>
    <w:p>
      <w:pPr>
        <w:adjustRightInd w:val="0"/>
        <w:snapToGrid w:val="0"/>
        <w:spacing w:line="360" w:lineRule="auto"/>
        <w:ind w:firstLine="420" w:firstLineChars="200"/>
        <w:rPr>
          <w:rFonts w:ascii="宋体" w:hAnsi="宋体"/>
          <w:szCs w:val="21"/>
        </w:rPr>
      </w:pPr>
      <w:bookmarkStart w:id="103" w:name="_Hlk31364737"/>
      <w:r>
        <w:rPr>
          <w:rFonts w:ascii="宋体" w:hAnsi="宋体"/>
          <w:szCs w:val="21"/>
        </w:rPr>
        <w:t>本项目采用综合评估法</w:t>
      </w:r>
      <w:bookmarkEnd w:id="103"/>
      <w:r>
        <w:rPr>
          <w:rFonts w:hint="eastAsia" w:ascii="宋体" w:hAnsi="宋体"/>
          <w:szCs w:val="21"/>
        </w:rPr>
        <w:t>。</w:t>
      </w:r>
    </w:p>
    <w:p>
      <w:pPr>
        <w:pStyle w:val="3"/>
        <w:spacing w:before="240" w:beforeLines="100" w:after="0" w:line="348" w:lineRule="auto"/>
        <w:rPr>
          <w:sz w:val="24"/>
          <w:szCs w:val="24"/>
        </w:rPr>
      </w:pPr>
      <w:bookmarkStart w:id="104" w:name="_Toc11950"/>
      <w:bookmarkStart w:id="105" w:name="_Toc180507103"/>
      <w:bookmarkStart w:id="106" w:name="_Toc13814"/>
      <w:bookmarkStart w:id="107" w:name="_Toc11153"/>
      <w:r>
        <w:rPr>
          <w:rFonts w:hint="eastAsia"/>
          <w:sz w:val="24"/>
          <w:szCs w:val="24"/>
        </w:rPr>
        <w:t>7</w:t>
      </w:r>
      <w:r>
        <w:rPr>
          <w:sz w:val="24"/>
          <w:szCs w:val="24"/>
        </w:rPr>
        <w:t xml:space="preserve"> </w:t>
      </w:r>
      <w:r>
        <w:rPr>
          <w:rFonts w:hint="eastAsia"/>
          <w:sz w:val="24"/>
          <w:szCs w:val="24"/>
        </w:rPr>
        <w:t>发布公告的媒介</w:t>
      </w:r>
      <w:bookmarkEnd w:id="83"/>
      <w:bookmarkEnd w:id="84"/>
      <w:bookmarkEnd w:id="85"/>
      <w:bookmarkEnd w:id="86"/>
      <w:bookmarkEnd w:id="87"/>
      <w:bookmarkEnd w:id="88"/>
      <w:bookmarkEnd w:id="89"/>
      <w:bookmarkEnd w:id="90"/>
      <w:bookmarkEnd w:id="91"/>
      <w:bookmarkEnd w:id="102"/>
      <w:bookmarkEnd w:id="104"/>
      <w:bookmarkEnd w:id="105"/>
      <w:bookmarkEnd w:id="106"/>
      <w:bookmarkEnd w:id="107"/>
    </w:p>
    <w:p>
      <w:pPr>
        <w:adjustRightInd w:val="0"/>
        <w:snapToGrid w:val="0"/>
        <w:spacing w:line="360" w:lineRule="auto"/>
        <w:ind w:firstLine="420" w:firstLineChars="200"/>
        <w:rPr>
          <w:rFonts w:hAnsi="宋体"/>
          <w:szCs w:val="21"/>
        </w:rPr>
      </w:pPr>
      <w:bookmarkStart w:id="108" w:name="_Toc450657245"/>
      <w:bookmarkStart w:id="109" w:name="_Toc530736526"/>
      <w:bookmarkStart w:id="110" w:name="_Toc30536"/>
      <w:bookmarkStart w:id="111" w:name="_Toc27383"/>
      <w:bookmarkStart w:id="112" w:name="_Toc25335"/>
      <w:bookmarkStart w:id="113" w:name="_Toc441059947"/>
      <w:bookmarkStart w:id="114" w:name="_Toc6933"/>
      <w:bookmarkStart w:id="115" w:name="_Toc28721"/>
      <w:bookmarkStart w:id="116" w:name="_Toc441064058"/>
      <w:bookmarkStart w:id="117" w:name="_Toc450314175"/>
      <w:r>
        <w:rPr>
          <w:rFonts w:hAnsi="宋体"/>
          <w:szCs w:val="21"/>
        </w:rPr>
        <w:t>本次招标公告同时在《广西壮族自治区招标投标公共服务平台》（http://zbtb.gxi.gov.cn:9000/）、《中国招标投标公共服务平台》（</w:t>
      </w:r>
      <w:r>
        <w:fldChar w:fldCharType="begin"/>
      </w:r>
      <w:r>
        <w:instrText xml:space="preserve"> HYPERLINK "http://www.cebpubservice.com/" </w:instrText>
      </w:r>
      <w:r>
        <w:fldChar w:fldCharType="separate"/>
      </w:r>
      <w:r>
        <w:rPr>
          <w:rFonts w:hAnsi="宋体"/>
          <w:szCs w:val="21"/>
        </w:rPr>
        <w:t>http://www.cebpubservice.com</w:t>
      </w:r>
      <w:r>
        <w:rPr>
          <w:rFonts w:hAnsi="宋体"/>
          <w:szCs w:val="21"/>
        </w:rPr>
        <w:fldChar w:fldCharType="end"/>
      </w:r>
      <w:r>
        <w:rPr>
          <w:rFonts w:hAnsi="宋体"/>
          <w:szCs w:val="21"/>
        </w:rPr>
        <w:t>）、</w:t>
      </w:r>
      <w:r>
        <w:rPr>
          <w:rFonts w:hint="eastAsia" w:hAnsi="宋体"/>
          <w:szCs w:val="21"/>
        </w:rPr>
        <w:t>南宁轨道数智科技有限公司官网（http://www.</w:t>
      </w:r>
      <w:r>
        <w:rPr>
          <w:rFonts w:hAnsi="宋体"/>
          <w:szCs w:val="21"/>
        </w:rPr>
        <w:t>nn-cc</w:t>
      </w:r>
      <w:r>
        <w:rPr>
          <w:rFonts w:hint="eastAsia" w:hAnsi="宋体"/>
          <w:szCs w:val="21"/>
        </w:rPr>
        <w:t>.c</w:t>
      </w:r>
      <w:r>
        <w:rPr>
          <w:rFonts w:hAnsi="宋体"/>
          <w:szCs w:val="21"/>
        </w:rPr>
        <w:t>n</w:t>
      </w:r>
      <w:r>
        <w:rPr>
          <w:rFonts w:hint="eastAsia" w:hAnsi="宋体"/>
          <w:szCs w:val="21"/>
        </w:rPr>
        <w:t>/index.html）</w:t>
      </w:r>
      <w:r>
        <w:rPr>
          <w:rFonts w:hAnsi="宋体"/>
          <w:szCs w:val="21"/>
        </w:rPr>
        <w:t>上发布。</w:t>
      </w:r>
    </w:p>
    <w:p>
      <w:pPr>
        <w:pStyle w:val="3"/>
        <w:spacing w:before="240" w:beforeLines="100" w:after="0" w:line="348" w:lineRule="auto"/>
        <w:rPr>
          <w:sz w:val="24"/>
          <w:szCs w:val="24"/>
        </w:rPr>
      </w:pPr>
      <w:bookmarkStart w:id="118" w:name="_Toc7316"/>
      <w:bookmarkStart w:id="119" w:name="_Toc28502"/>
      <w:bookmarkStart w:id="120" w:name="_Toc180507104"/>
      <w:bookmarkStart w:id="121" w:name="_Toc27146"/>
      <w:bookmarkStart w:id="122" w:name="_Toc147917067"/>
      <w:bookmarkStart w:id="123" w:name="_Toc46135644"/>
      <w:r>
        <w:rPr>
          <w:sz w:val="24"/>
          <w:szCs w:val="24"/>
        </w:rPr>
        <w:t>8.交易服务单位</w:t>
      </w:r>
      <w:bookmarkEnd w:id="118"/>
      <w:bookmarkEnd w:id="119"/>
      <w:bookmarkEnd w:id="120"/>
      <w:bookmarkEnd w:id="121"/>
      <w:bookmarkEnd w:id="122"/>
      <w:bookmarkEnd w:id="123"/>
    </w:p>
    <w:p>
      <w:pPr>
        <w:adjustRightInd w:val="0"/>
        <w:snapToGrid w:val="0"/>
        <w:spacing w:line="360" w:lineRule="auto"/>
        <w:ind w:firstLine="420" w:firstLineChars="200"/>
        <w:rPr>
          <w:rFonts w:ascii="宋体" w:hAnsi="宋体"/>
          <w:szCs w:val="21"/>
        </w:rPr>
      </w:pPr>
      <w:r>
        <w:rPr>
          <w:rFonts w:hint="eastAsia" w:ascii="宋体" w:hAnsi="宋体"/>
          <w:szCs w:val="21"/>
        </w:rPr>
        <w:t>广西城通工程咨询有限责任公司</w:t>
      </w:r>
    </w:p>
    <w:p>
      <w:pPr>
        <w:pStyle w:val="3"/>
        <w:spacing w:before="240" w:beforeLines="100" w:after="0" w:line="348" w:lineRule="auto"/>
        <w:rPr>
          <w:sz w:val="24"/>
          <w:szCs w:val="24"/>
        </w:rPr>
      </w:pPr>
      <w:bookmarkStart w:id="124" w:name="_Toc11512"/>
      <w:bookmarkStart w:id="125" w:name="_Toc21388"/>
      <w:bookmarkStart w:id="126" w:name="_Toc14591"/>
      <w:bookmarkStart w:id="127" w:name="_Toc180507105"/>
      <w:r>
        <w:rPr>
          <w:rFonts w:hint="eastAsia"/>
          <w:sz w:val="24"/>
          <w:szCs w:val="24"/>
        </w:rPr>
        <w:t>9</w:t>
      </w:r>
      <w:r>
        <w:rPr>
          <w:sz w:val="24"/>
          <w:szCs w:val="24"/>
        </w:rPr>
        <w:t xml:space="preserve"> </w:t>
      </w:r>
      <w:r>
        <w:rPr>
          <w:rFonts w:hint="eastAsia"/>
          <w:sz w:val="24"/>
          <w:szCs w:val="24"/>
        </w:rPr>
        <w:t>联系方式</w:t>
      </w:r>
      <w:bookmarkEnd w:id="108"/>
      <w:bookmarkEnd w:id="109"/>
      <w:bookmarkEnd w:id="110"/>
      <w:bookmarkEnd w:id="111"/>
      <w:bookmarkEnd w:id="112"/>
      <w:bookmarkEnd w:id="113"/>
      <w:bookmarkEnd w:id="114"/>
      <w:bookmarkEnd w:id="115"/>
      <w:bookmarkEnd w:id="116"/>
      <w:bookmarkEnd w:id="117"/>
      <w:bookmarkEnd w:id="124"/>
      <w:bookmarkEnd w:id="125"/>
      <w:bookmarkEnd w:id="126"/>
      <w:bookmarkEnd w:id="127"/>
    </w:p>
    <w:p>
      <w:pPr>
        <w:spacing w:line="348" w:lineRule="auto"/>
        <w:ind w:left="6615" w:hanging="6615" w:hangingChars="3150"/>
        <w:rPr>
          <w:rFonts w:ascii="宋体" w:hAnsi="宋体"/>
          <w:szCs w:val="21"/>
          <w:u w:val="single"/>
        </w:rPr>
      </w:pPr>
      <w:r>
        <w:rPr>
          <w:rFonts w:hint="eastAsia" w:ascii="宋体" w:hAnsi="宋体"/>
          <w:szCs w:val="21"/>
        </w:rPr>
        <w:t>招</w:t>
      </w:r>
      <w:r>
        <w:rPr>
          <w:rFonts w:ascii="宋体" w:hAnsi="宋体"/>
          <w:szCs w:val="21"/>
        </w:rPr>
        <w:t xml:space="preserve"> </w:t>
      </w:r>
      <w:r>
        <w:rPr>
          <w:rFonts w:hint="eastAsia" w:ascii="宋体" w:hAnsi="宋体"/>
          <w:szCs w:val="21"/>
        </w:rPr>
        <w:t>标</w:t>
      </w:r>
      <w:r>
        <w:rPr>
          <w:rFonts w:ascii="宋体" w:hAnsi="宋体"/>
          <w:szCs w:val="21"/>
        </w:rPr>
        <w:t xml:space="preserve"> </w:t>
      </w:r>
      <w:r>
        <w:rPr>
          <w:rFonts w:hint="eastAsia" w:ascii="宋体" w:hAnsi="宋体"/>
          <w:szCs w:val="21"/>
        </w:rPr>
        <w:t xml:space="preserve">人：南宁轨道数智科技有限公司  </w:t>
      </w:r>
      <w:r>
        <w:rPr>
          <w:rFonts w:ascii="宋体" w:hAnsi="宋体"/>
          <w:szCs w:val="21"/>
        </w:rPr>
        <w:t xml:space="preserve">     </w:t>
      </w:r>
      <w:r>
        <w:rPr>
          <w:rFonts w:hint="eastAsia" w:ascii="宋体" w:hAnsi="宋体"/>
          <w:szCs w:val="21"/>
        </w:rPr>
        <w:t>招标代理机构：广西城通工程咨询有限责任公司</w:t>
      </w:r>
    </w:p>
    <w:p>
      <w:pPr>
        <w:spacing w:line="348" w:lineRule="auto"/>
        <w:ind w:left="5775" w:hanging="5775" w:hangingChars="2750"/>
        <w:jc w:val="left"/>
        <w:rPr>
          <w:rFonts w:ascii="宋体" w:hAnsi="宋体"/>
          <w:szCs w:val="21"/>
        </w:rPr>
      </w:pPr>
      <w:r>
        <w:rPr>
          <w:rFonts w:hint="eastAsia" w:ascii="宋体" w:hAnsi="宋体"/>
          <w:szCs w:val="21"/>
        </w:rPr>
        <w:t>地</w:t>
      </w:r>
      <w:r>
        <w:rPr>
          <w:rFonts w:ascii="宋体" w:hAnsi="宋体"/>
          <w:szCs w:val="21"/>
        </w:rPr>
        <w:t xml:space="preserve">    </w:t>
      </w:r>
      <w:r>
        <w:rPr>
          <w:rFonts w:hint="eastAsia" w:ascii="宋体" w:hAnsi="宋体"/>
          <w:szCs w:val="21"/>
        </w:rPr>
        <w:t>址：南宁市青秀区凤岭北路111号南宁</w:t>
      </w:r>
      <w:r>
        <w:rPr>
          <w:rFonts w:ascii="宋体" w:hAnsi="宋体"/>
          <w:szCs w:val="21"/>
        </w:rPr>
        <w:t xml:space="preserve"> </w:t>
      </w:r>
      <w:r>
        <w:rPr>
          <w:rFonts w:hint="eastAsia" w:ascii="宋体" w:hAnsi="宋体"/>
          <w:szCs w:val="21"/>
        </w:rPr>
        <w:t>地</w:t>
      </w:r>
      <w:r>
        <w:rPr>
          <w:rFonts w:ascii="宋体" w:hAnsi="宋体"/>
          <w:szCs w:val="21"/>
        </w:rPr>
        <w:t xml:space="preserve">    </w:t>
      </w:r>
      <w:r>
        <w:rPr>
          <w:rFonts w:hint="eastAsia" w:ascii="宋体" w:hAnsi="宋体"/>
          <w:szCs w:val="21"/>
        </w:rPr>
        <w:t>址：</w:t>
      </w:r>
      <w:bookmarkStart w:id="128" w:name="OLE_LINK3"/>
      <w:bookmarkStart w:id="129" w:name="OLE_LINK4"/>
      <w:r>
        <w:rPr>
          <w:rFonts w:hint="eastAsia" w:ascii="宋体" w:hAnsi="宋体"/>
          <w:szCs w:val="21"/>
        </w:rPr>
        <w:t>南宁市青秀区云景路71号</w:t>
      </w:r>
    </w:p>
    <w:p>
      <w:pPr>
        <w:pStyle w:val="4"/>
      </w:pPr>
      <w:r>
        <w:rPr>
          <w:rFonts w:hint="eastAsia" w:ascii="宋体" w:hAnsi="宋体"/>
          <w:szCs w:val="21"/>
        </w:rPr>
        <w:t>国际旅游中心3号楼</w:t>
      </w:r>
    </w:p>
    <w:bookmarkEnd w:id="128"/>
    <w:bookmarkEnd w:id="129"/>
    <w:p>
      <w:pPr>
        <w:spacing w:line="348" w:lineRule="auto"/>
        <w:ind w:left="5777" w:leftChars="1" w:hanging="5775" w:hangingChars="2750"/>
        <w:jc w:val="left"/>
        <w:rPr>
          <w:rFonts w:ascii="宋体" w:hAnsi="宋体"/>
          <w:szCs w:val="21"/>
        </w:rPr>
      </w:pPr>
      <w:r>
        <w:rPr>
          <w:rFonts w:hint="eastAsia" w:ascii="宋体" w:hAnsi="宋体"/>
          <w:szCs w:val="21"/>
        </w:rPr>
        <w:t>邮</w:t>
      </w:r>
      <w:r>
        <w:rPr>
          <w:rFonts w:ascii="宋体" w:hAnsi="宋体"/>
          <w:szCs w:val="21"/>
        </w:rPr>
        <w:t xml:space="preserve">    </w:t>
      </w:r>
      <w:r>
        <w:rPr>
          <w:rFonts w:hint="eastAsia" w:ascii="宋体" w:hAnsi="宋体"/>
          <w:szCs w:val="21"/>
        </w:rPr>
        <w:t>编：</w:t>
      </w:r>
      <w:r>
        <w:rPr>
          <w:rFonts w:hint="eastAsia" w:ascii="宋体" w:hAnsi="宋体" w:cs="宋体"/>
          <w:szCs w:val="21"/>
          <w:shd w:val="clear" w:color="auto" w:fill="FFFFFF"/>
        </w:rPr>
        <w:t>530022</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邮</w:t>
      </w:r>
      <w:r>
        <w:rPr>
          <w:rFonts w:ascii="宋体" w:hAnsi="宋体"/>
          <w:szCs w:val="21"/>
        </w:rPr>
        <w:t xml:space="preserve">    </w:t>
      </w:r>
      <w:r>
        <w:rPr>
          <w:rFonts w:hint="eastAsia" w:ascii="宋体" w:hAnsi="宋体"/>
          <w:szCs w:val="21"/>
        </w:rPr>
        <w:t>编：</w:t>
      </w:r>
      <w:r>
        <w:rPr>
          <w:rFonts w:ascii="宋体" w:hAnsi="宋体"/>
          <w:szCs w:val="21"/>
        </w:rPr>
        <w:t>530000</w:t>
      </w:r>
    </w:p>
    <w:p>
      <w:pPr>
        <w:spacing w:line="348" w:lineRule="auto"/>
        <w:rPr>
          <w:rFonts w:ascii="宋体" w:hAnsi="宋体"/>
          <w:szCs w:val="21"/>
        </w:rPr>
      </w:pPr>
      <w:r>
        <w:rPr>
          <w:rFonts w:hint="eastAsia" w:ascii="宋体" w:hAnsi="宋体"/>
          <w:szCs w:val="21"/>
        </w:rPr>
        <w:t>联</w:t>
      </w:r>
      <w:r>
        <w:rPr>
          <w:rFonts w:ascii="宋体" w:hAnsi="宋体"/>
          <w:szCs w:val="21"/>
        </w:rPr>
        <w:t xml:space="preserve"> </w:t>
      </w:r>
      <w:r>
        <w:rPr>
          <w:rFonts w:hint="eastAsia" w:ascii="宋体" w:hAnsi="宋体"/>
          <w:szCs w:val="21"/>
        </w:rPr>
        <w:t>系</w:t>
      </w:r>
      <w:r>
        <w:rPr>
          <w:rFonts w:ascii="宋体" w:hAnsi="宋体"/>
          <w:szCs w:val="21"/>
        </w:rPr>
        <w:t xml:space="preserve"> </w:t>
      </w:r>
      <w:r>
        <w:rPr>
          <w:rFonts w:hint="eastAsia" w:ascii="宋体" w:hAnsi="宋体"/>
          <w:szCs w:val="21"/>
        </w:rPr>
        <w:t xml:space="preserve">人：梁工   </w:t>
      </w:r>
      <w:r>
        <w:rPr>
          <w:rFonts w:hint="eastAsia" w:ascii="宋体" w:hAnsi="宋体"/>
          <w:kern w:val="0"/>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联</w:t>
      </w:r>
      <w:r>
        <w:rPr>
          <w:rFonts w:ascii="宋体" w:hAnsi="宋体"/>
          <w:szCs w:val="21"/>
        </w:rPr>
        <w:t xml:space="preserve"> </w:t>
      </w:r>
      <w:r>
        <w:rPr>
          <w:rFonts w:hint="eastAsia" w:ascii="宋体" w:hAnsi="宋体"/>
          <w:szCs w:val="21"/>
        </w:rPr>
        <w:t>系</w:t>
      </w:r>
      <w:r>
        <w:rPr>
          <w:rFonts w:ascii="宋体" w:hAnsi="宋体"/>
          <w:szCs w:val="21"/>
        </w:rPr>
        <w:t xml:space="preserve"> </w:t>
      </w:r>
      <w:r>
        <w:rPr>
          <w:rFonts w:hint="eastAsia" w:ascii="宋体" w:hAnsi="宋体"/>
          <w:szCs w:val="21"/>
        </w:rPr>
        <w:t>人：刘工</w:t>
      </w:r>
    </w:p>
    <w:p>
      <w:pPr>
        <w:spacing w:line="348" w:lineRule="auto"/>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话：0771-</w:t>
      </w:r>
      <w:r>
        <w:rPr>
          <w:rFonts w:ascii="宋体" w:hAnsi="宋体"/>
          <w:szCs w:val="21"/>
        </w:rPr>
        <w:t>2277888</w:t>
      </w:r>
      <w:r>
        <w:rPr>
          <w:rFonts w:hint="eastAsia" w:ascii="宋体" w:hAnsi="宋体"/>
          <w:szCs w:val="21"/>
        </w:rPr>
        <w:t xml:space="preserve">                 </w:t>
      </w:r>
      <w:r>
        <w:rPr>
          <w:rFonts w:ascii="宋体" w:hAnsi="宋体"/>
          <w:szCs w:val="21"/>
        </w:rPr>
        <w:t xml:space="preserve"> </w:t>
      </w:r>
      <w:r>
        <w:rPr>
          <w:rFonts w:hint="eastAsia" w:ascii="宋体" w:hAnsi="宋体"/>
          <w:szCs w:val="21"/>
        </w:rPr>
        <w:t>电</w:t>
      </w:r>
      <w:r>
        <w:rPr>
          <w:rFonts w:ascii="宋体" w:hAnsi="宋体"/>
          <w:szCs w:val="21"/>
        </w:rPr>
        <w:t xml:space="preserve">    </w:t>
      </w:r>
      <w:r>
        <w:rPr>
          <w:rFonts w:hint="eastAsia" w:ascii="宋体" w:hAnsi="宋体"/>
          <w:szCs w:val="21"/>
        </w:rPr>
        <w:t>话：</w:t>
      </w:r>
      <w:r>
        <w:rPr>
          <w:rFonts w:ascii="宋体" w:hAnsi="宋体"/>
          <w:szCs w:val="21"/>
        </w:rPr>
        <w:t>0771-4800838</w:t>
      </w:r>
    </w:p>
    <w:p>
      <w:pPr>
        <w:spacing w:line="348" w:lineRule="auto"/>
        <w:rPr>
          <w:rFonts w:ascii="宋体" w:hAnsi="宋体"/>
          <w:szCs w:val="21"/>
        </w:rPr>
      </w:pPr>
      <w:r>
        <w:rPr>
          <w:rFonts w:hint="eastAsia" w:ascii="宋体" w:hAnsi="宋体"/>
          <w:szCs w:val="21"/>
        </w:rPr>
        <w:t>传</w:t>
      </w:r>
      <w:r>
        <w:rPr>
          <w:rFonts w:ascii="宋体" w:hAnsi="宋体"/>
          <w:szCs w:val="21"/>
        </w:rPr>
        <w:t xml:space="preserve">    </w:t>
      </w:r>
      <w:r>
        <w:rPr>
          <w:rFonts w:hint="eastAsia" w:ascii="宋体" w:hAnsi="宋体"/>
          <w:szCs w:val="21"/>
        </w:rPr>
        <w:t>真：/</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传</w:t>
      </w:r>
      <w:r>
        <w:rPr>
          <w:rFonts w:ascii="宋体" w:hAnsi="宋体"/>
          <w:szCs w:val="21"/>
        </w:rPr>
        <w:t xml:space="preserve">    </w:t>
      </w:r>
      <w:r>
        <w:rPr>
          <w:rFonts w:hint="eastAsia" w:ascii="宋体" w:hAnsi="宋体"/>
          <w:szCs w:val="21"/>
        </w:rPr>
        <w:t>真：/</w:t>
      </w:r>
      <w:r>
        <w:rPr>
          <w:rFonts w:ascii="宋体" w:hAnsi="宋体"/>
          <w:szCs w:val="21"/>
        </w:rPr>
        <w:t xml:space="preserve"> </w:t>
      </w:r>
    </w:p>
    <w:p>
      <w:pPr>
        <w:spacing w:line="348" w:lineRule="auto"/>
        <w:rPr>
          <w:rFonts w:ascii="宋体" w:hAnsi="宋体"/>
          <w:szCs w:val="21"/>
        </w:rPr>
      </w:pPr>
      <w:r>
        <w:rPr>
          <w:rFonts w:hint="eastAsia" w:ascii="宋体" w:hAnsi="宋体"/>
          <w:szCs w:val="21"/>
        </w:rPr>
        <w:t>电子邮箱：/</w:t>
      </w:r>
      <w:r>
        <w:rPr>
          <w:rFonts w:ascii="宋体" w:hAnsi="宋体"/>
          <w:szCs w:val="21"/>
        </w:rPr>
        <w:t xml:space="preserve">                           </w:t>
      </w:r>
      <w:r>
        <w:rPr>
          <w:rFonts w:hint="eastAsia" w:ascii="宋体" w:hAnsi="宋体"/>
          <w:szCs w:val="21"/>
        </w:rPr>
        <w:t xml:space="preserve">  电子邮箱：</w:t>
      </w:r>
      <w:r>
        <w:rPr>
          <w:rFonts w:ascii="宋体" w:hAnsi="宋体"/>
          <w:szCs w:val="21"/>
        </w:rPr>
        <w:t>ctzx0601@163.com</w:t>
      </w:r>
    </w:p>
    <w:p>
      <w:pPr>
        <w:spacing w:line="348" w:lineRule="auto"/>
        <w:rPr>
          <w:rFonts w:ascii="宋体" w:hAnsi="宋体"/>
          <w:szCs w:val="21"/>
        </w:rPr>
      </w:pPr>
      <w:r>
        <w:rPr>
          <w:rFonts w:hint="eastAsia" w:ascii="宋体" w:hAnsi="宋体"/>
          <w:szCs w:val="21"/>
        </w:rPr>
        <w:t>网</w:t>
      </w:r>
      <w:r>
        <w:rPr>
          <w:rFonts w:ascii="宋体" w:hAnsi="宋体"/>
          <w:szCs w:val="21"/>
        </w:rPr>
        <w:t xml:space="preserve">    </w:t>
      </w:r>
      <w:r>
        <w:rPr>
          <w:rFonts w:hint="eastAsia" w:ascii="宋体" w:hAnsi="宋体"/>
          <w:szCs w:val="21"/>
        </w:rPr>
        <w:t>址：/</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网</w:t>
      </w:r>
      <w:r>
        <w:rPr>
          <w:rFonts w:ascii="宋体" w:hAnsi="宋体"/>
          <w:szCs w:val="21"/>
        </w:rPr>
        <w:t xml:space="preserve">    </w:t>
      </w:r>
      <w:r>
        <w:rPr>
          <w:rFonts w:hint="eastAsia" w:ascii="宋体" w:hAnsi="宋体"/>
          <w:szCs w:val="21"/>
        </w:rPr>
        <w:t>址：</w:t>
      </w:r>
      <w:r>
        <w:rPr>
          <w:rFonts w:ascii="宋体" w:hAnsi="宋体"/>
          <w:szCs w:val="21"/>
        </w:rPr>
        <w:t>/</w:t>
      </w:r>
    </w:p>
    <w:p>
      <w:pPr>
        <w:spacing w:line="348" w:lineRule="auto"/>
        <w:rPr>
          <w:rFonts w:ascii="宋体" w:hAnsi="宋体"/>
          <w:szCs w:val="21"/>
        </w:rPr>
      </w:pPr>
      <w:r>
        <w:rPr>
          <w:rFonts w:hint="eastAsia" w:ascii="宋体" w:hAnsi="宋体"/>
          <w:szCs w:val="21"/>
        </w:rPr>
        <w:t xml:space="preserve">     </w:t>
      </w:r>
    </w:p>
    <w:p>
      <w:pPr>
        <w:spacing w:line="348" w:lineRule="auto"/>
        <w:ind w:firstLine="420" w:firstLineChars="200"/>
        <w:rPr>
          <w:rFonts w:ascii="宋体" w:hAnsi="宋体"/>
          <w:szCs w:val="21"/>
        </w:rPr>
      </w:pPr>
    </w:p>
    <w:p>
      <w:pPr>
        <w:spacing w:line="348" w:lineRule="auto"/>
        <w:ind w:firstLine="420" w:firstLineChars="200"/>
        <w:rPr>
          <w:rFonts w:ascii="宋体" w:hAnsi="宋体" w:cs="宋体"/>
          <w:kern w:val="0"/>
          <w:szCs w:val="21"/>
        </w:rPr>
      </w:pPr>
      <w:r>
        <w:rPr>
          <w:rFonts w:hint="eastAsia" w:ascii="宋体" w:hAnsi="宋体"/>
          <w:szCs w:val="21"/>
        </w:rPr>
        <w:t xml:space="preserve">                                                            202</w:t>
      </w:r>
      <w:r>
        <w:rPr>
          <w:rFonts w:ascii="宋体" w:hAnsi="宋体"/>
          <w:szCs w:val="21"/>
        </w:rPr>
        <w:t>4</w:t>
      </w:r>
      <w:r>
        <w:rPr>
          <w:rFonts w:hint="eastAsia" w:ascii="宋体" w:hAnsi="宋体" w:cs="宋体"/>
          <w:kern w:val="0"/>
          <w:szCs w:val="21"/>
        </w:rPr>
        <w:t>年</w:t>
      </w:r>
      <w:r>
        <w:rPr>
          <w:rFonts w:ascii="宋体" w:hAnsi="宋体" w:cs="宋体"/>
          <w:kern w:val="0"/>
          <w:szCs w:val="21"/>
        </w:rPr>
        <w:t>11</w:t>
      </w:r>
      <w:r>
        <w:rPr>
          <w:rFonts w:hint="eastAsia" w:ascii="宋体" w:hAnsi="宋体" w:cs="宋体"/>
          <w:kern w:val="0"/>
          <w:szCs w:val="21"/>
        </w:rPr>
        <w:t>月</w:t>
      </w:r>
      <w:r>
        <w:rPr>
          <w:rFonts w:ascii="宋体" w:hAnsi="宋体" w:cs="宋体"/>
          <w:kern w:val="0"/>
          <w:szCs w:val="21"/>
        </w:rPr>
        <w:t>1</w:t>
      </w:r>
      <w:r>
        <w:rPr>
          <w:rFonts w:hint="eastAsia" w:ascii="宋体" w:hAnsi="宋体" w:cs="宋体"/>
          <w:kern w:val="0"/>
          <w:szCs w:val="21"/>
        </w:rPr>
        <w:t>5日</w:t>
      </w:r>
      <w:bookmarkStart w:id="130" w:name="_Toc29089"/>
      <w:bookmarkStart w:id="131" w:name="_Toc13673"/>
      <w:bookmarkStart w:id="132" w:name="_Toc5510"/>
      <w:bookmarkStart w:id="133" w:name="_Toc234121006"/>
      <w:bookmarkStart w:id="134" w:name="_Toc530736527"/>
      <w:bookmarkStart w:id="135" w:name="_Toc20028"/>
    </w:p>
    <w:p>
      <w:pPr>
        <w:spacing w:line="312" w:lineRule="auto"/>
        <w:jc w:val="center"/>
        <w:outlineLvl w:val="0"/>
        <w:rPr>
          <w:rFonts w:eastAsia="黑体"/>
          <w:b/>
          <w:bCs/>
          <w:kern w:val="0"/>
          <w:sz w:val="32"/>
          <w:szCs w:val="32"/>
        </w:rPr>
      </w:pPr>
      <w:bookmarkStart w:id="136" w:name="_Toc14360"/>
      <w:r>
        <w:rPr>
          <w:rFonts w:eastAsia="黑体"/>
          <w:b/>
          <w:bCs/>
          <w:kern w:val="0"/>
          <w:sz w:val="32"/>
          <w:szCs w:val="32"/>
        </w:rPr>
        <w:br w:type="page"/>
      </w:r>
      <w:bookmarkStart w:id="137" w:name="_Toc13754"/>
      <w:bookmarkStart w:id="138" w:name="_Toc30291"/>
      <w:bookmarkStart w:id="139" w:name="_Toc180507106"/>
      <w:bookmarkStart w:id="140" w:name="_Toc23286"/>
      <w:r>
        <w:rPr>
          <w:rFonts w:hint="eastAsia" w:eastAsia="黑体"/>
          <w:b/>
          <w:bCs/>
          <w:kern w:val="0"/>
          <w:sz w:val="32"/>
          <w:szCs w:val="32"/>
        </w:rPr>
        <w:t>第二章</w:t>
      </w:r>
      <w:r>
        <w:rPr>
          <w:rFonts w:eastAsia="黑体"/>
          <w:b/>
          <w:bCs/>
          <w:kern w:val="0"/>
          <w:sz w:val="32"/>
          <w:szCs w:val="32"/>
        </w:rPr>
        <w:t xml:space="preserve">  </w:t>
      </w:r>
      <w:r>
        <w:rPr>
          <w:rFonts w:hint="eastAsia" w:eastAsia="黑体"/>
          <w:b/>
          <w:bCs/>
          <w:kern w:val="0"/>
          <w:sz w:val="32"/>
          <w:szCs w:val="32"/>
        </w:rPr>
        <w:t>投标人须知</w:t>
      </w:r>
      <w:bookmarkEnd w:id="0"/>
      <w:bookmarkEnd w:id="130"/>
      <w:bookmarkEnd w:id="131"/>
      <w:bookmarkEnd w:id="132"/>
      <w:bookmarkEnd w:id="133"/>
      <w:bookmarkEnd w:id="134"/>
      <w:bookmarkEnd w:id="135"/>
      <w:bookmarkEnd w:id="136"/>
      <w:bookmarkEnd w:id="137"/>
      <w:bookmarkEnd w:id="138"/>
      <w:bookmarkEnd w:id="139"/>
      <w:bookmarkEnd w:id="140"/>
      <w:bookmarkStart w:id="141" w:name="_Toc143421654"/>
    </w:p>
    <w:p>
      <w:pPr>
        <w:pStyle w:val="3"/>
        <w:autoSpaceDE w:val="0"/>
        <w:autoSpaceDN w:val="0"/>
        <w:adjustRightInd w:val="0"/>
        <w:spacing w:before="220" w:after="220" w:line="360" w:lineRule="auto"/>
        <w:ind w:right="412" w:rightChars="196"/>
        <w:jc w:val="center"/>
      </w:pPr>
      <w:bookmarkStart w:id="142" w:name="_Toc24824"/>
      <w:bookmarkStart w:id="143" w:name="_Toc234121007"/>
      <w:bookmarkStart w:id="144" w:name="_Toc15452"/>
      <w:bookmarkStart w:id="145" w:name="_Toc13640"/>
      <w:bookmarkStart w:id="146" w:name="_Toc23974"/>
      <w:bookmarkStart w:id="147" w:name="_Toc281"/>
      <w:bookmarkStart w:id="148" w:name="_Toc19030"/>
      <w:bookmarkStart w:id="149" w:name="_Toc29916"/>
      <w:bookmarkStart w:id="150" w:name="_Toc180507107"/>
      <w:bookmarkStart w:id="151" w:name="_Toc15731"/>
      <w:bookmarkStart w:id="152" w:name="_Toc530736528"/>
      <w:bookmarkStart w:id="153" w:name="_Toc3556"/>
      <w:r>
        <w:rPr>
          <w:rFonts w:hint="eastAsia" w:ascii="Times New Roman" w:hAnsi="Times New Roman"/>
          <w:b w:val="0"/>
          <w:kern w:val="0"/>
          <w:sz w:val="28"/>
          <w:szCs w:val="28"/>
        </w:rPr>
        <w:t>一、投标人须知前附表</w:t>
      </w:r>
      <w:bookmarkEnd w:id="141"/>
      <w:bookmarkEnd w:id="142"/>
      <w:bookmarkEnd w:id="143"/>
      <w:bookmarkEnd w:id="144"/>
      <w:bookmarkEnd w:id="145"/>
      <w:bookmarkEnd w:id="146"/>
      <w:bookmarkEnd w:id="147"/>
      <w:bookmarkEnd w:id="148"/>
      <w:bookmarkEnd w:id="149"/>
      <w:bookmarkEnd w:id="150"/>
      <w:bookmarkEnd w:id="151"/>
      <w:bookmarkEnd w:id="152"/>
      <w:bookmarkEnd w:id="153"/>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110"/>
        <w:gridCol w:w="5864"/>
      </w:tblGrid>
      <w:tr>
        <w:trPr>
          <w:trHeight w:val="454" w:hRule="atLeast"/>
          <w:tblHeader/>
          <w:jc w:val="center"/>
        </w:trPr>
        <w:tc>
          <w:tcPr>
            <w:tcW w:w="1207" w:type="dxa"/>
            <w:shd w:val="clear" w:color="auto" w:fill="E6E6E6"/>
            <w:vAlign w:val="center"/>
          </w:tcPr>
          <w:p>
            <w:pPr>
              <w:spacing w:line="360" w:lineRule="exact"/>
              <w:jc w:val="center"/>
              <w:rPr>
                <w:rFonts w:ascii="宋体" w:hAnsi="宋体"/>
                <w:b/>
                <w:kern w:val="0"/>
                <w:szCs w:val="21"/>
              </w:rPr>
            </w:pPr>
            <w:r>
              <w:rPr>
                <w:rFonts w:ascii="宋体" w:hAnsi="宋体"/>
                <w:b/>
                <w:kern w:val="0"/>
                <w:szCs w:val="21"/>
              </w:rPr>
              <w:t>条款号</w:t>
            </w:r>
          </w:p>
        </w:tc>
        <w:tc>
          <w:tcPr>
            <w:tcW w:w="2110" w:type="dxa"/>
            <w:shd w:val="clear" w:color="auto" w:fill="E6E6E6"/>
            <w:vAlign w:val="center"/>
          </w:tcPr>
          <w:p>
            <w:pPr>
              <w:spacing w:line="360" w:lineRule="exact"/>
              <w:jc w:val="center"/>
              <w:rPr>
                <w:rFonts w:ascii="宋体" w:hAnsi="宋体"/>
                <w:b/>
                <w:kern w:val="0"/>
                <w:szCs w:val="21"/>
              </w:rPr>
            </w:pPr>
            <w:r>
              <w:rPr>
                <w:rFonts w:ascii="宋体" w:hAnsi="宋体"/>
                <w:b/>
                <w:kern w:val="0"/>
                <w:szCs w:val="21"/>
              </w:rPr>
              <w:t>条  款  名  称</w:t>
            </w:r>
          </w:p>
        </w:tc>
        <w:tc>
          <w:tcPr>
            <w:tcW w:w="5864" w:type="dxa"/>
            <w:shd w:val="clear" w:color="auto" w:fill="E6E6E6"/>
            <w:vAlign w:val="center"/>
          </w:tcPr>
          <w:p>
            <w:pPr>
              <w:spacing w:line="360" w:lineRule="exact"/>
              <w:jc w:val="center"/>
              <w:rPr>
                <w:rFonts w:ascii="宋体" w:hAnsi="宋体"/>
                <w:b/>
                <w:kern w:val="0"/>
                <w:szCs w:val="21"/>
              </w:rPr>
            </w:pPr>
            <w:r>
              <w:rPr>
                <w:rFonts w:ascii="宋体" w:hAnsi="宋体"/>
                <w:b/>
                <w:kern w:val="0"/>
                <w:szCs w:val="21"/>
              </w:rPr>
              <w:t>编  列  内  容</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1.1.2</w:t>
            </w:r>
          </w:p>
        </w:tc>
        <w:tc>
          <w:tcPr>
            <w:tcW w:w="2110" w:type="dxa"/>
            <w:vAlign w:val="center"/>
          </w:tcPr>
          <w:p>
            <w:pPr>
              <w:spacing w:line="360" w:lineRule="exact"/>
              <w:rPr>
                <w:rFonts w:ascii="宋体" w:hAnsi="宋体"/>
                <w:kern w:val="0"/>
                <w:szCs w:val="21"/>
              </w:rPr>
            </w:pPr>
            <w:r>
              <w:rPr>
                <w:rFonts w:ascii="宋体" w:hAnsi="宋体"/>
                <w:kern w:val="0"/>
                <w:szCs w:val="21"/>
              </w:rPr>
              <w:t>招标人</w:t>
            </w:r>
          </w:p>
        </w:tc>
        <w:tc>
          <w:tcPr>
            <w:tcW w:w="5864" w:type="dxa"/>
            <w:vAlign w:val="center"/>
          </w:tcPr>
          <w:p>
            <w:pPr>
              <w:spacing w:line="360" w:lineRule="exact"/>
              <w:rPr>
                <w:rFonts w:ascii="宋体" w:hAnsi="宋体"/>
                <w:szCs w:val="21"/>
              </w:rPr>
            </w:pPr>
            <w:r>
              <w:rPr>
                <w:rFonts w:hint="eastAsia" w:ascii="宋体" w:hAnsi="宋体"/>
                <w:szCs w:val="21"/>
              </w:rPr>
              <w:t>招标人：南宁轨道数智科技有限公司</w:t>
            </w:r>
          </w:p>
          <w:p>
            <w:pPr>
              <w:spacing w:line="360" w:lineRule="exact"/>
              <w:rPr>
                <w:rFonts w:ascii="宋体" w:hAnsi="宋体"/>
                <w:szCs w:val="21"/>
              </w:rPr>
            </w:pPr>
            <w:r>
              <w:rPr>
                <w:rFonts w:hint="eastAsia" w:ascii="宋体" w:hAnsi="宋体"/>
                <w:szCs w:val="21"/>
              </w:rPr>
              <w:t>地</w:t>
            </w:r>
            <w:r>
              <w:rPr>
                <w:rFonts w:ascii="宋体" w:hAnsi="宋体"/>
                <w:szCs w:val="21"/>
              </w:rPr>
              <w:t xml:space="preserve">  </w:t>
            </w:r>
            <w:r>
              <w:rPr>
                <w:rFonts w:hint="eastAsia" w:ascii="宋体" w:hAnsi="宋体"/>
                <w:szCs w:val="21"/>
              </w:rPr>
              <w:t>址：南宁市青秀区凤岭北路111号南宁国际旅游中心3号楼</w:t>
            </w:r>
          </w:p>
          <w:p>
            <w:pPr>
              <w:spacing w:line="360" w:lineRule="exact"/>
              <w:rPr>
                <w:rFonts w:ascii="宋体" w:hAnsi="宋体"/>
                <w:szCs w:val="21"/>
              </w:rPr>
            </w:pPr>
            <w:r>
              <w:rPr>
                <w:rFonts w:hint="eastAsia" w:ascii="宋体" w:hAnsi="宋体"/>
                <w:szCs w:val="21"/>
              </w:rPr>
              <w:t>联系人：梁工</w:t>
            </w:r>
          </w:p>
          <w:p>
            <w:pPr>
              <w:spacing w:line="360" w:lineRule="exact"/>
              <w:jc w:val="left"/>
            </w:pPr>
            <w:r>
              <w:rPr>
                <w:rFonts w:hint="eastAsia" w:ascii="宋体" w:hAnsi="宋体"/>
                <w:szCs w:val="21"/>
              </w:rPr>
              <w:t>电</w:t>
            </w:r>
            <w:r>
              <w:rPr>
                <w:rFonts w:ascii="宋体" w:hAnsi="宋体"/>
                <w:szCs w:val="21"/>
              </w:rPr>
              <w:t xml:space="preserve">  </w:t>
            </w:r>
            <w:r>
              <w:rPr>
                <w:rFonts w:hint="eastAsia" w:ascii="宋体" w:hAnsi="宋体"/>
                <w:szCs w:val="21"/>
              </w:rPr>
              <w:t>话：</w:t>
            </w:r>
            <w:r>
              <w:rPr>
                <w:rFonts w:ascii="宋体" w:hAnsi="宋体"/>
                <w:szCs w:val="21"/>
              </w:rPr>
              <w:t>0771-</w:t>
            </w:r>
            <w:r>
              <w:rPr>
                <w:rFonts w:hint="eastAsia" w:ascii="宋体" w:hAnsi="宋体"/>
                <w:szCs w:val="21"/>
              </w:rPr>
              <w:t>2277888</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hint="eastAsia" w:ascii="宋体" w:hAnsi="宋体"/>
                <w:kern w:val="0"/>
                <w:szCs w:val="21"/>
              </w:rPr>
              <w:t xml:space="preserve"> </w:t>
            </w:r>
            <w:r>
              <w:rPr>
                <w:rFonts w:ascii="宋体" w:hAnsi="宋体"/>
                <w:kern w:val="0"/>
                <w:szCs w:val="21"/>
              </w:rPr>
              <w:t>1.1.3</w:t>
            </w:r>
          </w:p>
        </w:tc>
        <w:tc>
          <w:tcPr>
            <w:tcW w:w="2110" w:type="dxa"/>
            <w:vAlign w:val="center"/>
          </w:tcPr>
          <w:p>
            <w:pPr>
              <w:spacing w:line="360" w:lineRule="exact"/>
              <w:rPr>
                <w:rFonts w:ascii="宋体" w:hAnsi="宋体"/>
                <w:kern w:val="0"/>
                <w:szCs w:val="21"/>
              </w:rPr>
            </w:pPr>
            <w:r>
              <w:rPr>
                <w:rFonts w:ascii="宋体" w:hAnsi="宋体"/>
                <w:kern w:val="0"/>
                <w:szCs w:val="21"/>
              </w:rPr>
              <w:t>招标代理机构</w:t>
            </w:r>
          </w:p>
        </w:tc>
        <w:tc>
          <w:tcPr>
            <w:tcW w:w="5864" w:type="dxa"/>
            <w:vAlign w:val="center"/>
          </w:tcPr>
          <w:p>
            <w:pPr>
              <w:spacing w:line="360" w:lineRule="exact"/>
              <w:rPr>
                <w:rFonts w:hAnsi="宋体"/>
                <w:szCs w:val="21"/>
              </w:rPr>
            </w:pPr>
            <w:r>
              <w:rPr>
                <w:rFonts w:hint="eastAsia" w:hAnsi="宋体"/>
                <w:szCs w:val="21"/>
              </w:rPr>
              <w:t>招标代理：广西城通工程咨询有限责任公司</w:t>
            </w:r>
          </w:p>
          <w:p>
            <w:pPr>
              <w:spacing w:line="360" w:lineRule="exact"/>
              <w:rPr>
                <w:rFonts w:hAnsi="宋体"/>
                <w:szCs w:val="21"/>
              </w:rPr>
            </w:pPr>
            <w:r>
              <w:rPr>
                <w:rFonts w:hint="eastAsia" w:hAnsi="宋体"/>
                <w:szCs w:val="21"/>
              </w:rPr>
              <w:t>地  址：南宁市青秀区云景路71号</w:t>
            </w:r>
          </w:p>
          <w:p>
            <w:pPr>
              <w:spacing w:line="360" w:lineRule="exact"/>
              <w:rPr>
                <w:rFonts w:hAnsi="宋体"/>
                <w:szCs w:val="21"/>
              </w:rPr>
            </w:pPr>
            <w:r>
              <w:rPr>
                <w:rFonts w:hint="eastAsia" w:hAnsi="宋体"/>
                <w:szCs w:val="21"/>
              </w:rPr>
              <w:t>联系人：刘工</w:t>
            </w:r>
          </w:p>
          <w:p>
            <w:pPr>
              <w:spacing w:line="360" w:lineRule="exact"/>
              <w:jc w:val="left"/>
              <w:rPr>
                <w:rFonts w:hAnsi="宋体"/>
                <w:szCs w:val="21"/>
              </w:rPr>
            </w:pPr>
            <w:r>
              <w:rPr>
                <w:rFonts w:hint="eastAsia" w:hAnsi="宋体"/>
                <w:szCs w:val="21"/>
              </w:rPr>
              <w:t>电  话：</w:t>
            </w:r>
            <w:r>
              <w:rPr>
                <w:rFonts w:ascii="宋体" w:hAnsi="宋体"/>
                <w:szCs w:val="21"/>
              </w:rPr>
              <w:t>0771-4800838</w:t>
            </w:r>
          </w:p>
          <w:p>
            <w:pPr>
              <w:spacing w:line="360" w:lineRule="exact"/>
              <w:jc w:val="left"/>
              <w:rPr>
                <w:rFonts w:ascii="宋体" w:hAnsi="宋体"/>
                <w:kern w:val="0"/>
                <w:szCs w:val="21"/>
              </w:rPr>
            </w:pPr>
            <w:r>
              <w:rPr>
                <w:rFonts w:hint="eastAsia" w:hAnsi="宋体"/>
                <w:szCs w:val="21"/>
              </w:rPr>
              <w:t>邮  箱：</w:t>
            </w:r>
            <w:r>
              <w:rPr>
                <w:rFonts w:hint="eastAsia" w:ascii="宋体" w:hAnsi="宋体"/>
                <w:szCs w:val="21"/>
              </w:rPr>
              <w:t>ctzx0601@163.com</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1.1.4</w:t>
            </w:r>
          </w:p>
        </w:tc>
        <w:tc>
          <w:tcPr>
            <w:tcW w:w="2110" w:type="dxa"/>
            <w:vAlign w:val="center"/>
          </w:tcPr>
          <w:p>
            <w:pPr>
              <w:spacing w:line="360" w:lineRule="exact"/>
              <w:rPr>
                <w:rFonts w:ascii="宋体" w:hAnsi="宋体"/>
                <w:kern w:val="0"/>
                <w:szCs w:val="21"/>
              </w:rPr>
            </w:pPr>
            <w:r>
              <w:rPr>
                <w:rFonts w:ascii="宋体" w:hAnsi="宋体"/>
                <w:kern w:val="0"/>
                <w:szCs w:val="21"/>
              </w:rPr>
              <w:t>项目名称</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南宁轨道数智科技有限公司资产管理系统采购项目</w:t>
            </w:r>
          </w:p>
        </w:tc>
      </w:tr>
      <w:tr>
        <w:trPr>
          <w:trHeight w:val="78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1.1.5</w:t>
            </w:r>
          </w:p>
        </w:tc>
        <w:tc>
          <w:tcPr>
            <w:tcW w:w="2110" w:type="dxa"/>
            <w:vAlign w:val="center"/>
          </w:tcPr>
          <w:p>
            <w:pPr>
              <w:spacing w:line="360" w:lineRule="exact"/>
              <w:rPr>
                <w:rFonts w:ascii="宋体" w:hAnsi="宋体"/>
                <w:kern w:val="0"/>
                <w:szCs w:val="21"/>
              </w:rPr>
            </w:pPr>
            <w:r>
              <w:rPr>
                <w:rFonts w:hint="eastAsia" w:ascii="宋体" w:hAnsi="宋体"/>
                <w:kern w:val="0"/>
                <w:szCs w:val="21"/>
              </w:rPr>
              <w:t>项目</w:t>
            </w:r>
            <w:r>
              <w:rPr>
                <w:rFonts w:ascii="宋体" w:hAnsi="宋体"/>
                <w:kern w:val="0"/>
                <w:szCs w:val="21"/>
              </w:rPr>
              <w:t>地点</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广西壮族自治区南宁市</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1.2.1</w:t>
            </w:r>
          </w:p>
        </w:tc>
        <w:tc>
          <w:tcPr>
            <w:tcW w:w="2110" w:type="dxa"/>
            <w:vAlign w:val="center"/>
          </w:tcPr>
          <w:p>
            <w:pPr>
              <w:spacing w:line="360" w:lineRule="exact"/>
              <w:rPr>
                <w:rFonts w:ascii="宋体" w:hAnsi="宋体"/>
                <w:kern w:val="0"/>
                <w:szCs w:val="21"/>
              </w:rPr>
            </w:pPr>
            <w:r>
              <w:rPr>
                <w:rFonts w:ascii="宋体" w:hAnsi="宋体"/>
                <w:kern w:val="0"/>
                <w:szCs w:val="21"/>
              </w:rPr>
              <w:t>资金来源</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企业自筹</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1.2.2</w:t>
            </w:r>
          </w:p>
        </w:tc>
        <w:tc>
          <w:tcPr>
            <w:tcW w:w="2110" w:type="dxa"/>
            <w:vAlign w:val="center"/>
          </w:tcPr>
          <w:p>
            <w:pPr>
              <w:spacing w:line="360" w:lineRule="exact"/>
              <w:rPr>
                <w:rFonts w:ascii="宋体" w:hAnsi="宋体"/>
                <w:kern w:val="0"/>
                <w:szCs w:val="21"/>
              </w:rPr>
            </w:pPr>
            <w:r>
              <w:rPr>
                <w:rFonts w:ascii="宋体" w:hAnsi="宋体"/>
                <w:kern w:val="0"/>
                <w:szCs w:val="21"/>
              </w:rPr>
              <w:t>出资比例</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100%</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1.2.3</w:t>
            </w:r>
          </w:p>
        </w:tc>
        <w:tc>
          <w:tcPr>
            <w:tcW w:w="2110" w:type="dxa"/>
            <w:vAlign w:val="center"/>
          </w:tcPr>
          <w:p>
            <w:pPr>
              <w:spacing w:line="360" w:lineRule="exact"/>
              <w:rPr>
                <w:rFonts w:ascii="宋体" w:hAnsi="宋体"/>
                <w:kern w:val="0"/>
                <w:szCs w:val="21"/>
              </w:rPr>
            </w:pPr>
            <w:r>
              <w:rPr>
                <w:rFonts w:ascii="宋体" w:hAnsi="宋体"/>
                <w:kern w:val="0"/>
                <w:szCs w:val="21"/>
              </w:rPr>
              <w:t>资金落实情况</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已落实</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hint="eastAsia" w:ascii="宋体" w:hAnsi="宋体"/>
                <w:kern w:val="0"/>
                <w:szCs w:val="21"/>
              </w:rPr>
              <w:t>1.2.4</w:t>
            </w:r>
          </w:p>
        </w:tc>
        <w:tc>
          <w:tcPr>
            <w:tcW w:w="2110" w:type="dxa"/>
            <w:vAlign w:val="center"/>
          </w:tcPr>
          <w:p>
            <w:pPr>
              <w:spacing w:line="360" w:lineRule="exact"/>
              <w:rPr>
                <w:rFonts w:ascii="宋体" w:hAnsi="宋体"/>
                <w:kern w:val="0"/>
                <w:szCs w:val="21"/>
              </w:rPr>
            </w:pPr>
            <w:r>
              <w:rPr>
                <w:rFonts w:hint="eastAsia" w:ascii="宋体" w:hAnsi="宋体"/>
                <w:kern w:val="0"/>
                <w:szCs w:val="21"/>
              </w:rPr>
              <w:t>本项目增值税计税方法</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国家现行税法执行</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1.3.1</w:t>
            </w:r>
          </w:p>
        </w:tc>
        <w:tc>
          <w:tcPr>
            <w:tcW w:w="2110" w:type="dxa"/>
            <w:vAlign w:val="center"/>
          </w:tcPr>
          <w:p>
            <w:pPr>
              <w:spacing w:line="360" w:lineRule="exact"/>
              <w:rPr>
                <w:rFonts w:ascii="宋体" w:hAnsi="宋体"/>
                <w:kern w:val="0"/>
                <w:szCs w:val="21"/>
              </w:rPr>
            </w:pPr>
            <w:r>
              <w:rPr>
                <w:rFonts w:ascii="宋体" w:hAnsi="宋体"/>
                <w:kern w:val="0"/>
                <w:szCs w:val="21"/>
              </w:rPr>
              <w:t>招标范围</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详见招标公告。</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1.3.2</w:t>
            </w:r>
          </w:p>
        </w:tc>
        <w:tc>
          <w:tcPr>
            <w:tcW w:w="2110" w:type="dxa"/>
            <w:vAlign w:val="center"/>
          </w:tcPr>
          <w:p>
            <w:pPr>
              <w:spacing w:line="360" w:lineRule="exact"/>
              <w:rPr>
                <w:rFonts w:ascii="宋体" w:hAnsi="宋体"/>
                <w:kern w:val="0"/>
                <w:szCs w:val="21"/>
              </w:rPr>
            </w:pPr>
            <w:r>
              <w:rPr>
                <w:rFonts w:hint="eastAsia" w:ascii="宋体" w:hAnsi="宋体"/>
                <w:kern w:val="0"/>
                <w:szCs w:val="21"/>
              </w:rPr>
              <w:t>服务</w:t>
            </w:r>
            <w:r>
              <w:rPr>
                <w:rFonts w:ascii="宋体" w:hAnsi="宋体"/>
                <w:kern w:val="0"/>
                <w:szCs w:val="21"/>
              </w:rPr>
              <w:t>期</w:t>
            </w:r>
          </w:p>
        </w:tc>
        <w:tc>
          <w:tcPr>
            <w:tcW w:w="5864" w:type="dxa"/>
            <w:vAlign w:val="center"/>
          </w:tcPr>
          <w:p>
            <w:pPr>
              <w:spacing w:line="360" w:lineRule="exact"/>
              <w:rPr>
                <w:rFonts w:ascii="宋体" w:hAnsi="宋体"/>
                <w:kern w:val="0"/>
                <w:szCs w:val="21"/>
              </w:rPr>
            </w:pPr>
            <w:r>
              <w:rPr>
                <w:rFonts w:hint="eastAsia" w:ascii="宋体" w:hAnsi="宋体"/>
                <w:kern w:val="0"/>
                <w:szCs w:val="21"/>
              </w:rPr>
              <w:t>详见招标公告。</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1.3.3</w:t>
            </w:r>
          </w:p>
        </w:tc>
        <w:tc>
          <w:tcPr>
            <w:tcW w:w="2110" w:type="dxa"/>
            <w:vAlign w:val="center"/>
          </w:tcPr>
          <w:p>
            <w:pPr>
              <w:spacing w:line="360" w:lineRule="exact"/>
              <w:rPr>
                <w:rFonts w:ascii="宋体" w:hAnsi="宋体"/>
                <w:kern w:val="0"/>
                <w:szCs w:val="21"/>
              </w:rPr>
            </w:pPr>
            <w:r>
              <w:rPr>
                <w:rFonts w:ascii="宋体" w:hAnsi="宋体"/>
                <w:kern w:val="0"/>
                <w:szCs w:val="21"/>
              </w:rPr>
              <w:t>质量要求</w:t>
            </w:r>
          </w:p>
        </w:tc>
        <w:tc>
          <w:tcPr>
            <w:tcW w:w="5864" w:type="dxa"/>
            <w:vAlign w:val="center"/>
          </w:tcPr>
          <w:p>
            <w:pPr>
              <w:spacing w:line="360" w:lineRule="exact"/>
              <w:rPr>
                <w:rFonts w:ascii="宋体" w:hAnsi="宋体"/>
                <w:kern w:val="0"/>
                <w:szCs w:val="21"/>
              </w:rPr>
            </w:pPr>
            <w:r>
              <w:rPr>
                <w:rFonts w:hint="eastAsia" w:ascii="宋体" w:hAnsi="宋体" w:cs="宋体"/>
                <w:bCs/>
                <w:szCs w:val="21"/>
              </w:rPr>
              <w:t>满足国家现行规范、标准、招标文件要求和项目实际需要。</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1.4.1</w:t>
            </w:r>
          </w:p>
        </w:tc>
        <w:tc>
          <w:tcPr>
            <w:tcW w:w="2110" w:type="dxa"/>
            <w:vAlign w:val="center"/>
          </w:tcPr>
          <w:p>
            <w:pPr>
              <w:spacing w:line="360" w:lineRule="exact"/>
              <w:rPr>
                <w:rFonts w:ascii="宋体" w:hAnsi="宋体"/>
                <w:kern w:val="0"/>
                <w:szCs w:val="21"/>
              </w:rPr>
            </w:pPr>
            <w:r>
              <w:rPr>
                <w:rFonts w:ascii="宋体" w:hAnsi="宋体"/>
                <w:kern w:val="0"/>
                <w:szCs w:val="21"/>
              </w:rPr>
              <w:t>投标人资质</w:t>
            </w:r>
            <w:r>
              <w:rPr>
                <w:rFonts w:hint="eastAsia" w:ascii="宋体" w:hAnsi="宋体"/>
                <w:kern w:val="0"/>
                <w:szCs w:val="21"/>
              </w:rPr>
              <w:t>要求</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详见招标公告。</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1.4.2</w:t>
            </w:r>
          </w:p>
        </w:tc>
        <w:tc>
          <w:tcPr>
            <w:tcW w:w="2110" w:type="dxa"/>
            <w:vAlign w:val="center"/>
          </w:tcPr>
          <w:p>
            <w:pPr>
              <w:spacing w:line="360" w:lineRule="exact"/>
              <w:rPr>
                <w:rFonts w:ascii="宋体" w:hAnsi="宋体"/>
                <w:kern w:val="0"/>
                <w:szCs w:val="21"/>
              </w:rPr>
            </w:pPr>
            <w:r>
              <w:rPr>
                <w:rFonts w:ascii="宋体" w:hAnsi="宋体"/>
                <w:kern w:val="0"/>
                <w:szCs w:val="21"/>
              </w:rPr>
              <w:t>是否接受联合体投标</w:t>
            </w:r>
          </w:p>
        </w:tc>
        <w:tc>
          <w:tcPr>
            <w:tcW w:w="5864" w:type="dxa"/>
            <w:vAlign w:val="center"/>
          </w:tcPr>
          <w:p>
            <w:pPr>
              <w:spacing w:line="360" w:lineRule="exact"/>
              <w:textAlignment w:val="baseline"/>
              <w:rPr>
                <w:rFonts w:ascii="宋体" w:hAnsi="宋体"/>
                <w:szCs w:val="21"/>
              </w:rPr>
            </w:pPr>
            <w:r>
              <w:rPr>
                <w:rFonts w:hint="eastAsia" w:ascii="MS Gothic" w:hAnsi="MS Gothic" w:eastAsia="MS Gothic" w:cs="MS Gothic"/>
              </w:rPr>
              <w:t>☑</w:t>
            </w:r>
            <w:r>
              <w:rPr>
                <w:rFonts w:hint="eastAsia" w:ascii="宋体" w:hAnsi="宋体"/>
                <w:szCs w:val="21"/>
              </w:rPr>
              <w:t>本次招标不接受联合体投标。</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1.9</w:t>
            </w:r>
          </w:p>
        </w:tc>
        <w:tc>
          <w:tcPr>
            <w:tcW w:w="2110" w:type="dxa"/>
            <w:vAlign w:val="center"/>
          </w:tcPr>
          <w:p>
            <w:pPr>
              <w:spacing w:line="360" w:lineRule="exact"/>
              <w:rPr>
                <w:rFonts w:ascii="宋体" w:hAnsi="宋体"/>
                <w:kern w:val="0"/>
                <w:szCs w:val="21"/>
              </w:rPr>
            </w:pPr>
            <w:r>
              <w:rPr>
                <w:rFonts w:ascii="宋体" w:hAnsi="宋体"/>
                <w:kern w:val="0"/>
                <w:szCs w:val="21"/>
              </w:rPr>
              <w:t>踏勘现场</w:t>
            </w:r>
          </w:p>
        </w:tc>
        <w:tc>
          <w:tcPr>
            <w:tcW w:w="5864" w:type="dxa"/>
            <w:vAlign w:val="center"/>
          </w:tcPr>
          <w:p>
            <w:pPr>
              <w:spacing w:line="360" w:lineRule="exact"/>
              <w:jc w:val="left"/>
              <w:rPr>
                <w:rFonts w:ascii="宋体" w:hAnsi="宋体"/>
                <w:kern w:val="0"/>
                <w:szCs w:val="21"/>
              </w:rPr>
            </w:pPr>
            <w:r>
              <w:rPr>
                <w:rFonts w:ascii="宋体" w:hAnsi="宋体"/>
                <w:kern w:val="0"/>
                <w:szCs w:val="21"/>
              </w:rPr>
              <w:t>不组织</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1.10</w:t>
            </w:r>
          </w:p>
        </w:tc>
        <w:tc>
          <w:tcPr>
            <w:tcW w:w="2110" w:type="dxa"/>
            <w:vAlign w:val="center"/>
          </w:tcPr>
          <w:p>
            <w:pPr>
              <w:spacing w:line="360" w:lineRule="exact"/>
              <w:rPr>
                <w:rFonts w:ascii="宋体" w:hAnsi="宋体"/>
                <w:kern w:val="0"/>
                <w:szCs w:val="21"/>
              </w:rPr>
            </w:pPr>
            <w:r>
              <w:rPr>
                <w:rFonts w:ascii="宋体" w:hAnsi="宋体"/>
                <w:kern w:val="0"/>
                <w:szCs w:val="21"/>
              </w:rPr>
              <w:t>投标预备会</w:t>
            </w:r>
          </w:p>
        </w:tc>
        <w:tc>
          <w:tcPr>
            <w:tcW w:w="5864" w:type="dxa"/>
            <w:vAlign w:val="center"/>
          </w:tcPr>
          <w:p>
            <w:pPr>
              <w:spacing w:line="360" w:lineRule="exact"/>
              <w:jc w:val="left"/>
              <w:rPr>
                <w:rFonts w:ascii="宋体" w:hAnsi="宋体"/>
                <w:kern w:val="0"/>
                <w:szCs w:val="21"/>
              </w:rPr>
            </w:pPr>
            <w:r>
              <w:rPr>
                <w:rFonts w:ascii="宋体" w:hAnsi="宋体"/>
                <w:kern w:val="0"/>
                <w:szCs w:val="21"/>
              </w:rPr>
              <w:t>不召开</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1.11</w:t>
            </w:r>
          </w:p>
        </w:tc>
        <w:tc>
          <w:tcPr>
            <w:tcW w:w="2110" w:type="dxa"/>
            <w:vAlign w:val="center"/>
          </w:tcPr>
          <w:p>
            <w:pPr>
              <w:spacing w:line="360" w:lineRule="exact"/>
              <w:rPr>
                <w:rFonts w:ascii="宋体" w:hAnsi="宋体"/>
                <w:kern w:val="0"/>
                <w:szCs w:val="21"/>
              </w:rPr>
            </w:pPr>
            <w:r>
              <w:rPr>
                <w:rFonts w:ascii="宋体" w:hAnsi="宋体"/>
                <w:kern w:val="0"/>
                <w:szCs w:val="21"/>
              </w:rPr>
              <w:t>分  包</w:t>
            </w:r>
          </w:p>
        </w:tc>
        <w:tc>
          <w:tcPr>
            <w:tcW w:w="5864" w:type="dxa"/>
            <w:vAlign w:val="center"/>
          </w:tcPr>
          <w:p>
            <w:pPr>
              <w:spacing w:line="360" w:lineRule="exact"/>
              <w:rPr>
                <w:rFonts w:ascii="宋体" w:hAnsi="宋体"/>
                <w:szCs w:val="21"/>
              </w:rPr>
            </w:pPr>
            <w:r>
              <w:rPr>
                <w:rFonts w:hint="eastAsia" w:ascii="MS Gothic" w:hAnsi="MS Gothic" w:eastAsia="MS Gothic" w:cs="MS Gothic"/>
              </w:rPr>
              <w:t>☑</w:t>
            </w:r>
            <w:r>
              <w:rPr>
                <w:rFonts w:hint="eastAsia" w:ascii="宋体" w:hAnsi="宋体" w:cs="宋体"/>
                <w:szCs w:val="21"/>
              </w:rPr>
              <w:t>不允许</w:t>
            </w:r>
            <w:r>
              <w:rPr>
                <w:rFonts w:hint="eastAsia" w:ascii="宋体" w:hAnsi="宋体" w:cs="宋体"/>
                <w:szCs w:val="21"/>
                <w:u w:val="single"/>
              </w:rPr>
              <w:t xml:space="preserve"> </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1.12</w:t>
            </w:r>
          </w:p>
        </w:tc>
        <w:tc>
          <w:tcPr>
            <w:tcW w:w="2110" w:type="dxa"/>
            <w:vAlign w:val="center"/>
          </w:tcPr>
          <w:p>
            <w:pPr>
              <w:spacing w:line="360" w:lineRule="exact"/>
              <w:rPr>
                <w:rFonts w:ascii="宋体" w:hAnsi="宋体"/>
                <w:kern w:val="0"/>
                <w:szCs w:val="21"/>
              </w:rPr>
            </w:pPr>
            <w:r>
              <w:rPr>
                <w:rFonts w:ascii="宋体" w:hAnsi="宋体"/>
                <w:kern w:val="0"/>
                <w:szCs w:val="21"/>
              </w:rPr>
              <w:t>偏  离</w:t>
            </w:r>
          </w:p>
        </w:tc>
        <w:tc>
          <w:tcPr>
            <w:tcW w:w="5864" w:type="dxa"/>
            <w:vAlign w:val="center"/>
          </w:tcPr>
          <w:p>
            <w:pPr>
              <w:spacing w:line="360" w:lineRule="exact"/>
              <w:jc w:val="left"/>
              <w:rPr>
                <w:rFonts w:ascii="宋体" w:hAnsi="宋体"/>
                <w:kern w:val="0"/>
                <w:szCs w:val="21"/>
              </w:rPr>
            </w:pPr>
            <w:r>
              <w:rPr>
                <w:rFonts w:ascii="宋体" w:hAnsi="宋体"/>
                <w:kern w:val="0"/>
                <w:szCs w:val="21"/>
              </w:rPr>
              <w:t>不允许</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2.</w:t>
            </w:r>
            <w:r>
              <w:rPr>
                <w:rFonts w:hint="eastAsia" w:ascii="宋体" w:hAnsi="宋体"/>
                <w:kern w:val="0"/>
                <w:szCs w:val="21"/>
              </w:rPr>
              <w:t>1.1（8）</w:t>
            </w:r>
          </w:p>
        </w:tc>
        <w:tc>
          <w:tcPr>
            <w:tcW w:w="2110" w:type="dxa"/>
            <w:vAlign w:val="center"/>
          </w:tcPr>
          <w:p>
            <w:pPr>
              <w:spacing w:line="360" w:lineRule="exact"/>
              <w:rPr>
                <w:rFonts w:ascii="宋体" w:hAnsi="宋体"/>
                <w:kern w:val="0"/>
                <w:szCs w:val="21"/>
              </w:rPr>
            </w:pPr>
            <w:r>
              <w:rPr>
                <w:rFonts w:ascii="宋体" w:hAnsi="宋体"/>
                <w:kern w:val="0"/>
                <w:szCs w:val="21"/>
              </w:rPr>
              <w:t>构成招标文件的其他材料</w:t>
            </w:r>
          </w:p>
        </w:tc>
        <w:tc>
          <w:tcPr>
            <w:tcW w:w="5864" w:type="dxa"/>
            <w:vAlign w:val="center"/>
          </w:tcPr>
          <w:p>
            <w:pPr>
              <w:tabs>
                <w:tab w:val="left" w:pos="826"/>
              </w:tabs>
              <w:spacing w:line="360" w:lineRule="exact"/>
              <w:jc w:val="left"/>
              <w:rPr>
                <w:rFonts w:ascii="宋体" w:hAnsi="宋体"/>
                <w:kern w:val="0"/>
                <w:szCs w:val="21"/>
              </w:rPr>
            </w:pPr>
            <w:r>
              <w:rPr>
                <w:rFonts w:ascii="宋体" w:hAnsi="宋体"/>
                <w:kern w:val="0"/>
                <w:szCs w:val="21"/>
              </w:rPr>
              <w:t>招标文件的澄清、修改、补充通知等内容</w:t>
            </w:r>
            <w:r>
              <w:rPr>
                <w:rFonts w:hint="eastAsia" w:ascii="宋体" w:hAnsi="宋体"/>
                <w:kern w:val="0"/>
                <w:szCs w:val="21"/>
              </w:rPr>
              <w:t>。</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2.2.1</w:t>
            </w:r>
          </w:p>
        </w:tc>
        <w:tc>
          <w:tcPr>
            <w:tcW w:w="2110" w:type="dxa"/>
            <w:vAlign w:val="center"/>
          </w:tcPr>
          <w:p>
            <w:pPr>
              <w:spacing w:line="360" w:lineRule="exact"/>
              <w:rPr>
                <w:rFonts w:ascii="宋体" w:hAnsi="宋体"/>
                <w:kern w:val="0"/>
                <w:szCs w:val="21"/>
              </w:rPr>
            </w:pPr>
            <w:r>
              <w:rPr>
                <w:rFonts w:hint="eastAsia" w:ascii="宋体" w:hAnsi="宋体" w:cs="宋体"/>
                <w:szCs w:val="21"/>
              </w:rPr>
              <w:t>投标人对招标文件提出异议的截止时间</w:t>
            </w:r>
          </w:p>
        </w:tc>
        <w:tc>
          <w:tcPr>
            <w:tcW w:w="5864" w:type="dxa"/>
            <w:vAlign w:val="center"/>
          </w:tcPr>
          <w:p>
            <w:pPr>
              <w:spacing w:line="360" w:lineRule="exact"/>
              <w:rPr>
                <w:rFonts w:ascii="宋体" w:hAnsi="宋体"/>
                <w:szCs w:val="21"/>
              </w:rPr>
            </w:pPr>
            <w:r>
              <w:rPr>
                <w:rFonts w:hint="eastAsia" w:ascii="宋体" w:hAnsi="宋体" w:cs="宋体"/>
                <w:szCs w:val="21"/>
              </w:rPr>
              <w:t>投标截止时间</w:t>
            </w:r>
            <w:r>
              <w:rPr>
                <w:rFonts w:ascii="宋体" w:hAnsi="宋体"/>
                <w:szCs w:val="21"/>
              </w:rPr>
              <w:t>10</w:t>
            </w:r>
            <w:r>
              <w:rPr>
                <w:rFonts w:hint="eastAsia" w:ascii="宋体" w:hAnsi="宋体" w:cs="宋体"/>
                <w:szCs w:val="21"/>
              </w:rPr>
              <w:t>日前。投标人不在规定期限内提出，招标人有权不予答复，或答复后投标截止时间由招标人确定是否顺延。</w:t>
            </w:r>
          </w:p>
          <w:p>
            <w:pPr>
              <w:spacing w:line="360" w:lineRule="exact"/>
              <w:jc w:val="left"/>
              <w:rPr>
                <w:rFonts w:ascii="宋体" w:hAnsi="宋体"/>
                <w:kern w:val="0"/>
                <w:szCs w:val="21"/>
              </w:rPr>
            </w:pP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3.1.1</w:t>
            </w:r>
          </w:p>
        </w:tc>
        <w:tc>
          <w:tcPr>
            <w:tcW w:w="2110" w:type="dxa"/>
            <w:vAlign w:val="center"/>
          </w:tcPr>
          <w:p>
            <w:pPr>
              <w:spacing w:line="360" w:lineRule="exact"/>
              <w:rPr>
                <w:rFonts w:ascii="宋体" w:hAnsi="宋体"/>
                <w:kern w:val="0"/>
                <w:szCs w:val="21"/>
              </w:rPr>
            </w:pPr>
            <w:r>
              <w:rPr>
                <w:rFonts w:ascii="宋体" w:hAnsi="宋体"/>
                <w:kern w:val="0"/>
                <w:szCs w:val="21"/>
              </w:rPr>
              <w:t>构成投标文件的材料</w:t>
            </w:r>
          </w:p>
        </w:tc>
        <w:tc>
          <w:tcPr>
            <w:tcW w:w="5864" w:type="dxa"/>
            <w:vAlign w:val="center"/>
          </w:tcPr>
          <w:p>
            <w:pPr>
              <w:spacing w:line="360" w:lineRule="exact"/>
              <w:jc w:val="left"/>
              <w:rPr>
                <w:rFonts w:ascii="宋体" w:hAnsi="宋体"/>
                <w:kern w:val="0"/>
                <w:szCs w:val="21"/>
              </w:rPr>
            </w:pPr>
            <w:r>
              <w:rPr>
                <w:rFonts w:ascii="宋体" w:hAnsi="宋体"/>
                <w:kern w:val="0"/>
                <w:szCs w:val="21"/>
              </w:rPr>
              <w:t>投标文件的组成部分：</w:t>
            </w:r>
            <w:r>
              <w:rPr>
                <w:rFonts w:hint="eastAsia" w:ascii="宋体" w:hAnsi="宋体"/>
                <w:kern w:val="0"/>
                <w:szCs w:val="21"/>
              </w:rPr>
              <w:t>资格审查文件</w:t>
            </w:r>
            <w:r>
              <w:rPr>
                <w:rFonts w:ascii="宋体" w:hAnsi="宋体"/>
                <w:kern w:val="0"/>
                <w:szCs w:val="21"/>
              </w:rPr>
              <w:t>、</w:t>
            </w:r>
            <w:r>
              <w:rPr>
                <w:rFonts w:hint="eastAsia" w:ascii="宋体" w:hAnsi="宋体"/>
                <w:kern w:val="0"/>
                <w:szCs w:val="21"/>
              </w:rPr>
              <w:t>资信文件</w:t>
            </w:r>
            <w:r>
              <w:rPr>
                <w:rFonts w:ascii="宋体" w:hAnsi="宋体"/>
                <w:kern w:val="0"/>
                <w:szCs w:val="21"/>
              </w:rPr>
              <w:t>、</w:t>
            </w:r>
            <w:r>
              <w:rPr>
                <w:rFonts w:hint="eastAsia" w:ascii="宋体" w:hAnsi="宋体"/>
                <w:kern w:val="0"/>
                <w:szCs w:val="21"/>
              </w:rPr>
              <w:t>技术文件</w:t>
            </w:r>
            <w:r>
              <w:rPr>
                <w:rFonts w:ascii="宋体" w:hAnsi="宋体"/>
                <w:kern w:val="0"/>
                <w:szCs w:val="21"/>
              </w:rPr>
              <w:t>、</w:t>
            </w:r>
            <w:r>
              <w:rPr>
                <w:rFonts w:hint="eastAsia" w:ascii="宋体" w:hAnsi="宋体"/>
                <w:kern w:val="0"/>
                <w:szCs w:val="21"/>
              </w:rPr>
              <w:t>报价文件四</w:t>
            </w:r>
            <w:r>
              <w:rPr>
                <w:rFonts w:ascii="宋体" w:hAnsi="宋体"/>
                <w:kern w:val="0"/>
                <w:szCs w:val="21"/>
              </w:rPr>
              <w:t>部分组成</w:t>
            </w:r>
            <w:r>
              <w:rPr>
                <w:rFonts w:hint="eastAsia" w:ascii="宋体" w:hAnsi="宋体"/>
                <w:kern w:val="0"/>
                <w:szCs w:val="21"/>
              </w:rPr>
              <w:t>。</w:t>
            </w:r>
          </w:p>
          <w:p>
            <w:pPr>
              <w:widowControl/>
              <w:spacing w:line="360" w:lineRule="exact"/>
              <w:jc w:val="left"/>
              <w:rPr>
                <w:rFonts w:ascii="宋体" w:hAnsi="宋体"/>
                <w:b/>
                <w:kern w:val="0"/>
                <w:szCs w:val="21"/>
              </w:rPr>
            </w:pPr>
            <w:r>
              <w:rPr>
                <w:rFonts w:hint="eastAsia" w:ascii="宋体" w:hAnsi="宋体"/>
                <w:b/>
                <w:kern w:val="0"/>
                <w:szCs w:val="21"/>
              </w:rPr>
              <w:t>资格审查</w:t>
            </w:r>
            <w:r>
              <w:rPr>
                <w:rFonts w:ascii="宋体" w:hAnsi="宋体"/>
                <w:b/>
                <w:kern w:val="0"/>
                <w:szCs w:val="21"/>
              </w:rPr>
              <w:t>文件包括但不限于以下内容:</w:t>
            </w:r>
          </w:p>
          <w:p>
            <w:pPr>
              <w:spacing w:line="360" w:lineRule="exact"/>
              <w:jc w:val="left"/>
              <w:rPr>
                <w:rFonts w:ascii="宋体" w:hAnsi="宋体"/>
                <w:bCs/>
                <w:kern w:val="0"/>
                <w:szCs w:val="21"/>
              </w:rPr>
            </w:pPr>
            <w:r>
              <w:rPr>
                <w:rFonts w:hint="eastAsia" w:ascii="宋体" w:hAnsi="宋体"/>
                <w:bCs/>
                <w:kern w:val="0"/>
                <w:szCs w:val="21"/>
              </w:rPr>
              <w:t>（1）法定代表人资格证明书及法定代表人授权委托书（如无授权时，只需提供法定代表人资格证明书），法定代表人及被授权人身份证正反面复印件；</w:t>
            </w:r>
          </w:p>
          <w:p>
            <w:pPr>
              <w:spacing w:line="360" w:lineRule="exact"/>
              <w:jc w:val="left"/>
              <w:rPr>
                <w:rFonts w:ascii="宋体" w:hAnsi="宋体"/>
                <w:kern w:val="0"/>
                <w:szCs w:val="21"/>
              </w:rPr>
            </w:pPr>
            <w:r>
              <w:rPr>
                <w:rFonts w:hint="eastAsia" w:ascii="宋体" w:hAnsi="宋体"/>
                <w:bCs/>
                <w:kern w:val="0"/>
                <w:szCs w:val="21"/>
              </w:rPr>
              <w:t>（2）</w:t>
            </w:r>
            <w:r>
              <w:rPr>
                <w:rFonts w:hint="eastAsia" w:ascii="宋体" w:hAnsi="宋体"/>
                <w:szCs w:val="21"/>
              </w:rPr>
              <w:t>投标人有效的营业执照副本或事业单位法人证书等证明文件复印件；</w:t>
            </w:r>
          </w:p>
          <w:p>
            <w:pPr>
              <w:spacing w:line="360" w:lineRule="exact"/>
              <w:textAlignment w:val="baseline"/>
              <w:rPr>
                <w:rFonts w:ascii="宋体" w:hAnsi="宋体"/>
                <w:szCs w:val="21"/>
              </w:rPr>
            </w:pPr>
            <w:r>
              <w:rPr>
                <w:rFonts w:hint="eastAsia" w:ascii="宋体" w:hAnsi="宋体"/>
                <w:bCs/>
                <w:kern w:val="0"/>
                <w:szCs w:val="21"/>
              </w:rPr>
              <w:t>（3）</w:t>
            </w:r>
            <w:r>
              <w:rPr>
                <w:rFonts w:hint="eastAsia" w:ascii="宋体" w:hAnsi="宋体"/>
                <w:szCs w:val="21"/>
              </w:rPr>
              <w:t>投标人自2020年1月1日至今至少承接过1项含有资产管理（资产管理、固定资产、资产租赁）相关内容的信息化系统建设项目实施案例（实施案例合同含税金额在75万（含）以上）同时投标人须提供业绩证明文件：项目合同，证明文件中须体现合同甲乙方、合同签订时间、合同标的内容等信息，否则视为无效证明文件；分包</w:t>
            </w:r>
            <w:r>
              <w:rPr>
                <w:rFonts w:ascii="宋体" w:hAnsi="宋体"/>
                <w:szCs w:val="21"/>
              </w:rPr>
              <w:t>合同不予认可。</w:t>
            </w:r>
          </w:p>
          <w:p>
            <w:pPr>
              <w:spacing w:line="360" w:lineRule="exact"/>
              <w:jc w:val="left"/>
              <w:rPr>
                <w:rFonts w:ascii="宋体" w:hAnsi="宋体"/>
                <w:kern w:val="0"/>
                <w:szCs w:val="21"/>
              </w:rPr>
            </w:pPr>
            <w:r>
              <w:rPr>
                <w:rFonts w:hint="eastAsia" w:ascii="宋体" w:hAnsi="宋体"/>
                <w:kern w:val="0"/>
                <w:szCs w:val="21"/>
              </w:rPr>
              <w:t>（4）</w:t>
            </w:r>
            <w:r>
              <w:rPr>
                <w:rFonts w:hint="eastAsia" w:ascii="宋体" w:hAnsi="宋体"/>
                <w:bCs/>
                <w:kern w:val="0"/>
                <w:szCs w:val="21"/>
              </w:rPr>
              <w:t>承诺书</w:t>
            </w:r>
            <w:r>
              <w:rPr>
                <w:rFonts w:hint="eastAsia" w:ascii="宋体" w:hAnsi="宋体"/>
                <w:kern w:val="0"/>
                <w:szCs w:val="21"/>
              </w:rPr>
              <w:t>；</w:t>
            </w:r>
          </w:p>
          <w:p>
            <w:pPr>
              <w:spacing w:line="360" w:lineRule="exact"/>
              <w:jc w:val="left"/>
              <w:rPr>
                <w:rFonts w:ascii="宋体" w:hAnsi="宋体"/>
                <w:szCs w:val="21"/>
              </w:rPr>
            </w:pPr>
            <w:r>
              <w:rPr>
                <w:rFonts w:hint="eastAsia" w:ascii="宋体" w:hAnsi="宋体"/>
                <w:kern w:val="0"/>
                <w:szCs w:val="21"/>
              </w:rPr>
              <w:t>（5）投标人认为需要提交的其他资料。</w:t>
            </w:r>
            <w:r>
              <w:rPr>
                <w:rFonts w:hint="eastAsia" w:ascii="宋体" w:hAnsi="宋体"/>
                <w:szCs w:val="21"/>
              </w:rPr>
              <w:t>（如有）</w:t>
            </w:r>
          </w:p>
          <w:p>
            <w:pPr>
              <w:pStyle w:val="4"/>
            </w:pPr>
          </w:p>
          <w:p>
            <w:pPr>
              <w:spacing w:line="360" w:lineRule="exact"/>
              <w:jc w:val="left"/>
              <w:rPr>
                <w:rFonts w:ascii="宋体" w:hAnsi="宋体"/>
                <w:b/>
                <w:kern w:val="0"/>
                <w:szCs w:val="21"/>
              </w:rPr>
            </w:pPr>
            <w:r>
              <w:rPr>
                <w:rFonts w:ascii="宋体" w:hAnsi="宋体"/>
                <w:b/>
                <w:kern w:val="0"/>
                <w:szCs w:val="21"/>
              </w:rPr>
              <w:t>资信文件包括但不限于以下内容</w:t>
            </w:r>
            <w:r>
              <w:rPr>
                <w:rFonts w:hint="eastAsia" w:ascii="宋体" w:hAnsi="宋体"/>
                <w:b/>
                <w:kern w:val="0"/>
                <w:szCs w:val="21"/>
              </w:rPr>
              <w:t>：</w:t>
            </w:r>
          </w:p>
          <w:p>
            <w:pPr>
              <w:spacing w:line="360" w:lineRule="exact"/>
              <w:jc w:val="left"/>
              <w:rPr>
                <w:rFonts w:ascii="宋体" w:hAnsi="宋体" w:cs="宋体"/>
                <w:kern w:val="0"/>
                <w:szCs w:val="21"/>
              </w:rPr>
            </w:pPr>
            <w:r>
              <w:rPr>
                <w:rFonts w:hint="eastAsia" w:ascii="宋体" w:hAnsi="宋体" w:cs="宋体"/>
                <w:kern w:val="0"/>
                <w:szCs w:val="21"/>
              </w:rPr>
              <w:t>（1）投标人基本情况一览表；</w:t>
            </w:r>
          </w:p>
          <w:p>
            <w:pPr>
              <w:spacing w:line="360" w:lineRule="exact"/>
              <w:jc w:val="left"/>
              <w:rPr>
                <w:rFonts w:ascii="宋体" w:hAnsi="宋体" w:cs="宋体"/>
                <w:kern w:val="0"/>
                <w:szCs w:val="21"/>
              </w:rPr>
            </w:pPr>
            <w:r>
              <w:rPr>
                <w:rFonts w:hint="eastAsia" w:ascii="宋体" w:hAnsi="宋体" w:cs="宋体"/>
                <w:kern w:val="0"/>
                <w:szCs w:val="21"/>
              </w:rPr>
              <w:t>（2）企业实力证明材料，需提供相关证书复印件并加盖投标人公章；（如有）</w:t>
            </w:r>
          </w:p>
          <w:p>
            <w:pPr>
              <w:spacing w:line="360" w:lineRule="exact"/>
              <w:jc w:val="left"/>
              <w:rPr>
                <w:rFonts w:ascii="宋体" w:hAnsi="宋体" w:cs="宋体"/>
                <w:kern w:val="0"/>
                <w:szCs w:val="21"/>
              </w:rPr>
            </w:pPr>
            <w:r>
              <w:rPr>
                <w:rFonts w:hint="eastAsia" w:ascii="宋体" w:hAnsi="宋体" w:cs="宋体"/>
                <w:kern w:val="0"/>
                <w:szCs w:val="21"/>
              </w:rPr>
              <w:t>（3）投标人近三年</w:t>
            </w:r>
            <w:r>
              <w:rPr>
                <w:rFonts w:hint="eastAsia" w:ascii="宋体" w:hAnsi="宋体"/>
                <w:kern w:val="0"/>
                <w:szCs w:val="21"/>
              </w:rPr>
              <w:t>（202</w:t>
            </w:r>
            <w:r>
              <w:rPr>
                <w:rFonts w:ascii="宋体" w:hAnsi="宋体"/>
                <w:kern w:val="0"/>
                <w:szCs w:val="21"/>
              </w:rPr>
              <w:t>1</w:t>
            </w:r>
            <w:r>
              <w:rPr>
                <w:rFonts w:hint="eastAsia" w:ascii="宋体" w:hAnsi="宋体"/>
                <w:kern w:val="0"/>
                <w:szCs w:val="21"/>
              </w:rPr>
              <w:t>年-202</w:t>
            </w:r>
            <w:r>
              <w:rPr>
                <w:rFonts w:ascii="宋体" w:hAnsi="宋体"/>
                <w:kern w:val="0"/>
                <w:szCs w:val="21"/>
              </w:rPr>
              <w:t>3</w:t>
            </w:r>
            <w:r>
              <w:rPr>
                <w:rFonts w:hint="eastAsia" w:ascii="宋体" w:hAnsi="宋体"/>
                <w:kern w:val="0"/>
                <w:szCs w:val="21"/>
              </w:rPr>
              <w:t>年）</w:t>
            </w:r>
            <w:r>
              <w:rPr>
                <w:rFonts w:hint="eastAsia" w:ascii="宋体" w:hAnsi="宋体" w:cs="宋体"/>
                <w:kern w:val="0"/>
                <w:szCs w:val="21"/>
              </w:rPr>
              <w:t>财务报表或由注册会计师事务所出具的投标人近三年（202</w:t>
            </w:r>
            <w:r>
              <w:rPr>
                <w:rFonts w:ascii="宋体" w:hAnsi="宋体" w:cs="宋体"/>
                <w:kern w:val="0"/>
                <w:szCs w:val="21"/>
              </w:rPr>
              <w:t>1</w:t>
            </w:r>
            <w:r>
              <w:rPr>
                <w:rFonts w:hint="eastAsia" w:ascii="宋体" w:hAnsi="宋体" w:cs="宋体"/>
                <w:kern w:val="0"/>
                <w:szCs w:val="21"/>
              </w:rPr>
              <w:t>年-202</w:t>
            </w:r>
            <w:r>
              <w:rPr>
                <w:rFonts w:ascii="宋体" w:hAnsi="宋体" w:cs="宋体"/>
                <w:kern w:val="0"/>
                <w:szCs w:val="21"/>
              </w:rPr>
              <w:t>3</w:t>
            </w:r>
            <w:r>
              <w:rPr>
                <w:rFonts w:hint="eastAsia" w:ascii="宋体" w:hAnsi="宋体" w:cs="宋体"/>
                <w:kern w:val="0"/>
                <w:szCs w:val="21"/>
              </w:rPr>
              <w:t>年）年度财务审计报告（应包含资产负债表、损益表、现金流量表等主要财务报表及附注）；（如有）</w:t>
            </w:r>
          </w:p>
          <w:p>
            <w:pPr>
              <w:spacing w:line="360" w:lineRule="exact"/>
              <w:jc w:val="left"/>
              <w:rPr>
                <w:rFonts w:ascii="宋体" w:hAnsi="宋体" w:cs="宋体"/>
                <w:kern w:val="0"/>
                <w:szCs w:val="21"/>
              </w:rPr>
            </w:pPr>
            <w:r>
              <w:rPr>
                <w:rFonts w:hint="eastAsia" w:ascii="宋体" w:hAnsi="宋体" w:cs="宋体"/>
                <w:kern w:val="0"/>
                <w:szCs w:val="21"/>
              </w:rPr>
              <w:t>（4）信创支持，需提供相关证明材料并加盖投标人公章；（如有）</w:t>
            </w:r>
          </w:p>
          <w:p>
            <w:pPr>
              <w:spacing w:line="360" w:lineRule="exact"/>
              <w:textAlignment w:val="baseline"/>
              <w:rPr>
                <w:rFonts w:ascii="宋体" w:hAnsi="宋体"/>
                <w:szCs w:val="21"/>
              </w:rPr>
            </w:pPr>
            <w:r>
              <w:rPr>
                <w:rFonts w:hint="eastAsia" w:ascii="宋体" w:hAnsi="宋体" w:cs="宋体"/>
                <w:kern w:val="0"/>
                <w:szCs w:val="21"/>
              </w:rPr>
              <w:t>（5）</w:t>
            </w:r>
            <w:r>
              <w:rPr>
                <w:rFonts w:hint="eastAsia" w:ascii="宋体" w:hAnsi="宋体"/>
                <w:szCs w:val="21"/>
              </w:rPr>
              <w:t>投标人自2020年1月1日至今至少承接过1项含有资产管理（资产管理、固定资产、资产租赁）相关内容的信息化系统建设项目实施案例（实施案例合同含税金额在75万（含）以上）。同时投标人须提供业绩证明文件：项目合同，证明文件中须体现合同甲乙方、合同签订时间、合同标的内容等信息，否则视为无效证明文件；分包</w:t>
            </w:r>
            <w:r>
              <w:rPr>
                <w:rFonts w:ascii="宋体" w:hAnsi="宋体"/>
                <w:szCs w:val="21"/>
              </w:rPr>
              <w:t>合同不予认可。</w:t>
            </w:r>
          </w:p>
          <w:p>
            <w:pPr>
              <w:spacing w:line="360" w:lineRule="exact"/>
              <w:jc w:val="left"/>
              <w:rPr>
                <w:rFonts w:ascii="宋体" w:hAnsi="宋体" w:cs="宋体"/>
                <w:kern w:val="0"/>
                <w:szCs w:val="21"/>
              </w:rPr>
            </w:pPr>
            <w:r>
              <w:rPr>
                <w:rFonts w:hint="eastAsia" w:ascii="宋体" w:hAnsi="宋体" w:cs="宋体"/>
                <w:kern w:val="0"/>
                <w:szCs w:val="21"/>
              </w:rPr>
              <w:t>（如有）</w:t>
            </w:r>
          </w:p>
          <w:p>
            <w:pPr>
              <w:spacing w:line="360" w:lineRule="exact"/>
              <w:jc w:val="left"/>
              <w:rPr>
                <w:rFonts w:ascii="宋体" w:hAnsi="宋体" w:cs="宋体"/>
                <w:kern w:val="0"/>
                <w:szCs w:val="21"/>
              </w:rPr>
            </w:pPr>
            <w:r>
              <w:rPr>
                <w:rFonts w:hint="eastAsia" w:ascii="宋体" w:hAnsi="宋体" w:cs="宋体"/>
                <w:kern w:val="0"/>
                <w:szCs w:val="21"/>
              </w:rPr>
              <w:t>（6）商务条款响应表；</w:t>
            </w:r>
          </w:p>
          <w:p>
            <w:pPr>
              <w:spacing w:line="360" w:lineRule="exact"/>
              <w:jc w:val="left"/>
              <w:rPr>
                <w:rFonts w:ascii="宋体" w:hAnsi="宋体"/>
                <w:kern w:val="0"/>
                <w:szCs w:val="21"/>
              </w:rPr>
            </w:pPr>
            <w:r>
              <w:rPr>
                <w:rFonts w:hint="eastAsia" w:ascii="宋体" w:hAnsi="宋体" w:cs="宋体"/>
                <w:kern w:val="0"/>
                <w:szCs w:val="21"/>
              </w:rPr>
              <w:t>（7）投标人认为需要提交的其他资料。（如有）</w:t>
            </w:r>
          </w:p>
          <w:p>
            <w:pPr>
              <w:spacing w:line="360" w:lineRule="exact"/>
              <w:jc w:val="left"/>
              <w:rPr>
                <w:rFonts w:ascii="宋体" w:hAnsi="宋体"/>
                <w:szCs w:val="21"/>
              </w:rPr>
            </w:pPr>
          </w:p>
          <w:p>
            <w:pPr>
              <w:spacing w:line="360" w:lineRule="exact"/>
              <w:jc w:val="left"/>
              <w:rPr>
                <w:rFonts w:ascii="宋体" w:hAnsi="宋体"/>
                <w:b/>
                <w:kern w:val="0"/>
                <w:szCs w:val="21"/>
              </w:rPr>
            </w:pPr>
            <w:r>
              <w:rPr>
                <w:rFonts w:ascii="宋体" w:hAnsi="宋体"/>
                <w:b/>
                <w:kern w:val="0"/>
                <w:szCs w:val="21"/>
              </w:rPr>
              <w:t>技术文件包括但不限于以下内容：</w:t>
            </w:r>
          </w:p>
          <w:p>
            <w:pPr>
              <w:spacing w:line="360" w:lineRule="exact"/>
              <w:jc w:val="left"/>
              <w:rPr>
                <w:rFonts w:ascii="宋体" w:hAnsi="宋体" w:cs="宋体"/>
                <w:kern w:val="0"/>
                <w:szCs w:val="21"/>
              </w:rPr>
            </w:pPr>
            <w:r>
              <w:rPr>
                <w:rFonts w:hint="eastAsia" w:ascii="宋体" w:hAnsi="宋体"/>
                <w:kern w:val="0"/>
                <w:szCs w:val="21"/>
              </w:rPr>
              <w:t>（</w:t>
            </w:r>
            <w:r>
              <w:rPr>
                <w:rFonts w:ascii="宋体" w:hAnsi="宋体"/>
                <w:kern w:val="0"/>
                <w:szCs w:val="21"/>
              </w:rPr>
              <w:t>1</w:t>
            </w:r>
            <w:r>
              <w:rPr>
                <w:rFonts w:hint="eastAsia" w:ascii="宋体" w:hAnsi="宋体"/>
                <w:kern w:val="0"/>
                <w:szCs w:val="21"/>
              </w:rPr>
              <w:t>）</w:t>
            </w:r>
            <w:r>
              <w:rPr>
                <w:rFonts w:hint="eastAsia" w:ascii="宋体" w:hAnsi="宋体" w:cs="宋体"/>
                <w:kern w:val="0"/>
                <w:szCs w:val="21"/>
              </w:rPr>
              <w:t>拟投入人员情况；</w:t>
            </w:r>
          </w:p>
          <w:p>
            <w:pPr>
              <w:spacing w:line="360" w:lineRule="exact"/>
              <w:jc w:val="left"/>
              <w:rPr>
                <w:rFonts w:ascii="宋体" w:hAnsi="宋体" w:cs="宋体"/>
                <w:kern w:val="0"/>
                <w:szCs w:val="21"/>
              </w:rPr>
            </w:pPr>
            <w:r>
              <w:rPr>
                <w:rFonts w:hint="eastAsia" w:ascii="宋体" w:hAnsi="宋体" w:cs="宋体"/>
                <w:kern w:val="0"/>
                <w:szCs w:val="21"/>
              </w:rPr>
              <w:t>（2）技术条款响应表；</w:t>
            </w:r>
          </w:p>
          <w:p>
            <w:pPr>
              <w:spacing w:line="360" w:lineRule="exact"/>
              <w:jc w:val="left"/>
              <w:rPr>
                <w:rFonts w:ascii="宋体" w:hAnsi="宋体"/>
                <w:kern w:val="0"/>
                <w:szCs w:val="21"/>
              </w:rPr>
            </w:pPr>
            <w:r>
              <w:rPr>
                <w:rFonts w:hint="eastAsia" w:ascii="宋体" w:hAnsi="宋体" w:cs="宋体"/>
                <w:kern w:val="0"/>
                <w:szCs w:val="21"/>
              </w:rPr>
              <w:t>（3）</w:t>
            </w:r>
            <w:r>
              <w:rPr>
                <w:rFonts w:hint="eastAsia" w:ascii="宋体" w:hAnsi="宋体"/>
                <w:szCs w:val="21"/>
              </w:rPr>
              <w:t>整体建设方案</w:t>
            </w:r>
            <w:r>
              <w:rPr>
                <w:rFonts w:hint="eastAsia" w:ascii="宋体" w:hAnsi="宋体"/>
                <w:kern w:val="0"/>
                <w:szCs w:val="21"/>
              </w:rPr>
              <w:t>；</w:t>
            </w:r>
          </w:p>
          <w:p>
            <w:pPr>
              <w:spacing w:line="360" w:lineRule="exact"/>
              <w:jc w:val="left"/>
              <w:rPr>
                <w:rFonts w:ascii="宋体" w:hAnsi="宋体"/>
                <w:kern w:val="0"/>
                <w:szCs w:val="21"/>
              </w:rPr>
            </w:pPr>
            <w:r>
              <w:rPr>
                <w:rFonts w:hint="eastAsia" w:ascii="宋体" w:hAnsi="宋体"/>
                <w:kern w:val="0"/>
                <w:szCs w:val="21"/>
              </w:rPr>
              <w:t>（4）</w:t>
            </w:r>
            <w:r>
              <w:rPr>
                <w:rFonts w:hint="eastAsia" w:ascii="宋体" w:hAnsi="宋体"/>
                <w:szCs w:val="21"/>
              </w:rPr>
              <w:t>实施方案</w:t>
            </w:r>
            <w:r>
              <w:rPr>
                <w:rFonts w:hint="eastAsia" w:ascii="宋体" w:hAnsi="宋体"/>
                <w:kern w:val="0"/>
                <w:szCs w:val="21"/>
              </w:rPr>
              <w:t>；</w:t>
            </w:r>
          </w:p>
          <w:p>
            <w:pPr>
              <w:spacing w:line="360" w:lineRule="exact"/>
              <w:jc w:val="left"/>
              <w:rPr>
                <w:rFonts w:ascii="宋体" w:hAnsi="宋体"/>
                <w:szCs w:val="21"/>
              </w:rPr>
            </w:pPr>
            <w:r>
              <w:rPr>
                <w:rFonts w:hint="eastAsia" w:ascii="宋体" w:hAnsi="宋体"/>
                <w:kern w:val="0"/>
                <w:szCs w:val="21"/>
              </w:rPr>
              <w:t>（5）</w:t>
            </w:r>
            <w:r>
              <w:rPr>
                <w:rFonts w:hint="eastAsia" w:ascii="宋体" w:hAnsi="宋体"/>
                <w:szCs w:val="21"/>
              </w:rPr>
              <w:t>售后服务方案；</w:t>
            </w:r>
          </w:p>
          <w:p>
            <w:pPr>
              <w:spacing w:line="360" w:lineRule="exact"/>
              <w:jc w:val="left"/>
              <w:rPr>
                <w:rFonts w:ascii="宋体" w:hAnsi="宋体"/>
                <w:kern w:val="0"/>
                <w:szCs w:val="21"/>
              </w:rPr>
            </w:pPr>
            <w:r>
              <w:rPr>
                <w:rFonts w:hint="eastAsia" w:ascii="宋体" w:hAnsi="宋体"/>
                <w:kern w:val="0"/>
                <w:szCs w:val="21"/>
              </w:rPr>
              <w:t>（6</w:t>
            </w:r>
            <w:r>
              <w:rPr>
                <w:rFonts w:ascii="宋体" w:hAnsi="宋体"/>
                <w:kern w:val="0"/>
                <w:szCs w:val="21"/>
              </w:rPr>
              <w:t>）</w:t>
            </w:r>
            <w:r>
              <w:rPr>
                <w:rFonts w:hint="eastAsia" w:ascii="宋体" w:hAnsi="宋体"/>
                <w:kern w:val="0"/>
                <w:szCs w:val="21"/>
              </w:rPr>
              <w:t>投标人认为需要提交的其他资料。</w:t>
            </w:r>
            <w:r>
              <w:rPr>
                <w:rFonts w:hint="eastAsia" w:ascii="宋体" w:hAnsi="宋体"/>
                <w:szCs w:val="21"/>
              </w:rPr>
              <w:t>（如有）</w:t>
            </w:r>
          </w:p>
          <w:p>
            <w:pPr>
              <w:spacing w:line="360" w:lineRule="exact"/>
              <w:jc w:val="left"/>
              <w:rPr>
                <w:rFonts w:ascii="宋体" w:hAnsi="宋体"/>
                <w:kern w:val="0"/>
                <w:szCs w:val="21"/>
              </w:rPr>
            </w:pPr>
          </w:p>
          <w:p>
            <w:pPr>
              <w:widowControl/>
              <w:spacing w:line="360" w:lineRule="exact"/>
              <w:jc w:val="left"/>
              <w:rPr>
                <w:rFonts w:ascii="宋体" w:hAnsi="宋体"/>
                <w:b/>
                <w:kern w:val="0"/>
                <w:szCs w:val="21"/>
              </w:rPr>
            </w:pPr>
            <w:r>
              <w:rPr>
                <w:rFonts w:hint="eastAsia" w:ascii="宋体" w:hAnsi="宋体"/>
                <w:b/>
                <w:kern w:val="0"/>
                <w:szCs w:val="21"/>
              </w:rPr>
              <w:t>报价文件</w:t>
            </w:r>
            <w:r>
              <w:rPr>
                <w:rFonts w:ascii="宋体" w:hAnsi="宋体"/>
                <w:b/>
                <w:kern w:val="0"/>
                <w:szCs w:val="21"/>
              </w:rPr>
              <w:t>包括但不限于以下内容</w:t>
            </w:r>
            <w:r>
              <w:rPr>
                <w:rFonts w:hint="eastAsia" w:ascii="宋体" w:hAnsi="宋体"/>
                <w:b/>
                <w:kern w:val="0"/>
                <w:szCs w:val="21"/>
              </w:rPr>
              <w:t>：</w:t>
            </w:r>
          </w:p>
          <w:p>
            <w:pPr>
              <w:spacing w:line="360" w:lineRule="exact"/>
              <w:jc w:val="left"/>
              <w:rPr>
                <w:rFonts w:ascii="宋体" w:hAnsi="宋体" w:cs="宋体"/>
                <w:kern w:val="0"/>
                <w:szCs w:val="21"/>
              </w:rPr>
            </w:pPr>
            <w:r>
              <w:rPr>
                <w:rFonts w:hint="eastAsia" w:ascii="宋体" w:hAnsi="宋体" w:cs="宋体"/>
                <w:kern w:val="0"/>
                <w:szCs w:val="21"/>
              </w:rPr>
              <w:t>1.投标函；</w:t>
            </w:r>
          </w:p>
          <w:p>
            <w:pPr>
              <w:spacing w:line="360" w:lineRule="exact"/>
              <w:jc w:val="left"/>
              <w:rPr>
                <w:rFonts w:ascii="宋体" w:hAnsi="宋体" w:cs="宋体"/>
                <w:kern w:val="0"/>
                <w:szCs w:val="21"/>
              </w:rPr>
            </w:pPr>
            <w:r>
              <w:rPr>
                <w:rFonts w:hint="eastAsia" w:ascii="宋体" w:hAnsi="宋体" w:cs="宋体"/>
                <w:kern w:val="0"/>
                <w:szCs w:val="21"/>
              </w:rPr>
              <w:t>2.投标报价表；</w:t>
            </w:r>
          </w:p>
          <w:p>
            <w:pPr>
              <w:spacing w:line="360" w:lineRule="exact"/>
              <w:jc w:val="left"/>
              <w:rPr>
                <w:rFonts w:ascii="宋体" w:hAnsi="宋体" w:cs="宋体"/>
                <w:kern w:val="0"/>
                <w:szCs w:val="21"/>
              </w:rPr>
            </w:pPr>
            <w:r>
              <w:rPr>
                <w:rFonts w:hint="eastAsia" w:ascii="宋体" w:hAnsi="宋体" w:cs="宋体"/>
                <w:kern w:val="0"/>
                <w:szCs w:val="21"/>
              </w:rPr>
              <w:t>3.投标人认为需要提交的其他资料。</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hint="eastAsia" w:ascii="宋体" w:hAnsi="宋体"/>
                <w:kern w:val="0"/>
                <w:szCs w:val="21"/>
              </w:rPr>
              <w:t>3.2</w:t>
            </w:r>
          </w:p>
        </w:tc>
        <w:tc>
          <w:tcPr>
            <w:tcW w:w="2110" w:type="dxa"/>
            <w:vAlign w:val="center"/>
          </w:tcPr>
          <w:p>
            <w:pPr>
              <w:spacing w:line="360" w:lineRule="exact"/>
              <w:rPr>
                <w:rFonts w:ascii="宋体" w:hAnsi="宋体"/>
                <w:kern w:val="0"/>
                <w:szCs w:val="21"/>
              </w:rPr>
            </w:pPr>
            <w:r>
              <w:rPr>
                <w:rFonts w:hint="eastAsia" w:ascii="宋体" w:hAnsi="宋体"/>
                <w:kern w:val="0"/>
                <w:szCs w:val="21"/>
              </w:rPr>
              <w:t>投标报价</w:t>
            </w:r>
          </w:p>
        </w:tc>
        <w:tc>
          <w:tcPr>
            <w:tcW w:w="5864" w:type="dxa"/>
            <w:vAlign w:val="center"/>
          </w:tcPr>
          <w:p>
            <w:pPr>
              <w:spacing w:line="360" w:lineRule="exact"/>
              <w:jc w:val="left"/>
              <w:rPr>
                <w:rFonts w:ascii="宋体" w:hAnsi="宋体"/>
                <w:szCs w:val="21"/>
              </w:rPr>
            </w:pPr>
            <w:r>
              <w:rPr>
                <w:rFonts w:hint="eastAsia" w:ascii="宋体" w:hAnsi="宋体"/>
              </w:rPr>
              <w:t>本项目采用包干价，投标报价为完成本项目全部服务内容的合同总价。</w:t>
            </w:r>
            <w:r>
              <w:rPr>
                <w:rFonts w:hint="eastAsia"/>
                <w:iCs/>
              </w:rPr>
              <w:t>合同执行过程中如遇国家税率调整，则按国家政策执行，以不含税价格调整合同总价。</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3.3.1</w:t>
            </w:r>
          </w:p>
        </w:tc>
        <w:tc>
          <w:tcPr>
            <w:tcW w:w="2110" w:type="dxa"/>
            <w:vAlign w:val="center"/>
          </w:tcPr>
          <w:p>
            <w:pPr>
              <w:spacing w:line="360" w:lineRule="exact"/>
              <w:rPr>
                <w:rFonts w:ascii="宋体" w:hAnsi="宋体"/>
                <w:kern w:val="0"/>
                <w:szCs w:val="21"/>
              </w:rPr>
            </w:pPr>
            <w:r>
              <w:rPr>
                <w:rFonts w:ascii="宋体" w:hAnsi="宋体"/>
                <w:kern w:val="0"/>
                <w:szCs w:val="21"/>
              </w:rPr>
              <w:t>投标有效期</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递交投标文件的截止之日起120日历天</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3.4</w:t>
            </w:r>
          </w:p>
        </w:tc>
        <w:tc>
          <w:tcPr>
            <w:tcW w:w="2110" w:type="dxa"/>
            <w:vAlign w:val="center"/>
          </w:tcPr>
          <w:p>
            <w:pPr>
              <w:spacing w:line="360" w:lineRule="exact"/>
              <w:jc w:val="left"/>
              <w:rPr>
                <w:rFonts w:ascii="宋体" w:hAnsi="宋体"/>
                <w:kern w:val="0"/>
                <w:szCs w:val="21"/>
              </w:rPr>
            </w:pPr>
            <w:r>
              <w:rPr>
                <w:rFonts w:hint="eastAsia" w:ascii="宋体" w:hAnsi="宋体"/>
                <w:kern w:val="0"/>
                <w:szCs w:val="21"/>
              </w:rPr>
              <w:t>投标保证金</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本项目无需</w:t>
            </w:r>
            <w:r>
              <w:rPr>
                <w:rFonts w:ascii="宋体" w:hAnsi="宋体"/>
                <w:kern w:val="0"/>
                <w:szCs w:val="21"/>
              </w:rPr>
              <w:t>递交投标保证金</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3.5</w:t>
            </w:r>
          </w:p>
        </w:tc>
        <w:tc>
          <w:tcPr>
            <w:tcW w:w="2110" w:type="dxa"/>
            <w:vAlign w:val="center"/>
          </w:tcPr>
          <w:p>
            <w:pPr>
              <w:spacing w:line="360" w:lineRule="exact"/>
              <w:rPr>
                <w:rFonts w:ascii="宋体" w:hAnsi="宋体"/>
                <w:kern w:val="0"/>
                <w:szCs w:val="21"/>
              </w:rPr>
            </w:pPr>
            <w:r>
              <w:rPr>
                <w:rFonts w:ascii="宋体" w:hAnsi="宋体"/>
                <w:kern w:val="0"/>
                <w:szCs w:val="21"/>
              </w:rPr>
              <w:t>是否允许递交备选投标方案</w:t>
            </w:r>
          </w:p>
        </w:tc>
        <w:tc>
          <w:tcPr>
            <w:tcW w:w="5864" w:type="dxa"/>
            <w:vAlign w:val="center"/>
          </w:tcPr>
          <w:p>
            <w:pPr>
              <w:spacing w:line="360" w:lineRule="exact"/>
              <w:jc w:val="left"/>
              <w:rPr>
                <w:rFonts w:ascii="宋体" w:hAnsi="宋体"/>
                <w:kern w:val="0"/>
                <w:szCs w:val="21"/>
                <w:u w:val="single"/>
              </w:rPr>
            </w:pPr>
            <w:r>
              <w:rPr>
                <w:rFonts w:ascii="宋体" w:hAnsi="宋体"/>
                <w:kern w:val="0"/>
                <w:szCs w:val="21"/>
              </w:rPr>
              <w:t>不允许</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3.6.3</w:t>
            </w:r>
          </w:p>
        </w:tc>
        <w:tc>
          <w:tcPr>
            <w:tcW w:w="2110" w:type="dxa"/>
            <w:vAlign w:val="center"/>
          </w:tcPr>
          <w:p>
            <w:pPr>
              <w:spacing w:line="360" w:lineRule="exact"/>
              <w:rPr>
                <w:rFonts w:ascii="宋体" w:hAnsi="宋体"/>
                <w:kern w:val="0"/>
                <w:szCs w:val="21"/>
              </w:rPr>
            </w:pPr>
            <w:r>
              <w:rPr>
                <w:rFonts w:ascii="宋体" w:hAnsi="宋体"/>
                <w:kern w:val="0"/>
                <w:szCs w:val="21"/>
              </w:rPr>
              <w:t>签字和（或）盖章要求</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投标人应当按照招标文件规定，在投标文件封面和文本中明确要求之处进行签字或者盖章。</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3.6.4</w:t>
            </w:r>
          </w:p>
        </w:tc>
        <w:tc>
          <w:tcPr>
            <w:tcW w:w="2110" w:type="dxa"/>
            <w:vAlign w:val="center"/>
          </w:tcPr>
          <w:p>
            <w:pPr>
              <w:spacing w:line="360" w:lineRule="exact"/>
              <w:rPr>
                <w:rFonts w:ascii="宋体" w:hAnsi="宋体"/>
                <w:kern w:val="0"/>
                <w:szCs w:val="21"/>
              </w:rPr>
            </w:pPr>
            <w:r>
              <w:rPr>
                <w:rFonts w:ascii="宋体" w:hAnsi="宋体"/>
                <w:kern w:val="0"/>
                <w:szCs w:val="21"/>
              </w:rPr>
              <w:t>投标文件份数</w:t>
            </w:r>
          </w:p>
        </w:tc>
        <w:tc>
          <w:tcPr>
            <w:tcW w:w="5864" w:type="dxa"/>
            <w:vAlign w:val="center"/>
          </w:tcPr>
          <w:p>
            <w:pPr>
              <w:spacing w:line="360" w:lineRule="exact"/>
              <w:rPr>
                <w:rFonts w:ascii="宋体" w:hAnsi="宋体"/>
                <w:caps/>
                <w:szCs w:val="21"/>
              </w:rPr>
            </w:pPr>
            <w:r>
              <w:rPr>
                <w:rFonts w:ascii="宋体" w:hAnsi="宋体"/>
                <w:caps/>
                <w:szCs w:val="21"/>
              </w:rPr>
              <w:t>正本</w:t>
            </w:r>
            <w:r>
              <w:rPr>
                <w:rFonts w:hint="eastAsia" w:ascii="宋体" w:hAnsi="宋体"/>
                <w:caps/>
                <w:szCs w:val="21"/>
                <w:u w:val="single"/>
              </w:rPr>
              <w:t xml:space="preserve"> </w:t>
            </w:r>
            <w:r>
              <w:rPr>
                <w:rFonts w:ascii="宋体" w:hAnsi="宋体"/>
                <w:b/>
                <w:caps/>
                <w:szCs w:val="21"/>
                <w:u w:val="single"/>
              </w:rPr>
              <w:t>一</w:t>
            </w:r>
            <w:r>
              <w:rPr>
                <w:rFonts w:hint="eastAsia" w:ascii="宋体" w:hAnsi="宋体"/>
                <w:b/>
                <w:caps/>
                <w:szCs w:val="21"/>
                <w:u w:val="single"/>
              </w:rPr>
              <w:t xml:space="preserve"> </w:t>
            </w:r>
            <w:r>
              <w:rPr>
                <w:rFonts w:hint="eastAsia" w:ascii="宋体" w:hAnsi="宋体"/>
                <w:caps/>
                <w:szCs w:val="21"/>
              </w:rPr>
              <w:t>份</w:t>
            </w:r>
            <w:r>
              <w:rPr>
                <w:rFonts w:ascii="宋体" w:hAnsi="宋体"/>
                <w:caps/>
                <w:szCs w:val="21"/>
              </w:rPr>
              <w:t>，副本</w:t>
            </w:r>
            <w:r>
              <w:rPr>
                <w:rFonts w:ascii="宋体" w:hAnsi="宋体"/>
                <w:b/>
                <w:caps/>
                <w:szCs w:val="21"/>
                <w:u w:val="single"/>
              </w:rPr>
              <w:t xml:space="preserve"> </w:t>
            </w:r>
            <w:r>
              <w:rPr>
                <w:rFonts w:hint="eastAsia" w:ascii="宋体" w:hAnsi="宋体"/>
                <w:caps/>
                <w:szCs w:val="21"/>
                <w:u w:val="single"/>
              </w:rPr>
              <w:t>四</w:t>
            </w:r>
            <w:r>
              <w:rPr>
                <w:rFonts w:ascii="宋体" w:hAnsi="宋体"/>
                <w:b/>
                <w:caps/>
                <w:szCs w:val="21"/>
                <w:u w:val="single"/>
              </w:rPr>
              <w:t xml:space="preserve"> </w:t>
            </w:r>
            <w:r>
              <w:rPr>
                <w:rFonts w:hint="eastAsia" w:ascii="宋体" w:hAnsi="宋体"/>
                <w:caps/>
                <w:szCs w:val="21"/>
              </w:rPr>
              <w:t>份</w:t>
            </w:r>
            <w:r>
              <w:rPr>
                <w:rFonts w:ascii="宋体" w:hAnsi="宋体"/>
                <w:caps/>
                <w:szCs w:val="21"/>
              </w:rPr>
              <w:t>，并应随投标文件提交包含投标文件全部内容的电子文件</w:t>
            </w:r>
            <w:r>
              <w:rPr>
                <w:rFonts w:hint="eastAsia" w:ascii="宋体" w:hAnsi="宋体"/>
                <w:b/>
                <w:caps/>
                <w:szCs w:val="21"/>
                <w:u w:val="single"/>
              </w:rPr>
              <w:t xml:space="preserve"> 二 </w:t>
            </w:r>
            <w:r>
              <w:rPr>
                <w:rFonts w:hint="eastAsia" w:ascii="宋体" w:hAnsi="宋体"/>
                <w:caps/>
                <w:szCs w:val="21"/>
              </w:rPr>
              <w:t>份</w:t>
            </w:r>
            <w:r>
              <w:rPr>
                <w:rFonts w:ascii="宋体" w:hAnsi="宋体"/>
                <w:caps/>
                <w:szCs w:val="21"/>
              </w:rPr>
              <w:t>U盘</w:t>
            </w:r>
            <w:r>
              <w:rPr>
                <w:rFonts w:hint="eastAsia" w:ascii="宋体" w:hAnsi="宋体"/>
                <w:caps/>
                <w:szCs w:val="21"/>
              </w:rPr>
              <w:t>。投标文件电子版内容及格式：包括office版本（文本内容为Word格式，报价文件为word或Excel格式）的全套投标文件(资格审查文件</w:t>
            </w:r>
            <w:r>
              <w:rPr>
                <w:rFonts w:ascii="宋体" w:hAnsi="宋体"/>
                <w:caps/>
                <w:szCs w:val="21"/>
              </w:rPr>
              <w:t>、</w:t>
            </w:r>
            <w:r>
              <w:rPr>
                <w:rFonts w:hint="eastAsia" w:ascii="宋体" w:hAnsi="宋体"/>
                <w:caps/>
                <w:szCs w:val="21"/>
              </w:rPr>
              <w:t>资信文件</w:t>
            </w:r>
            <w:r>
              <w:rPr>
                <w:rFonts w:ascii="宋体" w:hAnsi="宋体"/>
                <w:caps/>
                <w:szCs w:val="21"/>
              </w:rPr>
              <w:t>、</w:t>
            </w:r>
            <w:r>
              <w:rPr>
                <w:rFonts w:hint="eastAsia" w:ascii="宋体" w:hAnsi="宋体"/>
                <w:caps/>
                <w:szCs w:val="21"/>
              </w:rPr>
              <w:t>技术文件</w:t>
            </w:r>
            <w:r>
              <w:rPr>
                <w:rFonts w:ascii="宋体" w:hAnsi="宋体"/>
                <w:caps/>
                <w:szCs w:val="21"/>
              </w:rPr>
              <w:t>、</w:t>
            </w:r>
            <w:r>
              <w:rPr>
                <w:rFonts w:hint="eastAsia" w:ascii="宋体" w:hAnsi="宋体"/>
                <w:caps/>
                <w:szCs w:val="21"/>
              </w:rPr>
              <w:t>报价文件)和全套投标文件的正本盖章后PDF版的扫描件。</w:t>
            </w:r>
          </w:p>
          <w:p>
            <w:pPr>
              <w:spacing w:line="360" w:lineRule="exact"/>
              <w:jc w:val="left"/>
              <w:rPr>
                <w:rFonts w:ascii="宋体" w:hAnsi="宋体"/>
                <w:kern w:val="0"/>
                <w:szCs w:val="21"/>
              </w:rPr>
            </w:pPr>
            <w:r>
              <w:rPr>
                <w:rFonts w:hint="eastAsia" w:ascii="宋体" w:hAnsi="宋体"/>
                <w:caps/>
                <w:szCs w:val="21"/>
              </w:rPr>
              <w:t>投标人中标后须按招标人要求另提供若干份副本。</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3.6.5</w:t>
            </w:r>
          </w:p>
        </w:tc>
        <w:tc>
          <w:tcPr>
            <w:tcW w:w="2110" w:type="dxa"/>
            <w:vAlign w:val="center"/>
          </w:tcPr>
          <w:p>
            <w:pPr>
              <w:spacing w:line="360" w:lineRule="exact"/>
              <w:rPr>
                <w:rFonts w:ascii="宋体" w:hAnsi="宋体"/>
                <w:kern w:val="0"/>
                <w:szCs w:val="21"/>
              </w:rPr>
            </w:pPr>
            <w:r>
              <w:rPr>
                <w:rFonts w:ascii="宋体" w:hAnsi="宋体"/>
                <w:kern w:val="0"/>
                <w:szCs w:val="21"/>
              </w:rPr>
              <w:t>装订要求</w:t>
            </w:r>
          </w:p>
        </w:tc>
        <w:tc>
          <w:tcPr>
            <w:tcW w:w="5864" w:type="dxa"/>
            <w:vAlign w:val="center"/>
          </w:tcPr>
          <w:p>
            <w:pPr>
              <w:spacing w:line="360" w:lineRule="exact"/>
              <w:jc w:val="left"/>
              <w:rPr>
                <w:rFonts w:ascii="宋体" w:hAnsi="宋体"/>
                <w:kern w:val="0"/>
                <w:szCs w:val="21"/>
              </w:rPr>
            </w:pPr>
            <w:bookmarkStart w:id="154" w:name="EB5b680c25c0a041ab8645025b2c354d54"/>
            <w:r>
              <w:rPr>
                <w:rFonts w:hint="eastAsia" w:ascii="宋体" w:hAnsi="宋体"/>
                <w:kern w:val="0"/>
                <w:szCs w:val="21"/>
              </w:rPr>
              <w:t>分册装订，共分 4册，分别为：资格审查文件</w:t>
            </w:r>
            <w:r>
              <w:rPr>
                <w:rFonts w:ascii="宋体" w:hAnsi="宋体"/>
                <w:kern w:val="0"/>
                <w:szCs w:val="21"/>
              </w:rPr>
              <w:t>、</w:t>
            </w:r>
            <w:r>
              <w:rPr>
                <w:rFonts w:hint="eastAsia" w:ascii="宋体" w:hAnsi="宋体"/>
                <w:kern w:val="0"/>
                <w:szCs w:val="21"/>
              </w:rPr>
              <w:t>资信文件</w:t>
            </w:r>
            <w:r>
              <w:rPr>
                <w:rFonts w:ascii="宋体" w:hAnsi="宋体"/>
                <w:kern w:val="0"/>
                <w:szCs w:val="21"/>
              </w:rPr>
              <w:t>、</w:t>
            </w:r>
            <w:r>
              <w:rPr>
                <w:rFonts w:hint="eastAsia" w:ascii="宋体" w:hAnsi="宋体"/>
                <w:kern w:val="0"/>
                <w:szCs w:val="21"/>
              </w:rPr>
              <w:t>技术文件</w:t>
            </w:r>
            <w:r>
              <w:rPr>
                <w:rFonts w:ascii="宋体" w:hAnsi="宋体"/>
                <w:kern w:val="0"/>
                <w:szCs w:val="21"/>
              </w:rPr>
              <w:t>、</w:t>
            </w:r>
            <w:r>
              <w:rPr>
                <w:rFonts w:hint="eastAsia" w:ascii="宋体" w:hAnsi="宋体"/>
                <w:kern w:val="0"/>
                <w:szCs w:val="21"/>
              </w:rPr>
              <w:t>报价文件。</w:t>
            </w:r>
          </w:p>
          <w:p>
            <w:pPr>
              <w:spacing w:line="360" w:lineRule="exact"/>
              <w:jc w:val="left"/>
              <w:rPr>
                <w:rFonts w:ascii="宋体" w:hAnsi="宋体"/>
                <w:kern w:val="0"/>
                <w:szCs w:val="21"/>
                <w:u w:val="single"/>
              </w:rPr>
            </w:pPr>
            <w:r>
              <w:rPr>
                <w:rFonts w:hint="eastAsia" w:ascii="宋体" w:hAnsi="宋体"/>
                <w:kern w:val="0"/>
                <w:szCs w:val="21"/>
              </w:rPr>
              <w:t>投标文件每册装订应牢固、不易拆散和换页，不得采用活页装订</w:t>
            </w:r>
            <w:r>
              <w:rPr>
                <w:rFonts w:ascii="宋体" w:hAnsi="宋体"/>
                <w:kern w:val="0"/>
                <w:szCs w:val="21"/>
              </w:rPr>
              <w:t>，建议采用软封面和胶装方式装订</w:t>
            </w:r>
            <w:r>
              <w:rPr>
                <w:rFonts w:hint="eastAsia" w:ascii="宋体" w:hAnsi="宋体"/>
                <w:kern w:val="0"/>
                <w:szCs w:val="21"/>
              </w:rPr>
              <w:t>。</w:t>
            </w:r>
            <w:bookmarkEnd w:id="154"/>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4.1.1</w:t>
            </w:r>
          </w:p>
        </w:tc>
        <w:tc>
          <w:tcPr>
            <w:tcW w:w="2110" w:type="dxa"/>
            <w:vAlign w:val="center"/>
          </w:tcPr>
          <w:p>
            <w:pPr>
              <w:spacing w:line="360" w:lineRule="exact"/>
              <w:rPr>
                <w:rFonts w:ascii="宋体" w:hAnsi="宋体"/>
                <w:kern w:val="0"/>
                <w:szCs w:val="21"/>
              </w:rPr>
            </w:pPr>
            <w:r>
              <w:rPr>
                <w:rFonts w:ascii="宋体" w:hAnsi="宋体"/>
                <w:kern w:val="0"/>
                <w:szCs w:val="21"/>
              </w:rPr>
              <w:t>包装、密封</w:t>
            </w:r>
          </w:p>
        </w:tc>
        <w:tc>
          <w:tcPr>
            <w:tcW w:w="5864" w:type="dxa"/>
          </w:tcPr>
          <w:p>
            <w:pPr>
              <w:spacing w:line="360" w:lineRule="exact"/>
              <w:jc w:val="left"/>
              <w:rPr>
                <w:rFonts w:ascii="宋体" w:hAnsi="宋体"/>
                <w:kern w:val="0"/>
                <w:szCs w:val="21"/>
              </w:rPr>
            </w:pPr>
            <w:r>
              <w:rPr>
                <w:rFonts w:ascii="宋体" w:hAnsi="宋体"/>
                <w:kern w:val="0"/>
                <w:szCs w:val="21"/>
              </w:rPr>
              <w:t>投标人应将投标文件封装为四个包，分别密封在投标文件密封箱/袋里，四个包装中分别是：资格审查</w:t>
            </w:r>
            <w:r>
              <w:rPr>
                <w:rFonts w:hint="eastAsia" w:ascii="宋体" w:hAnsi="宋体"/>
                <w:kern w:val="0"/>
                <w:szCs w:val="21"/>
              </w:rPr>
              <w:t>文件</w:t>
            </w:r>
            <w:r>
              <w:rPr>
                <w:rFonts w:ascii="宋体" w:hAnsi="宋体"/>
                <w:kern w:val="0"/>
                <w:szCs w:val="21"/>
              </w:rPr>
              <w:t>正本和副本、资信</w:t>
            </w:r>
            <w:r>
              <w:rPr>
                <w:rFonts w:hint="eastAsia" w:ascii="宋体" w:hAnsi="宋体"/>
                <w:kern w:val="0"/>
                <w:szCs w:val="21"/>
              </w:rPr>
              <w:t>文件</w:t>
            </w:r>
            <w:r>
              <w:rPr>
                <w:rFonts w:ascii="宋体" w:hAnsi="宋体"/>
                <w:kern w:val="0"/>
                <w:szCs w:val="21"/>
              </w:rPr>
              <w:t>正本和副本、技术</w:t>
            </w:r>
            <w:r>
              <w:rPr>
                <w:rFonts w:hint="eastAsia" w:ascii="宋体" w:hAnsi="宋体"/>
                <w:kern w:val="0"/>
                <w:szCs w:val="21"/>
              </w:rPr>
              <w:t>文件</w:t>
            </w:r>
            <w:r>
              <w:rPr>
                <w:rFonts w:ascii="宋体" w:hAnsi="宋体"/>
                <w:kern w:val="0"/>
                <w:szCs w:val="21"/>
              </w:rPr>
              <w:t>正本和副本、报价</w:t>
            </w:r>
            <w:r>
              <w:rPr>
                <w:rFonts w:hint="eastAsia" w:ascii="宋体" w:hAnsi="宋体"/>
                <w:kern w:val="0"/>
                <w:szCs w:val="21"/>
              </w:rPr>
              <w:t>文件</w:t>
            </w:r>
            <w:r>
              <w:rPr>
                <w:rFonts w:ascii="宋体" w:hAnsi="宋体"/>
                <w:kern w:val="0"/>
                <w:szCs w:val="21"/>
              </w:rPr>
              <w:t>正本和副本（电子版文件封入此包装内）。密封箱/袋上应清楚的标明“资格审查</w:t>
            </w:r>
            <w:r>
              <w:rPr>
                <w:rFonts w:hint="eastAsia" w:ascii="宋体" w:hAnsi="宋体"/>
                <w:kern w:val="0"/>
                <w:szCs w:val="21"/>
              </w:rPr>
              <w:t>文件</w:t>
            </w:r>
            <w:r>
              <w:rPr>
                <w:rFonts w:ascii="宋体" w:hAnsi="宋体"/>
                <w:kern w:val="0"/>
                <w:szCs w:val="21"/>
              </w:rPr>
              <w:t>”、“资信</w:t>
            </w:r>
            <w:r>
              <w:rPr>
                <w:rFonts w:hint="eastAsia" w:ascii="宋体" w:hAnsi="宋体"/>
                <w:kern w:val="0"/>
                <w:szCs w:val="21"/>
              </w:rPr>
              <w:t>文件</w:t>
            </w:r>
            <w:r>
              <w:rPr>
                <w:rFonts w:ascii="宋体" w:hAnsi="宋体"/>
                <w:kern w:val="0"/>
                <w:szCs w:val="21"/>
              </w:rPr>
              <w:t>”、“技术</w:t>
            </w:r>
            <w:r>
              <w:rPr>
                <w:rFonts w:hint="eastAsia" w:ascii="宋体" w:hAnsi="宋体"/>
                <w:kern w:val="0"/>
                <w:szCs w:val="21"/>
              </w:rPr>
              <w:t>文件</w:t>
            </w:r>
            <w:r>
              <w:rPr>
                <w:rFonts w:ascii="宋体" w:hAnsi="宋体"/>
                <w:kern w:val="0"/>
                <w:szCs w:val="21"/>
              </w:rPr>
              <w:t>”、“报价</w:t>
            </w:r>
            <w:r>
              <w:rPr>
                <w:rFonts w:hint="eastAsia" w:ascii="宋体" w:hAnsi="宋体"/>
                <w:kern w:val="0"/>
                <w:szCs w:val="21"/>
              </w:rPr>
              <w:t>文件</w:t>
            </w:r>
            <w:r>
              <w:rPr>
                <w:rFonts w:ascii="宋体" w:hAnsi="宋体"/>
                <w:kern w:val="0"/>
                <w:szCs w:val="21"/>
              </w:rPr>
              <w:t>”。最后，投标人</w:t>
            </w:r>
            <w:r>
              <w:rPr>
                <w:rFonts w:hint="eastAsia" w:ascii="宋体" w:hAnsi="宋体"/>
                <w:kern w:val="0"/>
                <w:szCs w:val="21"/>
              </w:rPr>
              <w:t>可以</w:t>
            </w:r>
            <w:r>
              <w:rPr>
                <w:rFonts w:ascii="宋体" w:hAnsi="宋体"/>
                <w:kern w:val="0"/>
                <w:szCs w:val="21"/>
              </w:rPr>
              <w:t>将上述四个密封箱/袋</w:t>
            </w:r>
            <w:r>
              <w:rPr>
                <w:rFonts w:hint="eastAsia" w:ascii="宋体" w:hAnsi="宋体"/>
                <w:kern w:val="0"/>
                <w:szCs w:val="21"/>
              </w:rPr>
              <w:t>单独或者</w:t>
            </w:r>
            <w:r>
              <w:rPr>
                <w:rFonts w:ascii="宋体" w:hAnsi="宋体"/>
                <w:kern w:val="0"/>
                <w:szCs w:val="21"/>
              </w:rPr>
              <w:t>统一封装在一个</w:t>
            </w:r>
            <w:r>
              <w:rPr>
                <w:rFonts w:hint="eastAsia" w:ascii="宋体" w:hAnsi="宋体"/>
                <w:kern w:val="0"/>
                <w:szCs w:val="21"/>
              </w:rPr>
              <w:t>或多个</w:t>
            </w:r>
            <w:r>
              <w:rPr>
                <w:rFonts w:ascii="宋体" w:hAnsi="宋体"/>
                <w:kern w:val="0"/>
                <w:szCs w:val="21"/>
              </w:rPr>
              <w:t>大的密封箱/袋内</w:t>
            </w:r>
            <w:r>
              <w:rPr>
                <w:rFonts w:hint="eastAsia" w:ascii="宋体" w:hAnsi="宋体"/>
                <w:kern w:val="0"/>
                <w:szCs w:val="21"/>
              </w:rPr>
              <w:t>递交。</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4.1.2</w:t>
            </w:r>
          </w:p>
        </w:tc>
        <w:tc>
          <w:tcPr>
            <w:tcW w:w="2110" w:type="dxa"/>
            <w:vAlign w:val="center"/>
          </w:tcPr>
          <w:p>
            <w:pPr>
              <w:spacing w:line="360" w:lineRule="exact"/>
              <w:rPr>
                <w:rFonts w:ascii="宋体" w:hAnsi="宋体"/>
                <w:kern w:val="0"/>
                <w:szCs w:val="21"/>
              </w:rPr>
            </w:pPr>
            <w:r>
              <w:rPr>
                <w:rFonts w:ascii="宋体" w:hAnsi="宋体"/>
                <w:kern w:val="0"/>
                <w:szCs w:val="21"/>
              </w:rPr>
              <w:t>封套上写明</w:t>
            </w:r>
          </w:p>
        </w:tc>
        <w:tc>
          <w:tcPr>
            <w:tcW w:w="5864" w:type="dxa"/>
            <w:vAlign w:val="center"/>
          </w:tcPr>
          <w:p>
            <w:pPr>
              <w:spacing w:line="360" w:lineRule="exact"/>
              <w:jc w:val="left"/>
              <w:rPr>
                <w:rFonts w:ascii="宋体" w:hAnsi="宋体"/>
                <w:kern w:val="0"/>
                <w:szCs w:val="21"/>
              </w:rPr>
            </w:pPr>
            <w:bookmarkStart w:id="155" w:name="EB0be95bca8da54c898cfef17ae2750f28"/>
            <w:r>
              <w:rPr>
                <w:rFonts w:hint="eastAsia" w:ascii="宋体" w:hAnsi="宋体"/>
                <w:kern w:val="0"/>
                <w:szCs w:val="21"/>
              </w:rPr>
              <w:t>项目编号：</w:t>
            </w:r>
          </w:p>
          <w:p>
            <w:pPr>
              <w:spacing w:line="360" w:lineRule="exact"/>
              <w:jc w:val="left"/>
              <w:rPr>
                <w:rFonts w:ascii="宋体" w:hAnsi="宋体"/>
                <w:kern w:val="0"/>
                <w:szCs w:val="21"/>
              </w:rPr>
            </w:pPr>
            <w:r>
              <w:rPr>
                <w:rFonts w:hint="eastAsia" w:ascii="宋体" w:hAnsi="宋体"/>
                <w:kern w:val="0"/>
                <w:szCs w:val="21"/>
              </w:rPr>
              <w:t>招标人名称：</w:t>
            </w:r>
          </w:p>
          <w:p>
            <w:pPr>
              <w:spacing w:line="360" w:lineRule="exact"/>
              <w:jc w:val="left"/>
              <w:rPr>
                <w:rFonts w:ascii="宋体" w:hAnsi="宋体"/>
                <w:kern w:val="0"/>
                <w:szCs w:val="21"/>
              </w:rPr>
            </w:pPr>
            <w:r>
              <w:rPr>
                <w:rFonts w:hint="eastAsia" w:ascii="宋体" w:hAnsi="宋体"/>
                <w:kern w:val="0"/>
                <w:szCs w:val="21"/>
              </w:rPr>
              <w:t>___________（项目名称）</w:t>
            </w:r>
          </w:p>
          <w:p>
            <w:pPr>
              <w:spacing w:line="360" w:lineRule="exact"/>
              <w:jc w:val="left"/>
              <w:rPr>
                <w:rFonts w:ascii="宋体" w:hAnsi="宋体"/>
                <w:kern w:val="0"/>
                <w:szCs w:val="21"/>
              </w:rPr>
            </w:pPr>
            <w:r>
              <w:rPr>
                <w:rFonts w:hint="eastAsia" w:ascii="宋体" w:hAnsi="宋体"/>
                <w:kern w:val="0"/>
                <w:szCs w:val="21"/>
              </w:rPr>
              <w:t>投标文件</w:t>
            </w:r>
          </w:p>
          <w:p>
            <w:pPr>
              <w:spacing w:line="360" w:lineRule="exact"/>
              <w:jc w:val="left"/>
              <w:rPr>
                <w:rFonts w:ascii="宋体" w:hAnsi="宋体"/>
                <w:kern w:val="0"/>
                <w:szCs w:val="21"/>
                <w:u w:val="single"/>
              </w:rPr>
            </w:pPr>
            <w:r>
              <w:rPr>
                <w:rFonts w:hint="eastAsia" w:ascii="宋体" w:hAnsi="宋体"/>
                <w:kern w:val="0"/>
                <w:szCs w:val="21"/>
                <w:u w:val="single"/>
              </w:rPr>
              <w:t>资格审查文件或资信文件或技术文件或报价文件</w:t>
            </w:r>
          </w:p>
          <w:p>
            <w:pPr>
              <w:spacing w:line="360" w:lineRule="exact"/>
              <w:jc w:val="left"/>
              <w:rPr>
                <w:rFonts w:ascii="宋体" w:hAnsi="宋体"/>
                <w:kern w:val="0"/>
                <w:szCs w:val="21"/>
              </w:rPr>
            </w:pPr>
            <w:r>
              <w:rPr>
                <w:rFonts w:hint="eastAsia" w:ascii="宋体" w:hAnsi="宋体"/>
                <w:kern w:val="0"/>
                <w:szCs w:val="21"/>
              </w:rPr>
              <w:t>投标人地址：</w:t>
            </w:r>
          </w:p>
          <w:p>
            <w:pPr>
              <w:spacing w:line="360" w:lineRule="exact"/>
              <w:jc w:val="left"/>
              <w:rPr>
                <w:rFonts w:ascii="宋体" w:hAnsi="宋体"/>
                <w:kern w:val="0"/>
                <w:szCs w:val="21"/>
              </w:rPr>
            </w:pPr>
            <w:r>
              <w:rPr>
                <w:rFonts w:hint="eastAsia" w:ascii="宋体" w:hAnsi="宋体"/>
                <w:kern w:val="0"/>
                <w:szCs w:val="21"/>
              </w:rPr>
              <w:t>投标人名称：</w:t>
            </w:r>
          </w:p>
          <w:p>
            <w:pPr>
              <w:spacing w:line="360" w:lineRule="exact"/>
              <w:jc w:val="left"/>
              <w:rPr>
                <w:rFonts w:ascii="宋体" w:hAnsi="宋体"/>
                <w:kern w:val="0"/>
                <w:szCs w:val="21"/>
              </w:rPr>
            </w:pPr>
            <w:r>
              <w:rPr>
                <w:rFonts w:hint="eastAsia" w:ascii="宋体" w:hAnsi="宋体"/>
                <w:kern w:val="0"/>
                <w:szCs w:val="21"/>
              </w:rPr>
              <w:t>本投标文件投标截止时间前不得开启</w:t>
            </w:r>
            <w:bookmarkEnd w:id="155"/>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4.2.2</w:t>
            </w:r>
          </w:p>
        </w:tc>
        <w:tc>
          <w:tcPr>
            <w:tcW w:w="2110" w:type="dxa"/>
            <w:vAlign w:val="center"/>
          </w:tcPr>
          <w:p>
            <w:pPr>
              <w:spacing w:line="360" w:lineRule="exact"/>
              <w:rPr>
                <w:rFonts w:ascii="宋体" w:hAnsi="宋体"/>
                <w:kern w:val="0"/>
                <w:szCs w:val="21"/>
              </w:rPr>
            </w:pPr>
            <w:r>
              <w:rPr>
                <w:rFonts w:ascii="宋体" w:hAnsi="宋体"/>
                <w:kern w:val="0"/>
                <w:szCs w:val="21"/>
              </w:rPr>
              <w:t>递交投标文件地点</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详见招标公告。</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4.2.3</w:t>
            </w:r>
          </w:p>
        </w:tc>
        <w:tc>
          <w:tcPr>
            <w:tcW w:w="2110" w:type="dxa"/>
            <w:vAlign w:val="center"/>
          </w:tcPr>
          <w:p>
            <w:pPr>
              <w:spacing w:line="360" w:lineRule="exact"/>
              <w:rPr>
                <w:rFonts w:ascii="宋体" w:hAnsi="宋体"/>
                <w:kern w:val="0"/>
                <w:szCs w:val="21"/>
              </w:rPr>
            </w:pPr>
            <w:r>
              <w:rPr>
                <w:rFonts w:ascii="宋体" w:hAnsi="宋体"/>
                <w:kern w:val="0"/>
                <w:szCs w:val="21"/>
              </w:rPr>
              <w:t>是否退还投标文件</w:t>
            </w:r>
          </w:p>
        </w:tc>
        <w:tc>
          <w:tcPr>
            <w:tcW w:w="5864" w:type="dxa"/>
            <w:vAlign w:val="center"/>
          </w:tcPr>
          <w:p>
            <w:pPr>
              <w:spacing w:line="360" w:lineRule="exact"/>
              <w:jc w:val="left"/>
              <w:rPr>
                <w:rFonts w:ascii="宋体" w:hAnsi="宋体"/>
                <w:kern w:val="0"/>
                <w:szCs w:val="21"/>
                <w:u w:val="single"/>
              </w:rPr>
            </w:pPr>
            <w:r>
              <w:rPr>
                <w:rFonts w:ascii="宋体" w:hAnsi="宋体"/>
                <w:kern w:val="0"/>
                <w:szCs w:val="21"/>
              </w:rPr>
              <w:t>否</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5.1</w:t>
            </w:r>
          </w:p>
        </w:tc>
        <w:tc>
          <w:tcPr>
            <w:tcW w:w="2110" w:type="dxa"/>
            <w:vAlign w:val="center"/>
          </w:tcPr>
          <w:p>
            <w:pPr>
              <w:spacing w:line="360" w:lineRule="exact"/>
              <w:rPr>
                <w:rFonts w:ascii="宋体" w:hAnsi="宋体"/>
                <w:kern w:val="0"/>
                <w:szCs w:val="21"/>
              </w:rPr>
            </w:pPr>
            <w:r>
              <w:rPr>
                <w:rFonts w:hint="eastAsia" w:ascii="宋体" w:hAnsi="宋体"/>
                <w:kern w:val="0"/>
                <w:szCs w:val="21"/>
              </w:rPr>
              <w:t>截标、</w:t>
            </w:r>
            <w:r>
              <w:rPr>
                <w:rFonts w:ascii="宋体" w:hAnsi="宋体"/>
                <w:kern w:val="0"/>
                <w:szCs w:val="21"/>
              </w:rPr>
              <w:t>开标时间和地点</w:t>
            </w:r>
          </w:p>
        </w:tc>
        <w:tc>
          <w:tcPr>
            <w:tcW w:w="5864" w:type="dxa"/>
            <w:vAlign w:val="center"/>
          </w:tcPr>
          <w:p>
            <w:pPr>
              <w:spacing w:line="360" w:lineRule="exact"/>
              <w:jc w:val="left"/>
              <w:rPr>
                <w:rFonts w:ascii="宋体" w:hAnsi="宋体"/>
                <w:kern w:val="0"/>
                <w:szCs w:val="21"/>
              </w:rPr>
            </w:pPr>
            <w:bookmarkStart w:id="156" w:name="EB9dc210fb3ccf40ddb1c46c39ed5d1fbd"/>
            <w:r>
              <w:rPr>
                <w:rFonts w:hint="eastAsia" w:ascii="宋体" w:hAnsi="宋体"/>
                <w:kern w:val="0"/>
                <w:szCs w:val="21"/>
              </w:rPr>
              <w:t>投标截止时间：202</w:t>
            </w:r>
            <w:r>
              <w:rPr>
                <w:rFonts w:ascii="宋体" w:hAnsi="宋体"/>
                <w:kern w:val="0"/>
                <w:szCs w:val="21"/>
              </w:rPr>
              <w:t>4</w:t>
            </w:r>
            <w:r>
              <w:rPr>
                <w:rFonts w:hint="eastAsia" w:ascii="宋体" w:hAnsi="宋体"/>
                <w:kern w:val="0"/>
                <w:szCs w:val="21"/>
              </w:rPr>
              <w:t>年12月06日9时30分（北京时间）</w:t>
            </w:r>
          </w:p>
          <w:p>
            <w:pPr>
              <w:spacing w:line="360" w:lineRule="exact"/>
              <w:jc w:val="left"/>
              <w:rPr>
                <w:rFonts w:ascii="宋体" w:hAnsi="宋体"/>
                <w:kern w:val="0"/>
                <w:szCs w:val="21"/>
              </w:rPr>
            </w:pPr>
            <w:r>
              <w:rPr>
                <w:rFonts w:hint="eastAsia" w:ascii="宋体" w:hAnsi="宋体"/>
                <w:kern w:val="0"/>
                <w:szCs w:val="21"/>
              </w:rPr>
              <w:t>开标时间：同投标截止时间</w:t>
            </w:r>
          </w:p>
          <w:p>
            <w:pPr>
              <w:spacing w:line="360" w:lineRule="exact"/>
              <w:jc w:val="left"/>
              <w:rPr>
                <w:rFonts w:ascii="宋体" w:hAnsi="宋体"/>
                <w:kern w:val="0"/>
                <w:szCs w:val="21"/>
              </w:rPr>
            </w:pPr>
            <w:r>
              <w:rPr>
                <w:rFonts w:hint="eastAsia" w:ascii="宋体" w:hAnsi="宋体"/>
                <w:kern w:val="0"/>
                <w:szCs w:val="21"/>
              </w:rPr>
              <w:t>开标地点：</w:t>
            </w:r>
            <w:bookmarkEnd w:id="156"/>
            <w:r>
              <w:rPr>
                <w:rFonts w:hint="eastAsia" w:ascii="宋体" w:hAnsi="宋体"/>
                <w:szCs w:val="21"/>
              </w:rPr>
              <w:t>广西城通工程咨询有限责任公司（</w:t>
            </w:r>
            <w:r>
              <w:rPr>
                <w:rFonts w:hint="eastAsia" w:ascii="宋体" w:hAnsi="宋体" w:cs="宋体"/>
                <w:szCs w:val="21"/>
              </w:rPr>
              <w:t>南宁市青秀区云景路7</w:t>
            </w:r>
            <w:r>
              <w:rPr>
                <w:rFonts w:ascii="宋体" w:hAnsi="宋体" w:cs="宋体"/>
                <w:szCs w:val="21"/>
              </w:rPr>
              <w:t>1</w:t>
            </w:r>
            <w:r>
              <w:rPr>
                <w:rFonts w:hint="eastAsia" w:ascii="宋体" w:hAnsi="宋体" w:cs="宋体"/>
                <w:szCs w:val="21"/>
              </w:rPr>
              <w:t>号</w:t>
            </w:r>
            <w:r>
              <w:rPr>
                <w:rFonts w:ascii="宋体" w:hAnsi="宋体" w:cs="宋体"/>
                <w:szCs w:val="21"/>
              </w:rPr>
              <w:t>401</w:t>
            </w:r>
            <w:r>
              <w:rPr>
                <w:rFonts w:hint="eastAsia" w:ascii="宋体" w:hAnsi="宋体" w:cs="宋体"/>
                <w:szCs w:val="21"/>
              </w:rPr>
              <w:t>室</w:t>
            </w:r>
            <w:r>
              <w:rPr>
                <w:rFonts w:hint="eastAsia" w:ascii="宋体" w:hAnsi="宋体"/>
                <w:szCs w:val="21"/>
              </w:rPr>
              <w:t>）</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5.2</w:t>
            </w:r>
            <w:r>
              <w:rPr>
                <w:rFonts w:hint="eastAsia" w:ascii="宋体" w:hAnsi="宋体"/>
                <w:kern w:val="0"/>
                <w:szCs w:val="21"/>
              </w:rPr>
              <w:t>.</w:t>
            </w:r>
            <w:r>
              <w:rPr>
                <w:rFonts w:ascii="宋体" w:hAnsi="宋体"/>
                <w:kern w:val="0"/>
                <w:szCs w:val="21"/>
              </w:rPr>
              <w:t>1</w:t>
            </w:r>
          </w:p>
        </w:tc>
        <w:tc>
          <w:tcPr>
            <w:tcW w:w="2110" w:type="dxa"/>
            <w:vAlign w:val="center"/>
          </w:tcPr>
          <w:p>
            <w:pPr>
              <w:spacing w:line="360" w:lineRule="exact"/>
              <w:rPr>
                <w:rFonts w:ascii="宋体" w:hAnsi="宋体"/>
                <w:kern w:val="0"/>
                <w:szCs w:val="21"/>
              </w:rPr>
            </w:pPr>
            <w:r>
              <w:rPr>
                <w:rFonts w:ascii="宋体" w:hAnsi="宋体"/>
                <w:kern w:val="0"/>
                <w:szCs w:val="21"/>
              </w:rPr>
              <w:t>开标</w:t>
            </w:r>
          </w:p>
        </w:tc>
        <w:tc>
          <w:tcPr>
            <w:tcW w:w="5864" w:type="dxa"/>
            <w:vAlign w:val="center"/>
          </w:tcPr>
          <w:p>
            <w:pPr>
              <w:spacing w:line="360" w:lineRule="exact"/>
              <w:jc w:val="left"/>
              <w:rPr>
                <w:rFonts w:ascii="宋体" w:hAnsi="宋体"/>
                <w:kern w:val="0"/>
                <w:szCs w:val="21"/>
              </w:rPr>
            </w:pPr>
            <w:r>
              <w:rPr>
                <w:rFonts w:ascii="宋体" w:hAnsi="宋体"/>
                <w:kern w:val="0"/>
                <w:szCs w:val="21"/>
              </w:rPr>
              <w:t>开标顺序：</w:t>
            </w:r>
            <w:r>
              <w:rPr>
                <w:rFonts w:ascii="宋体" w:hAnsi="宋体"/>
                <w:kern w:val="0"/>
                <w:szCs w:val="21"/>
                <w:u w:val="single"/>
              </w:rPr>
              <w:t>随机</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hint="eastAsia" w:ascii="宋体" w:hAnsi="宋体"/>
                <w:kern w:val="0"/>
                <w:szCs w:val="21"/>
              </w:rPr>
              <w:t>6.1.1</w:t>
            </w:r>
          </w:p>
        </w:tc>
        <w:tc>
          <w:tcPr>
            <w:tcW w:w="2110" w:type="dxa"/>
            <w:vAlign w:val="center"/>
          </w:tcPr>
          <w:p>
            <w:pPr>
              <w:spacing w:line="360" w:lineRule="exact"/>
              <w:rPr>
                <w:rFonts w:ascii="宋体" w:hAnsi="宋体"/>
                <w:kern w:val="0"/>
                <w:szCs w:val="21"/>
              </w:rPr>
            </w:pPr>
            <w:r>
              <w:rPr>
                <w:rFonts w:hint="eastAsia" w:ascii="宋体" w:hAnsi="宋体"/>
                <w:kern w:val="0"/>
                <w:szCs w:val="21"/>
              </w:rPr>
              <w:t>评标委员会的组建</w:t>
            </w:r>
          </w:p>
        </w:tc>
        <w:tc>
          <w:tcPr>
            <w:tcW w:w="5864" w:type="dxa"/>
            <w:vAlign w:val="center"/>
          </w:tcPr>
          <w:p>
            <w:pPr>
              <w:spacing w:line="360" w:lineRule="exact"/>
              <w:jc w:val="left"/>
              <w:rPr>
                <w:rFonts w:ascii="宋体" w:hAnsi="宋体"/>
                <w:kern w:val="0"/>
                <w:szCs w:val="21"/>
              </w:rPr>
            </w:pPr>
            <w:bookmarkStart w:id="157" w:name="EBa378068603ea4135a471662f37485f80"/>
            <w:r>
              <w:rPr>
                <w:rFonts w:hint="eastAsia" w:ascii="宋体" w:hAnsi="宋体"/>
                <w:kern w:val="0"/>
                <w:szCs w:val="21"/>
              </w:rPr>
              <w:t>评标委员会构成：</w:t>
            </w:r>
            <w:r>
              <w:rPr>
                <w:rFonts w:ascii="宋体" w:hAnsi="宋体"/>
                <w:szCs w:val="21"/>
              </w:rPr>
              <w:t>成员人数为5人及以上单数，其中技术、经济等方面的专家组成不得少于成员总数的2/3，招标人委派评标专家不得多于成员总数的1/3。</w:t>
            </w:r>
            <w:bookmarkEnd w:id="157"/>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6.</w:t>
            </w:r>
            <w:r>
              <w:rPr>
                <w:rFonts w:hint="eastAsia" w:ascii="宋体" w:hAnsi="宋体"/>
                <w:kern w:val="0"/>
                <w:szCs w:val="21"/>
              </w:rPr>
              <w:t>3</w:t>
            </w:r>
          </w:p>
        </w:tc>
        <w:tc>
          <w:tcPr>
            <w:tcW w:w="2110" w:type="dxa"/>
            <w:vAlign w:val="center"/>
          </w:tcPr>
          <w:p>
            <w:pPr>
              <w:spacing w:line="360" w:lineRule="exact"/>
              <w:rPr>
                <w:rFonts w:ascii="宋体" w:hAnsi="宋体"/>
                <w:kern w:val="0"/>
                <w:szCs w:val="21"/>
              </w:rPr>
            </w:pPr>
            <w:r>
              <w:rPr>
                <w:rFonts w:ascii="宋体" w:hAnsi="宋体"/>
                <w:kern w:val="0"/>
                <w:szCs w:val="21"/>
              </w:rPr>
              <w:t>评标</w:t>
            </w:r>
            <w:r>
              <w:rPr>
                <w:rFonts w:hint="eastAsia" w:ascii="宋体" w:hAnsi="宋体"/>
                <w:kern w:val="0"/>
                <w:szCs w:val="21"/>
              </w:rPr>
              <w:t>办法</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采用</w:t>
            </w:r>
            <w:r>
              <w:rPr>
                <w:rFonts w:ascii="宋体" w:hAnsi="宋体"/>
                <w:kern w:val="0"/>
                <w:szCs w:val="21"/>
              </w:rPr>
              <w:t>综合评估法</w:t>
            </w:r>
            <w:r>
              <w:rPr>
                <w:rFonts w:hint="eastAsia" w:ascii="宋体" w:hAnsi="宋体"/>
                <w:kern w:val="0"/>
                <w:szCs w:val="21"/>
              </w:rPr>
              <w:t>，详见第三章《评标办法》</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7.1</w:t>
            </w:r>
          </w:p>
        </w:tc>
        <w:tc>
          <w:tcPr>
            <w:tcW w:w="2110" w:type="dxa"/>
            <w:vAlign w:val="center"/>
          </w:tcPr>
          <w:p>
            <w:pPr>
              <w:spacing w:line="360" w:lineRule="exact"/>
              <w:rPr>
                <w:rFonts w:ascii="宋体" w:hAnsi="宋体"/>
                <w:kern w:val="0"/>
                <w:szCs w:val="21"/>
              </w:rPr>
            </w:pPr>
            <w:r>
              <w:rPr>
                <w:rFonts w:ascii="宋体" w:hAnsi="宋体"/>
                <w:kern w:val="0"/>
                <w:szCs w:val="21"/>
              </w:rPr>
              <w:t>是否授权评标委员会确定中标人</w:t>
            </w:r>
          </w:p>
        </w:tc>
        <w:tc>
          <w:tcPr>
            <w:tcW w:w="5864" w:type="dxa"/>
            <w:vAlign w:val="center"/>
          </w:tcPr>
          <w:p>
            <w:pPr>
              <w:spacing w:line="360" w:lineRule="exact"/>
              <w:rPr>
                <w:rFonts w:ascii="宋体" w:hAnsi="宋体"/>
                <w:kern w:val="0"/>
                <w:szCs w:val="21"/>
              </w:rPr>
            </w:pPr>
            <w:r>
              <w:rPr>
                <w:rFonts w:ascii="宋体" w:hAnsi="宋体"/>
                <w:kern w:val="0"/>
                <w:szCs w:val="21"/>
              </w:rPr>
              <w:t>否，</w:t>
            </w:r>
            <w:r>
              <w:rPr>
                <w:rFonts w:hint="eastAsia" w:ascii="宋体" w:hAnsi="宋体"/>
                <w:kern w:val="0"/>
                <w:szCs w:val="21"/>
              </w:rPr>
              <w:t>评标委员会</w:t>
            </w:r>
            <w:r>
              <w:rPr>
                <w:rFonts w:ascii="宋体" w:hAnsi="宋体"/>
                <w:kern w:val="0"/>
                <w:szCs w:val="21"/>
              </w:rPr>
              <w:t>根据综合评分排名情况，</w:t>
            </w:r>
            <w:r>
              <w:rPr>
                <w:rFonts w:hint="eastAsia" w:ascii="宋体" w:hAnsi="宋体"/>
                <w:kern w:val="0"/>
                <w:szCs w:val="21"/>
              </w:rPr>
              <w:t>推荐</w:t>
            </w:r>
            <w:r>
              <w:rPr>
                <w:rFonts w:ascii="宋体" w:hAnsi="宋体"/>
                <w:kern w:val="0"/>
                <w:szCs w:val="21"/>
              </w:rPr>
              <w:t>3</w:t>
            </w:r>
            <w:r>
              <w:rPr>
                <w:rFonts w:hint="eastAsia" w:ascii="宋体" w:hAnsi="宋体"/>
                <w:kern w:val="0"/>
                <w:szCs w:val="21"/>
              </w:rPr>
              <w:t>名中标候选人（当中标候选人不足</w:t>
            </w:r>
            <w:r>
              <w:rPr>
                <w:rFonts w:ascii="宋体" w:hAnsi="宋体"/>
                <w:kern w:val="0"/>
                <w:szCs w:val="21"/>
              </w:rPr>
              <w:t>3</w:t>
            </w:r>
            <w:r>
              <w:rPr>
                <w:rFonts w:hint="eastAsia" w:ascii="宋体" w:hAnsi="宋体"/>
                <w:kern w:val="0"/>
                <w:szCs w:val="21"/>
              </w:rPr>
              <w:t>名时按实际数量推荐），并标明排序。</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ascii="宋体" w:hAnsi="宋体"/>
                <w:kern w:val="0"/>
                <w:szCs w:val="21"/>
              </w:rPr>
              <w:t>7.3.1</w:t>
            </w:r>
          </w:p>
        </w:tc>
        <w:tc>
          <w:tcPr>
            <w:tcW w:w="2110" w:type="dxa"/>
            <w:vAlign w:val="center"/>
          </w:tcPr>
          <w:p>
            <w:pPr>
              <w:spacing w:line="360" w:lineRule="exact"/>
              <w:rPr>
                <w:rFonts w:ascii="宋体" w:hAnsi="宋体"/>
                <w:kern w:val="0"/>
                <w:szCs w:val="21"/>
              </w:rPr>
            </w:pPr>
            <w:r>
              <w:rPr>
                <w:rFonts w:ascii="宋体" w:hAnsi="宋体"/>
                <w:kern w:val="0"/>
                <w:szCs w:val="21"/>
              </w:rPr>
              <w:t>履约</w:t>
            </w:r>
            <w:r>
              <w:rPr>
                <w:rFonts w:hint="eastAsia" w:ascii="宋体" w:hAnsi="宋体"/>
                <w:kern w:val="0"/>
                <w:szCs w:val="21"/>
              </w:rPr>
              <w:t>保证金</w:t>
            </w:r>
          </w:p>
        </w:tc>
        <w:tc>
          <w:tcPr>
            <w:tcW w:w="5864" w:type="dxa"/>
            <w:vAlign w:val="center"/>
          </w:tcPr>
          <w:p>
            <w:pPr>
              <w:spacing w:line="360" w:lineRule="exact"/>
              <w:jc w:val="left"/>
              <w:rPr>
                <w:rFonts w:ascii="宋体" w:hAnsi="宋体"/>
                <w:kern w:val="0"/>
                <w:szCs w:val="21"/>
              </w:rPr>
            </w:pPr>
            <w:r>
              <w:rPr>
                <w:rFonts w:hint="eastAsia" w:ascii="宋体" w:hAnsi="宋体"/>
                <w:kern w:val="0"/>
                <w:szCs w:val="21"/>
              </w:rPr>
              <w:t>无</w:t>
            </w:r>
          </w:p>
        </w:tc>
      </w:tr>
      <w:tr>
        <w:trPr>
          <w:trHeight w:val="454" w:hRule="atLeast"/>
          <w:jc w:val="center"/>
        </w:trPr>
        <w:tc>
          <w:tcPr>
            <w:tcW w:w="1207" w:type="dxa"/>
            <w:vAlign w:val="center"/>
          </w:tcPr>
          <w:p>
            <w:pPr>
              <w:spacing w:line="360" w:lineRule="exact"/>
              <w:jc w:val="center"/>
              <w:rPr>
                <w:rFonts w:ascii="宋体" w:hAnsi="宋体"/>
                <w:kern w:val="0"/>
                <w:szCs w:val="21"/>
              </w:rPr>
            </w:pPr>
            <w:r>
              <w:rPr>
                <w:rFonts w:hint="eastAsia" w:ascii="宋体" w:hAnsi="宋体"/>
                <w:kern w:val="0"/>
                <w:szCs w:val="21"/>
              </w:rPr>
              <w:t>7.4.4</w:t>
            </w:r>
          </w:p>
        </w:tc>
        <w:tc>
          <w:tcPr>
            <w:tcW w:w="2110" w:type="dxa"/>
            <w:vAlign w:val="center"/>
          </w:tcPr>
          <w:p>
            <w:pPr>
              <w:spacing w:line="360" w:lineRule="exact"/>
              <w:rPr>
                <w:rFonts w:ascii="宋体" w:hAnsi="宋体"/>
                <w:kern w:val="0"/>
                <w:szCs w:val="21"/>
              </w:rPr>
            </w:pPr>
            <w:r>
              <w:rPr>
                <w:rFonts w:hint="eastAsia" w:ascii="宋体" w:hAnsi="宋体"/>
              </w:rPr>
              <w:t>放弃中标人资格</w:t>
            </w:r>
          </w:p>
        </w:tc>
        <w:tc>
          <w:tcPr>
            <w:tcW w:w="5864" w:type="dxa"/>
            <w:vAlign w:val="center"/>
          </w:tcPr>
          <w:p>
            <w:pPr>
              <w:spacing w:line="360" w:lineRule="exact"/>
              <w:rPr>
                <w:rFonts w:ascii="宋体" w:hAnsi="宋体"/>
                <w:kern w:val="0"/>
                <w:szCs w:val="21"/>
              </w:rPr>
            </w:pPr>
            <w:r>
              <w:rPr>
                <w:rFonts w:hint="eastAsia" w:ascii="宋体" w:hAnsi="宋体"/>
              </w:rPr>
              <w:t>中标人如放弃中标资格，则纳入招标人的不良信用名单名库，并禁止1年内不得投属于招标人的项目。</w:t>
            </w:r>
          </w:p>
        </w:tc>
      </w:tr>
      <w:tr>
        <w:trPr>
          <w:trHeight w:val="454" w:hRule="atLeast"/>
          <w:jc w:val="center"/>
        </w:trPr>
        <w:tc>
          <w:tcPr>
            <w:tcW w:w="9181" w:type="dxa"/>
            <w:gridSpan w:val="3"/>
            <w:vAlign w:val="center"/>
          </w:tcPr>
          <w:p>
            <w:pPr>
              <w:spacing w:line="360" w:lineRule="exact"/>
              <w:jc w:val="left"/>
              <w:rPr>
                <w:rFonts w:ascii="宋体" w:hAnsi="宋体"/>
                <w:kern w:val="0"/>
                <w:szCs w:val="21"/>
              </w:rPr>
            </w:pPr>
            <w:r>
              <w:rPr>
                <w:rFonts w:ascii="宋体" w:hAnsi="宋体"/>
                <w:kern w:val="0"/>
                <w:szCs w:val="21"/>
              </w:rPr>
              <w:t>10. 需要补充的其他内容</w:t>
            </w:r>
          </w:p>
        </w:tc>
      </w:tr>
      <w:tr>
        <w:trPr>
          <w:trHeight w:val="454" w:hRule="atLeast"/>
          <w:jc w:val="center"/>
        </w:trPr>
        <w:tc>
          <w:tcPr>
            <w:tcW w:w="1207" w:type="dxa"/>
            <w:vAlign w:val="center"/>
          </w:tcPr>
          <w:p>
            <w:pPr>
              <w:spacing w:line="360" w:lineRule="exact"/>
              <w:rPr>
                <w:rFonts w:ascii="宋体" w:hAnsi="宋体"/>
                <w:kern w:val="0"/>
                <w:szCs w:val="21"/>
              </w:rPr>
            </w:pPr>
            <w:r>
              <w:rPr>
                <w:rFonts w:hint="eastAsia" w:ascii="宋体" w:hAnsi="宋体"/>
                <w:kern w:val="0"/>
                <w:szCs w:val="21"/>
              </w:rPr>
              <w:t>10.1</w:t>
            </w:r>
          </w:p>
        </w:tc>
        <w:tc>
          <w:tcPr>
            <w:tcW w:w="2110" w:type="dxa"/>
            <w:vAlign w:val="center"/>
          </w:tcPr>
          <w:p>
            <w:pPr>
              <w:spacing w:line="360" w:lineRule="exact"/>
              <w:rPr>
                <w:rFonts w:ascii="宋体" w:hAnsi="宋体"/>
                <w:kern w:val="0"/>
                <w:szCs w:val="21"/>
              </w:rPr>
            </w:pPr>
            <w:r>
              <w:rPr>
                <w:rFonts w:hint="eastAsia" w:ascii="宋体" w:hAnsi="宋体"/>
                <w:kern w:val="0"/>
                <w:szCs w:val="21"/>
              </w:rPr>
              <w:t>词语定义</w:t>
            </w:r>
          </w:p>
        </w:tc>
        <w:tc>
          <w:tcPr>
            <w:tcW w:w="5864" w:type="dxa"/>
            <w:vAlign w:val="center"/>
          </w:tcPr>
          <w:p>
            <w:pPr>
              <w:spacing w:line="360" w:lineRule="exact"/>
              <w:rPr>
                <w:rFonts w:ascii="宋体" w:hAnsi="宋体"/>
                <w:szCs w:val="21"/>
              </w:rPr>
            </w:pPr>
            <w:r>
              <w:rPr>
                <w:rFonts w:hint="eastAsia" w:ascii="宋体" w:hAnsi="宋体"/>
                <w:szCs w:val="21"/>
              </w:rPr>
              <w:t>1.本招标文件中描述投标人的</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是指根据我国对公章的管理规定，用投标人法定主体行为名称制作的印章，除本招标文件有特殊规定外，投标人的财务章、部门章、分公司章、工会章、合同章、投标专用章、业务专用章等其它形式印章均不能代替公章。</w:t>
            </w:r>
          </w:p>
          <w:p>
            <w:pPr>
              <w:spacing w:line="360" w:lineRule="exact"/>
              <w:jc w:val="left"/>
              <w:rPr>
                <w:rFonts w:ascii="宋体" w:hAnsi="宋体"/>
                <w:kern w:val="0"/>
                <w:szCs w:val="21"/>
                <w:u w:val="single"/>
              </w:rPr>
            </w:pPr>
            <w:r>
              <w:rPr>
                <w:rFonts w:hint="eastAsia" w:ascii="宋体" w:hAnsi="宋体"/>
                <w:szCs w:val="21"/>
              </w:rPr>
              <w:t>2.本招标文件中描述投标人的</w:t>
            </w:r>
            <w:r>
              <w:rPr>
                <w:rFonts w:ascii="宋体" w:hAnsi="宋体"/>
                <w:szCs w:val="21"/>
              </w:rPr>
              <w:t>“</w:t>
            </w:r>
            <w:r>
              <w:rPr>
                <w:rFonts w:hint="eastAsia" w:ascii="宋体" w:hAnsi="宋体"/>
                <w:szCs w:val="21"/>
              </w:rPr>
              <w:t>签字</w:t>
            </w:r>
            <w:r>
              <w:rPr>
                <w:rFonts w:ascii="宋体" w:hAnsi="宋体"/>
                <w:szCs w:val="21"/>
              </w:rPr>
              <w:t>”</w:t>
            </w:r>
            <w:r>
              <w:rPr>
                <w:rFonts w:hint="eastAsia" w:ascii="宋体" w:hAnsi="宋体"/>
                <w:szCs w:val="21"/>
              </w:rPr>
              <w:t>是指投标人的法定代表人或被授权人亲自在招标文件规定签署处亲笔写上个人的名字的行为。</w:t>
            </w:r>
          </w:p>
        </w:tc>
      </w:tr>
      <w:tr>
        <w:trPr>
          <w:trHeight w:val="454" w:hRule="atLeast"/>
          <w:jc w:val="center"/>
        </w:trPr>
        <w:tc>
          <w:tcPr>
            <w:tcW w:w="1207" w:type="dxa"/>
            <w:vAlign w:val="center"/>
          </w:tcPr>
          <w:p>
            <w:pPr>
              <w:spacing w:line="360" w:lineRule="exact"/>
              <w:rPr>
                <w:rFonts w:ascii="宋体" w:hAnsi="宋体"/>
                <w:kern w:val="0"/>
                <w:szCs w:val="21"/>
              </w:rPr>
            </w:pPr>
            <w:r>
              <w:rPr>
                <w:rFonts w:hint="eastAsia" w:ascii="宋体" w:hAnsi="宋体"/>
                <w:kern w:val="0"/>
                <w:szCs w:val="21"/>
              </w:rPr>
              <w:t>1</w:t>
            </w:r>
            <w:r>
              <w:rPr>
                <w:rFonts w:ascii="宋体" w:hAnsi="宋体"/>
                <w:kern w:val="0"/>
                <w:szCs w:val="21"/>
              </w:rPr>
              <w:t>0.2</w:t>
            </w:r>
          </w:p>
        </w:tc>
        <w:tc>
          <w:tcPr>
            <w:tcW w:w="2110" w:type="dxa"/>
            <w:vAlign w:val="center"/>
          </w:tcPr>
          <w:p>
            <w:pPr>
              <w:spacing w:line="360" w:lineRule="exact"/>
              <w:rPr>
                <w:rFonts w:ascii="宋体" w:hAnsi="宋体"/>
                <w:kern w:val="0"/>
                <w:szCs w:val="21"/>
              </w:rPr>
            </w:pPr>
            <w:r>
              <w:rPr>
                <w:rFonts w:ascii="宋体" w:hAnsi="宋体"/>
                <w:kern w:val="0"/>
                <w:szCs w:val="21"/>
              </w:rPr>
              <w:t>招标上限控制价</w:t>
            </w:r>
          </w:p>
        </w:tc>
        <w:tc>
          <w:tcPr>
            <w:tcW w:w="5864" w:type="dxa"/>
            <w:vAlign w:val="center"/>
          </w:tcPr>
          <w:p>
            <w:pPr>
              <w:widowControl/>
              <w:spacing w:line="360" w:lineRule="exact"/>
              <w:rPr>
                <w:rFonts w:ascii="宋体" w:hAnsi="宋体"/>
              </w:rPr>
            </w:pPr>
            <w:r>
              <w:rPr>
                <w:rFonts w:hint="eastAsia" w:ascii="MS Gothic" w:hAnsi="MS Gothic" w:eastAsia="MS Gothic" w:cs="MS Gothic"/>
              </w:rPr>
              <w:t>☑</w:t>
            </w:r>
            <w:r>
              <w:rPr>
                <w:rFonts w:hint="eastAsia" w:ascii="宋体" w:hAnsi="宋体" w:cs="宋体"/>
              </w:rPr>
              <w:t>招标</w:t>
            </w:r>
            <w:r>
              <w:rPr>
                <w:rFonts w:ascii="宋体" w:hAnsi="宋体"/>
              </w:rPr>
              <w:t>上限</w:t>
            </w:r>
            <w:r>
              <w:rPr>
                <w:rFonts w:hint="eastAsia" w:ascii="宋体" w:hAnsi="宋体"/>
              </w:rPr>
              <w:t>控制价：本项目含增值税招标上限控制价为人民币叁佰肆拾玖万元整（小写¥：</w:t>
            </w:r>
            <w:r>
              <w:rPr>
                <w:rFonts w:ascii="宋体" w:hAnsi="宋体"/>
              </w:rPr>
              <w:t>3490000</w:t>
            </w:r>
            <w:r>
              <w:rPr>
                <w:rFonts w:hint="eastAsia" w:ascii="宋体" w:hAnsi="宋体"/>
              </w:rPr>
              <w:t>.00）。</w:t>
            </w:r>
            <w:r>
              <w:rPr>
                <w:rFonts w:hint="eastAsia" w:ascii="宋体" w:hAnsi="宋体"/>
                <w:kern w:val="0"/>
                <w:szCs w:val="21"/>
              </w:rPr>
              <w:t>投标报价高于招标</w:t>
            </w:r>
            <w:r>
              <w:rPr>
                <w:rFonts w:ascii="宋体" w:hAnsi="宋体"/>
                <w:kern w:val="0"/>
                <w:szCs w:val="21"/>
              </w:rPr>
              <w:t>上限</w:t>
            </w:r>
            <w:r>
              <w:rPr>
                <w:rFonts w:hint="eastAsia" w:ascii="宋体" w:hAnsi="宋体"/>
                <w:kern w:val="0"/>
                <w:szCs w:val="21"/>
              </w:rPr>
              <w:t>控制价的投标文件将按否决投标处理。详见第五章</w:t>
            </w:r>
            <w:r>
              <w:rPr>
                <w:rFonts w:ascii="宋体" w:hAnsi="宋体"/>
                <w:kern w:val="0"/>
                <w:szCs w:val="21"/>
              </w:rPr>
              <w:t>用户需求</w:t>
            </w:r>
            <w:r>
              <w:rPr>
                <w:rFonts w:hint="eastAsia" w:ascii="宋体" w:hAnsi="宋体"/>
                <w:kern w:val="0"/>
                <w:szCs w:val="21"/>
              </w:rPr>
              <w:t>。</w:t>
            </w:r>
          </w:p>
        </w:tc>
      </w:tr>
      <w:tr>
        <w:trPr>
          <w:trHeight w:val="90" w:hRule="atLeast"/>
          <w:jc w:val="center"/>
        </w:trPr>
        <w:tc>
          <w:tcPr>
            <w:tcW w:w="1207" w:type="dxa"/>
            <w:vAlign w:val="center"/>
          </w:tcPr>
          <w:p>
            <w:pPr>
              <w:spacing w:line="360" w:lineRule="exact"/>
              <w:rPr>
                <w:rFonts w:ascii="宋体" w:hAnsi="宋体"/>
                <w:kern w:val="0"/>
                <w:szCs w:val="21"/>
              </w:rPr>
            </w:pPr>
            <w:r>
              <w:rPr>
                <w:rFonts w:hint="eastAsia" w:ascii="宋体" w:hAnsi="宋体"/>
                <w:kern w:val="0"/>
                <w:szCs w:val="21"/>
              </w:rPr>
              <w:t>10.8</w:t>
            </w:r>
          </w:p>
        </w:tc>
        <w:tc>
          <w:tcPr>
            <w:tcW w:w="2110" w:type="dxa"/>
            <w:vAlign w:val="center"/>
          </w:tcPr>
          <w:p>
            <w:pPr>
              <w:spacing w:line="360" w:lineRule="exact"/>
              <w:rPr>
                <w:rFonts w:ascii="宋体" w:hAnsi="宋体"/>
                <w:kern w:val="0"/>
                <w:szCs w:val="21"/>
              </w:rPr>
            </w:pPr>
            <w:r>
              <w:rPr>
                <w:rFonts w:ascii="宋体" w:hAnsi="宋体"/>
                <w:kern w:val="0"/>
                <w:szCs w:val="21"/>
              </w:rPr>
              <w:t>其他</w:t>
            </w:r>
          </w:p>
        </w:tc>
        <w:tc>
          <w:tcPr>
            <w:tcW w:w="5864" w:type="dxa"/>
            <w:vAlign w:val="center"/>
          </w:tcPr>
          <w:p>
            <w:pPr>
              <w:widowControl/>
              <w:spacing w:line="360" w:lineRule="exact"/>
              <w:rPr>
                <w:rFonts w:ascii="宋体" w:hAnsi="宋体" w:cs="宋体"/>
                <w:szCs w:val="21"/>
              </w:rPr>
            </w:pPr>
            <w:r>
              <w:rPr>
                <w:rFonts w:hint="eastAsia" w:ascii="宋体" w:hAnsi="宋体"/>
                <w:szCs w:val="21"/>
              </w:rPr>
              <w:t>1.在签订合同前，招标人与中标人依据本次招标文件中的用户需求书、中标人的投标文件（如技术响应表、技术文件等），按照二者较优值形成技术规格书。并经双方确认后构成本合同的有效组成部分。在本合同执行中的系统技术指标以技术规格书为准。</w:t>
            </w:r>
            <w:r>
              <w:rPr>
                <w:rFonts w:hint="eastAsia" w:ascii="宋体" w:hAnsi="宋体" w:cs="宋体"/>
                <w:szCs w:val="21"/>
              </w:rPr>
              <w:t>若中标人在定标后及合同签订前，以上述事项为借口而不履行合同签订手续及执行合同，则视作放弃中标资格。</w:t>
            </w:r>
          </w:p>
          <w:p>
            <w:pPr>
              <w:spacing w:line="360" w:lineRule="exact"/>
              <w:rPr>
                <w:rFonts w:ascii="宋体" w:hAnsi="宋体"/>
              </w:rPr>
            </w:pPr>
            <w:r>
              <w:rPr>
                <w:rFonts w:hint="eastAsia" w:ascii="宋体" w:hAnsi="宋体"/>
              </w:rPr>
              <w:t>2.本项目招标代理服务费按下述方式之一支付：</w:t>
            </w:r>
          </w:p>
          <w:p>
            <w:pPr>
              <w:spacing w:line="360" w:lineRule="exact"/>
              <w:rPr>
                <w:b/>
              </w:rPr>
            </w:pPr>
            <w:r>
              <w:rPr>
                <w:rFonts w:hint="eastAsia" w:ascii="MS Gothic" w:hAnsi="MS Gothic" w:eastAsia="MS Gothic" w:cs="MS Gothic"/>
              </w:rPr>
              <w:t>☑</w:t>
            </w:r>
            <w:r>
              <w:rPr>
                <w:rFonts w:hint="eastAsia" w:ascii="宋体" w:hAnsi="宋体"/>
              </w:rPr>
              <w:t>由中标人向招标代理机构支付。</w:t>
            </w:r>
            <w:r>
              <w:rPr>
                <w:b/>
              </w:rPr>
              <w:t>具体为：</w:t>
            </w:r>
            <w:r>
              <w:rPr>
                <w:rFonts w:hint="eastAsia"/>
                <w:b/>
              </w:rPr>
              <w:t>本项目招标代理服务费由中标人在领取中标通知书前，一次性向招标代理机构支付，暂按招标控制价</w:t>
            </w:r>
            <w:r>
              <w:rPr>
                <w:b/>
              </w:rPr>
              <w:t>349</w:t>
            </w:r>
            <w:r>
              <w:rPr>
                <w:rFonts w:hint="eastAsia"/>
                <w:b/>
              </w:rPr>
              <w:t>万元计算</w:t>
            </w:r>
            <w:r>
              <w:rPr>
                <w:rFonts w:hint="eastAsia" w:ascii="宋体" w:hAnsi="宋体"/>
                <w:b/>
              </w:rPr>
              <w:t>，</w:t>
            </w:r>
            <w:r>
              <w:rPr>
                <w:rFonts w:hint="eastAsia"/>
                <w:b/>
              </w:rPr>
              <w:t>最终实际支付金额以中标价为基数计算，根据招标人与代理人签订的《招标代理合同》，本项目委托招标代理服务费按服务类标准计取，具体计算方式详见二、投标人须知正文部分 10.8其他。中标人在领取中标通知书前，根据招标人合约法规部出具的招标代理费用支付单，一次性向招标代理机构支付。招标代理机构在收到费用后5个工作日内向中标人开具增值税发票。中标人提供转账凭证向招标人领取中标通知书。</w:t>
            </w:r>
          </w:p>
          <w:p>
            <w:pPr>
              <w:spacing w:line="360" w:lineRule="exact"/>
              <w:rPr>
                <w:rFonts w:ascii="宋体" w:hAnsi="宋体"/>
                <w:szCs w:val="21"/>
              </w:rPr>
            </w:pPr>
            <w:r>
              <w:rPr>
                <w:rFonts w:hint="eastAsia" w:ascii="宋体" w:hAnsi="宋体"/>
                <w:szCs w:val="21"/>
              </w:rPr>
              <w:t>3.本项目招标文件的最终解释权归招标人。</w:t>
            </w:r>
          </w:p>
        </w:tc>
      </w:tr>
      <w:bookmarkEnd w:id="1"/>
      <w:bookmarkEnd w:id="2"/>
    </w:tbl>
    <w:p>
      <w:pPr>
        <w:jc w:val="center"/>
        <w:outlineLvl w:val="1"/>
      </w:pPr>
      <w:bookmarkStart w:id="158" w:name="_Toc143421656"/>
      <w:r>
        <w:rPr>
          <w:sz w:val="30"/>
          <w:szCs w:val="30"/>
        </w:rPr>
        <w:br w:type="page"/>
      </w:r>
      <w:bookmarkStart w:id="159" w:name="_Toc29786923"/>
      <w:bookmarkStart w:id="160" w:name="_Toc10996"/>
      <w:bookmarkStart w:id="161" w:name="_Toc26915"/>
      <w:bookmarkStart w:id="162" w:name="_Toc20233"/>
      <w:bookmarkStart w:id="163" w:name="_Toc29625"/>
      <w:bookmarkStart w:id="164" w:name="_Toc25321"/>
      <w:bookmarkStart w:id="165" w:name="_Toc2970"/>
      <w:bookmarkStart w:id="166" w:name="_Toc3568"/>
      <w:bookmarkStart w:id="167" w:name="_Toc16600"/>
      <w:bookmarkStart w:id="168" w:name="_Toc180507108"/>
      <w:bookmarkStart w:id="169" w:name="_Toc389065144"/>
      <w:bookmarkStart w:id="170" w:name="_Toc18787"/>
      <w:bookmarkStart w:id="171" w:name="_Toc27304"/>
      <w:bookmarkStart w:id="172" w:name="_Toc5989"/>
      <w:bookmarkStart w:id="173" w:name="_Toc6370"/>
      <w:bookmarkStart w:id="174" w:name="_Toc530736529"/>
      <w:bookmarkStart w:id="175" w:name="_Toc13547"/>
      <w:bookmarkStart w:id="176" w:name="_Toc20357"/>
      <w:bookmarkStart w:id="177" w:name="_Toc7485"/>
      <w:bookmarkStart w:id="178" w:name="_Toc234121008"/>
      <w:bookmarkStart w:id="179" w:name="_Toc12219"/>
      <w:r>
        <w:rPr>
          <w:rFonts w:hint="eastAsia" w:eastAsia="黑体"/>
          <w:b/>
          <w:bCs/>
          <w:kern w:val="0"/>
          <w:sz w:val="28"/>
          <w:szCs w:val="28"/>
        </w:rPr>
        <w:t>二、投标人须知正文部分</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80" w:name="_Toc14006"/>
      <w:bookmarkStart w:id="181" w:name="_Toc389065145"/>
    </w:p>
    <w:p>
      <w:pPr>
        <w:keepNext/>
        <w:keepLines/>
        <w:spacing w:before="240" w:beforeLines="100" w:line="360" w:lineRule="auto"/>
        <w:outlineLvl w:val="2"/>
        <w:rPr>
          <w:rFonts w:ascii="黑体" w:hAnsi="黑体" w:eastAsia="黑体"/>
          <w:b/>
          <w:bCs/>
          <w:sz w:val="24"/>
          <w:szCs w:val="21"/>
        </w:rPr>
      </w:pPr>
      <w:bookmarkStart w:id="182" w:name="_Toc16626"/>
      <w:r>
        <w:rPr>
          <w:rFonts w:ascii="黑体" w:hAnsi="黑体" w:eastAsia="黑体"/>
          <w:b/>
          <w:bCs/>
          <w:sz w:val="24"/>
          <w:szCs w:val="21"/>
        </w:rPr>
        <w:t>1</w:t>
      </w:r>
      <w:r>
        <w:rPr>
          <w:rFonts w:hint="eastAsia" w:ascii="黑体" w:hAnsi="黑体" w:eastAsia="黑体"/>
          <w:b/>
          <w:bCs/>
          <w:sz w:val="24"/>
          <w:szCs w:val="21"/>
        </w:rPr>
        <w:t xml:space="preserve"> </w:t>
      </w:r>
      <w:r>
        <w:rPr>
          <w:rFonts w:ascii="黑体" w:hAnsi="黑体" w:eastAsia="黑体"/>
          <w:b/>
          <w:bCs/>
          <w:sz w:val="24"/>
          <w:szCs w:val="21"/>
        </w:rPr>
        <w:t>总则</w:t>
      </w:r>
      <w:bookmarkEnd w:id="180"/>
      <w:bookmarkEnd w:id="181"/>
      <w:bookmarkEnd w:id="182"/>
    </w:p>
    <w:p>
      <w:pPr>
        <w:keepNext/>
        <w:keepLines/>
        <w:spacing w:line="360" w:lineRule="auto"/>
        <w:outlineLvl w:val="3"/>
        <w:rPr>
          <w:rFonts w:ascii="宋体" w:hAnsi="宋体"/>
          <w:b/>
          <w:bCs/>
          <w:szCs w:val="21"/>
        </w:rPr>
      </w:pPr>
      <w:bookmarkStart w:id="183" w:name="_Toc11792"/>
      <w:bookmarkStart w:id="184" w:name="_Toc389065146"/>
      <w:r>
        <w:rPr>
          <w:rFonts w:ascii="宋体" w:hAnsi="宋体"/>
          <w:b/>
          <w:bCs/>
          <w:szCs w:val="21"/>
        </w:rPr>
        <w:t>1.1 项目概况</w:t>
      </w:r>
      <w:bookmarkEnd w:id="183"/>
      <w:bookmarkEnd w:id="184"/>
    </w:p>
    <w:p>
      <w:pPr>
        <w:spacing w:line="360" w:lineRule="auto"/>
        <w:ind w:firstLine="420" w:firstLineChars="200"/>
        <w:rPr>
          <w:rFonts w:ascii="宋体" w:hAnsi="宋体"/>
          <w:kern w:val="0"/>
          <w:szCs w:val="21"/>
        </w:rPr>
      </w:pPr>
      <w:r>
        <w:rPr>
          <w:rFonts w:ascii="宋体" w:hAnsi="宋体"/>
          <w:kern w:val="0"/>
          <w:szCs w:val="21"/>
        </w:rPr>
        <w:t>1.1.1根据《中华人民共和国招标投标法》等有关法律、法规和规章的规定，本招标项目已具备招标条件，现对本</w:t>
      </w:r>
      <w:r>
        <w:rPr>
          <w:rFonts w:hint="eastAsia" w:ascii="宋体" w:hAnsi="宋体"/>
          <w:kern w:val="0"/>
          <w:szCs w:val="21"/>
        </w:rPr>
        <w:t>项目</w:t>
      </w:r>
      <w:r>
        <w:rPr>
          <w:rFonts w:ascii="宋体" w:hAnsi="宋体"/>
          <w:kern w:val="0"/>
          <w:szCs w:val="21"/>
        </w:rPr>
        <w:t>进行招标。</w:t>
      </w:r>
    </w:p>
    <w:p>
      <w:pPr>
        <w:spacing w:line="360" w:lineRule="auto"/>
        <w:ind w:firstLine="420" w:firstLineChars="200"/>
        <w:rPr>
          <w:rFonts w:ascii="宋体" w:hAnsi="宋体"/>
          <w:kern w:val="0"/>
          <w:szCs w:val="21"/>
        </w:rPr>
      </w:pPr>
      <w:r>
        <w:rPr>
          <w:rFonts w:ascii="宋体" w:hAnsi="宋体"/>
          <w:kern w:val="0"/>
          <w:szCs w:val="21"/>
        </w:rPr>
        <w:t>1.1.2 本招标项目招标人：见“投标人须知前附表”。</w:t>
      </w:r>
    </w:p>
    <w:p>
      <w:pPr>
        <w:spacing w:line="360" w:lineRule="auto"/>
        <w:ind w:firstLine="420" w:firstLineChars="200"/>
        <w:rPr>
          <w:rFonts w:ascii="宋体" w:hAnsi="宋体"/>
          <w:kern w:val="0"/>
          <w:szCs w:val="21"/>
        </w:rPr>
      </w:pPr>
      <w:r>
        <w:rPr>
          <w:rFonts w:ascii="宋体" w:hAnsi="宋体"/>
          <w:kern w:val="0"/>
          <w:szCs w:val="21"/>
        </w:rPr>
        <w:t>1.1.3 本</w:t>
      </w:r>
      <w:r>
        <w:rPr>
          <w:rFonts w:hint="eastAsia" w:ascii="宋体" w:hAnsi="宋体"/>
          <w:kern w:val="0"/>
          <w:szCs w:val="21"/>
        </w:rPr>
        <w:t>项目</w:t>
      </w:r>
      <w:r>
        <w:rPr>
          <w:rFonts w:ascii="宋体" w:hAnsi="宋体"/>
          <w:kern w:val="0"/>
          <w:szCs w:val="21"/>
        </w:rPr>
        <w:t>招标代理机构：见“投标人须知前附表”。</w:t>
      </w:r>
    </w:p>
    <w:p>
      <w:pPr>
        <w:spacing w:line="360" w:lineRule="auto"/>
        <w:ind w:firstLine="420" w:firstLineChars="200"/>
        <w:rPr>
          <w:rFonts w:ascii="宋体" w:hAnsi="宋体"/>
          <w:kern w:val="0"/>
          <w:szCs w:val="21"/>
        </w:rPr>
      </w:pPr>
      <w:r>
        <w:rPr>
          <w:rFonts w:ascii="宋体" w:hAnsi="宋体"/>
          <w:kern w:val="0"/>
          <w:szCs w:val="21"/>
        </w:rPr>
        <w:t>1.1.4 本招标项目名称：见“投标人须知前附表”。</w:t>
      </w:r>
    </w:p>
    <w:p>
      <w:pPr>
        <w:spacing w:line="360" w:lineRule="auto"/>
        <w:ind w:firstLine="420" w:firstLineChars="200"/>
        <w:rPr>
          <w:rFonts w:ascii="宋体" w:hAnsi="宋体"/>
          <w:kern w:val="0"/>
          <w:szCs w:val="21"/>
        </w:rPr>
      </w:pPr>
      <w:r>
        <w:rPr>
          <w:rFonts w:ascii="宋体" w:hAnsi="宋体"/>
          <w:kern w:val="0"/>
          <w:szCs w:val="21"/>
        </w:rPr>
        <w:t>1.1.5 本</w:t>
      </w:r>
      <w:r>
        <w:rPr>
          <w:rFonts w:hint="eastAsia" w:ascii="宋体" w:hAnsi="宋体"/>
          <w:kern w:val="0"/>
          <w:szCs w:val="21"/>
        </w:rPr>
        <w:t>项目</w:t>
      </w:r>
      <w:r>
        <w:rPr>
          <w:rFonts w:ascii="宋体" w:hAnsi="宋体"/>
          <w:kern w:val="0"/>
          <w:szCs w:val="21"/>
        </w:rPr>
        <w:t>地点：见“投标人须知前附表”。</w:t>
      </w:r>
    </w:p>
    <w:p>
      <w:pPr>
        <w:keepNext/>
        <w:keepLines/>
        <w:spacing w:line="360" w:lineRule="auto"/>
        <w:outlineLvl w:val="3"/>
        <w:rPr>
          <w:rFonts w:ascii="宋体" w:hAnsi="宋体"/>
          <w:b/>
          <w:bCs/>
          <w:szCs w:val="21"/>
        </w:rPr>
      </w:pPr>
      <w:bookmarkStart w:id="185" w:name="_Toc389065147"/>
      <w:bookmarkStart w:id="186" w:name="_Toc31441"/>
      <w:r>
        <w:rPr>
          <w:rFonts w:ascii="宋体" w:hAnsi="宋体"/>
          <w:b/>
          <w:bCs/>
          <w:szCs w:val="21"/>
        </w:rPr>
        <w:t>1.2 资金来源和落实情况</w:t>
      </w:r>
      <w:bookmarkEnd w:id="185"/>
      <w:bookmarkEnd w:id="186"/>
    </w:p>
    <w:p>
      <w:pPr>
        <w:spacing w:line="360" w:lineRule="auto"/>
        <w:ind w:firstLine="420" w:firstLineChars="200"/>
        <w:rPr>
          <w:rFonts w:ascii="宋体" w:hAnsi="宋体"/>
          <w:kern w:val="0"/>
          <w:szCs w:val="21"/>
        </w:rPr>
      </w:pPr>
      <w:r>
        <w:rPr>
          <w:rFonts w:ascii="宋体" w:hAnsi="宋体"/>
          <w:kern w:val="0"/>
          <w:szCs w:val="21"/>
        </w:rPr>
        <w:t>1.2.1 本招标项目的资金来源：见“投标人须知前附表”。</w:t>
      </w:r>
    </w:p>
    <w:p>
      <w:pPr>
        <w:spacing w:line="360" w:lineRule="auto"/>
        <w:ind w:firstLine="420" w:firstLineChars="200"/>
        <w:rPr>
          <w:rFonts w:ascii="宋体" w:hAnsi="宋体"/>
          <w:kern w:val="0"/>
          <w:szCs w:val="21"/>
        </w:rPr>
      </w:pPr>
      <w:r>
        <w:rPr>
          <w:rFonts w:ascii="宋体" w:hAnsi="宋体"/>
          <w:kern w:val="0"/>
          <w:szCs w:val="21"/>
        </w:rPr>
        <w:t>1.2.2 本招标项目的出资比例：见“投标人须知前附表”。</w:t>
      </w:r>
    </w:p>
    <w:p>
      <w:pPr>
        <w:spacing w:line="360" w:lineRule="auto"/>
        <w:ind w:firstLine="420" w:firstLineChars="200"/>
        <w:rPr>
          <w:rFonts w:ascii="宋体" w:hAnsi="宋体"/>
          <w:kern w:val="0"/>
          <w:szCs w:val="21"/>
        </w:rPr>
      </w:pPr>
      <w:r>
        <w:rPr>
          <w:rFonts w:ascii="宋体" w:hAnsi="宋体"/>
          <w:kern w:val="0"/>
          <w:szCs w:val="21"/>
        </w:rPr>
        <w:t>1.2.3 本招标项目的资金落实情况：见“投标人须知前附表”。</w:t>
      </w:r>
    </w:p>
    <w:p>
      <w:pPr>
        <w:spacing w:line="360" w:lineRule="auto"/>
        <w:ind w:firstLine="420" w:firstLineChars="200"/>
        <w:rPr>
          <w:rFonts w:ascii="宋体" w:hAnsi="宋体"/>
          <w:kern w:val="0"/>
          <w:szCs w:val="21"/>
        </w:rPr>
      </w:pPr>
      <w:r>
        <w:rPr>
          <w:rFonts w:hint="eastAsia" w:ascii="宋体" w:hAnsi="宋体"/>
          <w:kern w:val="0"/>
          <w:szCs w:val="21"/>
        </w:rPr>
        <w:t>1.2.4 本招标项目的增值税计税方法：</w:t>
      </w:r>
      <w:r>
        <w:rPr>
          <w:rFonts w:ascii="宋体" w:hAnsi="宋体"/>
          <w:kern w:val="0"/>
          <w:szCs w:val="21"/>
        </w:rPr>
        <w:t>见“投标人须知前附表”。</w:t>
      </w:r>
    </w:p>
    <w:p>
      <w:pPr>
        <w:keepNext/>
        <w:keepLines/>
        <w:spacing w:line="360" w:lineRule="auto"/>
        <w:outlineLvl w:val="3"/>
        <w:rPr>
          <w:rFonts w:ascii="宋体" w:hAnsi="宋体"/>
          <w:b/>
          <w:bCs/>
          <w:szCs w:val="21"/>
        </w:rPr>
      </w:pPr>
      <w:bookmarkStart w:id="187" w:name="_Toc13334"/>
      <w:bookmarkStart w:id="188" w:name="_Toc389065148"/>
      <w:r>
        <w:rPr>
          <w:rFonts w:ascii="宋体" w:hAnsi="宋体"/>
          <w:b/>
          <w:bCs/>
          <w:szCs w:val="21"/>
        </w:rPr>
        <w:t>1.3 招标范围、计划</w:t>
      </w:r>
      <w:r>
        <w:rPr>
          <w:rFonts w:hint="eastAsia" w:ascii="宋体" w:hAnsi="宋体"/>
          <w:b/>
          <w:bCs/>
          <w:szCs w:val="21"/>
        </w:rPr>
        <w:t>服务期</w:t>
      </w:r>
      <w:r>
        <w:rPr>
          <w:rFonts w:ascii="宋体" w:hAnsi="宋体"/>
          <w:b/>
          <w:bCs/>
          <w:szCs w:val="21"/>
        </w:rPr>
        <w:t>和质量要求</w:t>
      </w:r>
      <w:bookmarkEnd w:id="187"/>
      <w:bookmarkEnd w:id="188"/>
    </w:p>
    <w:p>
      <w:pPr>
        <w:spacing w:line="360" w:lineRule="auto"/>
        <w:ind w:firstLine="420" w:firstLineChars="200"/>
        <w:rPr>
          <w:rFonts w:ascii="宋体" w:hAnsi="宋体"/>
          <w:kern w:val="0"/>
          <w:szCs w:val="21"/>
        </w:rPr>
      </w:pPr>
      <w:r>
        <w:rPr>
          <w:rFonts w:ascii="宋体" w:hAnsi="宋体"/>
          <w:kern w:val="0"/>
          <w:szCs w:val="21"/>
        </w:rPr>
        <w:t>1.3.1 本次招标范围：见“投标人须知前附表”。</w:t>
      </w:r>
    </w:p>
    <w:p>
      <w:pPr>
        <w:spacing w:line="360" w:lineRule="auto"/>
        <w:ind w:firstLine="420" w:firstLineChars="200"/>
        <w:rPr>
          <w:rFonts w:ascii="宋体" w:hAnsi="宋体"/>
          <w:kern w:val="0"/>
          <w:szCs w:val="21"/>
        </w:rPr>
      </w:pPr>
      <w:r>
        <w:rPr>
          <w:rFonts w:ascii="宋体" w:hAnsi="宋体"/>
          <w:kern w:val="0"/>
          <w:szCs w:val="21"/>
        </w:rPr>
        <w:t>1.3.2 本</w:t>
      </w:r>
      <w:r>
        <w:rPr>
          <w:rFonts w:hint="eastAsia" w:ascii="宋体" w:hAnsi="宋体"/>
          <w:kern w:val="0"/>
          <w:szCs w:val="21"/>
        </w:rPr>
        <w:t>项目</w:t>
      </w:r>
      <w:r>
        <w:rPr>
          <w:rFonts w:ascii="宋体" w:hAnsi="宋体"/>
          <w:kern w:val="0"/>
          <w:szCs w:val="21"/>
        </w:rPr>
        <w:t>的</w:t>
      </w:r>
      <w:r>
        <w:rPr>
          <w:rFonts w:hint="eastAsia" w:ascii="宋体" w:hAnsi="宋体"/>
          <w:kern w:val="0"/>
          <w:szCs w:val="21"/>
        </w:rPr>
        <w:t>服务期</w:t>
      </w:r>
      <w:r>
        <w:rPr>
          <w:rFonts w:ascii="宋体" w:hAnsi="宋体"/>
          <w:kern w:val="0"/>
          <w:szCs w:val="21"/>
        </w:rPr>
        <w:t>：见“投标人须知前附表”。</w:t>
      </w:r>
    </w:p>
    <w:p>
      <w:pPr>
        <w:spacing w:line="360" w:lineRule="auto"/>
        <w:ind w:firstLine="420" w:firstLineChars="200"/>
        <w:rPr>
          <w:rFonts w:ascii="宋体" w:hAnsi="宋体"/>
          <w:kern w:val="0"/>
          <w:szCs w:val="21"/>
        </w:rPr>
      </w:pPr>
      <w:r>
        <w:rPr>
          <w:rFonts w:ascii="宋体" w:hAnsi="宋体"/>
          <w:kern w:val="0"/>
          <w:szCs w:val="21"/>
        </w:rPr>
        <w:t>1.3.3 本</w:t>
      </w:r>
      <w:r>
        <w:rPr>
          <w:rFonts w:hint="eastAsia" w:ascii="宋体" w:hAnsi="宋体"/>
          <w:kern w:val="0"/>
          <w:szCs w:val="21"/>
        </w:rPr>
        <w:t>项目</w:t>
      </w:r>
      <w:r>
        <w:rPr>
          <w:rFonts w:ascii="宋体" w:hAnsi="宋体"/>
          <w:kern w:val="0"/>
          <w:szCs w:val="21"/>
        </w:rPr>
        <w:t>的质量要求：见“投标人须知前附表”。</w:t>
      </w:r>
    </w:p>
    <w:p>
      <w:pPr>
        <w:keepNext/>
        <w:keepLines/>
        <w:spacing w:line="360" w:lineRule="auto"/>
        <w:outlineLvl w:val="3"/>
        <w:rPr>
          <w:rFonts w:ascii="宋体" w:hAnsi="宋体"/>
          <w:b/>
          <w:bCs/>
          <w:szCs w:val="21"/>
        </w:rPr>
      </w:pPr>
      <w:bookmarkStart w:id="189" w:name="_Toc16860"/>
      <w:bookmarkStart w:id="190" w:name="_Toc389065149"/>
      <w:r>
        <w:rPr>
          <w:rFonts w:ascii="宋体" w:hAnsi="宋体"/>
          <w:b/>
          <w:bCs/>
          <w:szCs w:val="21"/>
        </w:rPr>
        <w:t>1.4 投标人资格要求</w:t>
      </w:r>
      <w:bookmarkEnd w:id="189"/>
      <w:bookmarkEnd w:id="190"/>
    </w:p>
    <w:p>
      <w:pPr>
        <w:spacing w:line="360" w:lineRule="auto"/>
        <w:ind w:firstLine="420" w:firstLineChars="200"/>
        <w:rPr>
          <w:rFonts w:ascii="宋体" w:hAnsi="宋体"/>
          <w:kern w:val="0"/>
          <w:szCs w:val="21"/>
        </w:rPr>
      </w:pPr>
      <w:r>
        <w:rPr>
          <w:rFonts w:ascii="宋体" w:hAnsi="宋体"/>
          <w:kern w:val="0"/>
          <w:szCs w:val="21"/>
        </w:rPr>
        <w:t>1.4.1 投标人应具备承担本项目的资质条件</w:t>
      </w:r>
      <w:r>
        <w:rPr>
          <w:rFonts w:hint="eastAsia" w:ascii="宋体" w:hAnsi="宋体"/>
          <w:kern w:val="0"/>
          <w:szCs w:val="21"/>
        </w:rPr>
        <w:t>,</w:t>
      </w:r>
      <w:r>
        <w:rPr>
          <w:rFonts w:ascii="宋体" w:hAnsi="宋体"/>
          <w:kern w:val="0"/>
          <w:szCs w:val="21"/>
        </w:rPr>
        <w:t>见“投标人须知前附表”。</w:t>
      </w:r>
    </w:p>
    <w:p>
      <w:pPr>
        <w:spacing w:line="360" w:lineRule="auto"/>
        <w:ind w:firstLine="420" w:firstLineChars="200"/>
        <w:rPr>
          <w:rFonts w:ascii="宋体" w:hAnsi="宋体"/>
          <w:kern w:val="0"/>
          <w:szCs w:val="21"/>
        </w:rPr>
      </w:pPr>
      <w:r>
        <w:rPr>
          <w:rFonts w:ascii="宋体" w:hAnsi="宋体"/>
          <w:kern w:val="0"/>
          <w:szCs w:val="21"/>
        </w:rPr>
        <w:t>1.4.</w:t>
      </w:r>
      <w:r>
        <w:rPr>
          <w:rFonts w:hint="eastAsia" w:ascii="宋体" w:hAnsi="宋体"/>
          <w:kern w:val="0"/>
          <w:szCs w:val="21"/>
        </w:rPr>
        <w:t>2是否接受联合体投标：</w:t>
      </w:r>
      <w:r>
        <w:rPr>
          <w:rFonts w:ascii="宋体" w:hAnsi="宋体"/>
          <w:kern w:val="0"/>
          <w:szCs w:val="21"/>
        </w:rPr>
        <w:t>见“投标人须知前附表”</w:t>
      </w:r>
      <w:r>
        <w:rPr>
          <w:rFonts w:hint="eastAsia" w:ascii="宋体" w:hAnsi="宋体"/>
          <w:kern w:val="0"/>
          <w:szCs w:val="21"/>
        </w:rPr>
        <w:t>。</w:t>
      </w:r>
    </w:p>
    <w:p>
      <w:pPr>
        <w:keepNext/>
        <w:keepLines/>
        <w:spacing w:line="360" w:lineRule="auto"/>
        <w:outlineLvl w:val="3"/>
        <w:rPr>
          <w:rFonts w:ascii="宋体" w:hAnsi="宋体"/>
          <w:b/>
          <w:bCs/>
          <w:szCs w:val="21"/>
        </w:rPr>
      </w:pPr>
      <w:bookmarkStart w:id="191" w:name="_Toc389065150"/>
      <w:bookmarkStart w:id="192" w:name="_Toc25398"/>
      <w:r>
        <w:rPr>
          <w:rFonts w:ascii="宋体" w:hAnsi="宋体"/>
          <w:b/>
          <w:bCs/>
          <w:szCs w:val="21"/>
        </w:rPr>
        <w:t>1.5 费用承担</w:t>
      </w:r>
      <w:bookmarkEnd w:id="191"/>
      <w:bookmarkEnd w:id="192"/>
    </w:p>
    <w:p>
      <w:pPr>
        <w:spacing w:line="360" w:lineRule="auto"/>
        <w:ind w:firstLine="420" w:firstLineChars="200"/>
        <w:rPr>
          <w:rFonts w:ascii="宋体" w:hAnsi="宋体"/>
          <w:kern w:val="0"/>
          <w:szCs w:val="21"/>
        </w:rPr>
      </w:pPr>
      <w:r>
        <w:rPr>
          <w:rFonts w:ascii="宋体" w:hAnsi="宋体"/>
          <w:kern w:val="0"/>
          <w:szCs w:val="21"/>
        </w:rPr>
        <w:t>投标人准备和参加投标活动发生的费用自理。</w:t>
      </w:r>
    </w:p>
    <w:p>
      <w:pPr>
        <w:keepNext/>
        <w:keepLines/>
        <w:spacing w:line="360" w:lineRule="auto"/>
        <w:outlineLvl w:val="3"/>
        <w:rPr>
          <w:rFonts w:ascii="宋体" w:hAnsi="宋体"/>
          <w:b/>
          <w:bCs/>
          <w:szCs w:val="21"/>
        </w:rPr>
      </w:pPr>
      <w:bookmarkStart w:id="193" w:name="_Toc30935"/>
      <w:bookmarkStart w:id="194" w:name="_Toc389065151"/>
      <w:r>
        <w:rPr>
          <w:rFonts w:ascii="宋体" w:hAnsi="宋体"/>
          <w:b/>
          <w:bCs/>
          <w:szCs w:val="21"/>
        </w:rPr>
        <w:t>1.6 保密</w:t>
      </w:r>
      <w:bookmarkEnd w:id="193"/>
      <w:bookmarkEnd w:id="194"/>
    </w:p>
    <w:p>
      <w:pPr>
        <w:spacing w:line="360" w:lineRule="auto"/>
        <w:ind w:firstLine="420" w:firstLineChars="200"/>
        <w:rPr>
          <w:rFonts w:ascii="宋体" w:hAnsi="宋体"/>
          <w:kern w:val="0"/>
          <w:szCs w:val="21"/>
        </w:rPr>
      </w:pPr>
      <w:r>
        <w:rPr>
          <w:rFonts w:ascii="宋体" w:hAnsi="宋体"/>
          <w:kern w:val="0"/>
          <w:szCs w:val="21"/>
        </w:rPr>
        <w:t>参与招标投标活动的各方应对招标文件和投标文件中的商业和技术等秘密保密，违者应对由此造成的后果承担法律责任。</w:t>
      </w:r>
    </w:p>
    <w:p>
      <w:pPr>
        <w:keepNext/>
        <w:keepLines/>
        <w:spacing w:line="360" w:lineRule="auto"/>
        <w:outlineLvl w:val="3"/>
        <w:rPr>
          <w:rFonts w:ascii="宋体" w:hAnsi="宋体"/>
          <w:b/>
          <w:bCs/>
          <w:szCs w:val="21"/>
        </w:rPr>
      </w:pPr>
      <w:bookmarkStart w:id="195" w:name="_Toc389065152"/>
      <w:bookmarkStart w:id="196" w:name="_Toc32212"/>
      <w:r>
        <w:rPr>
          <w:rFonts w:ascii="宋体" w:hAnsi="宋体"/>
          <w:b/>
          <w:bCs/>
          <w:szCs w:val="21"/>
        </w:rPr>
        <w:t>1.7 语言文字</w:t>
      </w:r>
      <w:bookmarkEnd w:id="195"/>
      <w:bookmarkEnd w:id="196"/>
    </w:p>
    <w:p>
      <w:pPr>
        <w:spacing w:line="360" w:lineRule="auto"/>
        <w:ind w:firstLine="420" w:firstLineChars="200"/>
        <w:rPr>
          <w:rFonts w:ascii="宋体" w:hAnsi="宋体"/>
          <w:kern w:val="0"/>
          <w:szCs w:val="21"/>
        </w:rPr>
      </w:pPr>
      <w:r>
        <w:rPr>
          <w:rFonts w:ascii="宋体" w:hAnsi="宋体"/>
          <w:kern w:val="0"/>
          <w:szCs w:val="21"/>
        </w:rPr>
        <w:t>除专用术语外，与招标投标有关的语言均使用中文。必要时专用术语应附有中文注释。</w:t>
      </w:r>
    </w:p>
    <w:p>
      <w:pPr>
        <w:keepNext/>
        <w:keepLines/>
        <w:spacing w:line="360" w:lineRule="auto"/>
        <w:outlineLvl w:val="3"/>
        <w:rPr>
          <w:rFonts w:ascii="宋体" w:hAnsi="宋体"/>
          <w:b/>
          <w:bCs/>
          <w:szCs w:val="21"/>
        </w:rPr>
      </w:pPr>
      <w:bookmarkStart w:id="197" w:name="_Toc389065153"/>
      <w:bookmarkStart w:id="198" w:name="_Toc17517"/>
      <w:r>
        <w:rPr>
          <w:rFonts w:ascii="宋体" w:hAnsi="宋体"/>
          <w:b/>
          <w:bCs/>
          <w:szCs w:val="21"/>
        </w:rPr>
        <w:t>1.8 计量单位</w:t>
      </w:r>
      <w:bookmarkEnd w:id="197"/>
      <w:bookmarkEnd w:id="198"/>
    </w:p>
    <w:p>
      <w:pPr>
        <w:spacing w:line="360" w:lineRule="auto"/>
        <w:ind w:firstLine="420" w:firstLineChars="200"/>
        <w:rPr>
          <w:rFonts w:ascii="宋体" w:hAnsi="宋体"/>
          <w:kern w:val="0"/>
          <w:szCs w:val="21"/>
        </w:rPr>
      </w:pPr>
      <w:r>
        <w:rPr>
          <w:rFonts w:ascii="宋体" w:hAnsi="宋体"/>
          <w:kern w:val="0"/>
          <w:szCs w:val="21"/>
        </w:rPr>
        <w:t>所有计量均采用中华人民共和国法定计量单位。</w:t>
      </w:r>
    </w:p>
    <w:p>
      <w:pPr>
        <w:keepNext/>
        <w:keepLines/>
        <w:spacing w:line="360" w:lineRule="auto"/>
        <w:outlineLvl w:val="3"/>
        <w:rPr>
          <w:rFonts w:ascii="宋体" w:hAnsi="宋体"/>
          <w:b/>
          <w:bCs/>
          <w:szCs w:val="21"/>
        </w:rPr>
      </w:pPr>
      <w:bookmarkStart w:id="199" w:name="_Toc389065154"/>
      <w:bookmarkStart w:id="200" w:name="_Toc14947"/>
      <w:r>
        <w:rPr>
          <w:rFonts w:ascii="宋体" w:hAnsi="宋体"/>
          <w:b/>
          <w:bCs/>
          <w:szCs w:val="21"/>
        </w:rPr>
        <w:t>1.9 踏勘现场</w:t>
      </w:r>
      <w:bookmarkEnd w:id="199"/>
      <w:bookmarkEnd w:id="200"/>
    </w:p>
    <w:p>
      <w:pPr>
        <w:spacing w:line="360" w:lineRule="auto"/>
        <w:ind w:firstLine="420" w:firstLineChars="200"/>
        <w:rPr>
          <w:rFonts w:ascii="宋体" w:hAnsi="宋体"/>
          <w:kern w:val="0"/>
          <w:szCs w:val="21"/>
        </w:rPr>
      </w:pPr>
      <w:r>
        <w:rPr>
          <w:rFonts w:ascii="宋体" w:hAnsi="宋体"/>
          <w:kern w:val="0"/>
          <w:szCs w:val="21"/>
        </w:rPr>
        <w:t>见“投标人须知前附表”</w:t>
      </w:r>
    </w:p>
    <w:p>
      <w:pPr>
        <w:keepNext/>
        <w:keepLines/>
        <w:spacing w:line="360" w:lineRule="auto"/>
        <w:outlineLvl w:val="3"/>
        <w:rPr>
          <w:rFonts w:ascii="宋体" w:hAnsi="宋体"/>
          <w:b/>
          <w:bCs/>
          <w:szCs w:val="21"/>
        </w:rPr>
      </w:pPr>
      <w:bookmarkStart w:id="201" w:name="_Toc23535"/>
      <w:bookmarkStart w:id="202" w:name="_Toc389065155"/>
      <w:r>
        <w:rPr>
          <w:rFonts w:ascii="宋体" w:hAnsi="宋体"/>
          <w:b/>
          <w:bCs/>
          <w:szCs w:val="21"/>
        </w:rPr>
        <w:t>1.10 投标预备会</w:t>
      </w:r>
      <w:bookmarkEnd w:id="201"/>
      <w:bookmarkEnd w:id="202"/>
    </w:p>
    <w:p>
      <w:pPr>
        <w:spacing w:line="360" w:lineRule="auto"/>
        <w:ind w:firstLine="420" w:firstLineChars="200"/>
        <w:rPr>
          <w:rFonts w:ascii="宋体" w:hAnsi="宋体"/>
          <w:kern w:val="0"/>
          <w:szCs w:val="21"/>
        </w:rPr>
      </w:pPr>
      <w:r>
        <w:rPr>
          <w:rFonts w:ascii="宋体" w:hAnsi="宋体"/>
          <w:kern w:val="0"/>
          <w:szCs w:val="21"/>
        </w:rPr>
        <w:t>见“投标人须知前附表”</w:t>
      </w:r>
    </w:p>
    <w:p>
      <w:pPr>
        <w:keepNext/>
        <w:keepLines/>
        <w:spacing w:line="360" w:lineRule="auto"/>
        <w:outlineLvl w:val="3"/>
        <w:rPr>
          <w:rFonts w:ascii="宋体" w:hAnsi="宋体"/>
          <w:b/>
          <w:bCs/>
          <w:szCs w:val="21"/>
        </w:rPr>
      </w:pPr>
      <w:bookmarkStart w:id="203" w:name="_Toc389065156"/>
      <w:bookmarkStart w:id="204" w:name="_Toc2799"/>
      <w:r>
        <w:rPr>
          <w:rFonts w:ascii="宋体" w:hAnsi="宋体"/>
          <w:b/>
          <w:bCs/>
          <w:szCs w:val="21"/>
        </w:rPr>
        <w:t>1.11 分包</w:t>
      </w:r>
      <w:bookmarkEnd w:id="203"/>
      <w:bookmarkEnd w:id="204"/>
    </w:p>
    <w:p>
      <w:pPr>
        <w:spacing w:line="360" w:lineRule="auto"/>
        <w:ind w:firstLine="420" w:firstLineChars="200"/>
        <w:rPr>
          <w:rFonts w:ascii="宋体" w:hAnsi="宋体"/>
          <w:kern w:val="0"/>
          <w:szCs w:val="21"/>
        </w:rPr>
      </w:pPr>
      <w:r>
        <w:rPr>
          <w:rFonts w:ascii="宋体" w:hAnsi="宋体"/>
          <w:kern w:val="0"/>
          <w:szCs w:val="21"/>
        </w:rPr>
        <w:t>见“投标人须知前附表”</w:t>
      </w:r>
    </w:p>
    <w:p>
      <w:pPr>
        <w:keepNext/>
        <w:keepLines/>
        <w:spacing w:line="360" w:lineRule="auto"/>
        <w:outlineLvl w:val="3"/>
        <w:rPr>
          <w:rFonts w:ascii="宋体" w:hAnsi="宋体"/>
          <w:b/>
          <w:bCs/>
          <w:szCs w:val="21"/>
        </w:rPr>
      </w:pPr>
      <w:bookmarkStart w:id="205" w:name="_Toc389065157"/>
      <w:bookmarkStart w:id="206" w:name="_Toc10549"/>
      <w:r>
        <w:rPr>
          <w:rFonts w:ascii="宋体" w:hAnsi="宋体"/>
          <w:b/>
          <w:bCs/>
          <w:szCs w:val="21"/>
        </w:rPr>
        <w:t>1.12 偏离</w:t>
      </w:r>
      <w:bookmarkEnd w:id="205"/>
      <w:bookmarkEnd w:id="206"/>
    </w:p>
    <w:p>
      <w:pPr>
        <w:spacing w:line="360" w:lineRule="auto"/>
        <w:ind w:firstLine="420" w:firstLineChars="200"/>
        <w:rPr>
          <w:rFonts w:ascii="宋体" w:hAnsi="宋体"/>
          <w:kern w:val="0"/>
          <w:szCs w:val="21"/>
        </w:rPr>
      </w:pPr>
      <w:r>
        <w:rPr>
          <w:rFonts w:ascii="宋体" w:hAnsi="宋体"/>
          <w:kern w:val="0"/>
          <w:szCs w:val="21"/>
        </w:rPr>
        <w:t>见“投标人须知前附表”</w:t>
      </w:r>
    </w:p>
    <w:p>
      <w:pPr>
        <w:keepNext/>
        <w:keepLines/>
        <w:spacing w:before="240" w:beforeLines="100" w:line="360" w:lineRule="auto"/>
        <w:outlineLvl w:val="2"/>
        <w:rPr>
          <w:rFonts w:ascii="黑体" w:hAnsi="黑体" w:eastAsia="黑体"/>
          <w:b/>
          <w:bCs/>
          <w:sz w:val="24"/>
          <w:szCs w:val="21"/>
        </w:rPr>
      </w:pPr>
      <w:bookmarkStart w:id="207" w:name="_Toc23545"/>
      <w:bookmarkStart w:id="208" w:name="_Toc23044"/>
      <w:bookmarkStart w:id="209" w:name="_Toc389065158"/>
      <w:r>
        <w:rPr>
          <w:rFonts w:ascii="黑体" w:hAnsi="黑体" w:eastAsia="黑体"/>
          <w:b/>
          <w:bCs/>
          <w:sz w:val="24"/>
          <w:szCs w:val="21"/>
        </w:rPr>
        <w:t>2</w:t>
      </w:r>
      <w:r>
        <w:rPr>
          <w:rFonts w:hint="eastAsia" w:ascii="黑体" w:hAnsi="黑体" w:eastAsia="黑体"/>
          <w:b/>
          <w:bCs/>
          <w:sz w:val="24"/>
          <w:szCs w:val="21"/>
        </w:rPr>
        <w:t xml:space="preserve"> </w:t>
      </w:r>
      <w:r>
        <w:rPr>
          <w:rFonts w:ascii="黑体" w:hAnsi="黑体" w:eastAsia="黑体"/>
          <w:b/>
          <w:bCs/>
          <w:sz w:val="24"/>
          <w:szCs w:val="21"/>
        </w:rPr>
        <w:t>招标文件</w:t>
      </w:r>
      <w:bookmarkEnd w:id="207"/>
      <w:bookmarkEnd w:id="208"/>
      <w:bookmarkEnd w:id="209"/>
    </w:p>
    <w:p>
      <w:pPr>
        <w:keepNext/>
        <w:keepLines/>
        <w:spacing w:line="360" w:lineRule="auto"/>
        <w:outlineLvl w:val="3"/>
        <w:rPr>
          <w:rFonts w:ascii="宋体" w:hAnsi="宋体"/>
          <w:b/>
          <w:bCs/>
          <w:szCs w:val="21"/>
        </w:rPr>
      </w:pPr>
      <w:bookmarkStart w:id="210" w:name="_Toc15456"/>
      <w:bookmarkStart w:id="211" w:name="_Toc389065159"/>
      <w:r>
        <w:rPr>
          <w:rFonts w:ascii="宋体" w:hAnsi="宋体"/>
          <w:b/>
          <w:bCs/>
          <w:szCs w:val="21"/>
        </w:rPr>
        <w:t>2.1 招标文件的组成</w:t>
      </w:r>
      <w:bookmarkEnd w:id="210"/>
      <w:bookmarkEnd w:id="211"/>
    </w:p>
    <w:p>
      <w:pPr>
        <w:spacing w:line="360" w:lineRule="auto"/>
        <w:ind w:firstLine="420" w:firstLineChars="200"/>
        <w:rPr>
          <w:rFonts w:ascii="宋体" w:hAnsi="宋体"/>
          <w:kern w:val="0"/>
          <w:szCs w:val="21"/>
        </w:rPr>
      </w:pPr>
      <w:r>
        <w:rPr>
          <w:rFonts w:ascii="宋体" w:hAnsi="宋体"/>
          <w:kern w:val="0"/>
          <w:szCs w:val="21"/>
        </w:rPr>
        <w:t>2.1.1本招标文件包括：</w:t>
      </w:r>
    </w:p>
    <w:p>
      <w:pPr>
        <w:spacing w:line="360" w:lineRule="auto"/>
        <w:ind w:firstLine="420" w:firstLineChars="200"/>
        <w:rPr>
          <w:rFonts w:ascii="宋体" w:hAnsi="宋体"/>
          <w:kern w:val="0"/>
          <w:szCs w:val="21"/>
        </w:rPr>
      </w:pPr>
      <w:r>
        <w:rPr>
          <w:rFonts w:ascii="宋体" w:hAnsi="宋体"/>
          <w:kern w:val="0"/>
          <w:szCs w:val="21"/>
        </w:rPr>
        <w:t>（1）招标公告；</w:t>
      </w:r>
    </w:p>
    <w:p>
      <w:pPr>
        <w:spacing w:line="360" w:lineRule="auto"/>
        <w:ind w:firstLine="420" w:firstLineChars="200"/>
        <w:rPr>
          <w:rFonts w:ascii="宋体" w:hAnsi="宋体"/>
          <w:kern w:val="0"/>
          <w:szCs w:val="21"/>
        </w:rPr>
      </w:pPr>
      <w:r>
        <w:rPr>
          <w:rFonts w:ascii="宋体" w:hAnsi="宋体"/>
          <w:kern w:val="0"/>
          <w:szCs w:val="21"/>
        </w:rPr>
        <w:t>（2）投标人须知；</w:t>
      </w:r>
    </w:p>
    <w:p>
      <w:pPr>
        <w:spacing w:line="360" w:lineRule="auto"/>
        <w:ind w:firstLine="420" w:firstLineChars="200"/>
        <w:rPr>
          <w:rFonts w:ascii="宋体" w:hAnsi="宋体"/>
          <w:kern w:val="0"/>
          <w:szCs w:val="21"/>
        </w:rPr>
      </w:pPr>
      <w:r>
        <w:rPr>
          <w:rFonts w:ascii="宋体" w:hAnsi="宋体"/>
          <w:kern w:val="0"/>
          <w:szCs w:val="21"/>
        </w:rPr>
        <w:t>（3）评标办法；</w:t>
      </w:r>
    </w:p>
    <w:p>
      <w:pPr>
        <w:spacing w:line="360" w:lineRule="auto"/>
        <w:ind w:firstLine="420" w:firstLineChars="200"/>
        <w:rPr>
          <w:rFonts w:ascii="宋体" w:hAnsi="宋体"/>
          <w:kern w:val="0"/>
          <w:szCs w:val="21"/>
        </w:rPr>
      </w:pPr>
      <w:r>
        <w:rPr>
          <w:rFonts w:ascii="宋体" w:hAnsi="宋体"/>
          <w:kern w:val="0"/>
          <w:szCs w:val="21"/>
        </w:rPr>
        <w:t>（4）合同条款及格式；</w:t>
      </w:r>
    </w:p>
    <w:p>
      <w:pPr>
        <w:spacing w:line="360" w:lineRule="auto"/>
        <w:ind w:firstLine="420" w:firstLineChars="200"/>
        <w:rPr>
          <w:rFonts w:ascii="宋体" w:hAnsi="宋体"/>
          <w:kern w:val="0"/>
          <w:szCs w:val="21"/>
        </w:rPr>
      </w:pPr>
      <w:r>
        <w:rPr>
          <w:rFonts w:ascii="宋体" w:hAnsi="宋体"/>
          <w:kern w:val="0"/>
          <w:szCs w:val="21"/>
        </w:rPr>
        <w:t>（5）</w:t>
      </w:r>
      <w:r>
        <w:rPr>
          <w:rFonts w:hint="eastAsia" w:ascii="宋体" w:hAnsi="宋体"/>
          <w:kern w:val="0"/>
          <w:szCs w:val="21"/>
        </w:rPr>
        <w:t>招标</w:t>
      </w:r>
      <w:r>
        <w:rPr>
          <w:rFonts w:ascii="宋体" w:hAnsi="宋体"/>
          <w:kern w:val="0"/>
          <w:szCs w:val="21"/>
        </w:rPr>
        <w:t>上限</w:t>
      </w:r>
      <w:r>
        <w:rPr>
          <w:rFonts w:hint="eastAsia" w:ascii="宋体" w:hAnsi="宋体"/>
          <w:kern w:val="0"/>
          <w:szCs w:val="21"/>
        </w:rPr>
        <w:t>控制价</w:t>
      </w:r>
      <w:r>
        <w:rPr>
          <w:rFonts w:ascii="宋体" w:hAnsi="宋体"/>
          <w:kern w:val="0"/>
          <w:szCs w:val="21"/>
        </w:rPr>
        <w:t>；</w:t>
      </w:r>
    </w:p>
    <w:p>
      <w:pPr>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6</w:t>
      </w:r>
      <w:r>
        <w:rPr>
          <w:rFonts w:ascii="宋体" w:hAnsi="宋体"/>
          <w:kern w:val="0"/>
          <w:szCs w:val="21"/>
        </w:rPr>
        <w:t>）用户需求书；</w:t>
      </w:r>
    </w:p>
    <w:p>
      <w:pPr>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7</w:t>
      </w:r>
      <w:r>
        <w:rPr>
          <w:rFonts w:ascii="宋体" w:hAnsi="宋体"/>
          <w:kern w:val="0"/>
          <w:szCs w:val="21"/>
        </w:rPr>
        <w:t>）投标文件格式；</w:t>
      </w:r>
    </w:p>
    <w:p>
      <w:pPr>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8</w:t>
      </w:r>
      <w:r>
        <w:rPr>
          <w:rFonts w:ascii="宋体" w:hAnsi="宋体"/>
          <w:kern w:val="0"/>
          <w:szCs w:val="21"/>
        </w:rPr>
        <w:t>）“投标人须知前附表”规定的其他材料。</w:t>
      </w:r>
      <w:r>
        <w:rPr>
          <w:rFonts w:hint="eastAsia" w:ascii="宋体" w:hAnsi="宋体"/>
          <w:kern w:val="0"/>
          <w:szCs w:val="21"/>
        </w:rPr>
        <w:t>根据本章第</w:t>
      </w:r>
      <w:r>
        <w:rPr>
          <w:rFonts w:ascii="宋体" w:hAnsi="宋体"/>
          <w:kern w:val="0"/>
          <w:szCs w:val="21"/>
        </w:rPr>
        <w:t xml:space="preserve">1.10 </w:t>
      </w:r>
      <w:r>
        <w:rPr>
          <w:rFonts w:hint="eastAsia" w:ascii="宋体" w:hAnsi="宋体"/>
          <w:kern w:val="0"/>
          <w:szCs w:val="21"/>
        </w:rPr>
        <w:t>款、第</w:t>
      </w:r>
      <w:r>
        <w:rPr>
          <w:rFonts w:ascii="宋体" w:hAnsi="宋体"/>
          <w:kern w:val="0"/>
          <w:szCs w:val="21"/>
        </w:rPr>
        <w:t xml:space="preserve">2.2 </w:t>
      </w:r>
      <w:r>
        <w:rPr>
          <w:rFonts w:hint="eastAsia" w:ascii="宋体" w:hAnsi="宋体"/>
          <w:kern w:val="0"/>
          <w:szCs w:val="21"/>
        </w:rPr>
        <w:t>款和第</w:t>
      </w:r>
      <w:r>
        <w:rPr>
          <w:rFonts w:ascii="宋体" w:hAnsi="宋体"/>
          <w:kern w:val="0"/>
          <w:szCs w:val="21"/>
        </w:rPr>
        <w:t xml:space="preserve">2.3 </w:t>
      </w:r>
      <w:r>
        <w:rPr>
          <w:rFonts w:hint="eastAsia" w:ascii="宋体" w:hAnsi="宋体"/>
          <w:kern w:val="0"/>
          <w:szCs w:val="21"/>
        </w:rPr>
        <w:t>款对招标文件所作的澄清、修改，构成招标文件的组成部分。</w:t>
      </w:r>
    </w:p>
    <w:p>
      <w:pPr>
        <w:spacing w:line="360" w:lineRule="auto"/>
        <w:ind w:firstLine="420" w:firstLineChars="200"/>
        <w:rPr>
          <w:rFonts w:ascii="宋体" w:hAnsi="宋体"/>
          <w:kern w:val="0"/>
          <w:szCs w:val="21"/>
        </w:rPr>
      </w:pPr>
      <w:r>
        <w:rPr>
          <w:rFonts w:hint="eastAsia" w:ascii="宋体" w:hAnsi="宋体"/>
          <w:kern w:val="0"/>
          <w:szCs w:val="21"/>
        </w:rPr>
        <w:t>2.1.2</w:t>
      </w:r>
      <w:r>
        <w:rPr>
          <w:rFonts w:ascii="宋体" w:hAnsi="宋体"/>
          <w:kern w:val="0"/>
          <w:szCs w:val="21"/>
        </w:rPr>
        <w:t>根据本章第2.2款和第2.3款对招标文件所作的澄清、修改，构成招标文件的组成部分。当招标文件及其澄清、修改或补充文件对</w:t>
      </w:r>
      <w:r>
        <w:rPr>
          <w:rFonts w:hint="eastAsia" w:ascii="宋体" w:hAnsi="宋体"/>
          <w:kern w:val="0"/>
          <w:szCs w:val="21"/>
        </w:rPr>
        <w:t>于</w:t>
      </w:r>
      <w:r>
        <w:rPr>
          <w:rFonts w:ascii="宋体" w:hAnsi="宋体"/>
          <w:kern w:val="0"/>
          <w:szCs w:val="21"/>
        </w:rPr>
        <w:t>同一内容表述不一致时，以最后发出的书面文件为准。</w:t>
      </w:r>
    </w:p>
    <w:p>
      <w:pPr>
        <w:keepNext/>
        <w:keepLines/>
        <w:spacing w:line="360" w:lineRule="auto"/>
        <w:outlineLvl w:val="3"/>
        <w:rPr>
          <w:rFonts w:ascii="宋体" w:hAnsi="宋体"/>
          <w:b/>
          <w:bCs/>
          <w:szCs w:val="21"/>
        </w:rPr>
      </w:pPr>
      <w:bookmarkStart w:id="212" w:name="_Toc389065160"/>
      <w:bookmarkStart w:id="213" w:name="_Toc12257"/>
      <w:r>
        <w:rPr>
          <w:rFonts w:ascii="宋体" w:hAnsi="宋体"/>
          <w:b/>
          <w:bCs/>
          <w:szCs w:val="21"/>
        </w:rPr>
        <w:t>2.2 招标文件的澄清</w:t>
      </w:r>
      <w:bookmarkEnd w:id="212"/>
      <w:bookmarkEnd w:id="213"/>
    </w:p>
    <w:p>
      <w:pPr>
        <w:spacing w:line="360" w:lineRule="auto"/>
        <w:ind w:firstLine="420" w:firstLineChars="200"/>
        <w:rPr>
          <w:rFonts w:ascii="宋体" w:hAnsi="宋体"/>
          <w:kern w:val="0"/>
          <w:szCs w:val="21"/>
        </w:rPr>
      </w:pPr>
      <w:r>
        <w:rPr>
          <w:rFonts w:ascii="宋体" w:hAnsi="宋体"/>
          <w:kern w:val="0"/>
          <w:szCs w:val="21"/>
        </w:rPr>
        <w:t>2.2.1投标人应仔细阅读和检查招标文件的全部内容。如发现缺页或附件不全，应及时向招标人提出，以便补齐。任何要求对招标文件进行澄清的投标人，应在投标须知前附表所规定的时间之前，以书面形式通知招标代理机构，同时以发电子邮件的形式提供电子版本文件。</w:t>
      </w:r>
      <w:r>
        <w:rPr>
          <w:rFonts w:hint="eastAsia" w:ascii="宋体" w:hAnsi="宋体"/>
          <w:kern w:val="0"/>
          <w:szCs w:val="21"/>
        </w:rPr>
        <w:t>否则</w:t>
      </w:r>
      <w:r>
        <w:rPr>
          <w:rFonts w:ascii="宋体" w:hAnsi="宋体"/>
          <w:kern w:val="0"/>
          <w:szCs w:val="21"/>
        </w:rPr>
        <w:t>，招标人有权不予答复，或答复后投标截止时间由招标人确定是否顺延</w:t>
      </w:r>
      <w:r>
        <w:rPr>
          <w:rFonts w:hint="eastAsia" w:ascii="宋体" w:hAnsi="宋体"/>
          <w:kern w:val="0"/>
          <w:szCs w:val="21"/>
        </w:rPr>
        <w:t>。</w:t>
      </w:r>
      <w:r>
        <w:rPr>
          <w:rFonts w:ascii="宋体" w:hAnsi="宋体"/>
          <w:kern w:val="0"/>
          <w:szCs w:val="21"/>
        </w:rPr>
        <w:t>招标</w:t>
      </w:r>
      <w:r>
        <w:rPr>
          <w:rFonts w:hint="eastAsia" w:ascii="宋体" w:hAnsi="宋体"/>
          <w:kern w:val="0"/>
          <w:szCs w:val="21"/>
        </w:rPr>
        <w:t>人</w:t>
      </w:r>
      <w:r>
        <w:rPr>
          <w:rFonts w:ascii="宋体" w:hAnsi="宋体"/>
          <w:kern w:val="0"/>
          <w:szCs w:val="21"/>
        </w:rPr>
        <w:t>将根据投标人的</w:t>
      </w:r>
      <w:r>
        <w:rPr>
          <w:rFonts w:hint="eastAsia" w:ascii="宋体" w:hAnsi="宋体"/>
          <w:kern w:val="0"/>
          <w:szCs w:val="21"/>
        </w:rPr>
        <w:t>书面</w:t>
      </w:r>
      <w:r>
        <w:rPr>
          <w:rFonts w:ascii="宋体" w:hAnsi="宋体"/>
          <w:kern w:val="0"/>
          <w:szCs w:val="21"/>
        </w:rPr>
        <w:t>澄清要求</w:t>
      </w:r>
      <w:r>
        <w:rPr>
          <w:rFonts w:hint="eastAsia" w:ascii="宋体" w:hAnsi="宋体"/>
          <w:kern w:val="0"/>
          <w:szCs w:val="21"/>
        </w:rPr>
        <w:t>进行澄清答复，</w:t>
      </w:r>
      <w:r>
        <w:rPr>
          <w:rFonts w:ascii="宋体" w:hAnsi="宋体"/>
          <w:kern w:val="0"/>
          <w:szCs w:val="21"/>
        </w:rPr>
        <w:t>招标</w:t>
      </w:r>
      <w:r>
        <w:rPr>
          <w:rFonts w:hint="eastAsia" w:ascii="宋体" w:hAnsi="宋体"/>
          <w:kern w:val="0"/>
          <w:szCs w:val="21"/>
        </w:rPr>
        <w:t>人</w:t>
      </w:r>
      <w:r>
        <w:rPr>
          <w:rFonts w:ascii="宋体" w:hAnsi="宋体"/>
          <w:kern w:val="0"/>
          <w:szCs w:val="21"/>
        </w:rPr>
        <w:t>只答复与招标文件内容有关的问题，并有权对任何与招标文件无关的问题不作回答</w:t>
      </w:r>
      <w:r>
        <w:rPr>
          <w:rFonts w:hint="eastAsia" w:ascii="宋体" w:hAnsi="宋体"/>
          <w:kern w:val="0"/>
          <w:szCs w:val="21"/>
        </w:rPr>
        <w:t>。</w:t>
      </w:r>
    </w:p>
    <w:p>
      <w:pPr>
        <w:spacing w:line="360" w:lineRule="auto"/>
        <w:ind w:firstLine="420" w:firstLineChars="200"/>
        <w:rPr>
          <w:rFonts w:ascii="宋体" w:hAnsi="宋体"/>
          <w:kern w:val="0"/>
          <w:szCs w:val="21"/>
        </w:rPr>
      </w:pPr>
      <w:r>
        <w:rPr>
          <w:rFonts w:ascii="宋体" w:hAnsi="宋体"/>
          <w:kern w:val="0"/>
          <w:szCs w:val="21"/>
        </w:rPr>
        <w:t>2.2.2招标</w:t>
      </w:r>
      <w:r>
        <w:rPr>
          <w:rFonts w:hint="eastAsia" w:ascii="宋体" w:hAnsi="宋体"/>
          <w:kern w:val="0"/>
          <w:szCs w:val="21"/>
        </w:rPr>
        <w:t>人</w:t>
      </w:r>
      <w:r>
        <w:rPr>
          <w:rFonts w:ascii="宋体" w:hAnsi="宋体"/>
          <w:kern w:val="0"/>
          <w:szCs w:val="21"/>
        </w:rPr>
        <w:t>将澄清的答复内容（答复中包括问题但不包括问题的来源）进行整理，</w:t>
      </w:r>
      <w:r>
        <w:rPr>
          <w:rFonts w:hint="eastAsia" w:ascii="宋体" w:hAnsi="宋体"/>
          <w:kern w:val="0"/>
          <w:szCs w:val="21"/>
        </w:rPr>
        <w:t>并</w:t>
      </w:r>
      <w:r>
        <w:rPr>
          <w:rFonts w:ascii="宋体" w:hAnsi="宋体"/>
          <w:kern w:val="0"/>
          <w:szCs w:val="21"/>
        </w:rPr>
        <w:t>以补充招标文件的形式在</w:t>
      </w:r>
      <w:r>
        <w:rPr>
          <w:rFonts w:hint="eastAsia" w:ascii="宋体" w:hAnsi="宋体"/>
          <w:kern w:val="0"/>
          <w:szCs w:val="21"/>
        </w:rPr>
        <w:t>招标公告发布的</w:t>
      </w:r>
      <w:r>
        <w:rPr>
          <w:rFonts w:ascii="宋体" w:hAnsi="宋体"/>
          <w:kern w:val="0"/>
          <w:szCs w:val="21"/>
        </w:rPr>
        <w:t>网站上发布的形式通知所有</w:t>
      </w:r>
      <w:r>
        <w:rPr>
          <w:rFonts w:hint="eastAsia" w:ascii="宋体" w:hAnsi="宋体"/>
          <w:kern w:val="0"/>
          <w:szCs w:val="21"/>
        </w:rPr>
        <w:t>潜在</w:t>
      </w:r>
      <w:r>
        <w:rPr>
          <w:rFonts w:ascii="宋体" w:hAnsi="宋体"/>
          <w:kern w:val="0"/>
          <w:szCs w:val="21"/>
        </w:rPr>
        <w:t>投标人</w:t>
      </w:r>
      <w:r>
        <w:rPr>
          <w:rFonts w:hint="eastAsia" w:ascii="宋体" w:hAnsi="宋体"/>
          <w:kern w:val="0"/>
          <w:szCs w:val="21"/>
        </w:rPr>
        <w:t>，</w:t>
      </w:r>
      <w:r>
        <w:rPr>
          <w:rFonts w:ascii="宋体" w:hAnsi="宋体"/>
          <w:kern w:val="0"/>
          <w:szCs w:val="21"/>
        </w:rPr>
        <w:t>发布之日起，视为投标人已收到该补充招标文件；投标人未及时关注</w:t>
      </w:r>
      <w:r>
        <w:rPr>
          <w:rFonts w:hint="eastAsia" w:ascii="宋体" w:hAnsi="宋体"/>
          <w:kern w:val="0"/>
          <w:szCs w:val="21"/>
        </w:rPr>
        <w:t>招标公告发布的</w:t>
      </w:r>
      <w:r>
        <w:rPr>
          <w:rFonts w:ascii="宋体" w:hAnsi="宋体"/>
          <w:kern w:val="0"/>
          <w:szCs w:val="21"/>
        </w:rPr>
        <w:t>网站上发布的补充招标文件造成的损失，由投标人自行负责。该答复的内容为招标文件的组成部分</w:t>
      </w:r>
      <w:r>
        <w:rPr>
          <w:rFonts w:hint="eastAsia" w:ascii="宋体" w:hAnsi="宋体"/>
          <w:kern w:val="0"/>
          <w:szCs w:val="21"/>
        </w:rPr>
        <w:t>。</w:t>
      </w:r>
    </w:p>
    <w:p>
      <w:pPr>
        <w:keepNext/>
        <w:keepLines/>
        <w:spacing w:line="360" w:lineRule="auto"/>
        <w:outlineLvl w:val="3"/>
        <w:rPr>
          <w:rFonts w:ascii="宋体" w:hAnsi="宋体"/>
          <w:b/>
          <w:bCs/>
          <w:szCs w:val="21"/>
        </w:rPr>
      </w:pPr>
      <w:bookmarkStart w:id="214" w:name="_Toc389065161"/>
      <w:bookmarkStart w:id="215" w:name="_Toc23252"/>
      <w:r>
        <w:rPr>
          <w:rFonts w:ascii="宋体" w:hAnsi="宋体"/>
          <w:b/>
          <w:bCs/>
          <w:szCs w:val="21"/>
        </w:rPr>
        <w:t>2.3 招标文件的修改</w:t>
      </w:r>
      <w:bookmarkEnd w:id="214"/>
      <w:bookmarkEnd w:id="215"/>
    </w:p>
    <w:p>
      <w:pPr>
        <w:spacing w:line="360" w:lineRule="auto"/>
        <w:ind w:firstLine="420" w:firstLineChars="200"/>
        <w:rPr>
          <w:rFonts w:ascii="宋体" w:hAnsi="宋体"/>
          <w:kern w:val="0"/>
          <w:szCs w:val="21"/>
        </w:rPr>
      </w:pPr>
      <w:r>
        <w:rPr>
          <w:rFonts w:ascii="宋体" w:hAnsi="宋体"/>
          <w:kern w:val="0"/>
          <w:szCs w:val="21"/>
        </w:rPr>
        <w:t>2.3.1在投标截止时间前，无论出于何种原因，招标</w:t>
      </w:r>
      <w:r>
        <w:rPr>
          <w:rFonts w:hint="eastAsia" w:ascii="宋体" w:hAnsi="宋体"/>
          <w:kern w:val="0"/>
          <w:szCs w:val="21"/>
        </w:rPr>
        <w:t>人</w:t>
      </w:r>
      <w:r>
        <w:rPr>
          <w:rFonts w:ascii="宋体" w:hAnsi="宋体"/>
          <w:kern w:val="0"/>
          <w:szCs w:val="21"/>
        </w:rPr>
        <w:t>可以主动或应投标人澄清要求对招标文件进行必要的补遗或修改。</w:t>
      </w:r>
    </w:p>
    <w:p>
      <w:pPr>
        <w:spacing w:line="360" w:lineRule="auto"/>
        <w:ind w:firstLine="420" w:firstLineChars="200"/>
        <w:rPr>
          <w:rFonts w:ascii="宋体" w:hAnsi="宋体"/>
          <w:kern w:val="0"/>
          <w:szCs w:val="21"/>
        </w:rPr>
      </w:pPr>
      <w:r>
        <w:rPr>
          <w:rFonts w:ascii="宋体" w:hAnsi="宋体"/>
          <w:kern w:val="0"/>
          <w:szCs w:val="21"/>
        </w:rPr>
        <w:t>2.3.2招标文件的补遗或修改通知是招标文件的组成部分，将以补充招标文件的形式在</w:t>
      </w:r>
      <w:r>
        <w:rPr>
          <w:rFonts w:hint="eastAsia" w:ascii="宋体" w:hAnsi="宋体"/>
          <w:kern w:val="0"/>
          <w:szCs w:val="21"/>
        </w:rPr>
        <w:t>招标公告发布的</w:t>
      </w:r>
      <w:r>
        <w:rPr>
          <w:rFonts w:ascii="宋体" w:hAnsi="宋体"/>
          <w:kern w:val="0"/>
          <w:szCs w:val="21"/>
        </w:rPr>
        <w:t>网站上发布的形式通知所有</w:t>
      </w:r>
      <w:r>
        <w:rPr>
          <w:rFonts w:hint="eastAsia" w:ascii="宋体" w:hAnsi="宋体"/>
          <w:kern w:val="0"/>
          <w:szCs w:val="21"/>
        </w:rPr>
        <w:t>潜在</w:t>
      </w:r>
      <w:r>
        <w:rPr>
          <w:rFonts w:ascii="宋体" w:hAnsi="宋体"/>
          <w:kern w:val="0"/>
          <w:szCs w:val="21"/>
        </w:rPr>
        <w:t>投标人</w:t>
      </w:r>
      <w:r>
        <w:rPr>
          <w:rFonts w:hint="eastAsia" w:ascii="宋体" w:hAnsi="宋体"/>
          <w:kern w:val="0"/>
          <w:szCs w:val="21"/>
        </w:rPr>
        <w:t>，</w:t>
      </w:r>
      <w:r>
        <w:rPr>
          <w:rFonts w:ascii="宋体" w:hAnsi="宋体"/>
          <w:kern w:val="0"/>
          <w:szCs w:val="21"/>
        </w:rPr>
        <w:t>发布之日起，视为投标人已收到该补充招标文件</w:t>
      </w:r>
      <w:r>
        <w:rPr>
          <w:rFonts w:hint="eastAsia" w:ascii="宋体" w:hAnsi="宋体"/>
          <w:kern w:val="0"/>
          <w:szCs w:val="21"/>
        </w:rPr>
        <w:t>，并</w:t>
      </w:r>
      <w:r>
        <w:rPr>
          <w:rFonts w:ascii="宋体" w:hAnsi="宋体"/>
          <w:kern w:val="0"/>
          <w:szCs w:val="21"/>
        </w:rPr>
        <w:t>对投标人具有约束力；投标人未及时关注</w:t>
      </w:r>
      <w:r>
        <w:rPr>
          <w:rFonts w:hint="eastAsia" w:ascii="宋体" w:hAnsi="宋体"/>
          <w:kern w:val="0"/>
          <w:szCs w:val="21"/>
        </w:rPr>
        <w:t>招标公告发布的</w:t>
      </w:r>
      <w:r>
        <w:rPr>
          <w:rFonts w:ascii="宋体" w:hAnsi="宋体"/>
          <w:kern w:val="0"/>
          <w:szCs w:val="21"/>
        </w:rPr>
        <w:t>网站上发布的补充招标文件造成的损失，由投标人自行负责。</w:t>
      </w:r>
    </w:p>
    <w:p>
      <w:pPr>
        <w:spacing w:line="360" w:lineRule="auto"/>
        <w:ind w:firstLine="420" w:firstLineChars="200"/>
        <w:rPr>
          <w:rFonts w:ascii="宋体" w:hAnsi="宋体"/>
          <w:kern w:val="0"/>
          <w:szCs w:val="21"/>
        </w:rPr>
      </w:pPr>
      <w:r>
        <w:rPr>
          <w:rFonts w:ascii="宋体" w:hAnsi="宋体"/>
          <w:kern w:val="0"/>
          <w:szCs w:val="21"/>
        </w:rPr>
        <w:t>2.3.</w:t>
      </w:r>
      <w:r>
        <w:rPr>
          <w:rFonts w:hint="eastAsia" w:ascii="宋体" w:hAnsi="宋体"/>
          <w:kern w:val="0"/>
          <w:szCs w:val="21"/>
        </w:rPr>
        <w:t>3</w:t>
      </w:r>
      <w:r>
        <w:rPr>
          <w:rFonts w:ascii="宋体" w:hAnsi="宋体"/>
          <w:kern w:val="0"/>
          <w:szCs w:val="21"/>
        </w:rPr>
        <w:t>当后发的补遗或修改通知与原招标文件或此前发出的补遗或修改通知之间存有不一致时，应以后发的补遗或修改通知为准。</w:t>
      </w:r>
    </w:p>
    <w:p>
      <w:pPr>
        <w:spacing w:line="360" w:lineRule="auto"/>
        <w:ind w:firstLine="420" w:firstLineChars="200"/>
        <w:rPr>
          <w:rFonts w:ascii="宋体" w:hAnsi="宋体"/>
          <w:kern w:val="0"/>
          <w:szCs w:val="21"/>
        </w:rPr>
      </w:pPr>
      <w:r>
        <w:rPr>
          <w:rFonts w:ascii="宋体" w:hAnsi="宋体"/>
          <w:kern w:val="0"/>
          <w:szCs w:val="21"/>
        </w:rPr>
        <w:t>2.3.</w:t>
      </w:r>
      <w:r>
        <w:rPr>
          <w:rFonts w:hint="eastAsia" w:ascii="宋体" w:hAnsi="宋体"/>
          <w:kern w:val="0"/>
          <w:szCs w:val="21"/>
        </w:rPr>
        <w:t>4</w:t>
      </w:r>
      <w:r>
        <w:rPr>
          <w:rFonts w:ascii="宋体" w:hAnsi="宋体"/>
          <w:kern w:val="0"/>
          <w:szCs w:val="21"/>
        </w:rPr>
        <w:t>为使投标人准备投标时有充分时间对招标文件的补遗或修改部分进行研究，招标</w:t>
      </w:r>
      <w:r>
        <w:rPr>
          <w:rFonts w:hint="eastAsia" w:ascii="宋体" w:hAnsi="宋体"/>
          <w:kern w:val="0"/>
          <w:szCs w:val="21"/>
        </w:rPr>
        <w:t>人</w:t>
      </w:r>
      <w:r>
        <w:rPr>
          <w:rFonts w:ascii="宋体" w:hAnsi="宋体"/>
          <w:kern w:val="0"/>
          <w:szCs w:val="21"/>
        </w:rPr>
        <w:t>可适当推迟投标截止时间。</w:t>
      </w:r>
      <w:r>
        <w:rPr>
          <w:rFonts w:hint="eastAsia" w:ascii="宋体" w:hAnsi="宋体"/>
          <w:kern w:val="0"/>
          <w:szCs w:val="21"/>
        </w:rPr>
        <w:t>招标澄清或修改的内容影响投标文件编制的，招标人应当在投标截止时间1</w:t>
      </w:r>
      <w:r>
        <w:rPr>
          <w:rFonts w:ascii="宋体" w:hAnsi="宋体"/>
          <w:kern w:val="0"/>
          <w:szCs w:val="21"/>
        </w:rPr>
        <w:t>5</w:t>
      </w:r>
      <w:r>
        <w:rPr>
          <w:rFonts w:hint="eastAsia" w:ascii="宋体" w:hAnsi="宋体"/>
          <w:kern w:val="0"/>
          <w:szCs w:val="21"/>
        </w:rPr>
        <w:t>日前以</w:t>
      </w:r>
      <w:r>
        <w:rPr>
          <w:rFonts w:ascii="宋体" w:hAnsi="宋体"/>
          <w:kern w:val="0"/>
          <w:szCs w:val="21"/>
        </w:rPr>
        <w:t>在</w:t>
      </w:r>
      <w:r>
        <w:rPr>
          <w:rFonts w:hint="eastAsia" w:ascii="宋体" w:hAnsi="宋体"/>
          <w:kern w:val="0"/>
          <w:szCs w:val="21"/>
        </w:rPr>
        <w:t>招标公告发布的</w:t>
      </w:r>
      <w:r>
        <w:rPr>
          <w:rFonts w:ascii="宋体" w:hAnsi="宋体"/>
          <w:kern w:val="0"/>
          <w:szCs w:val="21"/>
        </w:rPr>
        <w:t>网站上发布的形式通知所有</w:t>
      </w:r>
      <w:r>
        <w:rPr>
          <w:rFonts w:hint="eastAsia" w:ascii="宋体" w:hAnsi="宋体"/>
          <w:kern w:val="0"/>
          <w:szCs w:val="21"/>
        </w:rPr>
        <w:t>潜在</w:t>
      </w:r>
      <w:r>
        <w:rPr>
          <w:rFonts w:ascii="宋体" w:hAnsi="宋体"/>
          <w:kern w:val="0"/>
          <w:szCs w:val="21"/>
        </w:rPr>
        <w:t xml:space="preserve">投标人。 </w:t>
      </w:r>
    </w:p>
    <w:p>
      <w:pPr>
        <w:keepNext/>
        <w:keepLines/>
        <w:spacing w:before="240" w:beforeLines="100" w:line="360" w:lineRule="auto"/>
        <w:outlineLvl w:val="2"/>
        <w:rPr>
          <w:rFonts w:ascii="黑体" w:hAnsi="黑体" w:eastAsia="黑体"/>
          <w:b/>
          <w:bCs/>
          <w:sz w:val="24"/>
          <w:szCs w:val="21"/>
        </w:rPr>
      </w:pPr>
      <w:bookmarkStart w:id="216" w:name="_Toc2571"/>
      <w:bookmarkStart w:id="217" w:name="_Toc8816"/>
      <w:bookmarkStart w:id="218" w:name="_Toc389065162"/>
      <w:r>
        <w:rPr>
          <w:rFonts w:ascii="黑体" w:hAnsi="黑体" w:eastAsia="黑体"/>
          <w:b/>
          <w:bCs/>
          <w:sz w:val="24"/>
          <w:szCs w:val="21"/>
        </w:rPr>
        <w:t>3</w:t>
      </w:r>
      <w:r>
        <w:rPr>
          <w:rFonts w:hint="eastAsia" w:ascii="黑体" w:hAnsi="黑体" w:eastAsia="黑体"/>
          <w:b/>
          <w:bCs/>
          <w:sz w:val="24"/>
          <w:szCs w:val="21"/>
        </w:rPr>
        <w:t xml:space="preserve"> </w:t>
      </w:r>
      <w:r>
        <w:rPr>
          <w:rFonts w:ascii="黑体" w:hAnsi="黑体" w:eastAsia="黑体"/>
          <w:b/>
          <w:bCs/>
          <w:sz w:val="24"/>
          <w:szCs w:val="21"/>
        </w:rPr>
        <w:t>投标文件</w:t>
      </w:r>
      <w:bookmarkEnd w:id="216"/>
      <w:bookmarkEnd w:id="217"/>
      <w:bookmarkEnd w:id="218"/>
    </w:p>
    <w:p>
      <w:pPr>
        <w:keepNext/>
        <w:keepLines/>
        <w:spacing w:line="360" w:lineRule="auto"/>
        <w:outlineLvl w:val="3"/>
        <w:rPr>
          <w:rFonts w:ascii="宋体" w:hAnsi="宋体"/>
          <w:b/>
          <w:bCs/>
          <w:szCs w:val="21"/>
        </w:rPr>
      </w:pPr>
      <w:bookmarkStart w:id="219" w:name="_Toc27366"/>
      <w:bookmarkStart w:id="220" w:name="_Toc389065163"/>
      <w:r>
        <w:rPr>
          <w:rFonts w:ascii="宋体" w:hAnsi="宋体"/>
          <w:b/>
          <w:bCs/>
          <w:szCs w:val="21"/>
        </w:rPr>
        <w:t>3.1 投标文件的组成</w:t>
      </w:r>
      <w:bookmarkEnd w:id="219"/>
      <w:bookmarkEnd w:id="220"/>
    </w:p>
    <w:p>
      <w:pPr>
        <w:spacing w:line="360" w:lineRule="auto"/>
        <w:ind w:firstLine="420" w:firstLineChars="200"/>
        <w:rPr>
          <w:rFonts w:ascii="宋体" w:hAnsi="宋体"/>
          <w:kern w:val="0"/>
          <w:szCs w:val="21"/>
        </w:rPr>
      </w:pPr>
      <w:r>
        <w:rPr>
          <w:rFonts w:ascii="宋体" w:hAnsi="宋体"/>
          <w:kern w:val="0"/>
          <w:szCs w:val="21"/>
        </w:rPr>
        <w:t>3.1.1 投标文件应包括下列内容：</w:t>
      </w:r>
    </w:p>
    <w:p>
      <w:pPr>
        <w:spacing w:line="360" w:lineRule="auto"/>
        <w:ind w:firstLine="420" w:firstLineChars="200"/>
        <w:rPr>
          <w:rFonts w:ascii="宋体" w:hAnsi="宋体"/>
          <w:kern w:val="0"/>
          <w:szCs w:val="21"/>
        </w:rPr>
      </w:pPr>
      <w:r>
        <w:rPr>
          <w:rFonts w:ascii="宋体" w:hAnsi="宋体"/>
          <w:kern w:val="0"/>
          <w:szCs w:val="21"/>
        </w:rPr>
        <w:t>（1）资格审查</w:t>
      </w:r>
      <w:r>
        <w:rPr>
          <w:rFonts w:hint="eastAsia" w:ascii="宋体" w:hAnsi="宋体"/>
          <w:kern w:val="0"/>
          <w:szCs w:val="21"/>
        </w:rPr>
        <w:t>文件</w:t>
      </w:r>
      <w:r>
        <w:rPr>
          <w:rFonts w:ascii="宋体" w:hAnsi="宋体"/>
          <w:kern w:val="0"/>
          <w:szCs w:val="21"/>
        </w:rPr>
        <w:t>：具体</w:t>
      </w:r>
      <w:r>
        <w:rPr>
          <w:rFonts w:hint="eastAsia" w:ascii="宋体" w:hAnsi="宋体"/>
          <w:kern w:val="0"/>
          <w:szCs w:val="21"/>
        </w:rPr>
        <w:t>内容</w:t>
      </w:r>
      <w:r>
        <w:rPr>
          <w:rFonts w:ascii="宋体" w:hAnsi="宋体"/>
          <w:kern w:val="0"/>
          <w:szCs w:val="21"/>
        </w:rPr>
        <w:t>见“投标人须知前附表”；</w:t>
      </w:r>
    </w:p>
    <w:p>
      <w:pPr>
        <w:spacing w:line="360" w:lineRule="auto"/>
        <w:ind w:firstLine="420" w:firstLineChars="200"/>
        <w:rPr>
          <w:rFonts w:ascii="宋体" w:hAnsi="宋体"/>
          <w:kern w:val="0"/>
          <w:szCs w:val="21"/>
        </w:rPr>
      </w:pPr>
      <w:r>
        <w:rPr>
          <w:rFonts w:ascii="宋体" w:hAnsi="宋体"/>
          <w:kern w:val="0"/>
          <w:szCs w:val="21"/>
        </w:rPr>
        <w:t>（2）</w:t>
      </w:r>
      <w:r>
        <w:rPr>
          <w:rFonts w:hint="eastAsia" w:ascii="宋体" w:hAnsi="宋体"/>
          <w:kern w:val="0"/>
          <w:szCs w:val="21"/>
        </w:rPr>
        <w:t>资信文件</w:t>
      </w:r>
      <w:r>
        <w:rPr>
          <w:rFonts w:ascii="宋体" w:hAnsi="宋体"/>
          <w:kern w:val="0"/>
          <w:szCs w:val="21"/>
        </w:rPr>
        <w:t>：具体</w:t>
      </w:r>
      <w:r>
        <w:rPr>
          <w:rFonts w:hint="eastAsia" w:ascii="宋体" w:hAnsi="宋体"/>
          <w:kern w:val="0"/>
          <w:szCs w:val="21"/>
        </w:rPr>
        <w:t>内容</w:t>
      </w:r>
      <w:r>
        <w:rPr>
          <w:rFonts w:ascii="宋体" w:hAnsi="宋体"/>
          <w:kern w:val="0"/>
          <w:szCs w:val="21"/>
        </w:rPr>
        <w:t>见“投标人须知前附表”；</w:t>
      </w:r>
    </w:p>
    <w:p>
      <w:pPr>
        <w:spacing w:line="360" w:lineRule="auto"/>
        <w:ind w:firstLine="420" w:firstLineChars="200"/>
        <w:rPr>
          <w:rFonts w:ascii="宋体" w:hAnsi="宋体"/>
          <w:kern w:val="0"/>
          <w:szCs w:val="21"/>
        </w:rPr>
      </w:pPr>
      <w:r>
        <w:rPr>
          <w:rFonts w:ascii="宋体" w:hAnsi="宋体"/>
          <w:kern w:val="0"/>
          <w:szCs w:val="21"/>
        </w:rPr>
        <w:t>（3）技术</w:t>
      </w:r>
      <w:r>
        <w:rPr>
          <w:rFonts w:hint="eastAsia" w:ascii="宋体" w:hAnsi="宋体"/>
          <w:kern w:val="0"/>
          <w:szCs w:val="21"/>
        </w:rPr>
        <w:t>文件</w:t>
      </w:r>
      <w:r>
        <w:rPr>
          <w:rFonts w:ascii="宋体" w:hAnsi="宋体"/>
          <w:kern w:val="0"/>
          <w:szCs w:val="21"/>
        </w:rPr>
        <w:t>：具体</w:t>
      </w:r>
      <w:r>
        <w:rPr>
          <w:rFonts w:hint="eastAsia" w:ascii="宋体" w:hAnsi="宋体"/>
          <w:kern w:val="0"/>
          <w:szCs w:val="21"/>
        </w:rPr>
        <w:t>内容</w:t>
      </w:r>
      <w:r>
        <w:rPr>
          <w:rFonts w:ascii="宋体" w:hAnsi="宋体"/>
          <w:kern w:val="0"/>
          <w:szCs w:val="21"/>
        </w:rPr>
        <w:t>见“投标人须知前附表”；</w:t>
      </w:r>
    </w:p>
    <w:p>
      <w:pPr>
        <w:spacing w:line="360" w:lineRule="auto"/>
        <w:ind w:firstLine="420" w:firstLineChars="200"/>
        <w:rPr>
          <w:rFonts w:ascii="宋体" w:hAnsi="宋体"/>
          <w:kern w:val="0"/>
          <w:szCs w:val="21"/>
        </w:rPr>
      </w:pPr>
      <w:r>
        <w:rPr>
          <w:rFonts w:ascii="宋体" w:hAnsi="宋体"/>
          <w:kern w:val="0"/>
          <w:szCs w:val="21"/>
        </w:rPr>
        <w:t>（4）</w:t>
      </w:r>
      <w:r>
        <w:rPr>
          <w:rFonts w:hint="eastAsia" w:ascii="宋体" w:hAnsi="宋体"/>
          <w:kern w:val="0"/>
          <w:szCs w:val="21"/>
        </w:rPr>
        <w:t>报价文件</w:t>
      </w:r>
      <w:r>
        <w:rPr>
          <w:rFonts w:ascii="宋体" w:hAnsi="宋体"/>
          <w:kern w:val="0"/>
          <w:szCs w:val="21"/>
        </w:rPr>
        <w:t>：具体</w:t>
      </w:r>
      <w:r>
        <w:rPr>
          <w:rFonts w:hint="eastAsia" w:ascii="宋体" w:hAnsi="宋体"/>
          <w:kern w:val="0"/>
          <w:szCs w:val="21"/>
        </w:rPr>
        <w:t>内容</w:t>
      </w:r>
      <w:r>
        <w:rPr>
          <w:rFonts w:ascii="宋体" w:hAnsi="宋体"/>
          <w:kern w:val="0"/>
          <w:szCs w:val="21"/>
        </w:rPr>
        <w:t>见“投标人须知前附表”；</w:t>
      </w:r>
    </w:p>
    <w:p>
      <w:pPr>
        <w:spacing w:line="360" w:lineRule="auto"/>
        <w:ind w:firstLine="420" w:firstLineChars="200"/>
        <w:rPr>
          <w:rFonts w:ascii="宋体" w:hAnsi="宋体"/>
          <w:kern w:val="0"/>
          <w:szCs w:val="21"/>
        </w:rPr>
      </w:pPr>
      <w:r>
        <w:rPr>
          <w:rFonts w:ascii="宋体" w:hAnsi="宋体"/>
          <w:kern w:val="0"/>
          <w:szCs w:val="21"/>
        </w:rPr>
        <w:t>3.1.2招标文件“第</w:t>
      </w:r>
      <w:r>
        <w:rPr>
          <w:rFonts w:hint="eastAsia" w:ascii="宋体" w:hAnsi="宋体"/>
          <w:kern w:val="0"/>
          <w:szCs w:val="21"/>
        </w:rPr>
        <w:t>六</w:t>
      </w:r>
      <w:r>
        <w:rPr>
          <w:rFonts w:ascii="宋体" w:hAnsi="宋体"/>
          <w:kern w:val="0"/>
          <w:szCs w:val="21"/>
        </w:rPr>
        <w:t>章投标文件格式”有规定格式要求的，投标人应按规定的格式填写并按要求提交相关的证明材料。</w:t>
      </w:r>
    </w:p>
    <w:p>
      <w:pPr>
        <w:keepNext/>
        <w:keepLines/>
        <w:spacing w:line="360" w:lineRule="auto"/>
        <w:outlineLvl w:val="3"/>
        <w:rPr>
          <w:rFonts w:ascii="宋体" w:hAnsi="宋体"/>
          <w:b/>
          <w:bCs/>
          <w:szCs w:val="21"/>
        </w:rPr>
      </w:pPr>
      <w:bookmarkStart w:id="221" w:name="_Toc389065164"/>
      <w:bookmarkStart w:id="222" w:name="_Toc16578"/>
      <w:r>
        <w:rPr>
          <w:rFonts w:ascii="宋体" w:hAnsi="宋体"/>
          <w:b/>
          <w:bCs/>
          <w:szCs w:val="21"/>
        </w:rPr>
        <w:t>3.2 投标报价</w:t>
      </w:r>
      <w:bookmarkEnd w:id="221"/>
      <w:bookmarkEnd w:id="222"/>
    </w:p>
    <w:p>
      <w:pPr>
        <w:spacing w:line="360" w:lineRule="auto"/>
        <w:ind w:firstLine="420" w:firstLineChars="200"/>
        <w:rPr>
          <w:rFonts w:ascii="宋体" w:hAnsi="宋体"/>
          <w:szCs w:val="21"/>
        </w:rPr>
      </w:pPr>
      <w:r>
        <w:rPr>
          <w:rFonts w:ascii="宋体" w:hAnsi="宋体"/>
          <w:kern w:val="0"/>
          <w:szCs w:val="21"/>
        </w:rPr>
        <w:t>3.</w:t>
      </w:r>
      <w:r>
        <w:rPr>
          <w:rFonts w:hint="eastAsia" w:ascii="宋体" w:hAnsi="宋体"/>
          <w:kern w:val="0"/>
          <w:szCs w:val="21"/>
        </w:rPr>
        <w:t>2.1</w:t>
      </w:r>
      <w:r>
        <w:rPr>
          <w:rFonts w:hint="eastAsia" w:ascii="宋体" w:hAnsi="宋体"/>
          <w:szCs w:val="21"/>
        </w:rPr>
        <w:t>投标报价是指由投标人根据本项目招标要求进行自主报价，本项目投标报价内容和要求</w:t>
      </w:r>
      <w:r>
        <w:rPr>
          <w:rFonts w:hint="eastAsia" w:ascii="宋体" w:hAnsi="宋体"/>
          <w:kern w:val="0"/>
          <w:szCs w:val="21"/>
        </w:rPr>
        <w:t>详见</w:t>
      </w:r>
      <w:r>
        <w:rPr>
          <w:rFonts w:ascii="宋体" w:hAnsi="宋体"/>
          <w:kern w:val="0"/>
          <w:szCs w:val="21"/>
        </w:rPr>
        <w:t>投标人须知前附表</w:t>
      </w:r>
      <w:r>
        <w:rPr>
          <w:rFonts w:hint="eastAsia" w:ascii="宋体" w:hAnsi="宋体"/>
          <w:szCs w:val="21"/>
        </w:rPr>
        <w:t>。</w:t>
      </w:r>
    </w:p>
    <w:p>
      <w:pPr>
        <w:spacing w:line="360" w:lineRule="auto"/>
        <w:ind w:firstLine="420" w:firstLineChars="200"/>
        <w:rPr>
          <w:rFonts w:ascii="宋体" w:hAnsi="宋体"/>
          <w:kern w:val="0"/>
          <w:szCs w:val="21"/>
        </w:rPr>
      </w:pPr>
      <w:r>
        <w:rPr>
          <w:rFonts w:hint="eastAsia" w:ascii="宋体" w:hAnsi="宋体"/>
          <w:kern w:val="0"/>
          <w:szCs w:val="21"/>
        </w:rPr>
        <w:t>3.2.2</w:t>
      </w:r>
      <w:r>
        <w:rPr>
          <w:rFonts w:ascii="宋体" w:hAnsi="宋体"/>
          <w:kern w:val="0"/>
          <w:szCs w:val="21"/>
        </w:rPr>
        <w:t xml:space="preserve"> </w:t>
      </w:r>
      <w:r>
        <w:rPr>
          <w:rFonts w:hint="eastAsia" w:ascii="宋体" w:hAnsi="宋体"/>
          <w:kern w:val="0"/>
          <w:szCs w:val="21"/>
        </w:rPr>
        <w:t>投标人应按招标文件要求填写相应表格。</w:t>
      </w:r>
    </w:p>
    <w:p>
      <w:pPr>
        <w:keepNext/>
        <w:keepLines/>
        <w:spacing w:line="360" w:lineRule="auto"/>
        <w:outlineLvl w:val="3"/>
        <w:rPr>
          <w:rFonts w:ascii="宋体" w:hAnsi="宋体"/>
          <w:b/>
          <w:bCs/>
          <w:szCs w:val="21"/>
        </w:rPr>
      </w:pPr>
      <w:bookmarkStart w:id="223" w:name="_Toc18961"/>
      <w:bookmarkStart w:id="224" w:name="_Toc389065165"/>
      <w:r>
        <w:rPr>
          <w:rFonts w:ascii="宋体" w:hAnsi="宋体"/>
          <w:b/>
          <w:bCs/>
          <w:szCs w:val="21"/>
        </w:rPr>
        <w:t>3.3 投标有效期</w:t>
      </w:r>
      <w:bookmarkEnd w:id="223"/>
      <w:bookmarkEnd w:id="224"/>
    </w:p>
    <w:p>
      <w:pPr>
        <w:spacing w:line="360" w:lineRule="auto"/>
        <w:ind w:firstLine="420" w:firstLineChars="200"/>
        <w:rPr>
          <w:rFonts w:ascii="宋体" w:hAnsi="宋体"/>
          <w:kern w:val="0"/>
          <w:szCs w:val="21"/>
        </w:rPr>
      </w:pPr>
      <w:r>
        <w:rPr>
          <w:rFonts w:ascii="宋体" w:hAnsi="宋体"/>
          <w:kern w:val="0"/>
          <w:szCs w:val="21"/>
        </w:rPr>
        <w:t>3.3.1在“投标人须知前附表”规定的投标有效期内，投标人不得要求撤销或修改其投标文件。</w:t>
      </w:r>
    </w:p>
    <w:p>
      <w:pPr>
        <w:spacing w:line="360" w:lineRule="auto"/>
        <w:ind w:firstLine="420" w:firstLineChars="200"/>
        <w:rPr>
          <w:rFonts w:ascii="宋体" w:hAnsi="宋体"/>
          <w:kern w:val="0"/>
          <w:szCs w:val="21"/>
        </w:rPr>
      </w:pPr>
      <w:r>
        <w:rPr>
          <w:rFonts w:ascii="宋体" w:hAnsi="宋体"/>
          <w:kern w:val="0"/>
          <w:szCs w:val="21"/>
        </w:rPr>
        <w:t>3.3.2出现特殊情况需要延长投标有效期的，招标人以书面形式通知所有投标人延长投标有效期。投标人同意延长的，不得要求或被允许修改或撤销其投标文件；投标人拒绝延长的，其投标失效。</w:t>
      </w:r>
    </w:p>
    <w:p>
      <w:pPr>
        <w:keepNext/>
        <w:keepLines/>
        <w:spacing w:line="360" w:lineRule="auto"/>
        <w:outlineLvl w:val="3"/>
        <w:rPr>
          <w:rFonts w:ascii="宋体" w:hAnsi="宋体"/>
          <w:b/>
          <w:bCs/>
          <w:szCs w:val="21"/>
        </w:rPr>
      </w:pPr>
      <w:bookmarkStart w:id="225" w:name="_Toc28910"/>
      <w:bookmarkStart w:id="226" w:name="_Toc389065166"/>
      <w:r>
        <w:rPr>
          <w:rFonts w:ascii="宋体" w:hAnsi="宋体"/>
          <w:b/>
          <w:bCs/>
          <w:szCs w:val="21"/>
        </w:rPr>
        <w:t>3.4 投标保证金</w:t>
      </w:r>
      <w:bookmarkEnd w:id="225"/>
      <w:bookmarkEnd w:id="226"/>
    </w:p>
    <w:p>
      <w:pPr>
        <w:spacing w:line="360" w:lineRule="auto"/>
        <w:ind w:firstLine="420" w:firstLineChars="200"/>
        <w:rPr>
          <w:rFonts w:ascii="宋体" w:hAnsi="宋体"/>
          <w:kern w:val="0"/>
          <w:szCs w:val="21"/>
        </w:rPr>
      </w:pPr>
      <w:r>
        <w:rPr>
          <w:rFonts w:hint="eastAsia" w:ascii="宋体" w:hAnsi="宋体"/>
          <w:kern w:val="0"/>
          <w:szCs w:val="21"/>
        </w:rPr>
        <w:t>本项目无需</w:t>
      </w:r>
      <w:r>
        <w:rPr>
          <w:rFonts w:ascii="宋体" w:hAnsi="宋体"/>
          <w:kern w:val="0"/>
          <w:szCs w:val="21"/>
        </w:rPr>
        <w:t>递交投标保证金</w:t>
      </w:r>
    </w:p>
    <w:p>
      <w:pPr>
        <w:keepNext/>
        <w:keepLines/>
        <w:spacing w:line="360" w:lineRule="auto"/>
        <w:outlineLvl w:val="3"/>
        <w:rPr>
          <w:rFonts w:ascii="宋体" w:hAnsi="宋体"/>
          <w:b/>
          <w:bCs/>
          <w:szCs w:val="21"/>
        </w:rPr>
      </w:pPr>
      <w:bookmarkStart w:id="227" w:name="_Toc389065167"/>
      <w:r>
        <w:rPr>
          <w:rFonts w:ascii="宋体" w:hAnsi="宋体"/>
          <w:b/>
          <w:bCs/>
          <w:szCs w:val="21"/>
        </w:rPr>
        <w:t>3.5 备选投标方案</w:t>
      </w:r>
      <w:bookmarkEnd w:id="227"/>
    </w:p>
    <w:p>
      <w:pPr>
        <w:spacing w:line="360" w:lineRule="auto"/>
        <w:ind w:firstLine="420" w:firstLineChars="200"/>
        <w:rPr>
          <w:rFonts w:ascii="宋体" w:hAnsi="宋体"/>
          <w:kern w:val="0"/>
          <w:szCs w:val="21"/>
        </w:rPr>
      </w:pPr>
      <w:r>
        <w:rPr>
          <w:rFonts w:ascii="宋体" w:hAnsi="宋体"/>
          <w:kern w:val="0"/>
          <w:szCs w:val="21"/>
        </w:rPr>
        <w:t>除</w:t>
      </w:r>
      <w:r>
        <w:rPr>
          <w:rFonts w:hint="eastAsia" w:ascii="宋体" w:hAnsi="宋体"/>
          <w:kern w:val="0"/>
          <w:szCs w:val="21"/>
        </w:rPr>
        <w:t>“</w:t>
      </w:r>
      <w:r>
        <w:rPr>
          <w:rFonts w:ascii="宋体" w:hAnsi="宋体"/>
          <w:kern w:val="0"/>
          <w:szCs w:val="21"/>
        </w:rPr>
        <w:t>投标人须知前附表</w:t>
      </w:r>
      <w:r>
        <w:rPr>
          <w:rFonts w:hint="eastAsia" w:ascii="宋体" w:hAnsi="宋体"/>
          <w:kern w:val="0"/>
          <w:szCs w:val="21"/>
        </w:rPr>
        <w:t>”</w:t>
      </w:r>
      <w:r>
        <w:rPr>
          <w:rFonts w:ascii="宋体" w:hAnsi="宋体"/>
          <w:kern w:val="0"/>
          <w:szCs w:val="21"/>
        </w:rPr>
        <w:t>另有规定外，投标人不得递交备选投标方案。</w:t>
      </w:r>
    </w:p>
    <w:p>
      <w:pPr>
        <w:keepNext/>
        <w:keepLines/>
        <w:spacing w:line="360" w:lineRule="auto"/>
        <w:outlineLvl w:val="3"/>
        <w:rPr>
          <w:rFonts w:ascii="宋体" w:hAnsi="宋体"/>
          <w:b/>
          <w:bCs/>
          <w:szCs w:val="21"/>
        </w:rPr>
      </w:pPr>
      <w:bookmarkStart w:id="228" w:name="_Toc389065168"/>
      <w:bookmarkStart w:id="229" w:name="_Toc22124"/>
      <w:r>
        <w:rPr>
          <w:rFonts w:ascii="宋体" w:hAnsi="宋体"/>
          <w:b/>
          <w:bCs/>
          <w:szCs w:val="21"/>
        </w:rPr>
        <w:t>3.6 投标文件的编制</w:t>
      </w:r>
      <w:bookmarkEnd w:id="228"/>
      <w:bookmarkEnd w:id="229"/>
    </w:p>
    <w:p>
      <w:pPr>
        <w:spacing w:line="360" w:lineRule="auto"/>
        <w:ind w:firstLine="420" w:firstLineChars="200"/>
        <w:rPr>
          <w:rFonts w:ascii="宋体" w:hAnsi="宋体"/>
          <w:kern w:val="0"/>
          <w:szCs w:val="21"/>
        </w:rPr>
      </w:pPr>
      <w:r>
        <w:rPr>
          <w:rFonts w:ascii="宋体" w:hAnsi="宋体"/>
          <w:kern w:val="0"/>
          <w:szCs w:val="21"/>
        </w:rPr>
        <w:t>3.6.1投标文件应按第</w:t>
      </w:r>
      <w:r>
        <w:rPr>
          <w:rFonts w:hint="eastAsia" w:ascii="宋体" w:hAnsi="宋体"/>
          <w:kern w:val="0"/>
          <w:szCs w:val="21"/>
        </w:rPr>
        <w:t>六</w:t>
      </w:r>
      <w:r>
        <w:rPr>
          <w:rFonts w:ascii="宋体" w:hAnsi="宋体"/>
          <w:kern w:val="0"/>
          <w:szCs w:val="21"/>
        </w:rPr>
        <w:t>章“投标文件格式”进行编写，如有必要，可以增加附页，作为投标文件的组成部分。</w:t>
      </w:r>
    </w:p>
    <w:p>
      <w:pPr>
        <w:spacing w:line="360" w:lineRule="auto"/>
        <w:ind w:firstLine="420" w:firstLineChars="200"/>
        <w:rPr>
          <w:rFonts w:ascii="宋体" w:hAnsi="宋体"/>
          <w:kern w:val="0"/>
          <w:szCs w:val="21"/>
        </w:rPr>
      </w:pPr>
      <w:r>
        <w:rPr>
          <w:rFonts w:ascii="宋体" w:hAnsi="宋体"/>
          <w:kern w:val="0"/>
          <w:szCs w:val="21"/>
        </w:rPr>
        <w:t>3.6.2投标文件</w:t>
      </w:r>
      <w:r>
        <w:rPr>
          <w:rFonts w:hint="eastAsia" w:ascii="宋体" w:hAnsi="宋体"/>
          <w:kern w:val="0"/>
          <w:szCs w:val="21"/>
        </w:rPr>
        <w:t>必须</w:t>
      </w:r>
      <w:r>
        <w:rPr>
          <w:rFonts w:ascii="宋体" w:hAnsi="宋体"/>
          <w:kern w:val="0"/>
          <w:szCs w:val="21"/>
        </w:rPr>
        <w:t>对招标文件有关</w:t>
      </w:r>
      <w:r>
        <w:rPr>
          <w:rFonts w:hint="eastAsia" w:ascii="宋体" w:hAnsi="宋体"/>
          <w:kern w:val="0"/>
          <w:szCs w:val="21"/>
        </w:rPr>
        <w:t>服务期</w:t>
      </w:r>
      <w:r>
        <w:rPr>
          <w:rFonts w:ascii="宋体" w:hAnsi="宋体"/>
          <w:kern w:val="0"/>
          <w:szCs w:val="21"/>
        </w:rPr>
        <w:t xml:space="preserve">、投标有效期、质量要求、用户需求书、招标范围等实质性内容作出响应。 </w:t>
      </w:r>
    </w:p>
    <w:p>
      <w:pPr>
        <w:spacing w:line="360" w:lineRule="auto"/>
        <w:ind w:firstLine="420" w:firstLineChars="200"/>
        <w:rPr>
          <w:rFonts w:ascii="宋体" w:hAnsi="宋体"/>
          <w:kern w:val="0"/>
          <w:szCs w:val="21"/>
        </w:rPr>
      </w:pPr>
      <w:r>
        <w:rPr>
          <w:rFonts w:ascii="宋体" w:hAnsi="宋体"/>
          <w:kern w:val="0"/>
          <w:szCs w:val="21"/>
        </w:rPr>
        <w:t>3.6.3投标文件应用不褪色的材料书写或打印，</w:t>
      </w:r>
      <w:r>
        <w:rPr>
          <w:rFonts w:hint="eastAsia" w:ascii="宋体" w:hAnsi="宋体"/>
          <w:kern w:val="0"/>
          <w:szCs w:val="21"/>
        </w:rPr>
        <w:t>投标文件副本也可使用正本的复印件。投标文件正本与副本均</w:t>
      </w:r>
      <w:r>
        <w:rPr>
          <w:rFonts w:ascii="宋体" w:hAnsi="宋体"/>
          <w:kern w:val="0"/>
          <w:szCs w:val="21"/>
        </w:rPr>
        <w:t>由投标人的法定代表人或其委托代理人在规定的相关位置签字</w:t>
      </w:r>
      <w:r>
        <w:rPr>
          <w:rFonts w:hint="eastAsia" w:ascii="宋体" w:hAnsi="宋体"/>
          <w:kern w:val="0"/>
          <w:szCs w:val="21"/>
        </w:rPr>
        <w:t>（或盖章）</w:t>
      </w:r>
      <w:r>
        <w:rPr>
          <w:rFonts w:ascii="宋体" w:hAnsi="宋体"/>
          <w:kern w:val="0"/>
          <w:szCs w:val="21"/>
        </w:rPr>
        <w:t>并加盖投标人单位公章。</w:t>
      </w:r>
      <w:r>
        <w:rPr>
          <w:rFonts w:hint="eastAsia" w:ascii="宋体" w:hAnsi="宋体"/>
          <w:kern w:val="0"/>
          <w:szCs w:val="21"/>
        </w:rPr>
        <w:t>由</w:t>
      </w:r>
      <w:r>
        <w:rPr>
          <w:rFonts w:ascii="宋体" w:hAnsi="宋体"/>
          <w:kern w:val="0"/>
          <w:szCs w:val="21"/>
        </w:rPr>
        <w:t>委托代理人签字的，投标文件应附法定代表人签署的授权委托书。投标文件应尽量避免涂改、行间插字或删除。如果出现上述情况，改动之处应加盖</w:t>
      </w:r>
      <w:r>
        <w:rPr>
          <w:rFonts w:hint="eastAsia" w:ascii="宋体" w:hAnsi="宋体"/>
          <w:kern w:val="0"/>
          <w:szCs w:val="21"/>
        </w:rPr>
        <w:t>投标人</w:t>
      </w:r>
      <w:r>
        <w:rPr>
          <w:rFonts w:ascii="宋体" w:hAnsi="宋体"/>
          <w:kern w:val="0"/>
          <w:szCs w:val="21"/>
        </w:rPr>
        <w:t>单位</w:t>
      </w:r>
      <w:r>
        <w:rPr>
          <w:rFonts w:hint="eastAsia" w:ascii="宋体" w:hAnsi="宋体"/>
          <w:kern w:val="0"/>
          <w:szCs w:val="21"/>
        </w:rPr>
        <w:t>公</w:t>
      </w:r>
      <w:r>
        <w:rPr>
          <w:rFonts w:ascii="宋体" w:hAnsi="宋体"/>
          <w:kern w:val="0"/>
          <w:szCs w:val="21"/>
        </w:rPr>
        <w:t>章或由投标人的法定代表人或其</w:t>
      </w:r>
      <w:r>
        <w:rPr>
          <w:rFonts w:hint="eastAsia" w:ascii="宋体" w:hAnsi="宋体"/>
          <w:kern w:val="0"/>
          <w:szCs w:val="21"/>
        </w:rPr>
        <w:t>委托</w:t>
      </w:r>
      <w:r>
        <w:rPr>
          <w:rFonts w:ascii="宋体" w:hAnsi="宋体"/>
          <w:kern w:val="0"/>
          <w:szCs w:val="21"/>
        </w:rPr>
        <w:t>代理人签字确认。签字或盖章的具体要求见“投标人须知前附表”。</w:t>
      </w:r>
    </w:p>
    <w:p>
      <w:pPr>
        <w:spacing w:line="360" w:lineRule="auto"/>
        <w:ind w:firstLine="420" w:firstLineChars="200"/>
        <w:rPr>
          <w:rFonts w:ascii="宋体" w:hAnsi="宋体"/>
          <w:kern w:val="0"/>
          <w:szCs w:val="21"/>
        </w:rPr>
      </w:pPr>
      <w:r>
        <w:rPr>
          <w:rFonts w:ascii="宋体" w:hAnsi="宋体"/>
          <w:kern w:val="0"/>
          <w:szCs w:val="21"/>
        </w:rPr>
        <w:t>3.6.4投标文件正本一份，副本份数见“投标人须知前附表”。正本和副本的封面上应清楚地标记“正本”或“副本”的字样。当副本和正本不一致时，以正本为准。</w:t>
      </w:r>
    </w:p>
    <w:p>
      <w:pPr>
        <w:spacing w:line="360" w:lineRule="auto"/>
        <w:ind w:firstLine="420" w:firstLineChars="200"/>
        <w:rPr>
          <w:rFonts w:ascii="宋体" w:hAnsi="宋体"/>
          <w:kern w:val="0"/>
          <w:szCs w:val="21"/>
        </w:rPr>
      </w:pPr>
      <w:r>
        <w:rPr>
          <w:rFonts w:ascii="宋体" w:hAnsi="宋体"/>
          <w:kern w:val="0"/>
          <w:szCs w:val="21"/>
        </w:rPr>
        <w:t>3.6.5 投标文件</w:t>
      </w:r>
      <w:r>
        <w:rPr>
          <w:rFonts w:hint="eastAsia" w:ascii="宋体" w:hAnsi="宋体"/>
          <w:kern w:val="0"/>
          <w:szCs w:val="21"/>
        </w:rPr>
        <w:t>应</w:t>
      </w:r>
      <w:r>
        <w:rPr>
          <w:rFonts w:ascii="宋体" w:hAnsi="宋体"/>
          <w:kern w:val="0"/>
          <w:szCs w:val="21"/>
        </w:rPr>
        <w:t>编制目录，具体装订要求见“投标人须知前附表”规定。</w:t>
      </w:r>
    </w:p>
    <w:p>
      <w:pPr>
        <w:keepNext/>
        <w:keepLines/>
        <w:spacing w:before="240" w:beforeLines="100" w:line="360" w:lineRule="auto"/>
        <w:outlineLvl w:val="2"/>
        <w:rPr>
          <w:rFonts w:ascii="黑体" w:hAnsi="黑体" w:eastAsia="黑体"/>
          <w:b/>
          <w:bCs/>
          <w:sz w:val="24"/>
          <w:szCs w:val="21"/>
        </w:rPr>
      </w:pPr>
      <w:bookmarkStart w:id="230" w:name="_Toc9109"/>
      <w:bookmarkStart w:id="231" w:name="_Toc11889"/>
      <w:bookmarkStart w:id="232" w:name="_Toc389065169"/>
      <w:r>
        <w:rPr>
          <w:rFonts w:ascii="黑体" w:hAnsi="黑体" w:eastAsia="黑体"/>
          <w:b/>
          <w:bCs/>
          <w:sz w:val="24"/>
          <w:szCs w:val="21"/>
        </w:rPr>
        <w:t>4</w:t>
      </w:r>
      <w:r>
        <w:rPr>
          <w:rFonts w:hint="eastAsia" w:ascii="黑体" w:hAnsi="黑体" w:eastAsia="黑体"/>
          <w:b/>
          <w:bCs/>
          <w:sz w:val="24"/>
          <w:szCs w:val="21"/>
        </w:rPr>
        <w:t xml:space="preserve"> </w:t>
      </w:r>
      <w:r>
        <w:rPr>
          <w:rFonts w:ascii="黑体" w:hAnsi="黑体" w:eastAsia="黑体"/>
          <w:b/>
          <w:bCs/>
          <w:sz w:val="24"/>
          <w:szCs w:val="21"/>
        </w:rPr>
        <w:t>投标</w:t>
      </w:r>
      <w:bookmarkEnd w:id="230"/>
      <w:bookmarkEnd w:id="231"/>
      <w:bookmarkEnd w:id="232"/>
    </w:p>
    <w:p>
      <w:pPr>
        <w:keepNext/>
        <w:keepLines/>
        <w:spacing w:line="360" w:lineRule="auto"/>
        <w:outlineLvl w:val="3"/>
        <w:rPr>
          <w:rFonts w:ascii="宋体" w:hAnsi="宋体"/>
          <w:b/>
          <w:bCs/>
          <w:szCs w:val="21"/>
        </w:rPr>
      </w:pPr>
      <w:bookmarkStart w:id="233" w:name="_Toc389065170"/>
      <w:bookmarkStart w:id="234" w:name="_Toc8690"/>
      <w:r>
        <w:rPr>
          <w:rFonts w:ascii="宋体" w:hAnsi="宋体"/>
          <w:b/>
          <w:bCs/>
          <w:szCs w:val="21"/>
        </w:rPr>
        <w:t>4.1 投标文件的密封和标</w:t>
      </w:r>
      <w:r>
        <w:rPr>
          <w:rFonts w:hint="eastAsia" w:ascii="宋体" w:hAnsi="宋体"/>
          <w:b/>
          <w:bCs/>
          <w:szCs w:val="21"/>
        </w:rPr>
        <w:t>记</w:t>
      </w:r>
      <w:bookmarkEnd w:id="233"/>
      <w:bookmarkEnd w:id="234"/>
    </w:p>
    <w:p>
      <w:pPr>
        <w:spacing w:line="360" w:lineRule="auto"/>
        <w:ind w:firstLine="420" w:firstLineChars="200"/>
        <w:rPr>
          <w:rFonts w:ascii="宋体" w:hAnsi="宋体"/>
          <w:kern w:val="0"/>
          <w:szCs w:val="21"/>
        </w:rPr>
      </w:pPr>
      <w:r>
        <w:rPr>
          <w:rFonts w:ascii="宋体" w:hAnsi="宋体"/>
          <w:kern w:val="0"/>
          <w:szCs w:val="21"/>
        </w:rPr>
        <w:t>4.1.1投标文件应按“投标人须知前附表”的要求进行包装</w:t>
      </w:r>
      <w:r>
        <w:rPr>
          <w:rFonts w:hint="eastAsia" w:ascii="宋体" w:hAnsi="宋体"/>
          <w:kern w:val="0"/>
          <w:szCs w:val="21"/>
        </w:rPr>
        <w:t>、密封</w:t>
      </w:r>
      <w:r>
        <w:rPr>
          <w:rFonts w:ascii="宋体" w:hAnsi="宋体"/>
          <w:kern w:val="0"/>
          <w:szCs w:val="21"/>
        </w:rPr>
        <w:t>，并在封套的封口处加盖投标人单位公章。</w:t>
      </w:r>
    </w:p>
    <w:p>
      <w:pPr>
        <w:spacing w:line="360" w:lineRule="auto"/>
        <w:ind w:firstLine="420" w:firstLineChars="200"/>
        <w:rPr>
          <w:rFonts w:ascii="宋体" w:hAnsi="宋体"/>
          <w:kern w:val="0"/>
          <w:szCs w:val="21"/>
        </w:rPr>
      </w:pPr>
      <w:r>
        <w:rPr>
          <w:rFonts w:ascii="宋体" w:hAnsi="宋体"/>
          <w:kern w:val="0"/>
          <w:szCs w:val="21"/>
        </w:rPr>
        <w:t>4.1.2 投标文件封套上应写明的其他内容见“投标人须知前附表”。</w:t>
      </w:r>
    </w:p>
    <w:p>
      <w:pPr>
        <w:keepNext/>
        <w:keepLines/>
        <w:spacing w:line="360" w:lineRule="auto"/>
        <w:outlineLvl w:val="3"/>
        <w:rPr>
          <w:rFonts w:ascii="宋体" w:hAnsi="宋体"/>
          <w:b/>
          <w:bCs/>
          <w:szCs w:val="21"/>
        </w:rPr>
      </w:pPr>
      <w:bookmarkStart w:id="235" w:name="_Toc12657"/>
      <w:bookmarkStart w:id="236" w:name="_Toc389065171"/>
      <w:r>
        <w:rPr>
          <w:rFonts w:ascii="宋体" w:hAnsi="宋体"/>
          <w:b/>
          <w:bCs/>
          <w:szCs w:val="21"/>
        </w:rPr>
        <w:t>4.2 投标文件的递交</w:t>
      </w:r>
      <w:bookmarkEnd w:id="235"/>
      <w:bookmarkEnd w:id="236"/>
    </w:p>
    <w:p>
      <w:pPr>
        <w:spacing w:line="360" w:lineRule="auto"/>
        <w:ind w:firstLine="420" w:firstLineChars="200"/>
        <w:rPr>
          <w:rFonts w:ascii="宋体" w:hAnsi="宋体"/>
          <w:kern w:val="0"/>
          <w:szCs w:val="21"/>
        </w:rPr>
      </w:pPr>
      <w:r>
        <w:rPr>
          <w:rFonts w:ascii="宋体" w:hAnsi="宋体"/>
          <w:kern w:val="0"/>
          <w:szCs w:val="21"/>
        </w:rPr>
        <w:t>4.2.1 投标人应在</w:t>
      </w:r>
      <w:r>
        <w:rPr>
          <w:rFonts w:hint="eastAsia" w:ascii="宋体" w:hAnsi="宋体"/>
          <w:kern w:val="0"/>
          <w:szCs w:val="21"/>
        </w:rPr>
        <w:t>“投标人须知前附表”第5.1款</w:t>
      </w:r>
      <w:r>
        <w:rPr>
          <w:rFonts w:ascii="宋体" w:hAnsi="宋体"/>
          <w:kern w:val="0"/>
          <w:szCs w:val="21"/>
        </w:rPr>
        <w:t>规定的投标截止时间前递交投标文件。</w:t>
      </w:r>
    </w:p>
    <w:p>
      <w:pPr>
        <w:spacing w:line="360" w:lineRule="auto"/>
        <w:ind w:firstLine="420" w:firstLineChars="200"/>
        <w:rPr>
          <w:rFonts w:ascii="宋体" w:hAnsi="宋体"/>
          <w:kern w:val="0"/>
          <w:szCs w:val="21"/>
        </w:rPr>
      </w:pPr>
      <w:r>
        <w:rPr>
          <w:rFonts w:ascii="宋体" w:hAnsi="宋体"/>
          <w:kern w:val="0"/>
          <w:szCs w:val="21"/>
        </w:rPr>
        <w:t>4.2.2 投标人递交投标文件的地点：见</w:t>
      </w:r>
      <w:r>
        <w:rPr>
          <w:rFonts w:hint="eastAsia" w:ascii="宋体" w:hAnsi="宋体"/>
          <w:kern w:val="0"/>
          <w:szCs w:val="21"/>
        </w:rPr>
        <w:t>“</w:t>
      </w:r>
      <w:r>
        <w:rPr>
          <w:rFonts w:ascii="宋体" w:hAnsi="宋体"/>
          <w:kern w:val="0"/>
          <w:szCs w:val="21"/>
        </w:rPr>
        <w:t>投标人须知前附表</w:t>
      </w:r>
      <w:r>
        <w:rPr>
          <w:rFonts w:hint="eastAsia" w:ascii="宋体" w:hAnsi="宋体"/>
          <w:kern w:val="0"/>
          <w:szCs w:val="21"/>
        </w:rPr>
        <w:t>”</w:t>
      </w:r>
      <w:r>
        <w:rPr>
          <w:rFonts w:ascii="宋体" w:hAnsi="宋体"/>
          <w:kern w:val="0"/>
          <w:szCs w:val="21"/>
        </w:rPr>
        <w:t>。</w:t>
      </w:r>
    </w:p>
    <w:p>
      <w:pPr>
        <w:spacing w:line="360" w:lineRule="auto"/>
        <w:ind w:firstLine="420" w:firstLineChars="200"/>
        <w:rPr>
          <w:rFonts w:ascii="宋体" w:hAnsi="宋体"/>
          <w:kern w:val="0"/>
          <w:szCs w:val="21"/>
        </w:rPr>
      </w:pPr>
      <w:r>
        <w:rPr>
          <w:rFonts w:ascii="宋体" w:hAnsi="宋体"/>
          <w:kern w:val="0"/>
          <w:szCs w:val="21"/>
        </w:rPr>
        <w:t>4.2.3 除</w:t>
      </w:r>
      <w:r>
        <w:rPr>
          <w:rFonts w:hint="eastAsia" w:ascii="宋体" w:hAnsi="宋体"/>
          <w:kern w:val="0"/>
          <w:szCs w:val="21"/>
        </w:rPr>
        <w:t>“</w:t>
      </w:r>
      <w:r>
        <w:rPr>
          <w:rFonts w:ascii="宋体" w:hAnsi="宋体"/>
          <w:kern w:val="0"/>
          <w:szCs w:val="21"/>
        </w:rPr>
        <w:t>投标人须知前附表</w:t>
      </w:r>
      <w:r>
        <w:rPr>
          <w:rFonts w:hint="eastAsia" w:ascii="宋体" w:hAnsi="宋体"/>
          <w:kern w:val="0"/>
          <w:szCs w:val="21"/>
        </w:rPr>
        <w:t>”</w:t>
      </w:r>
      <w:r>
        <w:rPr>
          <w:rFonts w:ascii="宋体" w:hAnsi="宋体"/>
          <w:kern w:val="0"/>
          <w:szCs w:val="21"/>
        </w:rPr>
        <w:t>另有规定外，投标人所递交的投标文件不予退还。</w:t>
      </w:r>
    </w:p>
    <w:p>
      <w:pPr>
        <w:spacing w:line="360" w:lineRule="auto"/>
        <w:ind w:firstLine="420" w:firstLineChars="200"/>
        <w:rPr>
          <w:rFonts w:ascii="宋体" w:hAnsi="宋体"/>
          <w:kern w:val="0"/>
          <w:szCs w:val="21"/>
        </w:rPr>
      </w:pPr>
      <w:r>
        <w:rPr>
          <w:rFonts w:ascii="宋体" w:hAnsi="宋体"/>
          <w:kern w:val="0"/>
          <w:szCs w:val="21"/>
        </w:rPr>
        <w:t>4.2.</w:t>
      </w:r>
      <w:r>
        <w:rPr>
          <w:rFonts w:hint="eastAsia" w:ascii="宋体" w:hAnsi="宋体"/>
          <w:kern w:val="0"/>
          <w:szCs w:val="21"/>
        </w:rPr>
        <w:t>4</w:t>
      </w:r>
      <w:r>
        <w:rPr>
          <w:rFonts w:ascii="宋体" w:hAnsi="宋体"/>
          <w:kern w:val="0"/>
          <w:szCs w:val="21"/>
        </w:rPr>
        <w:t xml:space="preserve"> 逾期送达的或者未送达指定地点的投标文件，招标人不予受理。</w:t>
      </w:r>
    </w:p>
    <w:p>
      <w:pPr>
        <w:tabs>
          <w:tab w:val="left" w:pos="7676"/>
        </w:tabs>
        <w:spacing w:line="360" w:lineRule="auto"/>
        <w:ind w:firstLine="420" w:firstLineChars="200"/>
        <w:rPr>
          <w:rFonts w:ascii="宋体" w:hAnsi="宋体"/>
          <w:kern w:val="0"/>
          <w:szCs w:val="21"/>
        </w:rPr>
      </w:pPr>
      <w:r>
        <w:rPr>
          <w:rFonts w:hint="eastAsia" w:ascii="宋体" w:hAnsi="宋体"/>
          <w:kern w:val="0"/>
          <w:szCs w:val="21"/>
        </w:rPr>
        <w:t>4.2.5 现场递交投标文件的投标人，需携带法定代表人证明书原件，若为其授权人来递交文件的，还需提供授权委托书原件，否则其递交的投标文件不予接收。</w:t>
      </w:r>
    </w:p>
    <w:p>
      <w:pPr>
        <w:keepNext/>
        <w:keepLines/>
        <w:spacing w:line="360" w:lineRule="auto"/>
        <w:outlineLvl w:val="3"/>
        <w:rPr>
          <w:rFonts w:ascii="宋体" w:hAnsi="宋体"/>
          <w:b/>
          <w:bCs/>
          <w:szCs w:val="21"/>
        </w:rPr>
      </w:pPr>
      <w:bookmarkStart w:id="237" w:name="_Toc389065172"/>
      <w:bookmarkStart w:id="238" w:name="_Toc28382"/>
      <w:r>
        <w:rPr>
          <w:rFonts w:ascii="宋体" w:hAnsi="宋体"/>
          <w:b/>
          <w:bCs/>
          <w:szCs w:val="21"/>
        </w:rPr>
        <w:t>4.3 投标文件的修改与撤回</w:t>
      </w:r>
      <w:bookmarkEnd w:id="237"/>
      <w:bookmarkEnd w:id="238"/>
    </w:p>
    <w:p>
      <w:pPr>
        <w:spacing w:line="360" w:lineRule="auto"/>
        <w:ind w:firstLine="420" w:firstLineChars="200"/>
        <w:rPr>
          <w:rFonts w:ascii="宋体" w:hAnsi="宋体"/>
          <w:kern w:val="0"/>
          <w:szCs w:val="21"/>
        </w:rPr>
      </w:pPr>
      <w:r>
        <w:rPr>
          <w:rFonts w:ascii="宋体" w:hAnsi="宋体"/>
          <w:kern w:val="0"/>
          <w:szCs w:val="21"/>
        </w:rPr>
        <w:t>4.3.1在</w:t>
      </w:r>
      <w:r>
        <w:rPr>
          <w:rFonts w:hint="eastAsia" w:ascii="宋体" w:hAnsi="宋体"/>
          <w:kern w:val="0"/>
          <w:szCs w:val="21"/>
        </w:rPr>
        <w:t>“投标人须知前附表”第5.1款</w:t>
      </w:r>
      <w:r>
        <w:rPr>
          <w:rFonts w:ascii="宋体" w:hAnsi="宋体"/>
          <w:kern w:val="0"/>
          <w:szCs w:val="21"/>
        </w:rPr>
        <w:t>规定的投标截止时间前，投标人可以修改或撤回已递交的投标文件，但应以书面形式通知招标人。</w:t>
      </w:r>
    </w:p>
    <w:p>
      <w:pPr>
        <w:spacing w:line="360" w:lineRule="auto"/>
        <w:ind w:firstLine="420" w:firstLineChars="200"/>
        <w:rPr>
          <w:rFonts w:ascii="宋体" w:hAnsi="宋体"/>
          <w:kern w:val="0"/>
          <w:szCs w:val="21"/>
        </w:rPr>
      </w:pPr>
      <w:r>
        <w:rPr>
          <w:rFonts w:ascii="宋体" w:hAnsi="宋体"/>
          <w:kern w:val="0"/>
          <w:szCs w:val="21"/>
        </w:rPr>
        <w:t>4.3.2投标人修改或撤回已递交投标文件的书面通知，应按照本章第3.6.3款的要求签字和盖章。招标人收到书面通知后，向投标人出具签收凭证。</w:t>
      </w:r>
    </w:p>
    <w:p>
      <w:pPr>
        <w:spacing w:line="360" w:lineRule="auto"/>
        <w:ind w:firstLine="420" w:firstLineChars="200"/>
        <w:rPr>
          <w:rFonts w:ascii="宋体" w:hAnsi="宋体"/>
          <w:kern w:val="0"/>
          <w:szCs w:val="21"/>
        </w:rPr>
      </w:pPr>
      <w:r>
        <w:rPr>
          <w:rFonts w:ascii="宋体" w:hAnsi="宋体"/>
          <w:kern w:val="0"/>
          <w:szCs w:val="21"/>
        </w:rPr>
        <w:t>4.3.3修改的内容为投标文件的组成部分。修改的投标文件应按照本章第3.6款和第4</w:t>
      </w:r>
      <w:r>
        <w:rPr>
          <w:rFonts w:hint="eastAsia" w:ascii="宋体" w:hAnsi="宋体"/>
          <w:kern w:val="0"/>
          <w:szCs w:val="21"/>
        </w:rPr>
        <w:t>款</w:t>
      </w:r>
      <w:r>
        <w:rPr>
          <w:rFonts w:ascii="宋体" w:hAnsi="宋体"/>
          <w:kern w:val="0"/>
          <w:szCs w:val="21"/>
        </w:rPr>
        <w:t>规定进行编制、密封、标记和递交，并标明“修改”字样。</w:t>
      </w:r>
    </w:p>
    <w:p>
      <w:pPr>
        <w:keepNext/>
        <w:keepLines/>
        <w:spacing w:before="240" w:beforeLines="100" w:line="360" w:lineRule="auto"/>
        <w:outlineLvl w:val="2"/>
        <w:rPr>
          <w:rFonts w:ascii="黑体" w:hAnsi="黑体" w:eastAsia="黑体"/>
          <w:b/>
          <w:bCs/>
          <w:sz w:val="24"/>
          <w:szCs w:val="21"/>
        </w:rPr>
      </w:pPr>
      <w:bookmarkStart w:id="239" w:name="_Toc389065173"/>
      <w:bookmarkStart w:id="240" w:name="_Toc4346"/>
      <w:bookmarkStart w:id="241" w:name="_Toc13577"/>
      <w:r>
        <w:rPr>
          <w:rFonts w:ascii="黑体" w:hAnsi="黑体" w:eastAsia="黑体"/>
          <w:b/>
          <w:bCs/>
          <w:sz w:val="24"/>
          <w:szCs w:val="21"/>
        </w:rPr>
        <w:t>5</w:t>
      </w:r>
      <w:r>
        <w:rPr>
          <w:rFonts w:hint="eastAsia" w:ascii="黑体" w:hAnsi="黑体" w:eastAsia="黑体"/>
          <w:b/>
          <w:bCs/>
          <w:sz w:val="24"/>
          <w:szCs w:val="21"/>
        </w:rPr>
        <w:t xml:space="preserve"> </w:t>
      </w:r>
      <w:r>
        <w:rPr>
          <w:rFonts w:ascii="黑体" w:hAnsi="黑体" w:eastAsia="黑体"/>
          <w:b/>
          <w:bCs/>
          <w:sz w:val="24"/>
          <w:szCs w:val="21"/>
        </w:rPr>
        <w:t>开标</w:t>
      </w:r>
      <w:bookmarkEnd w:id="239"/>
      <w:bookmarkEnd w:id="240"/>
      <w:bookmarkEnd w:id="241"/>
    </w:p>
    <w:p>
      <w:pPr>
        <w:keepNext/>
        <w:keepLines/>
        <w:spacing w:line="360" w:lineRule="auto"/>
        <w:outlineLvl w:val="3"/>
        <w:rPr>
          <w:rFonts w:ascii="宋体" w:hAnsi="宋体"/>
          <w:b/>
          <w:bCs/>
          <w:szCs w:val="21"/>
        </w:rPr>
      </w:pPr>
      <w:bookmarkStart w:id="242" w:name="_Toc24745"/>
      <w:bookmarkStart w:id="243" w:name="_Toc389065174"/>
      <w:r>
        <w:rPr>
          <w:rFonts w:ascii="宋体" w:hAnsi="宋体"/>
          <w:b/>
          <w:bCs/>
          <w:szCs w:val="21"/>
        </w:rPr>
        <w:t>5.1 开标时间和地点</w:t>
      </w:r>
      <w:bookmarkEnd w:id="242"/>
      <w:bookmarkEnd w:id="243"/>
    </w:p>
    <w:p>
      <w:pPr>
        <w:spacing w:line="360" w:lineRule="auto"/>
        <w:ind w:firstLine="420" w:firstLineChars="200"/>
        <w:rPr>
          <w:rFonts w:ascii="宋体" w:hAnsi="宋体"/>
          <w:kern w:val="0"/>
          <w:szCs w:val="21"/>
        </w:rPr>
      </w:pPr>
      <w:r>
        <w:rPr>
          <w:rFonts w:hint="eastAsia" w:ascii="宋体" w:hAnsi="宋体"/>
          <w:kern w:val="0"/>
          <w:szCs w:val="21"/>
        </w:rPr>
        <w:t>招标人在“投标人须知前附表”规定的投标截止时间（开标时间）、地点公开开标，并邀请所有投标人的法定代表人或委托代理人参加。</w:t>
      </w:r>
    </w:p>
    <w:p>
      <w:pPr>
        <w:keepNext/>
        <w:keepLines/>
        <w:spacing w:line="360" w:lineRule="auto"/>
        <w:outlineLvl w:val="3"/>
        <w:rPr>
          <w:rFonts w:ascii="宋体" w:hAnsi="宋体"/>
          <w:b/>
          <w:bCs/>
          <w:szCs w:val="21"/>
        </w:rPr>
      </w:pPr>
      <w:bookmarkStart w:id="244" w:name="_Toc389065175"/>
      <w:bookmarkStart w:id="245" w:name="_Toc14100"/>
      <w:r>
        <w:rPr>
          <w:rFonts w:ascii="宋体" w:hAnsi="宋体"/>
          <w:b/>
          <w:bCs/>
          <w:szCs w:val="21"/>
        </w:rPr>
        <w:t>5.2 开标程序</w:t>
      </w:r>
      <w:bookmarkEnd w:id="244"/>
      <w:bookmarkEnd w:id="245"/>
    </w:p>
    <w:p>
      <w:pPr>
        <w:spacing w:line="360" w:lineRule="auto"/>
        <w:ind w:firstLine="420" w:firstLineChars="200"/>
        <w:rPr>
          <w:rFonts w:ascii="宋体" w:hAnsi="宋体"/>
          <w:kern w:val="0"/>
          <w:szCs w:val="21"/>
        </w:rPr>
      </w:pPr>
      <w:bookmarkStart w:id="246" w:name="_Toc27870"/>
      <w:r>
        <w:rPr>
          <w:rFonts w:hint="eastAsia" w:ascii="宋体" w:hAnsi="宋体"/>
          <w:kern w:val="0"/>
          <w:szCs w:val="21"/>
        </w:rPr>
        <w:t>5.2.1投标人可自行决定是否参加现场开标活动，但未参加开标会的投标人视同已认可本次开标会全过程，并在开标记录中注明其未到场。参加现场开标会的投标人法定代表人或其授权代表（以下统称“投标人代表”）必须在投标截止前到开标地点出示本人有效身份证（限中国公民居民身份证、外籍有效护照，下同）、法定代表人证明书、法人代表授权委托书（若为授权人时），并由招标人或其委托的公证机构代表验证确认。否则招标人有权拒收其投标文件。</w:t>
      </w:r>
    </w:p>
    <w:p>
      <w:pPr>
        <w:spacing w:line="360" w:lineRule="auto"/>
        <w:ind w:firstLine="420" w:firstLineChars="200"/>
        <w:rPr>
          <w:rFonts w:ascii="宋体" w:hAnsi="宋体"/>
          <w:kern w:val="0"/>
          <w:szCs w:val="21"/>
        </w:rPr>
      </w:pPr>
      <w:r>
        <w:rPr>
          <w:rFonts w:hint="eastAsia" w:ascii="宋体" w:hAnsi="宋体"/>
          <w:kern w:val="0"/>
          <w:szCs w:val="21"/>
        </w:rPr>
        <w:t>5.2.2</w:t>
      </w:r>
      <w:r>
        <w:rPr>
          <w:kern w:val="0"/>
          <w:szCs w:val="21"/>
        </w:rPr>
        <w:t>招标代理机构对开标过程制作记录。</w:t>
      </w:r>
    </w:p>
    <w:p>
      <w:pPr>
        <w:tabs>
          <w:tab w:val="left" w:pos="397"/>
        </w:tabs>
        <w:spacing w:line="360" w:lineRule="auto"/>
        <w:ind w:firstLine="420" w:firstLineChars="200"/>
        <w:rPr>
          <w:rFonts w:ascii="宋体" w:hAnsi="宋体"/>
          <w:kern w:val="0"/>
          <w:szCs w:val="21"/>
        </w:rPr>
      </w:pPr>
      <w:r>
        <w:rPr>
          <w:rFonts w:hint="eastAsia" w:ascii="宋体" w:hAnsi="宋体"/>
          <w:kern w:val="0"/>
          <w:szCs w:val="21"/>
        </w:rPr>
        <w:t>5</w:t>
      </w:r>
      <w:r>
        <w:rPr>
          <w:rFonts w:ascii="宋体" w:hAnsi="宋体"/>
          <w:kern w:val="0"/>
          <w:szCs w:val="21"/>
        </w:rPr>
        <w:t>.2.</w:t>
      </w:r>
      <w:r>
        <w:rPr>
          <w:rFonts w:hint="eastAsia" w:ascii="宋体" w:hAnsi="宋体"/>
          <w:kern w:val="0"/>
          <w:szCs w:val="21"/>
        </w:rPr>
        <w:t>3</w:t>
      </w:r>
      <w:r>
        <w:rPr>
          <w:rFonts w:ascii="宋体" w:hAnsi="宋体"/>
          <w:kern w:val="0"/>
          <w:szCs w:val="21"/>
        </w:rPr>
        <w:t>开标会由</w:t>
      </w:r>
      <w:r>
        <w:rPr>
          <w:rFonts w:hint="eastAsia" w:ascii="宋体" w:hAnsi="宋体"/>
          <w:kern w:val="0"/>
          <w:szCs w:val="21"/>
        </w:rPr>
        <w:t>招标人或其委托的招标代理机构</w:t>
      </w:r>
      <w:r>
        <w:rPr>
          <w:rFonts w:ascii="宋体" w:hAnsi="宋体"/>
          <w:kern w:val="0"/>
          <w:szCs w:val="21"/>
        </w:rPr>
        <w:t>主持。</w:t>
      </w:r>
    </w:p>
    <w:p>
      <w:pPr>
        <w:spacing w:line="360" w:lineRule="auto"/>
        <w:ind w:firstLine="420" w:firstLineChars="200"/>
        <w:rPr>
          <w:rFonts w:ascii="宋体" w:hAnsi="宋体"/>
          <w:kern w:val="0"/>
          <w:szCs w:val="21"/>
        </w:rPr>
      </w:pPr>
      <w:r>
        <w:rPr>
          <w:rFonts w:ascii="宋体" w:hAnsi="宋体"/>
          <w:kern w:val="0"/>
          <w:szCs w:val="21"/>
        </w:rPr>
        <w:t>5.2.</w:t>
      </w:r>
      <w:r>
        <w:rPr>
          <w:rFonts w:hint="eastAsia" w:ascii="宋体" w:hAnsi="宋体"/>
          <w:kern w:val="0"/>
          <w:szCs w:val="21"/>
        </w:rPr>
        <w:t>4</w:t>
      </w:r>
      <w:r>
        <w:rPr>
          <w:rFonts w:ascii="宋体" w:hAnsi="宋体"/>
          <w:kern w:val="0"/>
          <w:szCs w:val="21"/>
        </w:rPr>
        <w:t>主持人按以下程序进行开标：</w:t>
      </w:r>
    </w:p>
    <w:p>
      <w:pPr>
        <w:spacing w:line="360" w:lineRule="auto"/>
        <w:ind w:firstLine="420" w:firstLineChars="200"/>
        <w:rPr>
          <w:rFonts w:ascii="宋体" w:hAnsi="宋体"/>
          <w:kern w:val="0"/>
          <w:szCs w:val="21"/>
        </w:rPr>
      </w:pPr>
      <w:r>
        <w:rPr>
          <w:rFonts w:ascii="宋体" w:hAnsi="宋体"/>
          <w:kern w:val="0"/>
          <w:szCs w:val="21"/>
        </w:rPr>
        <w:t>（1）宣布开标纪律；</w:t>
      </w:r>
    </w:p>
    <w:p>
      <w:pPr>
        <w:spacing w:line="360" w:lineRule="auto"/>
        <w:ind w:firstLine="420" w:firstLineChars="200"/>
        <w:rPr>
          <w:rFonts w:ascii="宋体" w:hAnsi="宋体"/>
          <w:kern w:val="0"/>
          <w:szCs w:val="21"/>
        </w:rPr>
      </w:pPr>
      <w:r>
        <w:rPr>
          <w:rFonts w:ascii="宋体" w:hAnsi="宋体"/>
          <w:kern w:val="0"/>
          <w:szCs w:val="21"/>
        </w:rPr>
        <w:t>（2）</w:t>
      </w:r>
      <w:r>
        <w:rPr>
          <w:rFonts w:hint="eastAsia" w:ascii="宋体" w:hAnsi="宋体"/>
          <w:kern w:val="0"/>
          <w:szCs w:val="21"/>
        </w:rPr>
        <w:t>介绍参加开标会议的单位和人员</w:t>
      </w:r>
      <w:r>
        <w:rPr>
          <w:rFonts w:ascii="宋体" w:hAnsi="宋体"/>
          <w:kern w:val="0"/>
          <w:szCs w:val="21"/>
        </w:rPr>
        <w:t>；</w:t>
      </w:r>
    </w:p>
    <w:p>
      <w:pPr>
        <w:spacing w:line="360" w:lineRule="auto"/>
        <w:ind w:firstLine="420" w:firstLineChars="200"/>
        <w:rPr>
          <w:rFonts w:ascii="宋体" w:hAnsi="宋体"/>
          <w:kern w:val="0"/>
          <w:szCs w:val="21"/>
        </w:rPr>
      </w:pPr>
      <w:r>
        <w:rPr>
          <w:rFonts w:ascii="宋体" w:hAnsi="宋体"/>
          <w:kern w:val="0"/>
          <w:szCs w:val="21"/>
        </w:rPr>
        <w:t>（3）公布在投标截止时间前递交投标文件的投标人名称，点名确认投标人是否派人到场；</w:t>
      </w:r>
    </w:p>
    <w:p>
      <w:pPr>
        <w:spacing w:line="360" w:lineRule="auto"/>
        <w:ind w:firstLine="420" w:firstLineChars="200"/>
        <w:rPr>
          <w:rFonts w:ascii="宋体" w:hAnsi="宋体"/>
          <w:kern w:val="0"/>
          <w:szCs w:val="21"/>
        </w:rPr>
      </w:pPr>
      <w:r>
        <w:rPr>
          <w:rFonts w:ascii="宋体" w:hAnsi="宋体"/>
          <w:kern w:val="0"/>
          <w:szCs w:val="21"/>
        </w:rPr>
        <w:t>（4）投标人代表检查投标文件的密封情况；</w:t>
      </w:r>
    </w:p>
    <w:p>
      <w:pPr>
        <w:spacing w:line="360" w:lineRule="auto"/>
        <w:ind w:firstLine="420" w:firstLineChars="200"/>
        <w:rPr>
          <w:rFonts w:ascii="宋体" w:hAnsi="宋体"/>
          <w:kern w:val="0"/>
          <w:szCs w:val="21"/>
        </w:rPr>
      </w:pPr>
      <w:r>
        <w:rPr>
          <w:rFonts w:ascii="宋体" w:hAnsi="宋体"/>
          <w:kern w:val="0"/>
          <w:szCs w:val="21"/>
        </w:rPr>
        <w:t>（5）投标人代表、招标人代表等有关人员对</w:t>
      </w:r>
      <w:r>
        <w:rPr>
          <w:rFonts w:hint="eastAsia" w:ascii="宋体" w:hAnsi="宋体"/>
          <w:kern w:val="0"/>
          <w:szCs w:val="21"/>
        </w:rPr>
        <w:t>以上内容相关</w:t>
      </w:r>
      <w:r>
        <w:rPr>
          <w:rFonts w:ascii="宋体" w:hAnsi="宋体"/>
          <w:kern w:val="0"/>
          <w:szCs w:val="21"/>
        </w:rPr>
        <w:t>表格进行签字确认</w:t>
      </w:r>
      <w:r>
        <w:rPr>
          <w:rFonts w:hint="eastAsia" w:ascii="宋体" w:hAnsi="宋体"/>
          <w:kern w:val="0"/>
          <w:szCs w:val="21"/>
        </w:rPr>
        <w:t>；</w:t>
      </w:r>
    </w:p>
    <w:p>
      <w:pPr>
        <w:spacing w:line="360" w:lineRule="auto"/>
        <w:ind w:firstLine="420" w:firstLineChars="200"/>
        <w:rPr>
          <w:rFonts w:ascii="宋体" w:hAnsi="宋体"/>
          <w:kern w:val="0"/>
          <w:szCs w:val="21"/>
        </w:rPr>
      </w:pPr>
      <w:r>
        <w:rPr>
          <w:rFonts w:hint="eastAsia" w:ascii="宋体" w:hAnsi="宋体"/>
          <w:kern w:val="0"/>
          <w:szCs w:val="21"/>
        </w:rPr>
        <w:t>（6）</w:t>
      </w:r>
      <w:r>
        <w:rPr>
          <w:rFonts w:ascii="宋体" w:hAnsi="宋体"/>
          <w:kern w:val="0"/>
          <w:szCs w:val="21"/>
        </w:rPr>
        <w:t>按照“投标人须知前附表”的规定</w:t>
      </w:r>
      <w:r>
        <w:rPr>
          <w:rFonts w:hint="eastAsia" w:ascii="宋体" w:hAnsi="宋体"/>
          <w:kern w:val="0"/>
          <w:szCs w:val="21"/>
        </w:rPr>
        <w:t>的</w:t>
      </w:r>
      <w:r>
        <w:rPr>
          <w:rFonts w:ascii="宋体" w:hAnsi="宋体"/>
          <w:kern w:val="0"/>
          <w:szCs w:val="21"/>
        </w:rPr>
        <w:t>开标顺序</w:t>
      </w:r>
      <w:r>
        <w:rPr>
          <w:rFonts w:hint="eastAsia" w:ascii="宋体" w:hAnsi="宋体"/>
          <w:kern w:val="0"/>
          <w:szCs w:val="21"/>
        </w:rPr>
        <w:t>开标；</w:t>
      </w:r>
    </w:p>
    <w:p>
      <w:pPr>
        <w:spacing w:line="360" w:lineRule="auto"/>
        <w:ind w:firstLine="420" w:firstLineChars="200"/>
        <w:rPr>
          <w:rFonts w:ascii="宋体" w:hAnsi="宋体"/>
          <w:kern w:val="0"/>
          <w:szCs w:val="21"/>
        </w:rPr>
      </w:pPr>
      <w:r>
        <w:rPr>
          <w:rFonts w:hint="eastAsia" w:ascii="宋体" w:hAnsi="宋体"/>
          <w:kern w:val="0"/>
          <w:szCs w:val="21"/>
        </w:rPr>
        <w:t>（</w:t>
      </w:r>
      <w:r>
        <w:rPr>
          <w:rFonts w:ascii="宋体" w:hAnsi="宋体"/>
          <w:kern w:val="0"/>
          <w:szCs w:val="21"/>
        </w:rPr>
        <w:t>7</w:t>
      </w:r>
      <w:r>
        <w:rPr>
          <w:rFonts w:hint="eastAsia" w:ascii="宋体" w:hAnsi="宋体"/>
          <w:kern w:val="0"/>
          <w:szCs w:val="21"/>
        </w:rPr>
        <w:t>）唱标：对投标人的投标报价、质量要求、服务期及其他内容进行唱标，并记录在案；</w:t>
      </w:r>
    </w:p>
    <w:p>
      <w:pPr>
        <w:spacing w:line="360" w:lineRule="auto"/>
        <w:ind w:firstLine="420" w:firstLineChars="200"/>
        <w:rPr>
          <w:rFonts w:ascii="宋体" w:hAnsi="宋体"/>
          <w:kern w:val="0"/>
          <w:szCs w:val="21"/>
        </w:rPr>
      </w:pPr>
      <w:r>
        <w:rPr>
          <w:rFonts w:ascii="宋体" w:hAnsi="宋体"/>
          <w:kern w:val="0"/>
          <w:szCs w:val="21"/>
        </w:rPr>
        <w:t>（8）公布招标上限控制价及相关内容；</w:t>
      </w:r>
    </w:p>
    <w:p>
      <w:pPr>
        <w:spacing w:line="360" w:lineRule="auto"/>
        <w:ind w:firstLine="420" w:firstLineChars="200"/>
        <w:rPr>
          <w:rFonts w:ascii="宋体" w:hAnsi="宋体"/>
          <w:kern w:val="0"/>
          <w:szCs w:val="21"/>
        </w:rPr>
      </w:pPr>
      <w:r>
        <w:rPr>
          <w:rFonts w:ascii="宋体" w:hAnsi="宋体"/>
          <w:kern w:val="0"/>
          <w:szCs w:val="21"/>
        </w:rPr>
        <w:t>（9）投标人代表、招标人代表等有关人员</w:t>
      </w:r>
      <w:r>
        <w:rPr>
          <w:rFonts w:hint="eastAsia" w:ascii="宋体" w:hAnsi="宋体"/>
          <w:kern w:val="0"/>
          <w:szCs w:val="21"/>
        </w:rPr>
        <w:t>对开标过程相关表格进行</w:t>
      </w:r>
      <w:r>
        <w:rPr>
          <w:rFonts w:ascii="宋体" w:hAnsi="宋体"/>
          <w:kern w:val="0"/>
          <w:szCs w:val="21"/>
        </w:rPr>
        <w:t>签字确认；</w:t>
      </w:r>
    </w:p>
    <w:p>
      <w:pPr>
        <w:spacing w:line="360" w:lineRule="auto"/>
        <w:ind w:firstLine="420" w:firstLineChars="200"/>
        <w:rPr>
          <w:rFonts w:ascii="宋体" w:hAnsi="宋体"/>
          <w:kern w:val="0"/>
          <w:szCs w:val="21"/>
        </w:rPr>
      </w:pPr>
      <w:r>
        <w:rPr>
          <w:rFonts w:ascii="宋体" w:hAnsi="宋体"/>
          <w:kern w:val="0"/>
          <w:szCs w:val="21"/>
        </w:rPr>
        <w:t>（10）</w:t>
      </w:r>
      <w:r>
        <w:rPr>
          <w:rFonts w:hint="eastAsia" w:ascii="宋体" w:hAnsi="宋体"/>
          <w:kern w:val="0"/>
          <w:szCs w:val="21"/>
        </w:rPr>
        <w:t>主持人宣布相关事宜。</w:t>
      </w:r>
    </w:p>
    <w:p>
      <w:pPr>
        <w:spacing w:line="360" w:lineRule="auto"/>
        <w:ind w:firstLine="420" w:firstLineChars="200"/>
        <w:rPr>
          <w:rFonts w:ascii="宋体" w:hAnsi="宋体"/>
          <w:kern w:val="0"/>
          <w:szCs w:val="21"/>
        </w:rPr>
      </w:pPr>
      <w:r>
        <w:rPr>
          <w:rFonts w:hint="eastAsia" w:ascii="宋体" w:hAnsi="宋体"/>
          <w:kern w:val="0"/>
          <w:szCs w:val="21"/>
        </w:rPr>
        <w:t>（1</w:t>
      </w:r>
      <w:r>
        <w:rPr>
          <w:rFonts w:ascii="宋体" w:hAnsi="宋体"/>
          <w:kern w:val="0"/>
          <w:szCs w:val="21"/>
        </w:rPr>
        <w:t>1</w:t>
      </w:r>
      <w:r>
        <w:rPr>
          <w:rFonts w:hint="eastAsia" w:ascii="宋体" w:hAnsi="宋体"/>
          <w:kern w:val="0"/>
          <w:szCs w:val="21"/>
        </w:rPr>
        <w:t>）</w:t>
      </w:r>
      <w:r>
        <w:rPr>
          <w:rFonts w:ascii="宋体" w:hAnsi="宋体"/>
          <w:kern w:val="0"/>
          <w:szCs w:val="21"/>
        </w:rPr>
        <w:t>开标结束。</w:t>
      </w:r>
    </w:p>
    <w:p>
      <w:pPr>
        <w:keepNext/>
        <w:keepLines/>
        <w:spacing w:line="360" w:lineRule="auto"/>
        <w:outlineLvl w:val="3"/>
        <w:rPr>
          <w:rFonts w:ascii="宋体" w:hAnsi="宋体"/>
          <w:b/>
          <w:bCs/>
          <w:szCs w:val="21"/>
        </w:rPr>
      </w:pPr>
      <w:r>
        <w:rPr>
          <w:rFonts w:ascii="宋体" w:hAnsi="宋体"/>
          <w:b/>
          <w:bCs/>
          <w:szCs w:val="21"/>
        </w:rPr>
        <w:t>5.3不予开标</w:t>
      </w:r>
      <w:bookmarkEnd w:id="246"/>
    </w:p>
    <w:p>
      <w:pPr>
        <w:spacing w:line="360" w:lineRule="auto"/>
        <w:ind w:firstLine="420" w:firstLineChars="200"/>
        <w:rPr>
          <w:rFonts w:ascii="宋体" w:hAnsi="宋体"/>
          <w:kern w:val="0"/>
          <w:szCs w:val="21"/>
        </w:rPr>
      </w:pPr>
      <w:r>
        <w:rPr>
          <w:rFonts w:ascii="宋体" w:hAnsi="宋体"/>
          <w:kern w:val="0"/>
          <w:szCs w:val="21"/>
        </w:rPr>
        <w:t>符合下列情况之一的投标，招标人拒绝受理或在开标时当场</w:t>
      </w:r>
      <w:r>
        <w:rPr>
          <w:rFonts w:hint="eastAsia" w:ascii="宋体" w:hAnsi="宋体"/>
          <w:kern w:val="0"/>
          <w:szCs w:val="21"/>
        </w:rPr>
        <w:t>否决其投标</w:t>
      </w:r>
      <w:r>
        <w:rPr>
          <w:rFonts w:ascii="宋体" w:hAnsi="宋体"/>
          <w:kern w:val="0"/>
          <w:szCs w:val="21"/>
        </w:rPr>
        <w:t>，不得进入评标</w:t>
      </w:r>
      <w:r>
        <w:rPr>
          <w:rFonts w:hint="eastAsia" w:ascii="宋体" w:hAnsi="宋体"/>
          <w:kern w:val="0"/>
          <w:szCs w:val="21"/>
        </w:rPr>
        <w:t>（以下（3）、（4）项，选择邮寄方式递交投标文件的投标人除外）</w:t>
      </w:r>
      <w:r>
        <w:rPr>
          <w:rFonts w:ascii="宋体" w:hAnsi="宋体"/>
          <w:kern w:val="0"/>
          <w:szCs w:val="21"/>
        </w:rPr>
        <w:t>：</w:t>
      </w:r>
    </w:p>
    <w:p>
      <w:pPr>
        <w:spacing w:line="360" w:lineRule="auto"/>
        <w:ind w:firstLine="420" w:firstLineChars="200"/>
        <w:rPr>
          <w:rFonts w:ascii="宋体" w:hAnsi="宋体"/>
          <w:kern w:val="0"/>
          <w:szCs w:val="21"/>
        </w:rPr>
      </w:pPr>
      <w:r>
        <w:rPr>
          <w:rFonts w:ascii="宋体" w:hAnsi="宋体"/>
          <w:kern w:val="0"/>
          <w:szCs w:val="21"/>
        </w:rPr>
        <w:t>（1）投标文件逾期送达的或者未送达指定地点的；</w:t>
      </w:r>
    </w:p>
    <w:p>
      <w:pPr>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2</w:t>
      </w:r>
      <w:r>
        <w:rPr>
          <w:rFonts w:ascii="宋体" w:hAnsi="宋体"/>
          <w:kern w:val="0"/>
          <w:szCs w:val="21"/>
        </w:rPr>
        <w:t>）投标文件未按招标文件要求密封的；</w:t>
      </w:r>
    </w:p>
    <w:p>
      <w:pPr>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3</w:t>
      </w:r>
      <w:r>
        <w:rPr>
          <w:rFonts w:ascii="宋体" w:hAnsi="宋体"/>
          <w:kern w:val="0"/>
          <w:szCs w:val="21"/>
        </w:rPr>
        <w:t>）</w:t>
      </w:r>
      <w:r>
        <w:rPr>
          <w:rFonts w:hint="eastAsia" w:ascii="宋体" w:hAnsi="宋体"/>
          <w:kern w:val="0"/>
          <w:szCs w:val="21"/>
        </w:rPr>
        <w:t>无疫情特殊政策的情况下，</w:t>
      </w:r>
      <w:r>
        <w:rPr>
          <w:rFonts w:ascii="宋体" w:hAnsi="宋体"/>
          <w:kern w:val="0"/>
          <w:szCs w:val="21"/>
        </w:rPr>
        <w:t>投标人授权</w:t>
      </w:r>
      <w:r>
        <w:rPr>
          <w:rFonts w:hint="eastAsia" w:ascii="宋体" w:hAnsi="宋体"/>
          <w:kern w:val="0"/>
          <w:szCs w:val="21"/>
        </w:rPr>
        <w:t>的代理人</w:t>
      </w:r>
      <w:r>
        <w:rPr>
          <w:rFonts w:ascii="宋体" w:hAnsi="宋体"/>
          <w:kern w:val="0"/>
          <w:szCs w:val="21"/>
        </w:rPr>
        <w:t>未按时出席开标会</w:t>
      </w:r>
      <w:r>
        <w:rPr>
          <w:rFonts w:hint="eastAsia" w:ascii="宋体" w:hAnsi="宋体"/>
          <w:kern w:val="0"/>
          <w:szCs w:val="21"/>
        </w:rPr>
        <w:t>；</w:t>
      </w:r>
    </w:p>
    <w:p>
      <w:pPr>
        <w:spacing w:line="360" w:lineRule="auto"/>
        <w:ind w:firstLine="420" w:firstLineChars="200"/>
        <w:rPr>
          <w:rFonts w:ascii="宋体" w:hAnsi="宋体"/>
          <w:kern w:val="0"/>
          <w:szCs w:val="21"/>
        </w:rPr>
      </w:pPr>
      <w:r>
        <w:rPr>
          <w:rFonts w:hint="eastAsia" w:ascii="宋体" w:hAnsi="宋体"/>
          <w:kern w:val="0"/>
          <w:szCs w:val="21"/>
        </w:rPr>
        <w:t>（4）授权出席开标会、授权签署投标文件的委托代理人非投标人授权委托人。</w:t>
      </w:r>
    </w:p>
    <w:p>
      <w:pPr>
        <w:keepNext/>
        <w:keepLines/>
        <w:spacing w:line="360" w:lineRule="auto"/>
        <w:outlineLvl w:val="3"/>
        <w:rPr>
          <w:rFonts w:ascii="宋体" w:hAnsi="宋体"/>
          <w:b/>
          <w:bCs/>
          <w:szCs w:val="21"/>
        </w:rPr>
      </w:pPr>
      <w:bookmarkStart w:id="247" w:name="_Toc4496"/>
      <w:r>
        <w:rPr>
          <w:rFonts w:ascii="宋体" w:hAnsi="宋体"/>
          <w:b/>
          <w:bCs/>
          <w:szCs w:val="21"/>
        </w:rPr>
        <w:t>5.</w:t>
      </w:r>
      <w:r>
        <w:rPr>
          <w:rFonts w:hint="eastAsia" w:ascii="宋体" w:hAnsi="宋体"/>
          <w:b/>
          <w:bCs/>
          <w:szCs w:val="21"/>
        </w:rPr>
        <w:t>4开标异议</w:t>
      </w:r>
      <w:bookmarkEnd w:id="247"/>
    </w:p>
    <w:p>
      <w:pPr>
        <w:spacing w:line="360" w:lineRule="auto"/>
        <w:ind w:firstLine="420" w:firstLineChars="200"/>
        <w:rPr>
          <w:rFonts w:ascii="宋体" w:hAnsi="宋体"/>
          <w:kern w:val="0"/>
          <w:szCs w:val="21"/>
        </w:rPr>
      </w:pPr>
      <w:bookmarkStart w:id="248" w:name="_Toc15801"/>
      <w:bookmarkStart w:id="249" w:name="_Toc389065177"/>
      <w:r>
        <w:rPr>
          <w:rFonts w:hint="eastAsia" w:ascii="宋体" w:hAnsi="宋体"/>
          <w:kern w:val="0"/>
          <w:szCs w:val="21"/>
        </w:rPr>
        <w:t>（1）投标人对开标有异议的，应当在开标现场提出，招标人应当当场作出答复，并制作记录。</w:t>
      </w:r>
    </w:p>
    <w:p>
      <w:pPr>
        <w:spacing w:line="360" w:lineRule="auto"/>
        <w:ind w:firstLine="420" w:firstLineChars="200"/>
        <w:rPr>
          <w:rFonts w:ascii="宋体" w:hAnsi="宋体"/>
          <w:kern w:val="0"/>
          <w:szCs w:val="21"/>
        </w:rPr>
      </w:pPr>
      <w:r>
        <w:rPr>
          <w:rFonts w:hint="eastAsia" w:ascii="宋体" w:hAnsi="宋体"/>
          <w:kern w:val="0"/>
          <w:szCs w:val="21"/>
        </w:rPr>
        <w:t>（2）投标人不得就招标人已答复的同一事项再次异议。</w:t>
      </w:r>
    </w:p>
    <w:p>
      <w:pPr>
        <w:spacing w:line="360" w:lineRule="auto"/>
        <w:ind w:firstLine="420" w:firstLineChars="200"/>
        <w:rPr>
          <w:rFonts w:ascii="宋体" w:hAnsi="宋体"/>
          <w:kern w:val="0"/>
          <w:szCs w:val="21"/>
        </w:rPr>
      </w:pPr>
      <w:r>
        <w:rPr>
          <w:rFonts w:hint="eastAsia" w:ascii="宋体" w:hAnsi="宋体"/>
          <w:kern w:val="0"/>
          <w:szCs w:val="21"/>
        </w:rPr>
        <w:t>（3）投标人如在开标</w:t>
      </w:r>
      <w:r>
        <w:rPr>
          <w:rFonts w:ascii="宋体" w:hAnsi="宋体"/>
          <w:kern w:val="0"/>
          <w:szCs w:val="21"/>
        </w:rPr>
        <w:t>现场</w:t>
      </w:r>
      <w:r>
        <w:rPr>
          <w:rFonts w:hint="eastAsia" w:ascii="宋体" w:hAnsi="宋体"/>
          <w:kern w:val="0"/>
          <w:szCs w:val="21"/>
        </w:rPr>
        <w:t>没有</w:t>
      </w:r>
      <w:r>
        <w:rPr>
          <w:rFonts w:ascii="宋体" w:hAnsi="宋体"/>
          <w:kern w:val="0"/>
          <w:szCs w:val="21"/>
        </w:rPr>
        <w:t>提出异议，</w:t>
      </w:r>
      <w:r>
        <w:rPr>
          <w:rFonts w:hint="eastAsia" w:ascii="宋体" w:hAnsi="宋体"/>
          <w:kern w:val="0"/>
          <w:szCs w:val="21"/>
        </w:rPr>
        <w:t>视为主动放弃异议资格，不得在其他情况下再次提出开标异议。</w:t>
      </w:r>
    </w:p>
    <w:p>
      <w:pPr>
        <w:keepNext/>
        <w:keepLines/>
        <w:spacing w:before="240" w:beforeLines="100" w:line="360" w:lineRule="auto"/>
        <w:outlineLvl w:val="2"/>
        <w:rPr>
          <w:rFonts w:ascii="黑体" w:hAnsi="黑体" w:eastAsia="黑体"/>
          <w:b/>
          <w:bCs/>
          <w:sz w:val="24"/>
          <w:szCs w:val="21"/>
        </w:rPr>
      </w:pPr>
      <w:bookmarkStart w:id="250" w:name="_Toc27387"/>
      <w:r>
        <w:rPr>
          <w:rFonts w:ascii="黑体" w:hAnsi="黑体" w:eastAsia="黑体"/>
          <w:b/>
          <w:bCs/>
          <w:sz w:val="24"/>
          <w:szCs w:val="21"/>
        </w:rPr>
        <w:t>6</w:t>
      </w:r>
      <w:r>
        <w:rPr>
          <w:rFonts w:hint="eastAsia" w:ascii="黑体" w:hAnsi="黑体" w:eastAsia="黑体"/>
          <w:b/>
          <w:bCs/>
          <w:sz w:val="24"/>
          <w:szCs w:val="21"/>
        </w:rPr>
        <w:t xml:space="preserve"> </w:t>
      </w:r>
      <w:r>
        <w:rPr>
          <w:rFonts w:ascii="黑体" w:hAnsi="黑体" w:eastAsia="黑体"/>
          <w:b/>
          <w:bCs/>
          <w:sz w:val="24"/>
          <w:szCs w:val="21"/>
        </w:rPr>
        <w:t>评标</w:t>
      </w:r>
      <w:bookmarkEnd w:id="248"/>
      <w:bookmarkEnd w:id="249"/>
      <w:bookmarkEnd w:id="250"/>
    </w:p>
    <w:p>
      <w:pPr>
        <w:keepNext/>
        <w:keepLines/>
        <w:spacing w:line="360" w:lineRule="auto"/>
        <w:outlineLvl w:val="3"/>
        <w:rPr>
          <w:rFonts w:ascii="宋体" w:hAnsi="宋体"/>
          <w:b/>
          <w:bCs/>
          <w:szCs w:val="21"/>
        </w:rPr>
      </w:pPr>
      <w:bookmarkStart w:id="251" w:name="_Toc389065178"/>
      <w:bookmarkStart w:id="252" w:name="_Toc25904"/>
      <w:r>
        <w:rPr>
          <w:rFonts w:ascii="宋体" w:hAnsi="宋体"/>
          <w:b/>
          <w:bCs/>
          <w:szCs w:val="21"/>
        </w:rPr>
        <w:t>6.1 评标委员会</w:t>
      </w:r>
      <w:bookmarkEnd w:id="251"/>
      <w:bookmarkEnd w:id="252"/>
    </w:p>
    <w:p>
      <w:pPr>
        <w:spacing w:line="360" w:lineRule="auto"/>
        <w:ind w:firstLine="420" w:firstLineChars="200"/>
        <w:rPr>
          <w:rFonts w:ascii="宋体" w:hAnsi="宋体"/>
          <w:kern w:val="0"/>
          <w:szCs w:val="21"/>
        </w:rPr>
      </w:pPr>
      <w:r>
        <w:rPr>
          <w:rFonts w:ascii="宋体" w:hAnsi="宋体"/>
          <w:kern w:val="0"/>
          <w:szCs w:val="21"/>
        </w:rPr>
        <w:t>6.1.1评标由招标人依法组建的评标委员会负责。评标委员会由招标人熟悉相关业务的代表，以及有关技术、经济等方面的专家组成。评标委员会成员人数以及技术、经济等方面专家的确定方式见投标人须知前附表</w:t>
      </w:r>
      <w:r>
        <w:rPr>
          <w:rFonts w:hint="eastAsia" w:ascii="宋体" w:hAnsi="宋体"/>
          <w:kern w:val="0"/>
          <w:szCs w:val="21"/>
        </w:rPr>
        <w:t>。</w:t>
      </w:r>
    </w:p>
    <w:p>
      <w:pPr>
        <w:spacing w:line="360" w:lineRule="auto"/>
        <w:ind w:firstLine="420" w:firstLineChars="200"/>
        <w:rPr>
          <w:rFonts w:ascii="宋体" w:hAnsi="宋体"/>
          <w:kern w:val="0"/>
          <w:szCs w:val="21"/>
        </w:rPr>
      </w:pPr>
      <w:r>
        <w:rPr>
          <w:rFonts w:ascii="宋体" w:hAnsi="宋体"/>
          <w:kern w:val="0"/>
          <w:szCs w:val="21"/>
        </w:rPr>
        <w:t>6.1.2 评标委员会成员有下列情形之一的，应当回避：</w:t>
      </w:r>
    </w:p>
    <w:p>
      <w:pPr>
        <w:spacing w:line="360" w:lineRule="auto"/>
        <w:ind w:firstLine="420" w:firstLineChars="200"/>
        <w:rPr>
          <w:rFonts w:ascii="宋体" w:hAnsi="宋体"/>
          <w:kern w:val="0"/>
          <w:szCs w:val="21"/>
        </w:rPr>
      </w:pPr>
      <w:r>
        <w:rPr>
          <w:rFonts w:ascii="宋体" w:hAnsi="宋体"/>
          <w:kern w:val="0"/>
          <w:szCs w:val="21"/>
        </w:rPr>
        <w:t>（1）投标人或投标人的主要负责人的近亲属；</w:t>
      </w:r>
    </w:p>
    <w:p>
      <w:pPr>
        <w:spacing w:line="360" w:lineRule="auto"/>
        <w:ind w:firstLine="420" w:firstLineChars="200"/>
        <w:rPr>
          <w:rFonts w:ascii="宋体" w:hAnsi="宋体"/>
          <w:kern w:val="0"/>
          <w:szCs w:val="21"/>
        </w:rPr>
      </w:pPr>
      <w:r>
        <w:rPr>
          <w:rFonts w:ascii="宋体" w:hAnsi="宋体"/>
          <w:kern w:val="0"/>
          <w:szCs w:val="21"/>
        </w:rPr>
        <w:t>（2）项目主管部门或者行政监督部门的人员；</w:t>
      </w:r>
    </w:p>
    <w:p>
      <w:pPr>
        <w:spacing w:line="360" w:lineRule="auto"/>
        <w:ind w:firstLine="420" w:firstLineChars="200"/>
        <w:rPr>
          <w:rFonts w:ascii="宋体" w:hAnsi="宋体"/>
          <w:kern w:val="0"/>
          <w:szCs w:val="21"/>
        </w:rPr>
      </w:pPr>
      <w:r>
        <w:rPr>
          <w:rFonts w:ascii="宋体" w:hAnsi="宋体"/>
          <w:kern w:val="0"/>
          <w:szCs w:val="21"/>
        </w:rPr>
        <w:t>（3）与投标人有经济利益关系，可能影响对投标公正评审的</w:t>
      </w:r>
      <w:r>
        <w:rPr>
          <w:rFonts w:hint="eastAsia" w:ascii="宋体" w:hAnsi="宋体"/>
          <w:kern w:val="0"/>
          <w:szCs w:val="21"/>
        </w:rPr>
        <w:t>；</w:t>
      </w:r>
    </w:p>
    <w:p>
      <w:pPr>
        <w:spacing w:line="360" w:lineRule="auto"/>
        <w:ind w:firstLine="420" w:firstLineChars="200"/>
        <w:rPr>
          <w:rFonts w:ascii="宋体" w:hAnsi="宋体"/>
          <w:kern w:val="0"/>
          <w:szCs w:val="21"/>
        </w:rPr>
      </w:pPr>
      <w:r>
        <w:rPr>
          <w:rFonts w:hint="eastAsia" w:ascii="宋体" w:hAnsi="宋体"/>
          <w:kern w:val="0"/>
          <w:szCs w:val="21"/>
        </w:rPr>
        <w:t>（</w:t>
      </w:r>
      <w:r>
        <w:rPr>
          <w:rFonts w:ascii="宋体" w:hAnsi="宋体"/>
          <w:kern w:val="0"/>
          <w:szCs w:val="21"/>
        </w:rPr>
        <w:t>4</w:t>
      </w:r>
      <w:r>
        <w:rPr>
          <w:rFonts w:hint="eastAsia" w:ascii="宋体" w:hAnsi="宋体"/>
          <w:kern w:val="0"/>
          <w:szCs w:val="21"/>
        </w:rPr>
        <w:t>）曾因在招标、评标以及其他与招标投标有关活动中从事违法行为而受过行政处罚或刑事处罚的；</w:t>
      </w:r>
    </w:p>
    <w:p>
      <w:pPr>
        <w:spacing w:line="360" w:lineRule="auto"/>
        <w:ind w:firstLine="420" w:firstLineChars="200"/>
        <w:rPr>
          <w:rFonts w:ascii="宋体" w:hAnsi="宋体"/>
          <w:kern w:val="0"/>
          <w:szCs w:val="21"/>
        </w:rPr>
      </w:pPr>
      <w:r>
        <w:rPr>
          <w:rFonts w:hint="eastAsia" w:ascii="宋体" w:hAnsi="宋体"/>
          <w:kern w:val="0"/>
          <w:szCs w:val="21"/>
        </w:rPr>
        <w:t>（</w:t>
      </w:r>
      <w:r>
        <w:rPr>
          <w:rFonts w:ascii="宋体" w:hAnsi="宋体"/>
          <w:kern w:val="0"/>
          <w:szCs w:val="21"/>
        </w:rPr>
        <w:t>5</w:t>
      </w:r>
      <w:r>
        <w:rPr>
          <w:rFonts w:hint="eastAsia" w:ascii="宋体" w:hAnsi="宋体"/>
          <w:kern w:val="0"/>
          <w:szCs w:val="21"/>
        </w:rPr>
        <w:t>）为该工程提供勘察、设计、监理咨询的主要人员；</w:t>
      </w:r>
    </w:p>
    <w:p>
      <w:pPr>
        <w:spacing w:line="360" w:lineRule="auto"/>
        <w:ind w:firstLine="420" w:firstLineChars="200"/>
        <w:rPr>
          <w:rFonts w:ascii="宋体" w:hAnsi="宋体"/>
          <w:kern w:val="0"/>
          <w:szCs w:val="21"/>
        </w:rPr>
      </w:pPr>
      <w:r>
        <w:rPr>
          <w:rFonts w:hint="eastAsia" w:ascii="宋体" w:hAnsi="宋体"/>
          <w:kern w:val="0"/>
          <w:szCs w:val="21"/>
        </w:rPr>
        <w:t>（</w:t>
      </w:r>
      <w:r>
        <w:rPr>
          <w:rFonts w:ascii="宋体" w:hAnsi="宋体"/>
          <w:kern w:val="0"/>
          <w:szCs w:val="21"/>
        </w:rPr>
        <w:t>6</w:t>
      </w:r>
      <w:r>
        <w:rPr>
          <w:rFonts w:hint="eastAsia" w:ascii="宋体" w:hAnsi="宋体"/>
          <w:kern w:val="0"/>
          <w:szCs w:val="21"/>
        </w:rPr>
        <w:t>）为该工程的勘察、设计人员；</w:t>
      </w:r>
    </w:p>
    <w:p>
      <w:pPr>
        <w:spacing w:line="360" w:lineRule="auto"/>
        <w:ind w:firstLine="420" w:firstLineChars="200"/>
        <w:rPr>
          <w:rFonts w:ascii="宋体" w:hAnsi="宋体"/>
          <w:kern w:val="0"/>
          <w:szCs w:val="21"/>
        </w:rPr>
      </w:pPr>
      <w:r>
        <w:rPr>
          <w:rFonts w:hint="eastAsia" w:ascii="宋体" w:hAnsi="宋体"/>
          <w:kern w:val="0"/>
          <w:szCs w:val="21"/>
        </w:rPr>
        <w:t>（</w:t>
      </w:r>
      <w:r>
        <w:rPr>
          <w:rFonts w:ascii="宋体" w:hAnsi="宋体"/>
          <w:kern w:val="0"/>
          <w:szCs w:val="21"/>
        </w:rPr>
        <w:t>7</w:t>
      </w:r>
      <w:r>
        <w:rPr>
          <w:rFonts w:hint="eastAsia" w:ascii="宋体" w:hAnsi="宋体"/>
          <w:kern w:val="0"/>
          <w:szCs w:val="21"/>
        </w:rPr>
        <w:t>）为该工程招标代理、造价咨询机构的人员；</w:t>
      </w:r>
    </w:p>
    <w:p>
      <w:pPr>
        <w:spacing w:line="360" w:lineRule="auto"/>
        <w:ind w:firstLine="420" w:firstLineChars="200"/>
        <w:rPr>
          <w:rFonts w:ascii="宋体" w:hAnsi="宋体"/>
          <w:kern w:val="0"/>
          <w:szCs w:val="21"/>
        </w:rPr>
      </w:pPr>
      <w:r>
        <w:rPr>
          <w:rFonts w:hint="eastAsia" w:ascii="宋体" w:hAnsi="宋体"/>
          <w:kern w:val="0"/>
          <w:szCs w:val="21"/>
        </w:rPr>
        <w:t>（</w:t>
      </w:r>
      <w:r>
        <w:rPr>
          <w:rFonts w:ascii="宋体" w:hAnsi="宋体"/>
          <w:kern w:val="0"/>
          <w:szCs w:val="21"/>
        </w:rPr>
        <w:t>8</w:t>
      </w:r>
      <w:r>
        <w:rPr>
          <w:rFonts w:hint="eastAsia" w:ascii="宋体" w:hAnsi="宋体"/>
          <w:kern w:val="0"/>
          <w:szCs w:val="21"/>
        </w:rPr>
        <w:t>）与投标人有其他利害关系。</w:t>
      </w:r>
    </w:p>
    <w:p>
      <w:pPr>
        <w:keepNext/>
        <w:keepLines/>
        <w:spacing w:line="360" w:lineRule="auto"/>
        <w:outlineLvl w:val="3"/>
        <w:rPr>
          <w:rFonts w:ascii="宋体" w:hAnsi="宋体"/>
          <w:b/>
          <w:bCs/>
          <w:szCs w:val="21"/>
        </w:rPr>
      </w:pPr>
      <w:bookmarkStart w:id="253" w:name="_Toc15075"/>
      <w:bookmarkStart w:id="254" w:name="_Toc389065179"/>
      <w:r>
        <w:rPr>
          <w:rFonts w:ascii="宋体" w:hAnsi="宋体"/>
          <w:b/>
          <w:bCs/>
          <w:szCs w:val="21"/>
        </w:rPr>
        <w:t>6.2 评标原则</w:t>
      </w:r>
      <w:bookmarkEnd w:id="253"/>
      <w:bookmarkEnd w:id="254"/>
    </w:p>
    <w:p>
      <w:pPr>
        <w:spacing w:line="360" w:lineRule="auto"/>
        <w:ind w:firstLine="420" w:firstLineChars="200"/>
        <w:rPr>
          <w:rFonts w:ascii="宋体" w:hAnsi="宋体"/>
          <w:kern w:val="0"/>
          <w:szCs w:val="21"/>
        </w:rPr>
      </w:pPr>
      <w:r>
        <w:rPr>
          <w:rFonts w:ascii="宋体" w:hAnsi="宋体"/>
          <w:kern w:val="0"/>
          <w:szCs w:val="21"/>
        </w:rPr>
        <w:t>评标活动遵循公平、公正、科学和择优的原则。</w:t>
      </w:r>
    </w:p>
    <w:p>
      <w:pPr>
        <w:keepNext/>
        <w:keepLines/>
        <w:spacing w:line="360" w:lineRule="auto"/>
        <w:outlineLvl w:val="3"/>
        <w:rPr>
          <w:rFonts w:ascii="宋体" w:hAnsi="宋体"/>
          <w:b/>
          <w:bCs/>
          <w:szCs w:val="21"/>
        </w:rPr>
      </w:pPr>
      <w:bookmarkStart w:id="255" w:name="_Toc389065180"/>
      <w:bookmarkStart w:id="256" w:name="_Toc9656"/>
      <w:r>
        <w:rPr>
          <w:rFonts w:ascii="宋体" w:hAnsi="宋体"/>
          <w:b/>
          <w:bCs/>
          <w:szCs w:val="21"/>
        </w:rPr>
        <w:t>6.3 评标</w:t>
      </w:r>
      <w:bookmarkEnd w:id="255"/>
      <w:bookmarkEnd w:id="256"/>
      <w:r>
        <w:rPr>
          <w:rFonts w:hint="eastAsia" w:ascii="宋体" w:hAnsi="宋体"/>
          <w:b/>
          <w:bCs/>
          <w:szCs w:val="21"/>
        </w:rPr>
        <w:t>办法</w:t>
      </w:r>
    </w:p>
    <w:p>
      <w:pPr>
        <w:spacing w:line="360" w:lineRule="auto"/>
        <w:ind w:firstLine="420" w:firstLineChars="200"/>
        <w:rPr>
          <w:rFonts w:ascii="宋体" w:hAnsi="宋体"/>
          <w:kern w:val="0"/>
          <w:sz w:val="24"/>
          <w:szCs w:val="21"/>
        </w:rPr>
      </w:pPr>
      <w:r>
        <w:rPr>
          <w:rFonts w:hint="eastAsia" w:ascii="宋体" w:hAnsi="宋体"/>
          <w:kern w:val="0"/>
          <w:szCs w:val="21"/>
        </w:rPr>
        <w:t>详见第三章《评标办法》。</w:t>
      </w:r>
    </w:p>
    <w:p>
      <w:pPr>
        <w:keepNext/>
        <w:keepLines/>
        <w:spacing w:before="240" w:beforeLines="100" w:line="360" w:lineRule="auto"/>
        <w:outlineLvl w:val="2"/>
        <w:rPr>
          <w:rFonts w:ascii="黑体" w:hAnsi="黑体" w:eastAsia="黑体"/>
          <w:b/>
          <w:bCs/>
          <w:sz w:val="24"/>
          <w:szCs w:val="21"/>
        </w:rPr>
      </w:pPr>
      <w:bookmarkStart w:id="257" w:name="_Toc389065184"/>
      <w:bookmarkStart w:id="258" w:name="_Toc12990"/>
      <w:bookmarkStart w:id="259" w:name="_Toc22617"/>
      <w:r>
        <w:rPr>
          <w:rFonts w:ascii="黑体" w:hAnsi="黑体" w:eastAsia="黑体"/>
          <w:b/>
          <w:bCs/>
          <w:sz w:val="24"/>
          <w:szCs w:val="21"/>
        </w:rPr>
        <w:t>7</w:t>
      </w:r>
      <w:r>
        <w:rPr>
          <w:rFonts w:hint="eastAsia" w:ascii="黑体" w:hAnsi="黑体" w:eastAsia="黑体"/>
          <w:b/>
          <w:bCs/>
          <w:sz w:val="24"/>
          <w:szCs w:val="21"/>
        </w:rPr>
        <w:t xml:space="preserve"> </w:t>
      </w:r>
      <w:r>
        <w:rPr>
          <w:rFonts w:ascii="黑体" w:hAnsi="黑体" w:eastAsia="黑体"/>
          <w:b/>
          <w:bCs/>
          <w:sz w:val="24"/>
          <w:szCs w:val="21"/>
        </w:rPr>
        <w:t>合同授予</w:t>
      </w:r>
      <w:bookmarkEnd w:id="257"/>
      <w:bookmarkEnd w:id="258"/>
      <w:bookmarkEnd w:id="259"/>
    </w:p>
    <w:p>
      <w:pPr>
        <w:keepNext/>
        <w:keepLines/>
        <w:spacing w:line="360" w:lineRule="auto"/>
        <w:outlineLvl w:val="3"/>
        <w:rPr>
          <w:rFonts w:ascii="宋体" w:hAnsi="宋体"/>
          <w:b/>
          <w:bCs/>
          <w:szCs w:val="21"/>
        </w:rPr>
      </w:pPr>
      <w:bookmarkStart w:id="260" w:name="_Toc5173"/>
      <w:bookmarkStart w:id="261" w:name="_Toc389065185"/>
      <w:r>
        <w:rPr>
          <w:rFonts w:ascii="宋体" w:hAnsi="宋体"/>
          <w:b/>
          <w:bCs/>
          <w:szCs w:val="21"/>
        </w:rPr>
        <w:t>7.1 定标</w:t>
      </w:r>
      <w:bookmarkEnd w:id="260"/>
      <w:bookmarkEnd w:id="261"/>
    </w:p>
    <w:p>
      <w:pPr>
        <w:spacing w:line="360" w:lineRule="auto"/>
        <w:ind w:firstLine="420" w:firstLineChars="200"/>
        <w:rPr>
          <w:rFonts w:ascii="宋体" w:hAnsi="宋体"/>
          <w:kern w:val="0"/>
          <w:szCs w:val="21"/>
        </w:rPr>
      </w:pPr>
      <w:r>
        <w:rPr>
          <w:rFonts w:hint="eastAsia" w:ascii="宋体" w:hAnsi="宋体"/>
          <w:kern w:val="0"/>
          <w:szCs w:val="21"/>
        </w:rPr>
        <w:t>7</w:t>
      </w:r>
      <w:r>
        <w:rPr>
          <w:rFonts w:ascii="宋体" w:hAnsi="宋体"/>
          <w:kern w:val="0"/>
          <w:szCs w:val="21"/>
        </w:rPr>
        <w:t>.1.1除“投标人须知前附表”规定评标委员会直接确定中标人外，招标人依据评标委员会推荐的中标候选人确定中标人，评标委员会推荐中标候选人的人数见“投标人须知前附表”。</w:t>
      </w:r>
    </w:p>
    <w:p>
      <w:pPr>
        <w:spacing w:line="360" w:lineRule="auto"/>
        <w:ind w:firstLine="420" w:firstLineChars="200"/>
        <w:rPr>
          <w:rFonts w:ascii="宋体" w:hAnsi="宋体"/>
          <w:kern w:val="0"/>
          <w:szCs w:val="21"/>
        </w:rPr>
      </w:pPr>
      <w:r>
        <w:rPr>
          <w:rFonts w:ascii="宋体" w:hAnsi="宋体"/>
          <w:kern w:val="0"/>
          <w:szCs w:val="21"/>
        </w:rPr>
        <w:t>7.1.2</w:t>
      </w:r>
      <w:r>
        <w:rPr>
          <w:rFonts w:hint="eastAsia" w:ascii="宋体" w:hAnsi="宋体"/>
          <w:kern w:val="0"/>
          <w:szCs w:val="21"/>
        </w:rPr>
        <w:t>招标人应当确定排名第一的中标候选人为中标人。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p>
      <w:pPr>
        <w:spacing w:line="360" w:lineRule="auto"/>
        <w:ind w:firstLine="420" w:firstLineChars="200"/>
        <w:rPr>
          <w:rFonts w:ascii="宋体" w:hAnsi="宋体"/>
          <w:kern w:val="0"/>
          <w:szCs w:val="21"/>
        </w:rPr>
      </w:pPr>
      <w:r>
        <w:rPr>
          <w:rFonts w:ascii="宋体" w:hAnsi="宋体"/>
          <w:kern w:val="0"/>
          <w:szCs w:val="21"/>
        </w:rPr>
        <w:t>7.1.3</w:t>
      </w:r>
      <w:r>
        <w:rPr>
          <w:rFonts w:hint="eastAsia" w:ascii="宋体" w:hAnsi="宋体"/>
          <w:kern w:val="0"/>
          <w:szCs w:val="21"/>
        </w:rPr>
        <w:t>投标人应确保提供的资料真实无误，如有弄虚作假的情况，一经查实，取消投标资格，已经中标的取消中标资格。</w:t>
      </w:r>
    </w:p>
    <w:p>
      <w:pPr>
        <w:spacing w:line="360" w:lineRule="auto"/>
        <w:ind w:firstLine="420" w:firstLineChars="200"/>
        <w:rPr>
          <w:rFonts w:ascii="宋体" w:hAnsi="宋体"/>
          <w:kern w:val="0"/>
          <w:szCs w:val="21"/>
        </w:rPr>
      </w:pPr>
      <w:r>
        <w:rPr>
          <w:rFonts w:ascii="宋体" w:hAnsi="宋体"/>
          <w:kern w:val="0"/>
          <w:szCs w:val="21"/>
        </w:rPr>
        <w:t>7.1.4</w:t>
      </w:r>
      <w:r>
        <w:rPr>
          <w:rFonts w:hint="eastAsia" w:ascii="宋体" w:hAnsi="宋体"/>
          <w:kern w:val="0"/>
          <w:szCs w:val="21"/>
        </w:rPr>
        <w:t>评标委员会评审结束后，招标人经审查发现评标过程中有明显错误，可以组织原评标委员会进行复评。</w:t>
      </w:r>
    </w:p>
    <w:p>
      <w:pPr>
        <w:keepNext/>
        <w:keepLines/>
        <w:spacing w:line="360" w:lineRule="auto"/>
        <w:outlineLvl w:val="3"/>
        <w:rPr>
          <w:rFonts w:ascii="宋体" w:hAnsi="宋体"/>
          <w:b/>
          <w:bCs/>
          <w:szCs w:val="21"/>
        </w:rPr>
      </w:pPr>
      <w:bookmarkStart w:id="262" w:name="_Toc389065186"/>
      <w:bookmarkStart w:id="263" w:name="_Toc6694"/>
      <w:r>
        <w:rPr>
          <w:rFonts w:ascii="宋体" w:hAnsi="宋体"/>
          <w:b/>
          <w:bCs/>
          <w:szCs w:val="21"/>
        </w:rPr>
        <w:t>7.2 中标通知</w:t>
      </w:r>
      <w:bookmarkEnd w:id="262"/>
      <w:r>
        <w:rPr>
          <w:rFonts w:hint="eastAsia" w:ascii="宋体" w:hAnsi="宋体"/>
          <w:b/>
          <w:bCs/>
          <w:szCs w:val="21"/>
        </w:rPr>
        <w:t>及中标公告</w:t>
      </w:r>
      <w:bookmarkEnd w:id="263"/>
    </w:p>
    <w:p>
      <w:pPr>
        <w:spacing w:line="360" w:lineRule="auto"/>
        <w:ind w:firstLine="420" w:firstLineChars="200"/>
        <w:rPr>
          <w:rFonts w:ascii="宋体" w:hAnsi="宋体"/>
          <w:kern w:val="0"/>
          <w:szCs w:val="21"/>
        </w:rPr>
      </w:pPr>
      <w:r>
        <w:rPr>
          <w:rFonts w:hint="eastAsia" w:ascii="宋体" w:hAnsi="宋体"/>
          <w:kern w:val="0"/>
          <w:szCs w:val="21"/>
        </w:rPr>
        <w:t>7</w:t>
      </w:r>
      <w:r>
        <w:rPr>
          <w:rFonts w:ascii="宋体" w:hAnsi="宋体"/>
          <w:kern w:val="0"/>
          <w:szCs w:val="21"/>
        </w:rPr>
        <w:t>.2.1</w:t>
      </w:r>
      <w:r>
        <w:rPr>
          <w:rFonts w:hint="eastAsia" w:ascii="宋体" w:hAnsi="宋体"/>
          <w:kern w:val="0"/>
          <w:szCs w:val="21"/>
        </w:rPr>
        <w:t>招标人按规定在网站上发布中标候选人公示和中标公告，</w:t>
      </w:r>
      <w:r>
        <w:rPr>
          <w:rFonts w:ascii="宋体" w:hAnsi="宋体"/>
          <w:kern w:val="0"/>
          <w:szCs w:val="21"/>
        </w:rPr>
        <w:t>发布之日起，视为</w:t>
      </w:r>
      <w:r>
        <w:rPr>
          <w:rFonts w:hint="eastAsia" w:ascii="宋体" w:hAnsi="宋体"/>
          <w:kern w:val="0"/>
          <w:szCs w:val="21"/>
        </w:rPr>
        <w:t>所有</w:t>
      </w:r>
      <w:r>
        <w:rPr>
          <w:rFonts w:ascii="宋体" w:hAnsi="宋体"/>
          <w:kern w:val="0"/>
          <w:szCs w:val="21"/>
        </w:rPr>
        <w:t>投标人已收到该</w:t>
      </w:r>
      <w:r>
        <w:rPr>
          <w:rFonts w:hint="eastAsia" w:ascii="宋体" w:hAnsi="宋体"/>
          <w:kern w:val="0"/>
          <w:szCs w:val="21"/>
        </w:rPr>
        <w:t>中标结果。</w:t>
      </w:r>
    </w:p>
    <w:p>
      <w:pPr>
        <w:spacing w:line="360" w:lineRule="auto"/>
        <w:ind w:firstLine="420" w:firstLineChars="200"/>
        <w:rPr>
          <w:rFonts w:ascii="宋体" w:hAnsi="宋体"/>
          <w:kern w:val="0"/>
          <w:szCs w:val="21"/>
        </w:rPr>
      </w:pPr>
      <w:r>
        <w:rPr>
          <w:rFonts w:ascii="宋体" w:hAnsi="宋体"/>
          <w:kern w:val="0"/>
          <w:szCs w:val="21"/>
        </w:rPr>
        <w:t>7.2.2</w:t>
      </w:r>
      <w:r>
        <w:rPr>
          <w:rFonts w:hint="eastAsia" w:ascii="宋体" w:hAnsi="宋体"/>
          <w:kern w:val="0"/>
          <w:szCs w:val="21"/>
        </w:rPr>
        <w:t>对未中标者，招标人及招标代理机构不对未中标原因做出解释，同时亦不退还投标文件。</w:t>
      </w:r>
    </w:p>
    <w:p>
      <w:pPr>
        <w:keepNext/>
        <w:keepLines/>
        <w:spacing w:line="360" w:lineRule="auto"/>
        <w:outlineLvl w:val="3"/>
        <w:rPr>
          <w:rFonts w:ascii="宋体" w:hAnsi="宋体"/>
          <w:b/>
          <w:bCs/>
          <w:szCs w:val="21"/>
        </w:rPr>
      </w:pPr>
      <w:bookmarkStart w:id="264" w:name="_Toc389065187"/>
      <w:bookmarkStart w:id="265" w:name="_Toc16198"/>
      <w:r>
        <w:rPr>
          <w:rFonts w:ascii="宋体" w:hAnsi="宋体"/>
          <w:b/>
          <w:bCs/>
          <w:szCs w:val="21"/>
        </w:rPr>
        <w:t>7.3 履约</w:t>
      </w:r>
      <w:bookmarkEnd w:id="264"/>
      <w:r>
        <w:rPr>
          <w:rFonts w:hint="eastAsia" w:ascii="宋体" w:hAnsi="宋体"/>
          <w:b/>
          <w:bCs/>
          <w:szCs w:val="21"/>
        </w:rPr>
        <w:t>保证金</w:t>
      </w:r>
      <w:bookmarkEnd w:id="265"/>
    </w:p>
    <w:p>
      <w:pPr>
        <w:spacing w:line="360" w:lineRule="auto"/>
        <w:ind w:firstLine="420" w:firstLineChars="200"/>
        <w:rPr>
          <w:rFonts w:ascii="宋体" w:hAnsi="宋体"/>
          <w:kern w:val="0"/>
          <w:szCs w:val="21"/>
        </w:rPr>
      </w:pPr>
      <w:bookmarkStart w:id="266" w:name="_Toc389065188"/>
      <w:bookmarkStart w:id="267" w:name="_Toc18752"/>
      <w:r>
        <w:rPr>
          <w:rFonts w:hint="eastAsia" w:ascii="宋体" w:hAnsi="宋体"/>
          <w:kern w:val="0"/>
          <w:szCs w:val="21"/>
        </w:rPr>
        <w:t>无</w:t>
      </w:r>
    </w:p>
    <w:p>
      <w:pPr>
        <w:keepNext/>
        <w:keepLines/>
        <w:spacing w:line="360" w:lineRule="auto"/>
        <w:outlineLvl w:val="3"/>
        <w:rPr>
          <w:rFonts w:ascii="宋体" w:hAnsi="宋体"/>
          <w:b/>
          <w:bCs/>
          <w:szCs w:val="21"/>
        </w:rPr>
      </w:pPr>
      <w:r>
        <w:rPr>
          <w:rFonts w:ascii="宋体" w:hAnsi="宋体"/>
          <w:b/>
          <w:bCs/>
          <w:szCs w:val="21"/>
        </w:rPr>
        <w:t>7.4 签订合同</w:t>
      </w:r>
      <w:bookmarkEnd w:id="266"/>
      <w:bookmarkEnd w:id="267"/>
    </w:p>
    <w:p>
      <w:pPr>
        <w:spacing w:line="360" w:lineRule="auto"/>
        <w:ind w:firstLine="420" w:firstLineChars="200"/>
        <w:rPr>
          <w:rFonts w:ascii="宋体" w:hAnsi="宋体"/>
          <w:kern w:val="0"/>
          <w:szCs w:val="21"/>
        </w:rPr>
      </w:pPr>
      <w:bookmarkStart w:id="268" w:name="_Toc9393"/>
      <w:bookmarkStart w:id="269" w:name="_Toc389065189"/>
      <w:r>
        <w:rPr>
          <w:rFonts w:ascii="宋体" w:hAnsi="宋体"/>
          <w:kern w:val="0"/>
          <w:szCs w:val="21"/>
        </w:rPr>
        <w:t>招标人和中标人应当在投标有效期内以及中标通知书发出之日起30天内，根据招标文件和中标人的投标文件订立书面合同。中标人无正当理由拒签合同的，招标人取消其中标资格；给招标人造成损失的，中标人还应当予以赔偿。中标人因不可抗力或者自身原因不能履行招标采购合同的，招标人可以按照评标委员会提出的中标候选人名单排序依次确定其他中标候选人为中标人，也可以重新招标。</w:t>
      </w:r>
    </w:p>
    <w:p>
      <w:pPr>
        <w:keepNext/>
        <w:keepLines/>
        <w:spacing w:before="240" w:beforeLines="100" w:line="360" w:lineRule="auto"/>
        <w:outlineLvl w:val="2"/>
        <w:rPr>
          <w:rFonts w:ascii="黑体" w:hAnsi="黑体" w:eastAsia="黑体"/>
          <w:b/>
          <w:bCs/>
          <w:sz w:val="24"/>
          <w:szCs w:val="21"/>
        </w:rPr>
      </w:pPr>
      <w:bookmarkStart w:id="270" w:name="_Toc14413"/>
      <w:r>
        <w:rPr>
          <w:rFonts w:ascii="黑体" w:hAnsi="黑体" w:eastAsia="黑体"/>
          <w:b/>
          <w:bCs/>
          <w:sz w:val="24"/>
          <w:szCs w:val="21"/>
        </w:rPr>
        <w:t>8</w:t>
      </w:r>
      <w:r>
        <w:rPr>
          <w:rFonts w:hint="eastAsia" w:ascii="黑体" w:hAnsi="黑体" w:eastAsia="黑体"/>
          <w:b/>
          <w:bCs/>
          <w:sz w:val="24"/>
          <w:szCs w:val="21"/>
        </w:rPr>
        <w:t xml:space="preserve"> </w:t>
      </w:r>
      <w:r>
        <w:rPr>
          <w:rFonts w:ascii="黑体" w:hAnsi="黑体" w:eastAsia="黑体"/>
          <w:b/>
          <w:bCs/>
          <w:sz w:val="24"/>
          <w:szCs w:val="21"/>
        </w:rPr>
        <w:t>重新招标和不再招标</w:t>
      </w:r>
      <w:bookmarkEnd w:id="268"/>
      <w:bookmarkEnd w:id="269"/>
      <w:bookmarkEnd w:id="270"/>
    </w:p>
    <w:p>
      <w:pPr>
        <w:keepNext/>
        <w:keepLines/>
        <w:spacing w:line="360" w:lineRule="auto"/>
        <w:outlineLvl w:val="3"/>
        <w:rPr>
          <w:rFonts w:ascii="宋体" w:hAnsi="宋体"/>
          <w:b/>
          <w:bCs/>
          <w:szCs w:val="21"/>
        </w:rPr>
      </w:pPr>
      <w:bookmarkStart w:id="271" w:name="_Toc389065190"/>
      <w:bookmarkStart w:id="272" w:name="_Toc13807"/>
      <w:r>
        <w:rPr>
          <w:rFonts w:ascii="宋体" w:hAnsi="宋体"/>
          <w:b/>
          <w:bCs/>
          <w:szCs w:val="21"/>
        </w:rPr>
        <w:t>8.1 重新招标</w:t>
      </w:r>
      <w:bookmarkEnd w:id="271"/>
      <w:bookmarkEnd w:id="272"/>
    </w:p>
    <w:p>
      <w:pPr>
        <w:spacing w:line="360" w:lineRule="auto"/>
        <w:ind w:firstLine="420" w:firstLineChars="200"/>
        <w:rPr>
          <w:rFonts w:ascii="宋体" w:hAnsi="宋体"/>
          <w:kern w:val="0"/>
          <w:szCs w:val="21"/>
        </w:rPr>
      </w:pPr>
      <w:r>
        <w:rPr>
          <w:rFonts w:ascii="宋体" w:hAnsi="宋体"/>
          <w:kern w:val="0"/>
          <w:szCs w:val="21"/>
        </w:rPr>
        <w:t>有下列情形之一的，招标人将重新招标：</w:t>
      </w:r>
    </w:p>
    <w:p>
      <w:pPr>
        <w:spacing w:line="360" w:lineRule="auto"/>
        <w:ind w:firstLine="420" w:firstLineChars="200"/>
        <w:rPr>
          <w:rFonts w:ascii="宋体" w:hAnsi="宋体"/>
          <w:kern w:val="0"/>
          <w:szCs w:val="21"/>
        </w:rPr>
      </w:pPr>
      <w:r>
        <w:rPr>
          <w:rFonts w:ascii="宋体" w:hAnsi="宋体"/>
          <w:kern w:val="0"/>
          <w:szCs w:val="21"/>
        </w:rPr>
        <w:t>（1）投标截止时，投标人少于3个的；</w:t>
      </w:r>
    </w:p>
    <w:p>
      <w:pPr>
        <w:spacing w:line="360" w:lineRule="auto"/>
        <w:ind w:firstLine="420" w:firstLineChars="200"/>
        <w:rPr>
          <w:rFonts w:ascii="宋体" w:hAnsi="宋体"/>
          <w:kern w:val="0"/>
          <w:szCs w:val="21"/>
        </w:rPr>
      </w:pPr>
      <w:r>
        <w:rPr>
          <w:rFonts w:ascii="宋体" w:hAnsi="宋体"/>
          <w:kern w:val="0"/>
          <w:szCs w:val="21"/>
        </w:rPr>
        <w:t>（2）经评标委员会评审后否决所有投标的；</w:t>
      </w:r>
    </w:p>
    <w:p>
      <w:pPr>
        <w:spacing w:line="360" w:lineRule="auto"/>
        <w:ind w:firstLine="420" w:firstLineChars="200"/>
        <w:rPr>
          <w:rFonts w:ascii="宋体" w:hAnsi="宋体"/>
          <w:kern w:val="0"/>
          <w:szCs w:val="21"/>
        </w:rPr>
      </w:pPr>
      <w:r>
        <w:rPr>
          <w:rFonts w:hint="eastAsia" w:ascii="宋体" w:hAnsi="宋体"/>
          <w:kern w:val="0"/>
          <w:szCs w:val="21"/>
        </w:rPr>
        <w:t>（3）评标委员会否决不合格投标或者界定为无效后，因有效投标不足三个使得投标明显缺乏竞争性的（当有效投标不足三个，但仍有两个有效时，评标委员会认为剩余的投标文件仍具有竞争性的，应继续评审）；</w:t>
      </w:r>
    </w:p>
    <w:p>
      <w:pPr>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4</w:t>
      </w:r>
      <w:r>
        <w:rPr>
          <w:rFonts w:ascii="宋体" w:hAnsi="宋体"/>
          <w:kern w:val="0"/>
          <w:szCs w:val="21"/>
        </w:rPr>
        <w:t>）</w:t>
      </w:r>
      <w:r>
        <w:rPr>
          <w:rFonts w:hint="eastAsia" w:ascii="宋体" w:hAnsi="宋体"/>
          <w:kern w:val="0"/>
          <w:szCs w:val="21"/>
        </w:rPr>
        <w:t>根据本须知第3</w:t>
      </w:r>
      <w:r>
        <w:rPr>
          <w:rFonts w:ascii="宋体" w:hAnsi="宋体"/>
          <w:kern w:val="0"/>
          <w:szCs w:val="21"/>
        </w:rPr>
        <w:t>.3.2</w:t>
      </w:r>
      <w:r>
        <w:rPr>
          <w:rFonts w:hint="eastAsia" w:ascii="宋体" w:hAnsi="宋体"/>
          <w:kern w:val="0"/>
          <w:szCs w:val="21"/>
        </w:rPr>
        <w:t>款规定，所有中标候选人均不同意在投标有效期内延长投标有效期的。</w:t>
      </w:r>
    </w:p>
    <w:p>
      <w:pPr>
        <w:spacing w:line="360" w:lineRule="auto"/>
        <w:ind w:firstLine="420" w:firstLineChars="200"/>
        <w:rPr>
          <w:rFonts w:ascii="宋体" w:hAnsi="宋体"/>
          <w:kern w:val="0"/>
          <w:szCs w:val="21"/>
        </w:rPr>
      </w:pPr>
      <w:r>
        <w:rPr>
          <w:rFonts w:hint="eastAsia" w:ascii="宋体" w:hAnsi="宋体"/>
          <w:kern w:val="0"/>
          <w:szCs w:val="21"/>
        </w:rPr>
        <w:t>（5）招标文件、</w:t>
      </w:r>
      <w:r>
        <w:rPr>
          <w:rFonts w:ascii="宋体" w:hAnsi="宋体"/>
          <w:kern w:val="0"/>
          <w:szCs w:val="21"/>
        </w:rPr>
        <w:t>有关法规和文件规定的重新招标的情形。</w:t>
      </w:r>
    </w:p>
    <w:p>
      <w:pPr>
        <w:keepNext/>
        <w:keepLines/>
        <w:spacing w:line="360" w:lineRule="auto"/>
        <w:outlineLvl w:val="3"/>
        <w:rPr>
          <w:rFonts w:ascii="宋体" w:hAnsi="宋体"/>
          <w:b/>
          <w:bCs/>
          <w:szCs w:val="21"/>
        </w:rPr>
      </w:pPr>
      <w:bookmarkStart w:id="273" w:name="_Toc389065191"/>
      <w:bookmarkStart w:id="274" w:name="_Toc10357"/>
      <w:r>
        <w:rPr>
          <w:rFonts w:ascii="宋体" w:hAnsi="宋体"/>
          <w:b/>
          <w:bCs/>
          <w:szCs w:val="21"/>
        </w:rPr>
        <w:t>8.2 不再招标</w:t>
      </w:r>
      <w:bookmarkEnd w:id="273"/>
      <w:bookmarkEnd w:id="274"/>
    </w:p>
    <w:p>
      <w:pPr>
        <w:spacing w:line="360" w:lineRule="auto"/>
        <w:ind w:firstLine="420" w:firstLineChars="200"/>
        <w:rPr>
          <w:rFonts w:ascii="宋体" w:hAnsi="宋体"/>
          <w:kern w:val="0"/>
          <w:szCs w:val="21"/>
        </w:rPr>
      </w:pPr>
      <w:r>
        <w:rPr>
          <w:rFonts w:hint="eastAsia" w:ascii="宋体" w:hAnsi="宋体"/>
          <w:kern w:val="0"/>
          <w:szCs w:val="21"/>
        </w:rPr>
        <w:t>项目招标经两次发布信息后，仍出现本章8.1（1）或（2）或（3）情况的，招标人可不再进行招标</w:t>
      </w:r>
      <w:r>
        <w:rPr>
          <w:rFonts w:ascii="宋体" w:hAnsi="宋体"/>
          <w:kern w:val="0"/>
          <w:szCs w:val="21"/>
        </w:rPr>
        <w:t>。</w:t>
      </w:r>
      <w:bookmarkStart w:id="275" w:name="_Toc389065192"/>
    </w:p>
    <w:p>
      <w:pPr>
        <w:keepNext/>
        <w:keepLines/>
        <w:spacing w:before="240" w:beforeLines="100" w:line="360" w:lineRule="auto"/>
        <w:outlineLvl w:val="2"/>
        <w:rPr>
          <w:rFonts w:ascii="黑体" w:hAnsi="黑体" w:eastAsia="黑体"/>
          <w:b/>
          <w:bCs/>
          <w:sz w:val="24"/>
          <w:szCs w:val="21"/>
        </w:rPr>
      </w:pPr>
      <w:bookmarkStart w:id="276" w:name="_Toc4537"/>
      <w:bookmarkStart w:id="277" w:name="_Toc27472"/>
      <w:r>
        <w:rPr>
          <w:rFonts w:ascii="黑体" w:hAnsi="黑体" w:eastAsia="黑体"/>
          <w:b/>
          <w:bCs/>
          <w:sz w:val="24"/>
          <w:szCs w:val="21"/>
        </w:rPr>
        <w:t>9</w:t>
      </w:r>
      <w:r>
        <w:rPr>
          <w:rFonts w:hint="eastAsia" w:ascii="黑体" w:hAnsi="黑体" w:eastAsia="黑体"/>
          <w:b/>
          <w:bCs/>
          <w:sz w:val="24"/>
          <w:szCs w:val="21"/>
        </w:rPr>
        <w:t xml:space="preserve"> </w:t>
      </w:r>
      <w:r>
        <w:rPr>
          <w:rFonts w:ascii="黑体" w:hAnsi="黑体" w:eastAsia="黑体"/>
          <w:b/>
          <w:bCs/>
          <w:sz w:val="24"/>
          <w:szCs w:val="21"/>
        </w:rPr>
        <w:t>纪律和监督</w:t>
      </w:r>
      <w:bookmarkEnd w:id="275"/>
      <w:bookmarkEnd w:id="276"/>
      <w:bookmarkEnd w:id="277"/>
    </w:p>
    <w:p>
      <w:pPr>
        <w:keepNext/>
        <w:keepLines/>
        <w:spacing w:line="360" w:lineRule="auto"/>
        <w:outlineLvl w:val="3"/>
        <w:rPr>
          <w:rFonts w:ascii="宋体" w:hAnsi="宋体"/>
          <w:b/>
          <w:bCs/>
          <w:szCs w:val="21"/>
        </w:rPr>
      </w:pPr>
      <w:bookmarkStart w:id="278" w:name="_Toc27629"/>
      <w:bookmarkStart w:id="279" w:name="_Toc389065193"/>
      <w:r>
        <w:rPr>
          <w:rFonts w:ascii="宋体" w:hAnsi="宋体"/>
          <w:b/>
          <w:bCs/>
          <w:szCs w:val="21"/>
        </w:rPr>
        <w:t>9.1 对招标人的纪律要求</w:t>
      </w:r>
      <w:bookmarkEnd w:id="278"/>
      <w:bookmarkEnd w:id="279"/>
    </w:p>
    <w:p>
      <w:pPr>
        <w:spacing w:line="360" w:lineRule="auto"/>
        <w:ind w:firstLine="420" w:firstLineChars="200"/>
        <w:rPr>
          <w:rFonts w:ascii="宋体" w:hAnsi="宋体"/>
          <w:kern w:val="0"/>
          <w:szCs w:val="21"/>
        </w:rPr>
      </w:pPr>
      <w:r>
        <w:rPr>
          <w:rFonts w:ascii="宋体" w:hAnsi="宋体"/>
          <w:kern w:val="0"/>
          <w:szCs w:val="21"/>
        </w:rPr>
        <w:t>招标人不得泄漏招标投标活动中应当保密的情况和资料，不得与投标人串通损害国家利益、社会公共利益或者他人合法权益。有下列情形之一的，属于招标人与投标人串通投标：</w:t>
      </w:r>
    </w:p>
    <w:p>
      <w:pPr>
        <w:spacing w:line="360" w:lineRule="auto"/>
        <w:ind w:firstLine="420" w:firstLineChars="200"/>
        <w:rPr>
          <w:rFonts w:ascii="宋体" w:hAnsi="宋体"/>
          <w:kern w:val="0"/>
          <w:szCs w:val="21"/>
        </w:rPr>
      </w:pPr>
      <w:r>
        <w:rPr>
          <w:rFonts w:ascii="宋体" w:hAnsi="宋体"/>
          <w:kern w:val="0"/>
          <w:szCs w:val="21"/>
        </w:rPr>
        <w:t>（1）招标人在开标前开启投标文件并将有关信息泄露给其他投标人;</w:t>
      </w:r>
    </w:p>
    <w:p>
      <w:pPr>
        <w:spacing w:line="360" w:lineRule="auto"/>
        <w:ind w:firstLine="420" w:firstLineChars="200"/>
        <w:rPr>
          <w:rFonts w:ascii="宋体" w:hAnsi="宋体"/>
          <w:kern w:val="0"/>
          <w:szCs w:val="21"/>
        </w:rPr>
      </w:pPr>
      <w:r>
        <w:rPr>
          <w:rFonts w:ascii="宋体" w:hAnsi="宋体"/>
          <w:kern w:val="0"/>
          <w:szCs w:val="21"/>
        </w:rPr>
        <w:t>（2）招标人直接或者间接向投标人泄露标底、评标委员会成员等信息；</w:t>
      </w:r>
    </w:p>
    <w:p>
      <w:pPr>
        <w:spacing w:line="360" w:lineRule="auto"/>
        <w:ind w:firstLine="420" w:firstLineChars="200"/>
        <w:rPr>
          <w:rFonts w:ascii="宋体" w:hAnsi="宋体"/>
          <w:kern w:val="0"/>
          <w:szCs w:val="21"/>
        </w:rPr>
      </w:pPr>
      <w:r>
        <w:rPr>
          <w:rFonts w:ascii="宋体" w:hAnsi="宋体"/>
          <w:kern w:val="0"/>
          <w:szCs w:val="21"/>
        </w:rPr>
        <w:t>（3）招标人明示或者暗示投标人压低或者抬高投标报价；</w:t>
      </w:r>
    </w:p>
    <w:p>
      <w:pPr>
        <w:spacing w:line="360" w:lineRule="auto"/>
        <w:ind w:firstLine="420" w:firstLineChars="200"/>
        <w:rPr>
          <w:rFonts w:ascii="宋体" w:hAnsi="宋体"/>
          <w:kern w:val="0"/>
          <w:szCs w:val="21"/>
        </w:rPr>
      </w:pPr>
      <w:r>
        <w:rPr>
          <w:rFonts w:ascii="宋体" w:hAnsi="宋体"/>
          <w:kern w:val="0"/>
          <w:szCs w:val="21"/>
        </w:rPr>
        <w:t>（4）招标人授意投标人撤换、修改投标文件；</w:t>
      </w:r>
    </w:p>
    <w:p>
      <w:pPr>
        <w:spacing w:line="360" w:lineRule="auto"/>
        <w:ind w:firstLine="420" w:firstLineChars="200"/>
        <w:rPr>
          <w:rFonts w:ascii="宋体" w:hAnsi="宋体"/>
          <w:kern w:val="0"/>
          <w:szCs w:val="21"/>
        </w:rPr>
      </w:pPr>
      <w:r>
        <w:rPr>
          <w:rFonts w:ascii="宋体" w:hAnsi="宋体"/>
          <w:kern w:val="0"/>
          <w:szCs w:val="21"/>
        </w:rPr>
        <w:t>（5）招标人明示或者暗示投标人为特定投标人中标提供方便；</w:t>
      </w:r>
    </w:p>
    <w:p>
      <w:pPr>
        <w:spacing w:line="360" w:lineRule="auto"/>
        <w:ind w:firstLine="420" w:firstLineChars="200"/>
        <w:rPr>
          <w:rFonts w:ascii="宋体" w:hAnsi="宋体"/>
          <w:kern w:val="0"/>
          <w:szCs w:val="21"/>
        </w:rPr>
      </w:pPr>
      <w:r>
        <w:rPr>
          <w:rFonts w:ascii="宋体" w:hAnsi="宋体"/>
          <w:kern w:val="0"/>
          <w:szCs w:val="21"/>
        </w:rPr>
        <w:t>（6）招标人与投标人为谋求特定投标人中标而采取的其他串通行为。</w:t>
      </w:r>
    </w:p>
    <w:p>
      <w:pPr>
        <w:keepNext/>
        <w:keepLines/>
        <w:spacing w:line="360" w:lineRule="auto"/>
        <w:outlineLvl w:val="3"/>
        <w:rPr>
          <w:rFonts w:ascii="宋体" w:hAnsi="宋体"/>
          <w:b/>
          <w:bCs/>
          <w:szCs w:val="21"/>
        </w:rPr>
      </w:pPr>
      <w:bookmarkStart w:id="280" w:name="_Toc1338"/>
      <w:r>
        <w:rPr>
          <w:rFonts w:ascii="宋体" w:hAnsi="宋体"/>
          <w:b/>
          <w:bCs/>
          <w:szCs w:val="21"/>
        </w:rPr>
        <w:t>9.2 对投标人的纪律要求</w:t>
      </w:r>
      <w:bookmarkEnd w:id="280"/>
    </w:p>
    <w:p>
      <w:pPr>
        <w:spacing w:line="360" w:lineRule="auto"/>
        <w:ind w:firstLine="420" w:firstLineChars="200"/>
        <w:rPr>
          <w:rFonts w:ascii="宋体" w:hAnsi="宋体"/>
          <w:kern w:val="0"/>
          <w:szCs w:val="21"/>
        </w:rPr>
      </w:pPr>
      <w:r>
        <w:rPr>
          <w:rFonts w:hint="eastAsia" w:ascii="宋体" w:hAnsi="宋体"/>
          <w:kern w:val="0"/>
          <w:szCs w:val="21"/>
        </w:rPr>
        <w:t>9</w:t>
      </w:r>
      <w:r>
        <w:rPr>
          <w:rFonts w:ascii="宋体" w:hAnsi="宋体"/>
          <w:kern w:val="0"/>
          <w:szCs w:val="21"/>
        </w:rPr>
        <w:t>.</w:t>
      </w:r>
      <w:r>
        <w:rPr>
          <w:rFonts w:hint="eastAsia" w:ascii="宋体" w:hAnsi="宋体"/>
          <w:kern w:val="0"/>
          <w:szCs w:val="21"/>
        </w:rPr>
        <w:t>2</w:t>
      </w:r>
      <w:r>
        <w:rPr>
          <w:rFonts w:ascii="宋体" w:hAnsi="宋体"/>
          <w:kern w:val="0"/>
          <w:szCs w:val="21"/>
        </w:rPr>
        <w:t>.</w:t>
      </w:r>
      <w:r>
        <w:rPr>
          <w:rFonts w:hint="eastAsia" w:ascii="宋体" w:hAnsi="宋体"/>
          <w:kern w:val="0"/>
          <w:szCs w:val="21"/>
        </w:rPr>
        <w:t>1</w:t>
      </w:r>
      <w:r>
        <w:rPr>
          <w:rFonts w:ascii="宋体" w:hAnsi="宋体"/>
          <w:kern w:val="0"/>
          <w:szCs w:val="21"/>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pPr>
        <w:spacing w:line="360" w:lineRule="auto"/>
        <w:ind w:firstLine="420" w:firstLineChars="200"/>
        <w:rPr>
          <w:rFonts w:ascii="宋体" w:hAnsi="宋体"/>
          <w:kern w:val="0"/>
          <w:szCs w:val="21"/>
        </w:rPr>
      </w:pPr>
      <w:r>
        <w:rPr>
          <w:rFonts w:ascii="宋体" w:hAnsi="宋体"/>
          <w:kern w:val="0"/>
          <w:szCs w:val="21"/>
        </w:rPr>
        <w:t>（1）投标人之间协商投标报价等投标文件的实质性内容；</w:t>
      </w:r>
    </w:p>
    <w:p>
      <w:pPr>
        <w:spacing w:line="360" w:lineRule="auto"/>
        <w:ind w:firstLine="420" w:firstLineChars="200"/>
        <w:rPr>
          <w:rFonts w:ascii="宋体" w:hAnsi="宋体"/>
          <w:kern w:val="0"/>
          <w:szCs w:val="21"/>
        </w:rPr>
      </w:pPr>
      <w:r>
        <w:rPr>
          <w:rFonts w:ascii="宋体" w:hAnsi="宋体"/>
          <w:kern w:val="0"/>
          <w:szCs w:val="21"/>
        </w:rPr>
        <w:t>（2）投标人之间约定中标人；</w:t>
      </w:r>
    </w:p>
    <w:p>
      <w:pPr>
        <w:spacing w:line="360" w:lineRule="auto"/>
        <w:ind w:firstLine="420" w:firstLineChars="200"/>
        <w:rPr>
          <w:rFonts w:ascii="宋体" w:hAnsi="宋体"/>
          <w:kern w:val="0"/>
          <w:szCs w:val="21"/>
        </w:rPr>
      </w:pPr>
      <w:r>
        <w:rPr>
          <w:rFonts w:ascii="宋体" w:hAnsi="宋体"/>
          <w:kern w:val="0"/>
          <w:szCs w:val="21"/>
        </w:rPr>
        <w:t>（3）投标人之间约定部分投标人放弃投标或者中标；</w:t>
      </w:r>
    </w:p>
    <w:p>
      <w:pPr>
        <w:spacing w:line="360" w:lineRule="auto"/>
        <w:ind w:firstLine="420" w:firstLineChars="200"/>
        <w:rPr>
          <w:rFonts w:ascii="宋体" w:hAnsi="宋体"/>
          <w:kern w:val="0"/>
          <w:szCs w:val="21"/>
        </w:rPr>
      </w:pPr>
      <w:r>
        <w:rPr>
          <w:rFonts w:ascii="宋体" w:hAnsi="宋体"/>
          <w:kern w:val="0"/>
          <w:szCs w:val="21"/>
        </w:rPr>
        <w:t>（4）属于同一集团、协会、商会等组织成员的投标人按照该组织要求协同投标；</w:t>
      </w:r>
    </w:p>
    <w:p>
      <w:pPr>
        <w:spacing w:line="360" w:lineRule="auto"/>
        <w:ind w:firstLine="420" w:firstLineChars="200"/>
        <w:rPr>
          <w:rFonts w:ascii="宋体" w:hAnsi="宋体"/>
          <w:kern w:val="0"/>
          <w:szCs w:val="21"/>
        </w:rPr>
      </w:pPr>
      <w:r>
        <w:rPr>
          <w:rFonts w:ascii="宋体" w:hAnsi="宋体"/>
          <w:kern w:val="0"/>
          <w:szCs w:val="21"/>
        </w:rPr>
        <w:t>（5）投标人之间为谋取中标或者排斥特定投标人而采取的其他联合行动</w:t>
      </w:r>
      <w:r>
        <w:rPr>
          <w:rFonts w:hint="eastAsia" w:ascii="宋体" w:hAnsi="宋体"/>
          <w:kern w:val="0"/>
          <w:szCs w:val="21"/>
        </w:rPr>
        <w:t>；</w:t>
      </w:r>
    </w:p>
    <w:p>
      <w:pPr>
        <w:spacing w:line="360" w:lineRule="auto"/>
        <w:ind w:firstLine="420" w:firstLineChars="200"/>
        <w:rPr>
          <w:rFonts w:ascii="宋体" w:hAnsi="宋体"/>
          <w:kern w:val="0"/>
          <w:szCs w:val="21"/>
        </w:rPr>
      </w:pPr>
      <w:r>
        <w:rPr>
          <w:rFonts w:ascii="宋体" w:hAnsi="宋体"/>
          <w:kern w:val="0"/>
          <w:szCs w:val="21"/>
        </w:rPr>
        <w:t>（6）不同投标人的投标文件由同一单位或者个人编制；</w:t>
      </w:r>
    </w:p>
    <w:p>
      <w:pPr>
        <w:spacing w:line="360" w:lineRule="auto"/>
        <w:ind w:firstLine="420" w:firstLineChars="200"/>
        <w:rPr>
          <w:rFonts w:ascii="宋体" w:hAnsi="宋体"/>
          <w:kern w:val="0"/>
          <w:szCs w:val="21"/>
        </w:rPr>
      </w:pPr>
      <w:r>
        <w:rPr>
          <w:rFonts w:ascii="宋体" w:hAnsi="宋体"/>
          <w:kern w:val="0"/>
          <w:szCs w:val="21"/>
        </w:rPr>
        <w:t>（7）不同投标人委托同一单位或者个人办理投标事宜；</w:t>
      </w:r>
    </w:p>
    <w:p>
      <w:pPr>
        <w:spacing w:line="360" w:lineRule="auto"/>
        <w:ind w:firstLine="420" w:firstLineChars="200"/>
        <w:rPr>
          <w:rFonts w:ascii="宋体" w:hAnsi="宋体"/>
          <w:kern w:val="0"/>
          <w:szCs w:val="21"/>
        </w:rPr>
      </w:pPr>
      <w:r>
        <w:rPr>
          <w:rFonts w:ascii="宋体" w:hAnsi="宋体"/>
          <w:kern w:val="0"/>
          <w:szCs w:val="21"/>
        </w:rPr>
        <w:t>（8）不同投标人的投标文件载明的项目管理成员为同一人；</w:t>
      </w:r>
    </w:p>
    <w:p>
      <w:pPr>
        <w:spacing w:line="360" w:lineRule="auto"/>
        <w:ind w:firstLine="420" w:firstLineChars="200"/>
        <w:rPr>
          <w:rFonts w:ascii="宋体" w:hAnsi="宋体"/>
          <w:kern w:val="0"/>
          <w:szCs w:val="21"/>
        </w:rPr>
      </w:pPr>
      <w:r>
        <w:rPr>
          <w:rFonts w:ascii="宋体" w:hAnsi="宋体"/>
          <w:kern w:val="0"/>
          <w:szCs w:val="21"/>
        </w:rPr>
        <w:t>（9）不同投标人的投标文件异常一致或者投标报价呈规律性差异；</w:t>
      </w:r>
    </w:p>
    <w:p>
      <w:pPr>
        <w:spacing w:line="360" w:lineRule="auto"/>
        <w:ind w:firstLine="420" w:firstLineChars="200"/>
        <w:rPr>
          <w:rFonts w:ascii="宋体" w:hAnsi="宋体"/>
          <w:kern w:val="0"/>
          <w:szCs w:val="21"/>
        </w:rPr>
      </w:pPr>
      <w:r>
        <w:rPr>
          <w:rFonts w:ascii="宋体" w:hAnsi="宋体"/>
          <w:kern w:val="0"/>
          <w:szCs w:val="21"/>
        </w:rPr>
        <w:t>（10）不同投标人的投标文件相互混装；</w:t>
      </w:r>
    </w:p>
    <w:p>
      <w:pPr>
        <w:spacing w:line="360" w:lineRule="auto"/>
        <w:ind w:firstLine="420" w:firstLineChars="200"/>
        <w:rPr>
          <w:rFonts w:ascii="宋体" w:hAnsi="宋体"/>
          <w:kern w:val="0"/>
          <w:szCs w:val="21"/>
        </w:rPr>
      </w:pPr>
      <w:r>
        <w:rPr>
          <w:rFonts w:ascii="宋体" w:hAnsi="宋体"/>
          <w:kern w:val="0"/>
          <w:szCs w:val="21"/>
        </w:rPr>
        <w:t>（11）不同投标人的投标保证金从同一单位或者个人的账户转出</w:t>
      </w:r>
      <w:r>
        <w:rPr>
          <w:rFonts w:hint="eastAsia" w:ascii="宋体" w:hAnsi="宋体"/>
          <w:kern w:val="0"/>
          <w:szCs w:val="21"/>
        </w:rPr>
        <w:t>（如有）</w:t>
      </w:r>
      <w:r>
        <w:rPr>
          <w:rFonts w:ascii="宋体" w:hAnsi="宋体"/>
          <w:kern w:val="0"/>
          <w:szCs w:val="21"/>
        </w:rPr>
        <w:t>。</w:t>
      </w:r>
    </w:p>
    <w:p>
      <w:pPr>
        <w:spacing w:line="360" w:lineRule="auto"/>
        <w:ind w:firstLine="420" w:firstLineChars="200"/>
        <w:rPr>
          <w:rFonts w:ascii="宋体" w:hAnsi="宋体"/>
          <w:kern w:val="0"/>
          <w:szCs w:val="21"/>
        </w:rPr>
      </w:pPr>
      <w:r>
        <w:rPr>
          <w:rFonts w:hint="eastAsia" w:ascii="宋体" w:hAnsi="宋体"/>
          <w:kern w:val="0"/>
          <w:szCs w:val="21"/>
        </w:rPr>
        <w:t>9.2.2投标人不得向招标人或评标委员会成员或其他有关人员索问评标过程的情况和材料。</w:t>
      </w:r>
    </w:p>
    <w:p>
      <w:pPr>
        <w:keepNext/>
        <w:keepLines/>
        <w:spacing w:line="360" w:lineRule="auto"/>
        <w:outlineLvl w:val="3"/>
        <w:rPr>
          <w:rFonts w:ascii="宋体" w:hAnsi="宋体"/>
          <w:b/>
          <w:bCs/>
          <w:szCs w:val="21"/>
        </w:rPr>
      </w:pPr>
      <w:bookmarkStart w:id="281" w:name="_Toc389065194"/>
      <w:bookmarkStart w:id="282" w:name="_Toc17361"/>
      <w:r>
        <w:rPr>
          <w:rFonts w:ascii="宋体" w:hAnsi="宋体"/>
          <w:b/>
          <w:bCs/>
          <w:szCs w:val="21"/>
        </w:rPr>
        <w:t>9.3 对评标委员会成员的纪律要求</w:t>
      </w:r>
      <w:bookmarkEnd w:id="281"/>
      <w:bookmarkEnd w:id="282"/>
    </w:p>
    <w:p>
      <w:pPr>
        <w:spacing w:line="360" w:lineRule="auto"/>
        <w:ind w:firstLine="420" w:firstLineChars="200"/>
        <w:rPr>
          <w:rFonts w:ascii="宋体" w:hAnsi="宋体"/>
          <w:kern w:val="0"/>
          <w:szCs w:val="21"/>
        </w:rPr>
      </w:pPr>
      <w:r>
        <w:rPr>
          <w:rFonts w:ascii="宋体" w:hAnsi="宋体"/>
          <w:kern w:val="0"/>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招标文件中没有规定的标准和方法不得作为评标的依据。</w:t>
      </w:r>
    </w:p>
    <w:p>
      <w:pPr>
        <w:keepNext/>
        <w:keepLines/>
        <w:spacing w:line="360" w:lineRule="auto"/>
        <w:outlineLvl w:val="3"/>
        <w:rPr>
          <w:rFonts w:ascii="宋体" w:hAnsi="宋体"/>
          <w:b/>
          <w:bCs/>
          <w:szCs w:val="21"/>
        </w:rPr>
      </w:pPr>
      <w:bookmarkStart w:id="283" w:name="_Toc389065195"/>
      <w:bookmarkStart w:id="284" w:name="_Toc5318"/>
      <w:r>
        <w:rPr>
          <w:rFonts w:ascii="宋体" w:hAnsi="宋体"/>
          <w:b/>
          <w:bCs/>
          <w:szCs w:val="21"/>
        </w:rPr>
        <w:t>9.4 对与评标活动有关的工作人员的纪律要求</w:t>
      </w:r>
      <w:bookmarkEnd w:id="283"/>
      <w:bookmarkEnd w:id="284"/>
    </w:p>
    <w:p>
      <w:pPr>
        <w:spacing w:line="360" w:lineRule="auto"/>
        <w:ind w:firstLine="420" w:firstLineChars="200"/>
        <w:rPr>
          <w:rFonts w:ascii="宋体" w:hAnsi="宋体"/>
          <w:kern w:val="0"/>
          <w:szCs w:val="21"/>
        </w:rPr>
      </w:pPr>
      <w:r>
        <w:rPr>
          <w:rFonts w:ascii="宋体" w:hAnsi="宋体"/>
          <w:kern w:val="0"/>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Start w:id="285" w:name="_Toc389065196"/>
    </w:p>
    <w:p>
      <w:pPr>
        <w:keepNext/>
        <w:keepLines/>
        <w:spacing w:line="360" w:lineRule="auto"/>
        <w:outlineLvl w:val="3"/>
        <w:rPr>
          <w:rFonts w:ascii="宋体" w:hAnsi="宋体"/>
          <w:b/>
          <w:bCs/>
          <w:szCs w:val="21"/>
        </w:rPr>
      </w:pPr>
      <w:bookmarkStart w:id="286" w:name="_Toc14125"/>
      <w:r>
        <w:rPr>
          <w:rFonts w:ascii="宋体" w:hAnsi="宋体"/>
          <w:b/>
          <w:bCs/>
          <w:szCs w:val="21"/>
        </w:rPr>
        <w:t>9.5 投诉</w:t>
      </w:r>
      <w:bookmarkEnd w:id="285"/>
      <w:bookmarkEnd w:id="286"/>
      <w:bookmarkStart w:id="287" w:name="_Toc389065197"/>
    </w:p>
    <w:p>
      <w:pPr>
        <w:spacing w:line="360" w:lineRule="auto"/>
        <w:ind w:firstLine="420" w:firstLineChars="200"/>
        <w:rPr>
          <w:rFonts w:ascii="宋体" w:hAnsi="宋体"/>
          <w:kern w:val="0"/>
          <w:szCs w:val="21"/>
        </w:rPr>
      </w:pPr>
      <w:r>
        <w:rPr>
          <w:rFonts w:ascii="宋体" w:hAnsi="宋体"/>
          <w:kern w:val="0"/>
          <w:szCs w:val="21"/>
        </w:rPr>
        <w:t>投标人和其他利害关系人认为本次招标活动违反法律、法规和规章规定的，可以在知道或者应当知道之日起十日内向</w:t>
      </w:r>
      <w:r>
        <w:rPr>
          <w:rFonts w:hint="eastAsia" w:ascii="宋体" w:hAnsi="宋体"/>
          <w:kern w:val="0"/>
          <w:szCs w:val="21"/>
        </w:rPr>
        <w:t>招标人</w:t>
      </w:r>
      <w:r>
        <w:rPr>
          <w:rFonts w:ascii="宋体" w:hAnsi="宋体"/>
          <w:kern w:val="0"/>
          <w:szCs w:val="21"/>
        </w:rPr>
        <w:t>提出书面投诉。投诉应当有明确的请求及证明材料</w:t>
      </w:r>
      <w:r>
        <w:rPr>
          <w:rFonts w:hint="eastAsia" w:ascii="宋体" w:hAnsi="宋体"/>
          <w:kern w:val="0"/>
          <w:szCs w:val="21"/>
        </w:rPr>
        <w:t>，</w:t>
      </w:r>
      <w:r>
        <w:rPr>
          <w:rFonts w:ascii="宋体" w:hAnsi="宋体"/>
          <w:kern w:val="0"/>
          <w:szCs w:val="21"/>
        </w:rPr>
        <w:t>没有提出异议</w:t>
      </w:r>
      <w:r>
        <w:rPr>
          <w:rFonts w:hint="eastAsia" w:ascii="宋体" w:hAnsi="宋体"/>
          <w:kern w:val="0"/>
          <w:szCs w:val="21"/>
        </w:rPr>
        <w:t>或者投诉活动不符合要求</w:t>
      </w:r>
      <w:r>
        <w:rPr>
          <w:rFonts w:ascii="宋体" w:hAnsi="宋体"/>
          <w:kern w:val="0"/>
          <w:szCs w:val="21"/>
        </w:rPr>
        <w:t>的，</w:t>
      </w:r>
      <w:r>
        <w:rPr>
          <w:rFonts w:hint="eastAsia" w:ascii="宋体" w:hAnsi="宋体"/>
          <w:kern w:val="0"/>
          <w:szCs w:val="21"/>
        </w:rPr>
        <w:t>招标人</w:t>
      </w:r>
      <w:r>
        <w:rPr>
          <w:rFonts w:ascii="宋体" w:hAnsi="宋体"/>
          <w:kern w:val="0"/>
          <w:szCs w:val="21"/>
        </w:rPr>
        <w:t>不予受理。</w:t>
      </w:r>
    </w:p>
    <w:p>
      <w:pPr>
        <w:keepNext/>
        <w:keepLines/>
        <w:spacing w:before="240" w:beforeLines="100" w:line="360" w:lineRule="auto"/>
        <w:outlineLvl w:val="2"/>
        <w:rPr>
          <w:rFonts w:ascii="黑体" w:hAnsi="黑体" w:eastAsia="黑体"/>
          <w:b/>
          <w:bCs/>
          <w:sz w:val="24"/>
          <w:szCs w:val="21"/>
        </w:rPr>
      </w:pPr>
      <w:bookmarkStart w:id="288" w:name="_Toc7632"/>
      <w:bookmarkStart w:id="289" w:name="_Toc1357"/>
      <w:r>
        <w:rPr>
          <w:rFonts w:ascii="黑体" w:hAnsi="黑体" w:eastAsia="黑体"/>
          <w:b/>
          <w:bCs/>
          <w:sz w:val="24"/>
          <w:szCs w:val="21"/>
        </w:rPr>
        <w:t>10</w:t>
      </w:r>
      <w:r>
        <w:rPr>
          <w:rFonts w:hint="eastAsia" w:ascii="黑体" w:hAnsi="黑体" w:eastAsia="黑体"/>
          <w:b/>
          <w:bCs/>
          <w:sz w:val="24"/>
          <w:szCs w:val="21"/>
        </w:rPr>
        <w:t xml:space="preserve"> </w:t>
      </w:r>
      <w:r>
        <w:rPr>
          <w:rFonts w:ascii="黑体" w:hAnsi="黑体" w:eastAsia="黑体"/>
          <w:b/>
          <w:bCs/>
          <w:sz w:val="24"/>
          <w:szCs w:val="21"/>
        </w:rPr>
        <w:t>需要补充的其他内容</w:t>
      </w:r>
      <w:bookmarkEnd w:id="287"/>
      <w:bookmarkEnd w:id="288"/>
      <w:bookmarkEnd w:id="289"/>
    </w:p>
    <w:p>
      <w:pPr>
        <w:keepNext/>
        <w:keepLines/>
        <w:spacing w:line="360" w:lineRule="auto"/>
        <w:outlineLvl w:val="3"/>
        <w:rPr>
          <w:rFonts w:ascii="宋体" w:hAnsi="宋体"/>
          <w:b/>
          <w:bCs/>
          <w:szCs w:val="21"/>
        </w:rPr>
      </w:pPr>
      <w:bookmarkStart w:id="290" w:name="_Toc5964"/>
      <w:r>
        <w:rPr>
          <w:rFonts w:ascii="宋体" w:hAnsi="宋体"/>
          <w:b/>
          <w:bCs/>
          <w:szCs w:val="21"/>
        </w:rPr>
        <w:t>10.1词语定义</w:t>
      </w:r>
      <w:bookmarkEnd w:id="290"/>
    </w:p>
    <w:p>
      <w:pPr>
        <w:spacing w:line="360" w:lineRule="auto"/>
        <w:ind w:firstLine="420" w:firstLineChars="200"/>
        <w:rPr>
          <w:rFonts w:ascii="宋体" w:hAnsi="宋体"/>
          <w:kern w:val="0"/>
          <w:szCs w:val="21"/>
        </w:rPr>
      </w:pPr>
      <w:r>
        <w:rPr>
          <w:rFonts w:ascii="宋体" w:hAnsi="宋体"/>
          <w:kern w:val="0"/>
          <w:szCs w:val="21"/>
        </w:rPr>
        <w:t>见</w:t>
      </w:r>
      <w:r>
        <w:rPr>
          <w:rFonts w:hint="eastAsia" w:ascii="宋体" w:hAnsi="宋体"/>
          <w:kern w:val="0"/>
          <w:szCs w:val="21"/>
        </w:rPr>
        <w:t>“</w:t>
      </w:r>
      <w:r>
        <w:rPr>
          <w:rFonts w:ascii="宋体" w:hAnsi="宋体"/>
          <w:kern w:val="0"/>
          <w:szCs w:val="21"/>
        </w:rPr>
        <w:t>投标人须知前附表</w:t>
      </w:r>
      <w:r>
        <w:rPr>
          <w:rFonts w:hint="eastAsia" w:ascii="宋体" w:hAnsi="宋体"/>
          <w:kern w:val="0"/>
          <w:szCs w:val="21"/>
        </w:rPr>
        <w:t>”</w:t>
      </w:r>
      <w:r>
        <w:rPr>
          <w:rFonts w:ascii="宋体" w:hAnsi="宋体"/>
          <w:kern w:val="0"/>
          <w:szCs w:val="21"/>
        </w:rPr>
        <w:t>。</w:t>
      </w:r>
    </w:p>
    <w:p>
      <w:pPr>
        <w:keepNext/>
        <w:keepLines/>
        <w:spacing w:line="360" w:lineRule="auto"/>
        <w:outlineLvl w:val="3"/>
        <w:rPr>
          <w:rFonts w:ascii="宋体" w:hAnsi="宋体"/>
          <w:b/>
          <w:bCs/>
          <w:szCs w:val="21"/>
        </w:rPr>
      </w:pPr>
      <w:bookmarkStart w:id="291" w:name="_Toc389065198"/>
      <w:bookmarkStart w:id="292" w:name="_Toc7642"/>
      <w:r>
        <w:rPr>
          <w:rFonts w:ascii="宋体" w:hAnsi="宋体"/>
          <w:b/>
          <w:bCs/>
          <w:szCs w:val="21"/>
        </w:rPr>
        <w:t>10.2 招标</w:t>
      </w:r>
      <w:r>
        <w:rPr>
          <w:rFonts w:ascii="宋体" w:hAnsi="宋体"/>
          <w:b/>
          <w:kern w:val="0"/>
          <w:szCs w:val="21"/>
        </w:rPr>
        <w:t>上限</w:t>
      </w:r>
      <w:r>
        <w:rPr>
          <w:rFonts w:ascii="宋体" w:hAnsi="宋体"/>
          <w:b/>
          <w:bCs/>
          <w:szCs w:val="21"/>
        </w:rPr>
        <w:t>控制价</w:t>
      </w:r>
      <w:bookmarkEnd w:id="291"/>
      <w:bookmarkEnd w:id="292"/>
    </w:p>
    <w:p>
      <w:pPr>
        <w:spacing w:line="360" w:lineRule="auto"/>
        <w:ind w:firstLine="420" w:firstLineChars="200"/>
        <w:rPr>
          <w:rFonts w:ascii="宋体" w:hAnsi="宋体"/>
          <w:kern w:val="0"/>
          <w:szCs w:val="21"/>
        </w:rPr>
      </w:pPr>
      <w:r>
        <w:rPr>
          <w:rFonts w:hint="eastAsia" w:ascii="宋体" w:hAnsi="宋体"/>
          <w:kern w:val="0"/>
          <w:szCs w:val="21"/>
        </w:rPr>
        <w:t>详</w:t>
      </w:r>
      <w:r>
        <w:rPr>
          <w:rFonts w:ascii="宋体" w:hAnsi="宋体"/>
          <w:kern w:val="0"/>
          <w:szCs w:val="21"/>
        </w:rPr>
        <w:t>见</w:t>
      </w:r>
      <w:r>
        <w:rPr>
          <w:rFonts w:hint="eastAsia" w:ascii="宋体" w:hAnsi="宋体"/>
          <w:kern w:val="0"/>
          <w:szCs w:val="21"/>
        </w:rPr>
        <w:t>“详见第五章</w:t>
      </w:r>
      <w:r>
        <w:rPr>
          <w:rFonts w:ascii="宋体" w:hAnsi="宋体"/>
          <w:kern w:val="0"/>
          <w:szCs w:val="21"/>
        </w:rPr>
        <w:t>用户需求</w:t>
      </w:r>
      <w:r>
        <w:rPr>
          <w:rFonts w:hint="eastAsia" w:ascii="宋体" w:hAnsi="宋体"/>
          <w:kern w:val="0"/>
          <w:szCs w:val="21"/>
        </w:rPr>
        <w:t>”</w:t>
      </w:r>
      <w:r>
        <w:rPr>
          <w:rFonts w:ascii="宋体" w:hAnsi="宋体"/>
          <w:kern w:val="0"/>
          <w:szCs w:val="21"/>
        </w:rPr>
        <w:t>。</w:t>
      </w:r>
    </w:p>
    <w:p>
      <w:pPr>
        <w:keepNext/>
        <w:keepLines/>
        <w:spacing w:line="360" w:lineRule="auto"/>
        <w:outlineLvl w:val="3"/>
        <w:rPr>
          <w:rFonts w:ascii="宋体" w:hAnsi="宋体"/>
          <w:b/>
          <w:bCs/>
          <w:szCs w:val="21"/>
        </w:rPr>
      </w:pPr>
      <w:bookmarkStart w:id="293" w:name="_Toc20153"/>
      <w:r>
        <w:rPr>
          <w:rFonts w:ascii="宋体" w:hAnsi="宋体"/>
          <w:b/>
          <w:bCs/>
          <w:szCs w:val="21"/>
        </w:rPr>
        <w:t>10.3 知识产权</w:t>
      </w:r>
      <w:bookmarkEnd w:id="293"/>
    </w:p>
    <w:p>
      <w:pPr>
        <w:spacing w:line="360" w:lineRule="auto"/>
        <w:ind w:firstLine="420" w:firstLineChars="200"/>
      </w:pPr>
      <w:r>
        <w:rPr>
          <w:rFonts w:ascii="宋体" w:hAnsi="宋体"/>
          <w:kern w:val="0"/>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pPr>
        <w:keepNext/>
        <w:keepLines/>
        <w:spacing w:line="360" w:lineRule="auto"/>
        <w:outlineLvl w:val="3"/>
        <w:rPr>
          <w:rFonts w:ascii="宋体" w:hAnsi="宋体"/>
          <w:b/>
          <w:bCs/>
          <w:szCs w:val="21"/>
        </w:rPr>
      </w:pPr>
      <w:bookmarkStart w:id="294" w:name="_Toc11250"/>
      <w:r>
        <w:rPr>
          <w:rFonts w:ascii="宋体" w:hAnsi="宋体"/>
          <w:b/>
          <w:bCs/>
          <w:szCs w:val="21"/>
        </w:rPr>
        <w:t>10.4同义词语</w:t>
      </w:r>
      <w:bookmarkEnd w:id="294"/>
    </w:p>
    <w:p>
      <w:pPr>
        <w:spacing w:line="360" w:lineRule="auto"/>
        <w:ind w:firstLine="420" w:firstLineChars="200"/>
        <w:rPr>
          <w:rFonts w:ascii="宋体" w:hAnsi="宋体"/>
          <w:kern w:val="0"/>
          <w:szCs w:val="21"/>
        </w:rPr>
      </w:pPr>
      <w:r>
        <w:rPr>
          <w:rFonts w:hint="eastAsia" w:ascii="宋体" w:hAnsi="宋体"/>
          <w:kern w:val="0"/>
          <w:szCs w:val="21"/>
        </w:rPr>
        <w:t>构成招标文件组成部分的“合同条款及格式”、“用户需求书”和“工程量清单”等章节中出现的措辞“发包人或甲方”和“承包人”，在招标投标阶段应当分别按“招标人”和“投标人”进行理解。</w:t>
      </w:r>
    </w:p>
    <w:p>
      <w:pPr>
        <w:keepNext/>
        <w:keepLines/>
        <w:spacing w:line="360" w:lineRule="auto"/>
        <w:outlineLvl w:val="3"/>
        <w:rPr>
          <w:rFonts w:ascii="宋体" w:hAnsi="宋体"/>
          <w:b/>
          <w:bCs/>
          <w:szCs w:val="21"/>
        </w:rPr>
      </w:pPr>
      <w:bookmarkStart w:id="295" w:name="_Toc26588"/>
      <w:r>
        <w:rPr>
          <w:rFonts w:ascii="宋体" w:hAnsi="宋体"/>
          <w:b/>
          <w:bCs/>
          <w:szCs w:val="21"/>
        </w:rPr>
        <w:t>10.5 监督</w:t>
      </w:r>
      <w:bookmarkEnd w:id="295"/>
    </w:p>
    <w:p>
      <w:pPr>
        <w:spacing w:line="360" w:lineRule="auto"/>
        <w:ind w:firstLine="420" w:firstLineChars="200"/>
        <w:rPr>
          <w:rFonts w:ascii="宋体" w:hAnsi="宋体"/>
          <w:kern w:val="0"/>
          <w:szCs w:val="21"/>
        </w:rPr>
      </w:pPr>
      <w:r>
        <w:rPr>
          <w:rFonts w:hint="eastAsia" w:ascii="宋体" w:hAnsi="宋体"/>
          <w:kern w:val="0"/>
          <w:szCs w:val="21"/>
        </w:rPr>
        <w:t>本项目的招标投标活动及其相关当事人应当接受有管辖权的主管部门依法实施的监督。</w:t>
      </w:r>
    </w:p>
    <w:p>
      <w:pPr>
        <w:keepNext/>
        <w:keepLines/>
        <w:spacing w:line="360" w:lineRule="auto"/>
        <w:outlineLvl w:val="3"/>
        <w:rPr>
          <w:rFonts w:ascii="宋体" w:hAnsi="宋体"/>
          <w:b/>
          <w:bCs/>
          <w:szCs w:val="21"/>
        </w:rPr>
      </w:pPr>
      <w:bookmarkStart w:id="296" w:name="_Toc14255"/>
      <w:r>
        <w:rPr>
          <w:rFonts w:ascii="宋体" w:hAnsi="宋体"/>
          <w:b/>
          <w:bCs/>
          <w:szCs w:val="21"/>
        </w:rPr>
        <w:t>10.6 解释权</w:t>
      </w:r>
      <w:bookmarkEnd w:id="296"/>
    </w:p>
    <w:p>
      <w:pPr>
        <w:spacing w:line="360" w:lineRule="auto"/>
        <w:ind w:firstLine="420" w:firstLineChars="200"/>
      </w:pPr>
      <w:r>
        <w:t>构成本招标文件的各个组成文件应互为解释，互为说明；如有不明确或不一致，构成合同文件组成内容的，以合同文件约定内容为准；除招标文件中有特别规定外，仅适用于招标投标阶段的规定，</w:t>
      </w:r>
      <w:r>
        <w:rPr>
          <w:rFonts w:hint="eastAsia"/>
        </w:rPr>
        <w:t>依次</w:t>
      </w:r>
      <w:r>
        <w:t>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bookmarkEnd w:id="158"/>
      <w:bookmarkEnd w:id="174"/>
      <w:bookmarkEnd w:id="175"/>
      <w:bookmarkEnd w:id="176"/>
      <w:bookmarkEnd w:id="177"/>
      <w:bookmarkEnd w:id="178"/>
      <w:bookmarkEnd w:id="179"/>
      <w:bookmarkStart w:id="297" w:name="_Toc273556515"/>
      <w:bookmarkStart w:id="298" w:name="_Toc234121072"/>
    </w:p>
    <w:p>
      <w:pPr>
        <w:keepNext/>
        <w:keepLines/>
        <w:spacing w:before="100" w:line="312" w:lineRule="auto"/>
        <w:outlineLvl w:val="3"/>
        <w:rPr>
          <w:rFonts w:ascii="宋体" w:hAnsi="宋体"/>
          <w:b/>
          <w:bCs/>
          <w:szCs w:val="21"/>
        </w:rPr>
      </w:pPr>
      <w:r>
        <w:rPr>
          <w:rFonts w:hint="eastAsia" w:ascii="宋体" w:hAnsi="宋体"/>
          <w:b/>
          <w:bCs/>
          <w:szCs w:val="21"/>
        </w:rPr>
        <w:t>10.7 本项目采购及合同执行的任何阶段，如果招标人发现投标人/中标人存在下述行为之一的，招标人有权取消其投标/中标资格，投标/中标无效。情节严重的，报同级或上级监管部门依法进行处理；同时将其列入招标人的不良信用名单：</w:t>
      </w:r>
    </w:p>
    <w:p>
      <w:pPr>
        <w:spacing w:before="100" w:line="312" w:lineRule="auto"/>
        <w:ind w:firstLine="420" w:firstLineChars="200"/>
        <w:rPr>
          <w:rFonts w:ascii="宋体" w:hAnsi="宋体"/>
        </w:rPr>
      </w:pPr>
      <w:r>
        <w:rPr>
          <w:rFonts w:hint="eastAsia" w:ascii="宋体" w:hAnsi="宋体"/>
        </w:rPr>
        <w:t>（1）投标人在投标截止期后撤回其投标的。</w:t>
      </w:r>
    </w:p>
    <w:p>
      <w:pPr>
        <w:spacing w:before="100" w:line="312" w:lineRule="auto"/>
        <w:ind w:firstLine="420" w:firstLineChars="200"/>
        <w:rPr>
          <w:rFonts w:ascii="宋体" w:hAnsi="宋体"/>
        </w:rPr>
      </w:pPr>
      <w:r>
        <w:rPr>
          <w:rFonts w:hint="eastAsia" w:ascii="宋体" w:hAnsi="宋体"/>
        </w:rPr>
        <w:t>（2）提供虚假材料谋取中标的。</w:t>
      </w:r>
    </w:p>
    <w:p>
      <w:pPr>
        <w:spacing w:before="100" w:line="312" w:lineRule="auto"/>
        <w:ind w:firstLine="420" w:firstLineChars="200"/>
        <w:rPr>
          <w:rFonts w:ascii="宋体" w:hAnsi="宋体"/>
        </w:rPr>
      </w:pPr>
      <w:r>
        <w:rPr>
          <w:rFonts w:hint="eastAsia" w:ascii="宋体" w:hAnsi="宋体"/>
        </w:rPr>
        <w:t>（3）采取不正当手段诋毁、排挤其他供应商的。</w:t>
      </w:r>
    </w:p>
    <w:p>
      <w:pPr>
        <w:spacing w:before="100" w:line="312" w:lineRule="auto"/>
        <w:ind w:firstLine="420" w:firstLineChars="200"/>
        <w:rPr>
          <w:rFonts w:ascii="宋体" w:hAnsi="宋体"/>
        </w:rPr>
      </w:pPr>
      <w:r>
        <w:rPr>
          <w:rFonts w:hint="eastAsia" w:ascii="宋体" w:hAnsi="宋体"/>
        </w:rPr>
        <w:t>（4）恶意串通等不正当竞争行为的。</w:t>
      </w:r>
    </w:p>
    <w:p>
      <w:pPr>
        <w:spacing w:before="100" w:line="312" w:lineRule="auto"/>
        <w:ind w:firstLine="420" w:firstLineChars="200"/>
        <w:rPr>
          <w:rFonts w:ascii="宋体" w:hAnsi="宋体"/>
        </w:rPr>
      </w:pPr>
      <w:r>
        <w:rPr>
          <w:rFonts w:hint="eastAsia" w:ascii="宋体" w:hAnsi="宋体"/>
        </w:rPr>
        <w:t>（5）中标后无正当理由拒不与采购人签订采购合同的。</w:t>
      </w:r>
    </w:p>
    <w:p>
      <w:pPr>
        <w:spacing w:before="100" w:line="312" w:lineRule="auto"/>
        <w:ind w:firstLine="420" w:firstLineChars="200"/>
        <w:rPr>
          <w:rFonts w:ascii="宋体" w:hAnsi="宋体"/>
        </w:rPr>
      </w:pPr>
      <w:r>
        <w:rPr>
          <w:rFonts w:hint="eastAsia" w:ascii="宋体" w:hAnsi="宋体"/>
        </w:rPr>
        <w:t>（6）未照招标、投标文件确定的事项签订采购合同的。</w:t>
      </w:r>
    </w:p>
    <w:p>
      <w:pPr>
        <w:spacing w:before="100" w:line="312" w:lineRule="auto"/>
        <w:ind w:firstLine="420" w:firstLineChars="200"/>
        <w:rPr>
          <w:rFonts w:ascii="宋体" w:hAnsi="宋体"/>
        </w:rPr>
      </w:pPr>
      <w:r>
        <w:rPr>
          <w:rFonts w:hint="eastAsia" w:ascii="宋体" w:hAnsi="宋体"/>
        </w:rPr>
        <w:t>（7）将采购合同转包的。</w:t>
      </w:r>
    </w:p>
    <w:p>
      <w:pPr>
        <w:spacing w:before="100" w:line="312" w:lineRule="auto"/>
        <w:ind w:firstLine="420" w:firstLineChars="200"/>
        <w:rPr>
          <w:rFonts w:ascii="宋体" w:hAnsi="宋体"/>
        </w:rPr>
      </w:pPr>
      <w:r>
        <w:rPr>
          <w:rFonts w:hint="eastAsia" w:ascii="宋体" w:hAnsi="宋体"/>
        </w:rPr>
        <w:t>（8）提供假冒伪劣产品的。</w:t>
      </w:r>
    </w:p>
    <w:p>
      <w:pPr>
        <w:spacing w:before="100" w:line="312" w:lineRule="auto"/>
        <w:ind w:firstLine="420" w:firstLineChars="200"/>
        <w:rPr>
          <w:rFonts w:ascii="宋体" w:hAnsi="宋体"/>
        </w:rPr>
      </w:pPr>
      <w:r>
        <w:rPr>
          <w:rFonts w:hint="eastAsia" w:ascii="宋体" w:hAnsi="宋体"/>
        </w:rPr>
        <w:t>（9）擅自变更、中止或者终止采购合同的。</w:t>
      </w:r>
    </w:p>
    <w:p>
      <w:pPr>
        <w:spacing w:before="100" w:line="312" w:lineRule="auto"/>
        <w:ind w:firstLine="420" w:firstLineChars="200"/>
        <w:rPr>
          <w:rFonts w:ascii="宋体" w:hAnsi="宋体"/>
        </w:rPr>
      </w:pPr>
      <w:r>
        <w:rPr>
          <w:rFonts w:hint="eastAsia" w:ascii="宋体" w:hAnsi="宋体"/>
        </w:rPr>
        <w:t>（10）中标人签订合同后，不能履约或无故拖延履约期的。</w:t>
      </w:r>
    </w:p>
    <w:p>
      <w:pPr>
        <w:spacing w:before="100" w:line="312" w:lineRule="auto"/>
        <w:ind w:firstLine="420" w:firstLineChars="200"/>
        <w:rPr>
          <w:rFonts w:ascii="宋体" w:hAnsi="宋体"/>
        </w:rPr>
      </w:pPr>
      <w:r>
        <w:rPr>
          <w:rFonts w:hint="eastAsia" w:ascii="宋体" w:hAnsi="宋体"/>
        </w:rPr>
        <w:t>（11）中标人未投标阶段提出异议或疑问，在成交后无法满足采购需求的。</w:t>
      </w:r>
    </w:p>
    <w:p>
      <w:pPr>
        <w:spacing w:before="100" w:line="312" w:lineRule="auto"/>
        <w:ind w:firstLine="420" w:firstLineChars="200"/>
        <w:rPr>
          <w:rFonts w:ascii="宋体" w:hAnsi="宋体"/>
        </w:rPr>
      </w:pPr>
      <w:r>
        <w:rPr>
          <w:rFonts w:hint="eastAsia" w:ascii="宋体" w:hAnsi="宋体"/>
        </w:rPr>
        <w:t>（12）中标人在成交后无正当理由放弃成交资格的。</w:t>
      </w:r>
    </w:p>
    <w:p>
      <w:pPr>
        <w:spacing w:before="100" w:line="312" w:lineRule="auto"/>
        <w:ind w:firstLine="420" w:firstLineChars="200"/>
        <w:rPr>
          <w:rFonts w:ascii="宋体" w:hAnsi="宋体"/>
        </w:rPr>
      </w:pPr>
      <w:r>
        <w:rPr>
          <w:rFonts w:hint="eastAsia" w:ascii="宋体" w:hAnsi="宋体"/>
        </w:rPr>
        <w:t>（13）招标文件、法律、法规规定的其他情形。</w:t>
      </w:r>
    </w:p>
    <w:p>
      <w:pPr>
        <w:keepNext/>
        <w:keepLines/>
        <w:spacing w:line="360" w:lineRule="auto"/>
        <w:ind w:firstLine="422"/>
        <w:outlineLvl w:val="3"/>
        <w:rPr>
          <w:rFonts w:ascii="宋体" w:hAnsi="宋体"/>
          <w:b/>
          <w:bCs/>
          <w:szCs w:val="21"/>
        </w:rPr>
      </w:pPr>
      <w:r>
        <w:rPr>
          <w:rFonts w:hint="eastAsia" w:ascii="宋体" w:hAnsi="宋体"/>
          <w:b/>
          <w:bCs/>
          <w:szCs w:val="21"/>
        </w:rPr>
        <w:t>10.8其他</w:t>
      </w:r>
    </w:p>
    <w:p>
      <w:pPr>
        <w:spacing w:before="100" w:line="312" w:lineRule="auto"/>
        <w:ind w:firstLine="420" w:firstLineChars="200"/>
        <w:rPr>
          <w:rFonts w:ascii="宋体" w:hAnsi="宋体"/>
        </w:rPr>
      </w:pPr>
      <w:r>
        <w:rPr>
          <w:rFonts w:hint="eastAsia" w:ascii="宋体" w:hAnsi="宋体"/>
        </w:rPr>
        <w:t>10.8.1 其他条款见“投标人须知前附表”。</w:t>
      </w:r>
    </w:p>
    <w:p>
      <w:pPr>
        <w:spacing w:before="100" w:line="312" w:lineRule="auto"/>
        <w:ind w:firstLine="420" w:firstLineChars="200"/>
        <w:rPr>
          <w:rFonts w:ascii="宋体" w:hAnsi="宋体"/>
        </w:rPr>
      </w:pPr>
      <w:r>
        <w:rPr>
          <w:rFonts w:hint="eastAsia" w:ascii="宋体" w:hAnsi="宋体"/>
        </w:rPr>
        <w:t>10.8.2 本项目招标代理服务费及招标控制价编制服务费的计算方法如下：</w:t>
      </w:r>
    </w:p>
    <w:p>
      <w:pPr>
        <w:spacing w:before="100" w:line="312" w:lineRule="auto"/>
        <w:ind w:firstLine="420" w:firstLineChars="200"/>
        <w:rPr>
          <w:rFonts w:ascii="宋体" w:hAnsi="宋体"/>
        </w:rPr>
      </w:pPr>
      <w:r>
        <w:rPr>
          <w:rFonts w:hint="eastAsia" w:ascii="宋体" w:hAnsi="宋体"/>
        </w:rPr>
        <w:t>（1）招标代理服务费：参照国家发展改革委《关于降低部分建设项目收费标准规范收费行为等有关问题的通知》（发改价格〔2011〕534号）规定。招标代理服务费=本项目的实际中标金额×招标代理服务费收费标准×（1-招标代理服务费比选下浮费率20%）（按差额定率累进法计算），服务类型（服务招标）。</w:t>
      </w:r>
    </w:p>
    <w:p>
      <w:pPr>
        <w:spacing w:before="100" w:line="312" w:lineRule="auto"/>
        <w:ind w:firstLine="420" w:firstLineChars="200"/>
        <w:rPr>
          <w:rFonts w:ascii="宋体" w:hAnsi="宋体"/>
        </w:rPr>
      </w:pPr>
      <w:r>
        <w:rPr>
          <w:rFonts w:hint="eastAsia" w:ascii="宋体" w:hAnsi="宋体"/>
        </w:rPr>
        <w:t>（2）招标控制价编制服务费：招标控制价编制服务费=本项目的实际中标金额×招标代理服务费收费标准×（1-招标控制价编制服务费比选下浮费率70%）（按差额定率累进法计算），服务类型（服务招标）。</w:t>
      </w:r>
    </w:p>
    <w:p>
      <w:pPr>
        <w:spacing w:line="480" w:lineRule="exact"/>
        <w:jc w:val="center"/>
        <w:rPr>
          <w:rFonts w:ascii="宋体" w:hAnsi="宋体"/>
          <w:b/>
        </w:rPr>
      </w:pPr>
      <w:r>
        <w:rPr>
          <w:rFonts w:hint="eastAsia" w:ascii="宋体" w:hAnsi="宋体"/>
          <w:b/>
        </w:rPr>
        <w:t>招标代理服务收费标准</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1732"/>
        <w:gridCol w:w="1980"/>
        <w:gridCol w:w="1980"/>
      </w:tblGrid>
      <w:tr>
        <w:trPr>
          <w:trHeight w:val="2044" w:hRule="atLeast"/>
          <w:jc w:val="center"/>
        </w:trPr>
        <w:tc>
          <w:tcPr>
            <w:tcW w:w="2459" w:type="dxa"/>
          </w:tcPr>
          <w:p>
            <w:pPr>
              <w:adjustRightInd w:val="0"/>
              <w:snapToGrid w:val="0"/>
              <w:spacing w:line="480" w:lineRule="exact"/>
              <w:ind w:firstLine="1275"/>
              <w:rPr>
                <w:rFonts w:ascii="宋体" w:hAnsi="宋体"/>
                <w:b/>
              </w:rPr>
            </w:pPr>
            <w:r>
              <mc:AlternateContent>
                <mc:Choice Requires="wps">
                  <w:drawing>
                    <wp:anchor distT="0" distB="0" distL="114300" distR="114300" simplePos="0" relativeHeight="251674624" behindDoc="0" locked="0" layoutInCell="1" allowOverlap="1">
                      <wp:simplePos x="0" y="0"/>
                      <wp:positionH relativeFrom="column">
                        <wp:posOffset>-56515</wp:posOffset>
                      </wp:positionH>
                      <wp:positionV relativeFrom="paragraph">
                        <wp:posOffset>34290</wp:posOffset>
                      </wp:positionV>
                      <wp:extent cx="1546860" cy="1254125"/>
                      <wp:effectExtent l="3810" t="5080" r="24130" b="1079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flipH="1" flipV="1">
                                <a:off x="0" y="0"/>
                                <a:ext cx="1484630" cy="102616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 y;margin-left:-4.45pt;margin-top:2.7pt;height:98.75pt;width:121.8pt;z-index:251674624;mso-width-relative:page;mso-height-relative:page;" filled="f" stroked="t" coordsize="21600,21600" o:gfxdata="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LYQ4rVAAAACAEAAA8AAAAAAAAAAQAg&#10;AAAAOAAAAGRycy9kb3ducmV2LnhtbFBLAQIUABQAAAAIAIdO4kC0dTdf+wEAANIDAAAOAAAAAAAA&#10;AAEAIAAAADoBAABkcnMvZTJvRG9jLnhtbFBLBQYAAAAABgAGAFkBAACn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622935</wp:posOffset>
                      </wp:positionH>
                      <wp:positionV relativeFrom="paragraph">
                        <wp:posOffset>635</wp:posOffset>
                      </wp:positionV>
                      <wp:extent cx="841375" cy="1287780"/>
                      <wp:effectExtent l="16510" t="0" r="31115" b="1143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rot="21540000" flipH="1" flipV="1">
                                <a:off x="0" y="0"/>
                                <a:ext cx="904875" cy="12192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 y;margin-left:49.05pt;margin-top:0.05pt;height:101.4pt;width:66.25pt;rotation:-65536f;z-index:251672576;mso-width-relative:page;mso-height-relative:page;" filled="f" stroked="t" coordsize="21600,21600" o:gfxdata="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IhV/g3WAAAABwEAAA8A&#10;AAAAAAAAAQAgAAAAOAAAAGRycy9kb3ducmV2LnhtbFBLAQIUABQAAAAIAIdO4kApHLEZAwIAAOAD&#10;AAAOAAAAAAAAAAEAIAAAADsBAABkcnMvZTJvRG9jLnhtbFBLBQYAAAAABgAGAFkBAACw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0528" behindDoc="0" locked="0" layoutInCell="0" allowOverlap="1">
                      <wp:simplePos x="0" y="0"/>
                      <wp:positionH relativeFrom="column">
                        <wp:posOffset>-114300</wp:posOffset>
                      </wp:positionH>
                      <wp:positionV relativeFrom="paragraph">
                        <wp:posOffset>-6350</wp:posOffset>
                      </wp:positionV>
                      <wp:extent cx="635" cy="0"/>
                      <wp:effectExtent l="0" t="6350" r="0" b="635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pt;width:0.05pt;z-index:251670528;mso-width-relative:page;mso-height-relative:page;" filled="f" stroked="t" coordsize="21600,21600" o:allowincell="f" o:gfxdata="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uR037VAAAACQEAAA8AAAAAAAAAAQAgAAAAOAAAAGRycy9kb3ducmV2LnhtbFBLAQIU&#10;ABQAAAAIAIdO4kDo4EmN4AEAALIDAAAOAAAAAAAAAAEAIAAAADoBAABkcnMvZTJvRG9jLnhtbFBL&#10;BQYAAAAABgAGAFkBAACMBQAAAAA=&#10;">
                      <v:fill on="f" focussize="0,0"/>
                      <v:stroke color="#000000" joinstyle="round"/>
                      <v:imagedata o:title=""/>
                      <o:lock v:ext="edit" aspectratio="f"/>
                    </v:line>
                  </w:pict>
                </mc:Fallback>
              </mc:AlternateContent>
            </w:r>
            <w:r>
              <w:rPr>
                <w:rFonts w:hint="eastAsia" w:ascii="宋体" w:hAnsi="宋体"/>
              </w:rPr>
              <w:t xml:space="preserve">  </w:t>
            </w:r>
            <w:r>
              <w:rPr>
                <w:rFonts w:hint="eastAsia" w:ascii="宋体" w:hAnsi="宋体"/>
                <w:b/>
              </w:rPr>
              <w:t xml:space="preserve"> 服务</w:t>
            </w:r>
          </w:p>
          <w:p>
            <w:pPr>
              <w:adjustRightInd w:val="0"/>
              <w:snapToGrid w:val="0"/>
              <w:spacing w:line="480" w:lineRule="exact"/>
              <w:rPr>
                <w:rFonts w:ascii="宋体" w:hAnsi="宋体"/>
                <w:b/>
              </w:rPr>
            </w:pPr>
            <w:r>
              <w:rPr>
                <w:rFonts w:hint="eastAsia" w:ascii="宋体" w:hAnsi="宋体"/>
                <w:b/>
              </w:rPr>
              <w:t xml:space="preserve">       费率（%）</w:t>
            </w:r>
          </w:p>
          <w:p>
            <w:pPr>
              <w:adjustRightInd w:val="0"/>
              <w:snapToGrid w:val="0"/>
              <w:spacing w:line="480" w:lineRule="exact"/>
              <w:rPr>
                <w:rFonts w:ascii="宋体" w:hAnsi="宋体"/>
                <w:b/>
              </w:rPr>
            </w:pPr>
            <w:r>
              <w:rPr>
                <w:rFonts w:hint="eastAsia" w:ascii="宋体" w:hAnsi="宋体"/>
                <w:b/>
              </w:rPr>
              <w:t xml:space="preserve"> 类型 </w:t>
            </w:r>
          </w:p>
          <w:p>
            <w:pPr>
              <w:adjustRightInd w:val="0"/>
              <w:snapToGrid w:val="0"/>
              <w:spacing w:line="480" w:lineRule="exact"/>
              <w:rPr>
                <w:rFonts w:ascii="宋体" w:hAnsi="宋体"/>
                <w:b/>
              </w:rPr>
            </w:pPr>
            <w:r>
              <w:rPr>
                <w:rFonts w:hint="eastAsia" w:ascii="宋体" w:hAnsi="宋体"/>
                <w:b/>
              </w:rPr>
              <w:t>中标金额（万元）</w:t>
            </w:r>
          </w:p>
        </w:tc>
        <w:tc>
          <w:tcPr>
            <w:tcW w:w="1732" w:type="dxa"/>
            <w:vAlign w:val="center"/>
          </w:tcPr>
          <w:p>
            <w:pPr>
              <w:adjustRightInd w:val="0"/>
              <w:snapToGrid w:val="0"/>
              <w:spacing w:line="480" w:lineRule="exact"/>
              <w:jc w:val="center"/>
              <w:rPr>
                <w:rFonts w:ascii="宋体" w:hAnsi="宋体"/>
                <w:b/>
              </w:rPr>
            </w:pPr>
            <w:r>
              <w:rPr>
                <w:rFonts w:hint="eastAsia" w:ascii="宋体" w:hAnsi="宋体"/>
                <w:b/>
              </w:rPr>
              <w:t>货物招标</w:t>
            </w:r>
          </w:p>
        </w:tc>
        <w:tc>
          <w:tcPr>
            <w:tcW w:w="1980" w:type="dxa"/>
            <w:vAlign w:val="center"/>
          </w:tcPr>
          <w:p>
            <w:pPr>
              <w:spacing w:line="480" w:lineRule="exact"/>
              <w:jc w:val="center"/>
              <w:rPr>
                <w:rFonts w:ascii="宋体" w:hAnsi="宋体"/>
                <w:b/>
              </w:rPr>
            </w:pPr>
            <w:r>
              <w:rPr>
                <w:rFonts w:hint="eastAsia" w:ascii="宋体" w:hAnsi="宋体"/>
                <w:b/>
              </w:rPr>
              <w:t>服务招标</w:t>
            </w:r>
          </w:p>
        </w:tc>
        <w:tc>
          <w:tcPr>
            <w:tcW w:w="1980" w:type="dxa"/>
            <w:vAlign w:val="center"/>
          </w:tcPr>
          <w:p>
            <w:pPr>
              <w:spacing w:line="480" w:lineRule="exact"/>
              <w:jc w:val="center"/>
              <w:rPr>
                <w:rFonts w:ascii="宋体" w:hAnsi="宋体"/>
                <w:b/>
              </w:rPr>
            </w:pPr>
            <w:r>
              <w:rPr>
                <w:rFonts w:hint="eastAsia" w:ascii="宋体" w:hAnsi="宋体"/>
                <w:b/>
              </w:rPr>
              <w:t>工程招标</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100以下</w:t>
            </w:r>
          </w:p>
        </w:tc>
        <w:tc>
          <w:tcPr>
            <w:tcW w:w="1732" w:type="dxa"/>
          </w:tcPr>
          <w:p>
            <w:pPr>
              <w:spacing w:line="360" w:lineRule="exact"/>
              <w:jc w:val="center"/>
              <w:rPr>
                <w:rFonts w:ascii="宋体" w:hAnsi="宋体"/>
              </w:rPr>
            </w:pPr>
            <w:r>
              <w:rPr>
                <w:rFonts w:hint="eastAsia" w:ascii="宋体" w:hAnsi="宋体"/>
              </w:rPr>
              <w:t>1.5%</w:t>
            </w:r>
          </w:p>
        </w:tc>
        <w:tc>
          <w:tcPr>
            <w:tcW w:w="1980" w:type="dxa"/>
          </w:tcPr>
          <w:p>
            <w:pPr>
              <w:spacing w:line="360" w:lineRule="exact"/>
              <w:jc w:val="center"/>
              <w:rPr>
                <w:rFonts w:ascii="宋体" w:hAnsi="宋体"/>
              </w:rPr>
            </w:pPr>
            <w:r>
              <w:rPr>
                <w:rFonts w:hint="eastAsia" w:ascii="宋体" w:hAnsi="宋体"/>
              </w:rPr>
              <w:t>1.5%</w:t>
            </w:r>
          </w:p>
        </w:tc>
        <w:tc>
          <w:tcPr>
            <w:tcW w:w="1980" w:type="dxa"/>
          </w:tcPr>
          <w:p>
            <w:pPr>
              <w:spacing w:line="360" w:lineRule="exact"/>
              <w:jc w:val="center"/>
              <w:rPr>
                <w:rFonts w:ascii="宋体" w:hAnsi="宋体"/>
              </w:rPr>
            </w:pPr>
            <w:r>
              <w:rPr>
                <w:rFonts w:hint="eastAsia" w:ascii="宋体" w:hAnsi="宋体"/>
              </w:rPr>
              <w:t>1.0%</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100-500</w:t>
            </w:r>
          </w:p>
        </w:tc>
        <w:tc>
          <w:tcPr>
            <w:tcW w:w="1732" w:type="dxa"/>
          </w:tcPr>
          <w:p>
            <w:pPr>
              <w:spacing w:line="360" w:lineRule="exact"/>
              <w:jc w:val="center"/>
              <w:rPr>
                <w:rFonts w:ascii="宋体" w:hAnsi="宋体"/>
              </w:rPr>
            </w:pPr>
            <w:r>
              <w:rPr>
                <w:rFonts w:hint="eastAsia" w:ascii="宋体" w:hAnsi="宋体"/>
              </w:rPr>
              <w:t>1.1%</w:t>
            </w:r>
          </w:p>
        </w:tc>
        <w:tc>
          <w:tcPr>
            <w:tcW w:w="1980" w:type="dxa"/>
          </w:tcPr>
          <w:p>
            <w:pPr>
              <w:spacing w:line="360" w:lineRule="exact"/>
              <w:jc w:val="center"/>
              <w:rPr>
                <w:rFonts w:ascii="宋体" w:hAnsi="宋体"/>
              </w:rPr>
            </w:pPr>
            <w:r>
              <w:rPr>
                <w:rFonts w:hint="eastAsia" w:ascii="宋体" w:hAnsi="宋体"/>
              </w:rPr>
              <w:t>0.8%</w:t>
            </w:r>
          </w:p>
        </w:tc>
        <w:tc>
          <w:tcPr>
            <w:tcW w:w="1980" w:type="dxa"/>
          </w:tcPr>
          <w:p>
            <w:pPr>
              <w:spacing w:line="360" w:lineRule="exact"/>
              <w:jc w:val="center"/>
              <w:rPr>
                <w:rFonts w:ascii="宋体" w:hAnsi="宋体"/>
              </w:rPr>
            </w:pPr>
            <w:r>
              <w:rPr>
                <w:rFonts w:hint="eastAsia" w:ascii="宋体" w:hAnsi="宋体"/>
              </w:rPr>
              <w:t>0.7%</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500-1000</w:t>
            </w:r>
          </w:p>
        </w:tc>
        <w:tc>
          <w:tcPr>
            <w:tcW w:w="1732" w:type="dxa"/>
          </w:tcPr>
          <w:p>
            <w:pPr>
              <w:spacing w:line="360" w:lineRule="exact"/>
              <w:jc w:val="center"/>
              <w:rPr>
                <w:rFonts w:ascii="宋体" w:hAnsi="宋体"/>
              </w:rPr>
            </w:pPr>
            <w:r>
              <w:rPr>
                <w:rFonts w:hint="eastAsia" w:ascii="宋体" w:hAnsi="宋体"/>
              </w:rPr>
              <w:t>0.8%</w:t>
            </w:r>
          </w:p>
        </w:tc>
        <w:tc>
          <w:tcPr>
            <w:tcW w:w="1980" w:type="dxa"/>
          </w:tcPr>
          <w:p>
            <w:pPr>
              <w:spacing w:line="360" w:lineRule="exact"/>
              <w:jc w:val="center"/>
              <w:rPr>
                <w:rFonts w:ascii="宋体" w:hAnsi="宋体"/>
              </w:rPr>
            </w:pPr>
            <w:r>
              <w:rPr>
                <w:rFonts w:hint="eastAsia" w:ascii="宋体" w:hAnsi="宋体"/>
              </w:rPr>
              <w:t>0.45%</w:t>
            </w:r>
          </w:p>
        </w:tc>
        <w:tc>
          <w:tcPr>
            <w:tcW w:w="1980" w:type="dxa"/>
          </w:tcPr>
          <w:p>
            <w:pPr>
              <w:spacing w:line="360" w:lineRule="exact"/>
              <w:jc w:val="center"/>
              <w:rPr>
                <w:rFonts w:ascii="宋体" w:hAnsi="宋体"/>
              </w:rPr>
            </w:pPr>
            <w:r>
              <w:rPr>
                <w:rFonts w:hint="eastAsia" w:ascii="宋体" w:hAnsi="宋体"/>
              </w:rPr>
              <w:t>0.55%</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1000-5000</w:t>
            </w:r>
          </w:p>
        </w:tc>
        <w:tc>
          <w:tcPr>
            <w:tcW w:w="1732" w:type="dxa"/>
          </w:tcPr>
          <w:p>
            <w:pPr>
              <w:spacing w:line="360" w:lineRule="exact"/>
              <w:jc w:val="center"/>
              <w:rPr>
                <w:rFonts w:ascii="宋体" w:hAnsi="宋体"/>
              </w:rPr>
            </w:pPr>
            <w:r>
              <w:rPr>
                <w:rFonts w:hint="eastAsia" w:ascii="宋体" w:hAnsi="宋体"/>
              </w:rPr>
              <w:t>0.5%</w:t>
            </w:r>
          </w:p>
        </w:tc>
        <w:tc>
          <w:tcPr>
            <w:tcW w:w="1980" w:type="dxa"/>
          </w:tcPr>
          <w:p>
            <w:pPr>
              <w:spacing w:line="360" w:lineRule="exact"/>
              <w:jc w:val="center"/>
              <w:rPr>
                <w:rFonts w:ascii="宋体" w:hAnsi="宋体"/>
              </w:rPr>
            </w:pPr>
            <w:r>
              <w:rPr>
                <w:rFonts w:hint="eastAsia" w:ascii="宋体" w:hAnsi="宋体"/>
              </w:rPr>
              <w:t>0.25%</w:t>
            </w:r>
          </w:p>
        </w:tc>
        <w:tc>
          <w:tcPr>
            <w:tcW w:w="1980" w:type="dxa"/>
          </w:tcPr>
          <w:p>
            <w:pPr>
              <w:spacing w:line="360" w:lineRule="exact"/>
              <w:jc w:val="center"/>
              <w:rPr>
                <w:rFonts w:ascii="宋体" w:hAnsi="宋体"/>
              </w:rPr>
            </w:pPr>
            <w:r>
              <w:rPr>
                <w:rFonts w:hint="eastAsia" w:ascii="宋体" w:hAnsi="宋体"/>
              </w:rPr>
              <w:t>0.35%</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5000-10000</w:t>
            </w:r>
          </w:p>
        </w:tc>
        <w:tc>
          <w:tcPr>
            <w:tcW w:w="1732" w:type="dxa"/>
          </w:tcPr>
          <w:p>
            <w:pPr>
              <w:spacing w:line="360" w:lineRule="exact"/>
              <w:jc w:val="center"/>
              <w:rPr>
                <w:rFonts w:ascii="宋体" w:hAnsi="宋体"/>
              </w:rPr>
            </w:pPr>
            <w:r>
              <w:rPr>
                <w:rFonts w:hint="eastAsia" w:ascii="宋体" w:hAnsi="宋体"/>
              </w:rPr>
              <w:t>0.25%</w:t>
            </w:r>
          </w:p>
        </w:tc>
        <w:tc>
          <w:tcPr>
            <w:tcW w:w="1980" w:type="dxa"/>
          </w:tcPr>
          <w:p>
            <w:pPr>
              <w:spacing w:line="360" w:lineRule="exact"/>
              <w:jc w:val="center"/>
              <w:rPr>
                <w:rFonts w:ascii="宋体" w:hAnsi="宋体"/>
              </w:rPr>
            </w:pPr>
            <w:r>
              <w:rPr>
                <w:rFonts w:hint="eastAsia" w:ascii="宋体" w:hAnsi="宋体"/>
              </w:rPr>
              <w:t>0.1%</w:t>
            </w:r>
          </w:p>
        </w:tc>
        <w:tc>
          <w:tcPr>
            <w:tcW w:w="1980" w:type="dxa"/>
          </w:tcPr>
          <w:p>
            <w:pPr>
              <w:spacing w:line="360" w:lineRule="exact"/>
              <w:jc w:val="center"/>
              <w:rPr>
                <w:rFonts w:ascii="宋体" w:hAnsi="宋体"/>
              </w:rPr>
            </w:pPr>
            <w:r>
              <w:rPr>
                <w:rFonts w:hint="eastAsia" w:ascii="宋体" w:hAnsi="宋体"/>
              </w:rPr>
              <w:t>0.2%</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10000-50000</w:t>
            </w:r>
          </w:p>
        </w:tc>
        <w:tc>
          <w:tcPr>
            <w:tcW w:w="1732" w:type="dxa"/>
          </w:tcPr>
          <w:p>
            <w:pPr>
              <w:spacing w:line="360" w:lineRule="exact"/>
              <w:jc w:val="center"/>
              <w:rPr>
                <w:rFonts w:ascii="宋体" w:hAnsi="宋体"/>
              </w:rPr>
            </w:pPr>
            <w:r>
              <w:rPr>
                <w:rFonts w:hint="eastAsia" w:ascii="宋体" w:hAnsi="宋体"/>
              </w:rPr>
              <w:t>0.05%</w:t>
            </w:r>
          </w:p>
        </w:tc>
        <w:tc>
          <w:tcPr>
            <w:tcW w:w="1980" w:type="dxa"/>
          </w:tcPr>
          <w:p>
            <w:pPr>
              <w:spacing w:line="360" w:lineRule="exact"/>
              <w:jc w:val="center"/>
              <w:rPr>
                <w:rFonts w:ascii="宋体" w:hAnsi="宋体"/>
              </w:rPr>
            </w:pPr>
            <w:r>
              <w:rPr>
                <w:rFonts w:hint="eastAsia" w:ascii="宋体" w:hAnsi="宋体"/>
              </w:rPr>
              <w:t>0.05%</w:t>
            </w:r>
          </w:p>
        </w:tc>
        <w:tc>
          <w:tcPr>
            <w:tcW w:w="1980" w:type="dxa"/>
          </w:tcPr>
          <w:p>
            <w:pPr>
              <w:spacing w:line="360" w:lineRule="exact"/>
              <w:jc w:val="center"/>
              <w:rPr>
                <w:rFonts w:ascii="宋体" w:hAnsi="宋体"/>
              </w:rPr>
            </w:pPr>
            <w:r>
              <w:rPr>
                <w:rFonts w:hint="eastAsia" w:ascii="宋体" w:hAnsi="宋体"/>
              </w:rPr>
              <w:t>0.05%</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50000-100000</w:t>
            </w:r>
          </w:p>
        </w:tc>
        <w:tc>
          <w:tcPr>
            <w:tcW w:w="1732" w:type="dxa"/>
          </w:tcPr>
          <w:p>
            <w:pPr>
              <w:spacing w:line="360" w:lineRule="exact"/>
              <w:jc w:val="center"/>
              <w:rPr>
                <w:rFonts w:ascii="宋体" w:hAnsi="宋体"/>
              </w:rPr>
            </w:pPr>
            <w:r>
              <w:rPr>
                <w:rFonts w:hint="eastAsia" w:ascii="宋体" w:hAnsi="宋体"/>
              </w:rPr>
              <w:t>0.035%</w:t>
            </w:r>
          </w:p>
        </w:tc>
        <w:tc>
          <w:tcPr>
            <w:tcW w:w="1980" w:type="dxa"/>
          </w:tcPr>
          <w:p>
            <w:pPr>
              <w:spacing w:line="360" w:lineRule="exact"/>
              <w:jc w:val="center"/>
              <w:rPr>
                <w:rFonts w:ascii="宋体" w:hAnsi="宋体"/>
              </w:rPr>
            </w:pPr>
            <w:r>
              <w:rPr>
                <w:rFonts w:hint="eastAsia" w:ascii="宋体" w:hAnsi="宋体"/>
              </w:rPr>
              <w:t>0.035%</w:t>
            </w:r>
          </w:p>
        </w:tc>
        <w:tc>
          <w:tcPr>
            <w:tcW w:w="1980" w:type="dxa"/>
          </w:tcPr>
          <w:p>
            <w:pPr>
              <w:spacing w:line="360" w:lineRule="exact"/>
              <w:jc w:val="center"/>
              <w:rPr>
                <w:rFonts w:ascii="宋体" w:hAnsi="宋体"/>
              </w:rPr>
            </w:pPr>
            <w:r>
              <w:rPr>
                <w:rFonts w:hint="eastAsia" w:ascii="宋体" w:hAnsi="宋体"/>
              </w:rPr>
              <w:t>0.035%</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100000-500000</w:t>
            </w:r>
          </w:p>
        </w:tc>
        <w:tc>
          <w:tcPr>
            <w:tcW w:w="1732" w:type="dxa"/>
          </w:tcPr>
          <w:p>
            <w:pPr>
              <w:spacing w:line="360" w:lineRule="exact"/>
              <w:jc w:val="center"/>
              <w:rPr>
                <w:rFonts w:ascii="宋体" w:hAnsi="宋体"/>
              </w:rPr>
            </w:pPr>
            <w:r>
              <w:rPr>
                <w:rFonts w:hint="eastAsia" w:ascii="宋体" w:hAnsi="宋体"/>
              </w:rPr>
              <w:t>0.008%</w:t>
            </w:r>
          </w:p>
        </w:tc>
        <w:tc>
          <w:tcPr>
            <w:tcW w:w="1980" w:type="dxa"/>
          </w:tcPr>
          <w:p>
            <w:pPr>
              <w:spacing w:line="360" w:lineRule="exact"/>
              <w:jc w:val="center"/>
              <w:rPr>
                <w:rFonts w:ascii="宋体" w:hAnsi="宋体"/>
              </w:rPr>
            </w:pPr>
            <w:r>
              <w:rPr>
                <w:rFonts w:hint="eastAsia" w:ascii="宋体" w:hAnsi="宋体"/>
              </w:rPr>
              <w:t>0.008%</w:t>
            </w:r>
          </w:p>
        </w:tc>
        <w:tc>
          <w:tcPr>
            <w:tcW w:w="1980" w:type="dxa"/>
          </w:tcPr>
          <w:p>
            <w:pPr>
              <w:spacing w:line="360" w:lineRule="exact"/>
              <w:jc w:val="center"/>
              <w:rPr>
                <w:rFonts w:ascii="宋体" w:hAnsi="宋体"/>
              </w:rPr>
            </w:pPr>
            <w:r>
              <w:rPr>
                <w:rFonts w:hint="eastAsia" w:ascii="宋体" w:hAnsi="宋体"/>
              </w:rPr>
              <w:t>0.008%</w:t>
            </w:r>
          </w:p>
        </w:tc>
      </w:tr>
      <w:tr>
        <w:trPr>
          <w:trHeight w:val="340" w:hRule="atLeast"/>
          <w:jc w:val="center"/>
        </w:trPr>
        <w:tc>
          <w:tcPr>
            <w:tcW w:w="2459" w:type="dxa"/>
          </w:tcPr>
          <w:p>
            <w:pPr>
              <w:spacing w:line="360" w:lineRule="exact"/>
              <w:jc w:val="center"/>
              <w:rPr>
                <w:rFonts w:ascii="宋体" w:hAnsi="宋体"/>
              </w:rPr>
            </w:pPr>
            <w:r>
              <w:rPr>
                <w:rFonts w:hint="eastAsia" w:ascii="宋体" w:hAnsi="宋体"/>
              </w:rPr>
              <w:t>500000-1000000</w:t>
            </w:r>
          </w:p>
        </w:tc>
        <w:tc>
          <w:tcPr>
            <w:tcW w:w="1732" w:type="dxa"/>
          </w:tcPr>
          <w:p>
            <w:pPr>
              <w:spacing w:line="360" w:lineRule="exact"/>
              <w:jc w:val="center"/>
              <w:rPr>
                <w:rFonts w:ascii="宋体" w:hAnsi="宋体"/>
              </w:rPr>
            </w:pPr>
            <w:r>
              <w:rPr>
                <w:rFonts w:hint="eastAsia" w:ascii="宋体" w:hAnsi="宋体"/>
              </w:rPr>
              <w:t>0.006%</w:t>
            </w:r>
          </w:p>
        </w:tc>
        <w:tc>
          <w:tcPr>
            <w:tcW w:w="1980" w:type="dxa"/>
          </w:tcPr>
          <w:p>
            <w:pPr>
              <w:spacing w:line="360" w:lineRule="exact"/>
              <w:jc w:val="center"/>
              <w:rPr>
                <w:rFonts w:ascii="宋体" w:hAnsi="宋体"/>
              </w:rPr>
            </w:pPr>
            <w:r>
              <w:rPr>
                <w:rFonts w:hint="eastAsia" w:ascii="宋体" w:hAnsi="宋体"/>
              </w:rPr>
              <w:t>0.006%</w:t>
            </w:r>
          </w:p>
        </w:tc>
        <w:tc>
          <w:tcPr>
            <w:tcW w:w="1980" w:type="dxa"/>
          </w:tcPr>
          <w:p>
            <w:pPr>
              <w:spacing w:line="360" w:lineRule="exact"/>
              <w:jc w:val="center"/>
              <w:rPr>
                <w:rFonts w:ascii="宋体" w:hAnsi="宋体"/>
              </w:rPr>
            </w:pPr>
            <w:r>
              <w:rPr>
                <w:rFonts w:hint="eastAsia" w:ascii="宋体" w:hAnsi="宋体"/>
              </w:rPr>
              <w:t>0.006%</w:t>
            </w:r>
          </w:p>
        </w:tc>
      </w:tr>
      <w:tr>
        <w:trPr>
          <w:jc w:val="center"/>
        </w:trPr>
        <w:tc>
          <w:tcPr>
            <w:tcW w:w="2459" w:type="dxa"/>
          </w:tcPr>
          <w:p>
            <w:pPr>
              <w:spacing w:line="360" w:lineRule="exact"/>
              <w:jc w:val="center"/>
              <w:rPr>
                <w:rFonts w:ascii="宋体" w:hAnsi="宋体"/>
              </w:rPr>
            </w:pPr>
            <w:r>
              <w:rPr>
                <w:rFonts w:hint="eastAsia" w:ascii="宋体" w:hAnsi="宋体"/>
              </w:rPr>
              <w:t>1000000以上</w:t>
            </w:r>
          </w:p>
        </w:tc>
        <w:tc>
          <w:tcPr>
            <w:tcW w:w="1732" w:type="dxa"/>
          </w:tcPr>
          <w:p>
            <w:pPr>
              <w:spacing w:line="360" w:lineRule="exact"/>
              <w:jc w:val="center"/>
              <w:rPr>
                <w:rFonts w:ascii="宋体" w:hAnsi="宋体"/>
              </w:rPr>
            </w:pPr>
            <w:r>
              <w:rPr>
                <w:rFonts w:hint="eastAsia" w:ascii="宋体" w:hAnsi="宋体"/>
              </w:rPr>
              <w:t>0.004%</w:t>
            </w:r>
          </w:p>
        </w:tc>
        <w:tc>
          <w:tcPr>
            <w:tcW w:w="1980" w:type="dxa"/>
          </w:tcPr>
          <w:p>
            <w:pPr>
              <w:spacing w:line="360" w:lineRule="exact"/>
              <w:jc w:val="center"/>
              <w:rPr>
                <w:rFonts w:ascii="宋体" w:hAnsi="宋体"/>
              </w:rPr>
            </w:pPr>
            <w:r>
              <w:rPr>
                <w:rFonts w:hint="eastAsia" w:ascii="宋体" w:hAnsi="宋体"/>
              </w:rPr>
              <w:t>0.004%</w:t>
            </w:r>
          </w:p>
        </w:tc>
        <w:tc>
          <w:tcPr>
            <w:tcW w:w="1980" w:type="dxa"/>
          </w:tcPr>
          <w:p>
            <w:pPr>
              <w:spacing w:line="360" w:lineRule="exact"/>
              <w:jc w:val="center"/>
              <w:rPr>
                <w:rFonts w:ascii="宋体" w:hAnsi="宋体"/>
              </w:rPr>
            </w:pPr>
            <w:r>
              <w:rPr>
                <w:rFonts w:hint="eastAsia" w:ascii="宋体" w:hAnsi="宋体"/>
              </w:rPr>
              <w:t>0.004%</w:t>
            </w:r>
          </w:p>
        </w:tc>
      </w:tr>
    </w:tbl>
    <w:p>
      <w:pPr>
        <w:spacing w:line="480" w:lineRule="exact"/>
        <w:jc w:val="left"/>
        <w:rPr>
          <w:rFonts w:ascii="宋体" w:hAnsi="宋体"/>
        </w:rPr>
      </w:pPr>
      <w:r>
        <w:rPr>
          <w:rFonts w:hint="eastAsia" w:ascii="宋体" w:hAnsi="宋体"/>
        </w:rPr>
        <w:t>例：以45</w:t>
      </w:r>
      <w:r>
        <w:rPr>
          <w:rFonts w:ascii="宋体" w:hAnsi="宋体"/>
        </w:rPr>
        <w:t>7</w:t>
      </w:r>
      <w:r>
        <w:rPr>
          <w:rFonts w:hint="eastAsia" w:ascii="宋体" w:hAnsi="宋体"/>
        </w:rPr>
        <w:t>万为例，招标代理服务费及招标控制价编制服务费用计算过程如下</w:t>
      </w:r>
    </w:p>
    <w:tbl>
      <w:tblPr>
        <w:tblStyle w:val="51"/>
        <w:tblW w:w="4350" w:type="pct"/>
        <w:tblInd w:w="534" w:type="dxa"/>
        <w:tblLayout w:type="autofit"/>
        <w:tblCellMar>
          <w:top w:w="0" w:type="dxa"/>
          <w:left w:w="108" w:type="dxa"/>
          <w:bottom w:w="0" w:type="dxa"/>
          <w:right w:w="108" w:type="dxa"/>
        </w:tblCellMar>
      </w:tblPr>
      <w:tblGrid>
        <w:gridCol w:w="4699"/>
        <w:gridCol w:w="2440"/>
        <w:gridCol w:w="940"/>
      </w:tblGrid>
      <w:tr>
        <w:trPr>
          <w:trHeight w:val="450" w:hRule="atLeast"/>
        </w:trPr>
        <w:tc>
          <w:tcPr>
            <w:tcW w:w="5000" w:type="pct"/>
            <w:gridSpan w:val="3"/>
            <w:vAlign w:val="center"/>
          </w:tcPr>
          <w:p>
            <w:pPr>
              <w:spacing w:line="360" w:lineRule="exact"/>
              <w:jc w:val="left"/>
              <w:rPr>
                <w:rFonts w:ascii="宋体" w:hAnsi="宋体"/>
              </w:rPr>
            </w:pPr>
            <w:r>
              <w:rPr>
                <w:rFonts w:hint="eastAsia" w:ascii="宋体" w:hAnsi="宋体"/>
              </w:rPr>
              <w:t>按约定方式计算招标代理服务费：</w:t>
            </w:r>
          </w:p>
        </w:tc>
      </w:tr>
      <w:tr>
        <w:trPr>
          <w:trHeight w:val="90" w:hRule="atLeast"/>
        </w:trPr>
        <w:tc>
          <w:tcPr>
            <w:tcW w:w="2908" w:type="pct"/>
            <w:vAlign w:val="center"/>
          </w:tcPr>
          <w:p>
            <w:pPr>
              <w:spacing w:line="360" w:lineRule="exact"/>
              <w:jc w:val="right"/>
              <w:rPr>
                <w:rFonts w:ascii="宋体" w:hAnsi="宋体"/>
              </w:rPr>
            </w:pPr>
            <w:r>
              <w:rPr>
                <w:rFonts w:hint="eastAsia" w:ascii="宋体" w:hAnsi="宋体"/>
              </w:rPr>
              <w:t>中标金额：</w:t>
            </w:r>
          </w:p>
        </w:tc>
        <w:tc>
          <w:tcPr>
            <w:tcW w:w="1510" w:type="pct"/>
            <w:vAlign w:val="center"/>
          </w:tcPr>
          <w:p>
            <w:pPr>
              <w:spacing w:line="360" w:lineRule="exact"/>
              <w:jc w:val="left"/>
              <w:rPr>
                <w:rFonts w:ascii="宋体" w:hAnsi="宋体"/>
              </w:rPr>
            </w:pPr>
            <w:r>
              <w:rPr>
                <w:rFonts w:hint="eastAsia" w:ascii="宋体" w:hAnsi="宋体"/>
              </w:rPr>
              <w:t>4570000.00</w:t>
            </w:r>
          </w:p>
        </w:tc>
        <w:tc>
          <w:tcPr>
            <w:tcW w:w="582" w:type="pct"/>
            <w:vAlign w:val="center"/>
          </w:tcPr>
          <w:p>
            <w:pPr>
              <w:spacing w:line="360" w:lineRule="exact"/>
              <w:rPr>
                <w:rFonts w:ascii="宋体" w:hAnsi="宋体"/>
              </w:rPr>
            </w:pPr>
            <w:r>
              <w:rPr>
                <w:rFonts w:hint="eastAsia" w:ascii="宋体" w:hAnsi="宋体"/>
              </w:rPr>
              <w:t>元</w:t>
            </w:r>
          </w:p>
        </w:tc>
      </w:tr>
      <w:tr>
        <w:trPr>
          <w:trHeight w:val="450" w:hRule="atLeast"/>
        </w:trPr>
        <w:tc>
          <w:tcPr>
            <w:tcW w:w="2908" w:type="pct"/>
            <w:vAlign w:val="center"/>
          </w:tcPr>
          <w:p>
            <w:pPr>
              <w:spacing w:line="360" w:lineRule="exact"/>
              <w:jc w:val="right"/>
              <w:rPr>
                <w:rFonts w:ascii="宋体" w:hAnsi="宋体"/>
              </w:rPr>
            </w:pPr>
            <w:r>
              <w:rPr>
                <w:rFonts w:hint="eastAsia" w:ascii="宋体" w:hAnsi="宋体"/>
              </w:rPr>
              <w:t>1000000×1.5%=</w:t>
            </w:r>
          </w:p>
        </w:tc>
        <w:tc>
          <w:tcPr>
            <w:tcW w:w="1510" w:type="pct"/>
            <w:vAlign w:val="center"/>
          </w:tcPr>
          <w:p>
            <w:pPr>
              <w:spacing w:line="360" w:lineRule="exact"/>
              <w:jc w:val="left"/>
              <w:rPr>
                <w:rFonts w:ascii="宋体" w:hAnsi="宋体"/>
              </w:rPr>
            </w:pPr>
            <w:r>
              <w:rPr>
                <w:rFonts w:hint="eastAsia" w:ascii="宋体" w:hAnsi="宋体"/>
              </w:rPr>
              <w:t xml:space="preserve">15000.00 </w:t>
            </w:r>
          </w:p>
        </w:tc>
        <w:tc>
          <w:tcPr>
            <w:tcW w:w="582" w:type="pct"/>
            <w:vAlign w:val="center"/>
          </w:tcPr>
          <w:p>
            <w:pPr>
              <w:spacing w:line="360" w:lineRule="exact"/>
              <w:rPr>
                <w:rFonts w:ascii="宋体" w:hAnsi="宋体"/>
              </w:rPr>
            </w:pPr>
            <w:r>
              <w:rPr>
                <w:rFonts w:hint="eastAsia" w:ascii="宋体" w:hAnsi="宋体"/>
              </w:rPr>
              <w:t>元</w:t>
            </w:r>
          </w:p>
        </w:tc>
      </w:tr>
      <w:tr>
        <w:trPr>
          <w:trHeight w:val="450" w:hRule="atLeast"/>
        </w:trPr>
        <w:tc>
          <w:tcPr>
            <w:tcW w:w="2908" w:type="pct"/>
            <w:vAlign w:val="center"/>
          </w:tcPr>
          <w:p>
            <w:pPr>
              <w:spacing w:line="360" w:lineRule="exact"/>
              <w:jc w:val="right"/>
              <w:rPr>
                <w:rFonts w:ascii="宋体" w:hAnsi="宋体"/>
              </w:rPr>
            </w:pPr>
            <w:r>
              <w:rPr>
                <w:rFonts w:hint="eastAsia" w:ascii="宋体" w:hAnsi="宋体"/>
              </w:rPr>
              <w:t>（4570000.00-1000000）×0.8%=</w:t>
            </w:r>
          </w:p>
        </w:tc>
        <w:tc>
          <w:tcPr>
            <w:tcW w:w="1510" w:type="pct"/>
            <w:vAlign w:val="center"/>
          </w:tcPr>
          <w:p>
            <w:pPr>
              <w:spacing w:line="360" w:lineRule="exact"/>
              <w:jc w:val="left"/>
              <w:rPr>
                <w:rFonts w:ascii="宋体" w:hAnsi="宋体"/>
              </w:rPr>
            </w:pPr>
            <w:r>
              <w:rPr>
                <w:rFonts w:hint="eastAsia" w:ascii="宋体" w:hAnsi="宋体"/>
              </w:rPr>
              <w:t>28560.00</w:t>
            </w:r>
          </w:p>
        </w:tc>
        <w:tc>
          <w:tcPr>
            <w:tcW w:w="582" w:type="pct"/>
            <w:vAlign w:val="center"/>
          </w:tcPr>
          <w:p>
            <w:pPr>
              <w:spacing w:line="360" w:lineRule="exact"/>
              <w:rPr>
                <w:rFonts w:ascii="宋体" w:hAnsi="宋体"/>
              </w:rPr>
            </w:pPr>
            <w:r>
              <w:rPr>
                <w:rFonts w:hint="eastAsia" w:ascii="宋体" w:hAnsi="宋体"/>
              </w:rPr>
              <w:t>元</w:t>
            </w:r>
          </w:p>
        </w:tc>
      </w:tr>
      <w:tr>
        <w:trPr>
          <w:trHeight w:val="450" w:hRule="atLeast"/>
        </w:trPr>
        <w:tc>
          <w:tcPr>
            <w:tcW w:w="2908" w:type="pct"/>
            <w:vAlign w:val="center"/>
          </w:tcPr>
          <w:p>
            <w:pPr>
              <w:spacing w:line="360" w:lineRule="exact"/>
              <w:jc w:val="right"/>
              <w:rPr>
                <w:rFonts w:ascii="宋体" w:hAnsi="宋体"/>
              </w:rPr>
            </w:pPr>
            <w:r>
              <w:rPr>
                <w:rFonts w:hint="eastAsia" w:ascii="宋体" w:hAnsi="宋体"/>
              </w:rPr>
              <w:t>合计=</w:t>
            </w:r>
          </w:p>
        </w:tc>
        <w:tc>
          <w:tcPr>
            <w:tcW w:w="1510" w:type="pct"/>
            <w:vAlign w:val="center"/>
          </w:tcPr>
          <w:p>
            <w:pPr>
              <w:spacing w:line="360" w:lineRule="exact"/>
              <w:jc w:val="left"/>
              <w:rPr>
                <w:rFonts w:ascii="宋体" w:hAnsi="宋体"/>
              </w:rPr>
            </w:pPr>
            <w:r>
              <w:rPr>
                <w:rFonts w:hint="eastAsia" w:ascii="宋体" w:hAnsi="宋体"/>
              </w:rPr>
              <w:t>43560.00</w:t>
            </w:r>
          </w:p>
        </w:tc>
        <w:tc>
          <w:tcPr>
            <w:tcW w:w="582" w:type="pct"/>
            <w:vAlign w:val="center"/>
          </w:tcPr>
          <w:p>
            <w:pPr>
              <w:spacing w:line="360" w:lineRule="exact"/>
              <w:rPr>
                <w:rFonts w:ascii="宋体" w:hAnsi="宋体"/>
              </w:rPr>
            </w:pPr>
            <w:r>
              <w:rPr>
                <w:rFonts w:hint="eastAsia" w:ascii="宋体" w:hAnsi="宋体"/>
              </w:rPr>
              <w:t>元</w:t>
            </w:r>
          </w:p>
        </w:tc>
      </w:tr>
      <w:tr>
        <w:trPr>
          <w:trHeight w:val="450" w:hRule="atLeast"/>
        </w:trPr>
        <w:tc>
          <w:tcPr>
            <w:tcW w:w="2908" w:type="pct"/>
            <w:vAlign w:val="center"/>
          </w:tcPr>
          <w:p>
            <w:pPr>
              <w:spacing w:line="360" w:lineRule="exact"/>
              <w:jc w:val="right"/>
              <w:rPr>
                <w:rFonts w:ascii="宋体" w:hAnsi="宋体"/>
              </w:rPr>
            </w:pPr>
            <w:r>
              <w:rPr>
                <w:rFonts w:hint="eastAsia" w:ascii="宋体" w:hAnsi="宋体"/>
              </w:rPr>
              <w:t>招标代理服务费（下浮20%）=</w:t>
            </w:r>
          </w:p>
        </w:tc>
        <w:tc>
          <w:tcPr>
            <w:tcW w:w="1510" w:type="pct"/>
            <w:vAlign w:val="center"/>
          </w:tcPr>
          <w:p>
            <w:pPr>
              <w:spacing w:line="360" w:lineRule="exact"/>
              <w:jc w:val="left"/>
              <w:rPr>
                <w:rFonts w:ascii="宋体" w:hAnsi="宋体"/>
              </w:rPr>
            </w:pPr>
            <w:r>
              <w:rPr>
                <w:rFonts w:hint="eastAsia" w:ascii="宋体" w:hAnsi="宋体"/>
              </w:rPr>
              <w:t>34848.00</w:t>
            </w:r>
          </w:p>
        </w:tc>
        <w:tc>
          <w:tcPr>
            <w:tcW w:w="582" w:type="pct"/>
            <w:vAlign w:val="center"/>
          </w:tcPr>
          <w:p>
            <w:pPr>
              <w:spacing w:line="360" w:lineRule="exact"/>
              <w:rPr>
                <w:rFonts w:ascii="宋体" w:hAnsi="宋体"/>
              </w:rPr>
            </w:pPr>
            <w:r>
              <w:rPr>
                <w:rFonts w:hint="eastAsia" w:ascii="宋体" w:hAnsi="宋体"/>
              </w:rPr>
              <w:t>元</w:t>
            </w:r>
          </w:p>
        </w:tc>
      </w:tr>
      <w:tr>
        <w:trPr>
          <w:trHeight w:val="450" w:hRule="atLeast"/>
        </w:trPr>
        <w:tc>
          <w:tcPr>
            <w:tcW w:w="2908" w:type="pct"/>
            <w:vAlign w:val="center"/>
          </w:tcPr>
          <w:p>
            <w:pPr>
              <w:spacing w:line="360" w:lineRule="exact"/>
              <w:jc w:val="right"/>
              <w:rPr>
                <w:rFonts w:ascii="宋体" w:hAnsi="宋体"/>
              </w:rPr>
            </w:pPr>
            <w:r>
              <w:rPr>
                <w:rFonts w:hint="eastAsia" w:ascii="宋体" w:hAnsi="宋体"/>
              </w:rPr>
              <w:t>招标控制价编制服务费（下浮70%）=</w:t>
            </w:r>
          </w:p>
        </w:tc>
        <w:tc>
          <w:tcPr>
            <w:tcW w:w="1510" w:type="pct"/>
            <w:vAlign w:val="center"/>
          </w:tcPr>
          <w:p>
            <w:pPr>
              <w:spacing w:line="360" w:lineRule="exact"/>
              <w:jc w:val="left"/>
              <w:rPr>
                <w:rFonts w:ascii="宋体" w:hAnsi="宋体"/>
              </w:rPr>
            </w:pPr>
            <w:r>
              <w:rPr>
                <w:rFonts w:hint="eastAsia" w:ascii="宋体" w:hAnsi="宋体"/>
              </w:rPr>
              <w:t>13068.00</w:t>
            </w:r>
          </w:p>
        </w:tc>
        <w:tc>
          <w:tcPr>
            <w:tcW w:w="582" w:type="pct"/>
            <w:vAlign w:val="center"/>
          </w:tcPr>
          <w:p>
            <w:pPr>
              <w:spacing w:line="360" w:lineRule="exact"/>
              <w:rPr>
                <w:rFonts w:ascii="宋体" w:hAnsi="宋体"/>
              </w:rPr>
            </w:pPr>
            <w:r>
              <w:rPr>
                <w:rFonts w:hint="eastAsia" w:ascii="宋体" w:hAnsi="宋体"/>
              </w:rPr>
              <w:t>元</w:t>
            </w:r>
          </w:p>
        </w:tc>
      </w:tr>
      <w:tr>
        <w:trPr>
          <w:trHeight w:val="450" w:hRule="atLeast"/>
        </w:trPr>
        <w:tc>
          <w:tcPr>
            <w:tcW w:w="2908" w:type="pct"/>
            <w:vAlign w:val="center"/>
          </w:tcPr>
          <w:p>
            <w:pPr>
              <w:spacing w:line="360" w:lineRule="exact"/>
              <w:jc w:val="right"/>
              <w:rPr>
                <w:rFonts w:ascii="宋体" w:hAnsi="宋体"/>
              </w:rPr>
            </w:pPr>
            <w:r>
              <w:rPr>
                <w:rFonts w:hint="eastAsia" w:ascii="宋体" w:hAnsi="宋体"/>
              </w:rPr>
              <w:t>合计=</w:t>
            </w:r>
          </w:p>
        </w:tc>
        <w:tc>
          <w:tcPr>
            <w:tcW w:w="1510" w:type="pct"/>
            <w:vAlign w:val="center"/>
          </w:tcPr>
          <w:p>
            <w:pPr>
              <w:spacing w:line="360" w:lineRule="exact"/>
              <w:jc w:val="left"/>
              <w:rPr>
                <w:rFonts w:ascii="宋体" w:hAnsi="宋体"/>
              </w:rPr>
            </w:pPr>
            <w:r>
              <w:rPr>
                <w:rFonts w:hint="eastAsia" w:ascii="宋体" w:hAnsi="宋体"/>
              </w:rPr>
              <w:t>47916.00</w:t>
            </w:r>
          </w:p>
        </w:tc>
        <w:tc>
          <w:tcPr>
            <w:tcW w:w="582" w:type="pct"/>
            <w:vAlign w:val="center"/>
          </w:tcPr>
          <w:p>
            <w:pPr>
              <w:spacing w:line="360" w:lineRule="exact"/>
              <w:rPr>
                <w:rFonts w:ascii="宋体" w:hAnsi="宋体"/>
              </w:rPr>
            </w:pPr>
            <w:r>
              <w:rPr>
                <w:rFonts w:hint="eastAsia" w:ascii="宋体" w:hAnsi="宋体"/>
              </w:rPr>
              <w:t>元</w:t>
            </w:r>
          </w:p>
        </w:tc>
      </w:tr>
    </w:tbl>
    <w:p>
      <w:pPr>
        <w:spacing w:before="100" w:line="312" w:lineRule="auto"/>
        <w:ind w:firstLine="420" w:firstLineChars="200"/>
        <w:rPr>
          <w:rFonts w:ascii="宋体" w:hAnsi="宋体"/>
          <w:b/>
        </w:rPr>
      </w:pPr>
      <w:r>
        <w:rPr>
          <w:rFonts w:hint="eastAsia" w:ascii="宋体" w:hAnsi="宋体"/>
          <w:b/>
        </w:rPr>
        <w:t>最终实际支付金额根据中标价计算。</w:t>
      </w:r>
    </w:p>
    <w:p>
      <w:pPr>
        <w:spacing w:before="100" w:line="312" w:lineRule="auto"/>
        <w:ind w:firstLine="420" w:firstLineChars="200"/>
        <w:rPr>
          <w:rFonts w:ascii="宋体" w:hAnsi="宋体"/>
        </w:rPr>
      </w:pPr>
      <w:r>
        <w:rPr>
          <w:rFonts w:hint="eastAsia" w:ascii="宋体" w:hAnsi="宋体"/>
        </w:rPr>
        <w:t>10.8.3 招标代理费用支付单</w:t>
      </w:r>
    </w:p>
    <w:tbl>
      <w:tblPr>
        <w:tblStyle w:val="51"/>
        <w:tblW w:w="5000" w:type="pct"/>
        <w:jc w:val="center"/>
        <w:tblLayout w:type="autofit"/>
        <w:tblCellMar>
          <w:top w:w="0" w:type="dxa"/>
          <w:left w:w="108" w:type="dxa"/>
          <w:bottom w:w="0" w:type="dxa"/>
          <w:right w:w="108" w:type="dxa"/>
        </w:tblCellMar>
      </w:tblPr>
      <w:tblGrid>
        <w:gridCol w:w="9286"/>
      </w:tblGrid>
      <w:tr>
        <w:trPr>
          <w:trHeight w:val="538" w:hRule="atLeast"/>
          <w:jc w:val="center"/>
        </w:trPr>
        <w:tc>
          <w:tcPr>
            <w:tcW w:w="5000"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b/>
                <w:bCs/>
                <w:sz w:val="36"/>
                <w:szCs w:val="36"/>
              </w:rPr>
            </w:pPr>
            <w:r>
              <w:rPr>
                <w:rFonts w:hint="eastAsia" w:ascii="宋体" w:hAnsi="宋体" w:cs="宋体"/>
                <w:b/>
                <w:bCs/>
                <w:kern w:val="0"/>
                <w:sz w:val="36"/>
                <w:szCs w:val="36"/>
                <w:lang w:bidi="ar"/>
              </w:rPr>
              <w:t>招标代理费用支付单</w:t>
            </w:r>
          </w:p>
        </w:tc>
      </w:tr>
      <w:tr>
        <w:trPr>
          <w:trHeight w:val="241" w:hRule="atLeast"/>
          <w:jc w:val="center"/>
        </w:trPr>
        <w:tc>
          <w:tcPr>
            <w:tcW w:w="5000" w:type="pct"/>
            <w:tcBorders>
              <w:top w:val="nil"/>
              <w:left w:val="single" w:color="000000" w:sz="4" w:space="0"/>
              <w:bottom w:val="single" w:color="000000" w:sz="4" w:space="0"/>
              <w:right w:val="single" w:color="000000" w:sz="4" w:space="0"/>
            </w:tcBorders>
            <w:noWrap/>
            <w:vAlign w:val="center"/>
          </w:tcPr>
          <w:p>
            <w:pPr>
              <w:widowControl/>
              <w:jc w:val="right"/>
              <w:textAlignment w:val="center"/>
              <w:rPr>
                <w:rFonts w:ascii="宋体" w:hAnsi="宋体" w:cs="宋体"/>
                <w:sz w:val="24"/>
              </w:rPr>
            </w:pPr>
            <w:r>
              <w:rPr>
                <w:rFonts w:hint="eastAsia" w:ascii="宋体" w:hAnsi="宋体" w:cs="宋体"/>
                <w:kern w:val="0"/>
                <w:sz w:val="24"/>
                <w:lang w:bidi="ar"/>
              </w:rPr>
              <w:t xml:space="preserve">                                                日期：    年    月   日</w:t>
            </w:r>
          </w:p>
        </w:tc>
      </w:tr>
      <w:tr>
        <w:trPr>
          <w:trHeight w:val="465" w:hRule="atLeast"/>
          <w:jc w:val="center"/>
        </w:trPr>
        <w:tc>
          <w:tcPr>
            <w:tcW w:w="5000"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b/>
                <w:bCs/>
                <w:sz w:val="24"/>
              </w:rPr>
            </w:pPr>
            <w:r>
              <w:rPr>
                <w:rFonts w:hint="eastAsia" w:ascii="宋体" w:hAnsi="宋体" w:cs="宋体"/>
                <w:b/>
                <w:bCs/>
                <w:kern w:val="0"/>
                <w:sz w:val="24"/>
                <w:lang w:bidi="ar"/>
              </w:rPr>
              <w:t>项目名称：</w:t>
            </w:r>
          </w:p>
        </w:tc>
      </w:tr>
      <w:tr>
        <w:trPr>
          <w:trHeight w:val="530" w:hRule="atLeast"/>
          <w:jc w:val="center"/>
        </w:trPr>
        <w:tc>
          <w:tcPr>
            <w:tcW w:w="5000"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sz w:val="24"/>
              </w:rPr>
            </w:pPr>
            <w:r>
              <w:rPr>
                <w:rFonts w:hint="eastAsia" w:ascii="宋体" w:hAnsi="宋体" w:cs="宋体"/>
                <w:b/>
                <w:bCs/>
                <w:kern w:val="0"/>
                <w:sz w:val="24"/>
                <w:lang w:bidi="ar"/>
              </w:rPr>
              <w:t>项目编号：</w:t>
            </w:r>
          </w:p>
        </w:tc>
      </w:tr>
      <w:tr>
        <w:trPr>
          <w:trHeight w:val="443" w:hRule="atLeast"/>
          <w:jc w:val="center"/>
        </w:trPr>
        <w:tc>
          <w:tcPr>
            <w:tcW w:w="5000"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b/>
                <w:bCs/>
                <w:sz w:val="24"/>
              </w:rPr>
            </w:pPr>
            <w:r>
              <w:rPr>
                <w:rFonts w:hint="eastAsia" w:ascii="宋体" w:hAnsi="宋体" w:cs="宋体"/>
                <w:b/>
                <w:bCs/>
                <w:sz w:val="24"/>
              </w:rPr>
              <w:t>招标人：</w:t>
            </w:r>
          </w:p>
        </w:tc>
      </w:tr>
      <w:tr>
        <w:trPr>
          <w:trHeight w:val="435" w:hRule="atLeast"/>
          <w:jc w:val="center"/>
        </w:trPr>
        <w:tc>
          <w:tcPr>
            <w:tcW w:w="5000"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b/>
                <w:bCs/>
                <w:kern w:val="0"/>
                <w:sz w:val="24"/>
                <w:lang w:bidi="ar"/>
              </w:rPr>
              <w:t>招标代理：</w:t>
            </w:r>
          </w:p>
        </w:tc>
      </w:tr>
      <w:tr>
        <w:trPr>
          <w:trHeight w:val="543" w:hRule="atLeast"/>
          <w:jc w:val="center"/>
        </w:trPr>
        <w:tc>
          <w:tcPr>
            <w:tcW w:w="5000"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b/>
                <w:bCs/>
                <w:kern w:val="0"/>
                <w:sz w:val="24"/>
                <w:lang w:bidi="ar"/>
              </w:rPr>
            </w:pPr>
            <w:r>
              <w:rPr>
                <w:rFonts w:hint="eastAsia" w:ascii="宋体" w:hAnsi="宋体" w:cs="宋体"/>
                <w:b/>
                <w:bCs/>
                <w:kern w:val="0"/>
                <w:sz w:val="24"/>
                <w:lang w:bidi="ar"/>
              </w:rPr>
              <w:t>中标人：</w:t>
            </w:r>
          </w:p>
        </w:tc>
      </w:tr>
      <w:tr>
        <w:trPr>
          <w:trHeight w:val="524" w:hRule="atLeast"/>
          <w:jc w:val="center"/>
        </w:trPr>
        <w:tc>
          <w:tcPr>
            <w:tcW w:w="5000"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b/>
                <w:bCs/>
                <w:kern w:val="0"/>
                <w:sz w:val="24"/>
                <w:lang w:bidi="ar"/>
              </w:rPr>
            </w:pPr>
            <w:r>
              <w:rPr>
                <w:rFonts w:hint="eastAsia" w:ascii="宋体" w:hAnsi="宋体" w:cs="宋体"/>
                <w:b/>
                <w:bCs/>
                <w:kern w:val="0"/>
                <w:sz w:val="24"/>
                <w:lang w:bidi="ar"/>
              </w:rPr>
              <w:t>中标价：</w:t>
            </w:r>
          </w:p>
        </w:tc>
      </w:tr>
      <w:tr>
        <w:trPr>
          <w:trHeight w:val="570" w:hRule="atLeast"/>
          <w:jc w:val="center"/>
        </w:trPr>
        <w:tc>
          <w:tcPr>
            <w:tcW w:w="5000"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sz w:val="28"/>
                <w:szCs w:val="28"/>
              </w:rPr>
            </w:pPr>
            <w:r>
              <w:rPr>
                <w:rFonts w:hint="eastAsia" w:ascii="宋体" w:hAnsi="宋体" w:cs="宋体"/>
                <w:b/>
                <w:bCs/>
                <w:kern w:val="0"/>
                <w:sz w:val="28"/>
                <w:szCs w:val="28"/>
                <w:lang w:bidi="ar"/>
              </w:rPr>
              <w:t>招标代理费用计算式</w:t>
            </w:r>
          </w:p>
        </w:tc>
      </w:tr>
      <w:tr>
        <w:trPr>
          <w:trHeight w:val="1244" w:hRule="atLeast"/>
          <w:jc w:val="center"/>
        </w:trPr>
        <w:tc>
          <w:tcPr>
            <w:tcW w:w="5000"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b/>
                <w:bCs/>
                <w:kern w:val="0"/>
                <w:sz w:val="28"/>
                <w:szCs w:val="28"/>
                <w:lang w:bidi="ar"/>
              </w:rPr>
            </w:pPr>
          </w:p>
          <w:p>
            <w:pPr>
              <w:pStyle w:val="50"/>
              <w:ind w:left="0" w:leftChars="0" w:firstLine="0" w:firstLineChars="0"/>
              <w:rPr>
                <w:rFonts w:eastAsia="宋体"/>
                <w:lang w:bidi="ar"/>
              </w:rPr>
            </w:pPr>
          </w:p>
          <w:p>
            <w:pPr>
              <w:pStyle w:val="50"/>
              <w:ind w:left="0" w:leftChars="0" w:firstLine="0" w:firstLineChars="0"/>
              <w:rPr>
                <w:rFonts w:eastAsia="宋体"/>
                <w:lang w:bidi="ar"/>
              </w:rPr>
            </w:pPr>
          </w:p>
          <w:p>
            <w:pPr>
              <w:pStyle w:val="50"/>
              <w:ind w:left="0" w:leftChars="0" w:firstLine="0" w:firstLineChars="0"/>
              <w:rPr>
                <w:rFonts w:eastAsia="宋体"/>
                <w:lang w:bidi="ar"/>
              </w:rPr>
            </w:pPr>
            <w:r>
              <w:rPr>
                <w:rFonts w:hint="eastAsia" w:ascii="宋体" w:hAnsi="宋体" w:eastAsia="宋体" w:cs="宋体"/>
                <w:sz w:val="20"/>
                <w:szCs w:val="20"/>
                <w:lang w:bidi="ar"/>
              </w:rPr>
              <w:t>注：根据</w:t>
            </w:r>
            <w:r>
              <w:rPr>
                <w:rFonts w:hint="eastAsia" w:ascii="宋体" w:hAnsi="宋体" w:cs="宋体"/>
                <w:sz w:val="20"/>
                <w:szCs w:val="20"/>
                <w:lang w:bidi="ar"/>
              </w:rPr>
              <w:t>招标文件及招标代理合同</w:t>
            </w:r>
            <w:r>
              <w:rPr>
                <w:rFonts w:hint="eastAsia" w:ascii="宋体" w:hAnsi="宋体" w:eastAsia="宋体" w:cs="宋体"/>
                <w:sz w:val="20"/>
                <w:szCs w:val="20"/>
                <w:lang w:bidi="ar"/>
              </w:rPr>
              <w:t>约定，本项目按</w:t>
            </w:r>
            <w:r>
              <w:rPr>
                <w:rFonts w:hint="eastAsia" w:ascii="宋体" w:hAnsi="宋体" w:eastAsia="宋体" w:cs="宋体"/>
                <w:b/>
                <w:bCs/>
                <w:sz w:val="20"/>
                <w:szCs w:val="20"/>
                <w:lang w:bidi="ar"/>
              </w:rPr>
              <w:t>服务</w:t>
            </w:r>
            <w:r>
              <w:rPr>
                <w:rFonts w:hint="eastAsia" w:ascii="宋体" w:hAnsi="宋体" w:eastAsia="宋体" w:cs="宋体"/>
                <w:sz w:val="20"/>
                <w:szCs w:val="20"/>
                <w:lang w:bidi="ar"/>
              </w:rPr>
              <w:t>招标类型取费率计算,由中标人付费。</w:t>
            </w:r>
          </w:p>
        </w:tc>
      </w:tr>
      <w:tr>
        <w:trPr>
          <w:trHeight w:val="515" w:hRule="atLeast"/>
          <w:jc w:val="center"/>
        </w:trPr>
        <w:tc>
          <w:tcPr>
            <w:tcW w:w="5000"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sz w:val="24"/>
              </w:rPr>
            </w:pPr>
            <w:r>
              <w:rPr>
                <w:rFonts w:hint="eastAsia" w:ascii="宋体" w:hAnsi="宋体" w:cs="宋体"/>
                <w:kern w:val="0"/>
                <w:sz w:val="24"/>
                <w:lang w:bidi="ar"/>
              </w:rPr>
              <w:t>应收招标代理费用为</w:t>
            </w:r>
            <w:r>
              <w:rPr>
                <w:rFonts w:hint="eastAsia" w:ascii="宋体" w:hAnsi="宋体" w:cs="宋体"/>
                <w:b/>
                <w:bCs/>
                <w:kern w:val="0"/>
                <w:sz w:val="24"/>
                <w:lang w:bidi="ar"/>
              </w:rPr>
              <w:t>：</w:t>
            </w:r>
            <w:r>
              <w:rPr>
                <w:rFonts w:hint="eastAsia" w:ascii="宋体" w:hAnsi="宋体" w:cs="宋体"/>
                <w:kern w:val="0"/>
                <w:sz w:val="24"/>
                <w:lang w:bidi="ar"/>
              </w:rPr>
              <w:t xml:space="preserve">人民币      </w:t>
            </w:r>
            <w:r>
              <w:rPr>
                <w:rFonts w:hint="eastAsia" w:ascii="宋体" w:hAnsi="宋体" w:cs="宋体"/>
                <w:b/>
                <w:bCs/>
                <w:kern w:val="0"/>
                <w:sz w:val="24"/>
                <w:lang w:bidi="ar"/>
              </w:rPr>
              <w:t>（¥    ）</w:t>
            </w:r>
          </w:p>
        </w:tc>
      </w:tr>
      <w:tr>
        <w:trPr>
          <w:trHeight w:val="1418" w:hRule="atLeast"/>
          <w:jc w:val="center"/>
        </w:trPr>
        <w:tc>
          <w:tcPr>
            <w:tcW w:w="5000"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kern w:val="0"/>
                <w:sz w:val="24"/>
                <w:lang w:bidi="ar"/>
              </w:rPr>
            </w:pPr>
            <w:r>
              <w:rPr>
                <w:rFonts w:hint="eastAsia" w:ascii="宋体" w:hAnsi="宋体" w:cs="宋体"/>
                <w:kern w:val="0"/>
                <w:sz w:val="24"/>
                <w:lang w:bidi="ar"/>
              </w:rPr>
              <w:t>招标代理收款账户信息</w:t>
            </w:r>
          </w:p>
          <w:p>
            <w:pPr>
              <w:widowControl/>
              <w:jc w:val="left"/>
              <w:textAlignment w:val="center"/>
              <w:rPr>
                <w:rFonts w:ascii="宋体" w:hAnsi="宋体" w:cs="宋体"/>
                <w:kern w:val="0"/>
                <w:sz w:val="24"/>
                <w:lang w:bidi="ar"/>
              </w:rPr>
            </w:pPr>
            <w:r>
              <w:rPr>
                <w:rFonts w:hint="eastAsia" w:ascii="宋体" w:hAnsi="宋体" w:cs="宋体"/>
                <w:kern w:val="0"/>
                <w:sz w:val="24"/>
                <w:lang w:bidi="ar"/>
              </w:rPr>
              <w:t>户  名：广西城通工程咨询有限责任公司</w:t>
            </w:r>
          </w:p>
          <w:p>
            <w:pPr>
              <w:widowControl/>
              <w:jc w:val="left"/>
              <w:textAlignment w:val="center"/>
              <w:rPr>
                <w:rFonts w:ascii="宋体" w:hAnsi="宋体" w:cs="宋体"/>
                <w:sz w:val="24"/>
              </w:rPr>
            </w:pPr>
            <w:r>
              <w:rPr>
                <w:rFonts w:hint="eastAsia" w:ascii="宋体" w:hAnsi="宋体" w:cs="宋体"/>
                <w:kern w:val="0"/>
                <w:sz w:val="24"/>
                <w:lang w:bidi="ar"/>
              </w:rPr>
              <w:t>开户行：               账  号：</w:t>
            </w:r>
          </w:p>
        </w:tc>
      </w:tr>
      <w:tr>
        <w:trPr>
          <w:trHeight w:val="578" w:hRule="atLeast"/>
          <w:jc w:val="center"/>
        </w:trPr>
        <w:tc>
          <w:tcPr>
            <w:tcW w:w="5000" w:type="pct"/>
            <w:tcBorders>
              <w:top w:val="nil"/>
              <w:left w:val="nil"/>
              <w:bottom w:val="nil"/>
              <w:right w:val="nil"/>
            </w:tcBorders>
            <w:noWrap/>
            <w:vAlign w:val="center"/>
          </w:tcPr>
          <w:p>
            <w:pPr>
              <w:rPr>
                <w:rFonts w:ascii="宋体" w:hAnsi="宋体" w:cs="宋体"/>
                <w:sz w:val="24"/>
              </w:rPr>
            </w:pPr>
          </w:p>
        </w:tc>
      </w:tr>
    </w:tbl>
    <w:p>
      <w:pPr>
        <w:pStyle w:val="50"/>
        <w:ind w:left="0" w:leftChars="0" w:firstLine="0" w:firstLineChars="0"/>
        <w:rPr>
          <w:rFonts w:ascii="宋体" w:hAnsi="宋体"/>
          <w:sz w:val="21"/>
          <w:szCs w:val="21"/>
        </w:rPr>
        <w:sectPr>
          <w:footerReference r:id="rId7" w:type="default"/>
          <w:pgSz w:w="11906" w:h="16838"/>
          <w:pgMar w:top="1418" w:right="1418" w:bottom="1418" w:left="1418" w:header="851" w:footer="992" w:gutter="0"/>
          <w:cols w:space="720" w:num="1"/>
          <w:docGrid w:linePitch="312" w:charSpace="0"/>
        </w:sectPr>
      </w:pPr>
    </w:p>
    <w:p>
      <w:pPr>
        <w:spacing w:line="312" w:lineRule="auto"/>
        <w:jc w:val="center"/>
        <w:outlineLvl w:val="0"/>
        <w:rPr>
          <w:rFonts w:eastAsia="黑体"/>
          <w:b/>
          <w:bCs/>
          <w:kern w:val="0"/>
          <w:sz w:val="32"/>
          <w:szCs w:val="32"/>
        </w:rPr>
      </w:pPr>
      <w:bookmarkStart w:id="299" w:name="_Toc23896"/>
      <w:bookmarkStart w:id="300" w:name="_Toc32464"/>
      <w:bookmarkStart w:id="301" w:name="_Toc19332"/>
      <w:bookmarkStart w:id="302" w:name="_Toc5019"/>
      <w:bookmarkStart w:id="303" w:name="_Toc180507109"/>
      <w:bookmarkStart w:id="304" w:name="_Toc530736580"/>
      <w:bookmarkStart w:id="305" w:name="_Toc19597"/>
      <w:bookmarkStart w:id="306" w:name="_Toc17427"/>
      <w:bookmarkStart w:id="307" w:name="_Toc10226"/>
      <w:bookmarkStart w:id="308" w:name="_Toc228096765"/>
      <w:bookmarkStart w:id="309" w:name="_Toc234121105"/>
      <w:bookmarkStart w:id="310" w:name="_Toc18189"/>
      <w:r>
        <w:rPr>
          <w:rFonts w:hint="eastAsia" w:eastAsia="黑体"/>
          <w:b/>
          <w:bCs/>
          <w:kern w:val="0"/>
          <w:sz w:val="32"/>
          <w:szCs w:val="32"/>
        </w:rPr>
        <w:t>第三章</w:t>
      </w:r>
      <w:r>
        <w:rPr>
          <w:rFonts w:eastAsia="黑体"/>
          <w:b/>
          <w:bCs/>
          <w:kern w:val="0"/>
          <w:sz w:val="32"/>
          <w:szCs w:val="32"/>
        </w:rPr>
        <w:t xml:space="preserve">  </w:t>
      </w:r>
      <w:r>
        <w:rPr>
          <w:rFonts w:hint="eastAsia" w:eastAsia="黑体"/>
          <w:b/>
          <w:bCs/>
          <w:kern w:val="0"/>
          <w:sz w:val="32"/>
          <w:szCs w:val="32"/>
        </w:rPr>
        <w:t>评标办法及标准</w:t>
      </w:r>
      <w:bookmarkEnd w:id="299"/>
      <w:bookmarkEnd w:id="300"/>
      <w:bookmarkEnd w:id="301"/>
      <w:bookmarkEnd w:id="302"/>
      <w:bookmarkEnd w:id="303"/>
      <w:bookmarkEnd w:id="304"/>
      <w:bookmarkEnd w:id="305"/>
      <w:bookmarkEnd w:id="306"/>
      <w:bookmarkEnd w:id="307"/>
      <w:bookmarkEnd w:id="308"/>
      <w:bookmarkEnd w:id="309"/>
      <w:bookmarkEnd w:id="310"/>
    </w:p>
    <w:p>
      <w:pPr>
        <w:keepNext/>
        <w:keepLines/>
        <w:spacing w:before="240" w:beforeLines="100" w:line="360" w:lineRule="auto"/>
        <w:outlineLvl w:val="2"/>
        <w:rPr>
          <w:rFonts w:ascii="黑体" w:hAnsi="黑体" w:eastAsia="黑体"/>
          <w:b/>
          <w:bCs/>
          <w:sz w:val="24"/>
          <w:szCs w:val="21"/>
        </w:rPr>
      </w:pPr>
      <w:bookmarkStart w:id="311" w:name="_Toc407135171"/>
      <w:bookmarkStart w:id="312" w:name="_Toc29786925"/>
      <w:bookmarkStart w:id="313" w:name="_Toc389065241"/>
      <w:bookmarkStart w:id="314" w:name="_Toc4370"/>
      <w:bookmarkStart w:id="315" w:name="_Toc184635093"/>
      <w:bookmarkStart w:id="316" w:name="_Toc487632668"/>
      <w:bookmarkStart w:id="317" w:name="_Toc474847261"/>
      <w:bookmarkStart w:id="318" w:name="_Toc12983"/>
      <w:bookmarkStart w:id="319" w:name="_Toc463812922"/>
      <w:bookmarkStart w:id="320" w:name="_Toc273367559"/>
      <w:bookmarkStart w:id="321" w:name="_Toc273366967"/>
      <w:bookmarkStart w:id="322" w:name="_Toc208742891"/>
      <w:r>
        <w:rPr>
          <w:rFonts w:hint="eastAsia" w:ascii="黑体" w:hAnsi="黑体" w:eastAsia="黑体"/>
          <w:b/>
          <w:bCs/>
          <w:sz w:val="24"/>
          <w:szCs w:val="21"/>
        </w:rPr>
        <w:t>1 评标方法</w:t>
      </w:r>
      <w:bookmarkEnd w:id="311"/>
      <w:bookmarkEnd w:id="312"/>
      <w:bookmarkEnd w:id="313"/>
      <w:bookmarkEnd w:id="314"/>
      <w:bookmarkEnd w:id="315"/>
      <w:bookmarkEnd w:id="316"/>
    </w:p>
    <w:p>
      <w:pPr>
        <w:spacing w:line="360" w:lineRule="auto"/>
        <w:ind w:firstLine="420" w:firstLineChars="200"/>
        <w:rPr>
          <w:rFonts w:ascii="宋体" w:hAnsi="宋体"/>
          <w:kern w:val="0"/>
          <w:szCs w:val="21"/>
        </w:rPr>
      </w:pPr>
      <w:bookmarkStart w:id="323" w:name="_Hlk29787742"/>
      <w:r>
        <w:rPr>
          <w:rFonts w:hint="eastAsia" w:ascii="宋体" w:hAnsi="宋体" w:cs="宋体"/>
          <w:kern w:val="0"/>
          <w:szCs w:val="21"/>
        </w:rPr>
        <w:t>本次评标采用综合评估法</w:t>
      </w:r>
      <w:r>
        <w:rPr>
          <w:rFonts w:hint="eastAsia" w:ascii="宋体" w:hAnsi="宋体"/>
          <w:kern w:val="0"/>
          <w:szCs w:val="21"/>
        </w:rPr>
        <w:t>。满分1</w:t>
      </w:r>
      <w:r>
        <w:rPr>
          <w:rFonts w:ascii="宋体" w:hAnsi="宋体"/>
          <w:kern w:val="0"/>
          <w:szCs w:val="21"/>
        </w:rPr>
        <w:t>00</w:t>
      </w:r>
      <w:r>
        <w:rPr>
          <w:rFonts w:hint="eastAsia" w:ascii="宋体" w:hAnsi="宋体"/>
          <w:kern w:val="0"/>
          <w:szCs w:val="21"/>
        </w:rPr>
        <w:t>分</w:t>
      </w:r>
      <w:bookmarkEnd w:id="323"/>
      <w:r>
        <w:rPr>
          <w:rFonts w:hint="eastAsia" w:ascii="宋体" w:hAnsi="宋体"/>
          <w:kern w:val="0"/>
          <w:szCs w:val="21"/>
        </w:rPr>
        <w:t>，其中</w:t>
      </w:r>
      <w:r>
        <w:rPr>
          <w:rFonts w:hint="eastAsia" w:ascii="宋体" w:hAnsi="宋体"/>
          <w:b/>
          <w:kern w:val="0"/>
          <w:szCs w:val="21"/>
        </w:rPr>
        <w:t>资信得分25分，技术得分55分，价格得分20分。</w:t>
      </w:r>
    </w:p>
    <w:p>
      <w:pPr>
        <w:keepNext/>
        <w:keepLines/>
        <w:spacing w:before="240" w:beforeLines="100" w:line="360" w:lineRule="auto"/>
        <w:outlineLvl w:val="2"/>
        <w:rPr>
          <w:rFonts w:ascii="黑体" w:hAnsi="黑体" w:eastAsia="黑体"/>
          <w:b/>
          <w:bCs/>
          <w:sz w:val="24"/>
          <w:szCs w:val="21"/>
        </w:rPr>
      </w:pPr>
      <w:bookmarkStart w:id="324" w:name="_Toc29786926"/>
      <w:bookmarkStart w:id="325" w:name="_Toc18167"/>
      <w:bookmarkStart w:id="326" w:name="_Toc407135173"/>
      <w:bookmarkStart w:id="327" w:name="_Toc389065243"/>
      <w:bookmarkStart w:id="328" w:name="_Toc487632670"/>
      <w:r>
        <w:rPr>
          <w:rFonts w:hint="eastAsia" w:ascii="黑体" w:hAnsi="黑体" w:eastAsia="黑体"/>
          <w:b/>
          <w:bCs/>
          <w:sz w:val="24"/>
          <w:szCs w:val="21"/>
        </w:rPr>
        <w:t xml:space="preserve">2 </w:t>
      </w:r>
      <w:r>
        <w:rPr>
          <w:rFonts w:ascii="黑体" w:hAnsi="黑体" w:eastAsia="黑体"/>
          <w:b/>
          <w:bCs/>
          <w:sz w:val="24"/>
          <w:szCs w:val="21"/>
        </w:rPr>
        <w:t>评标依据</w:t>
      </w:r>
      <w:bookmarkEnd w:id="324"/>
      <w:bookmarkEnd w:id="325"/>
    </w:p>
    <w:p>
      <w:pPr>
        <w:numPr>
          <w:ilvl w:val="0"/>
          <w:numId w:val="1"/>
        </w:numPr>
        <w:tabs>
          <w:tab w:val="left" w:pos="851"/>
          <w:tab w:val="left" w:pos="1260"/>
          <w:tab w:val="left" w:pos="1620"/>
        </w:tabs>
        <w:adjustRightInd w:val="0"/>
        <w:spacing w:line="360" w:lineRule="auto"/>
        <w:ind w:left="0" w:firstLine="420" w:firstLineChars="200"/>
        <w:jc w:val="left"/>
        <w:textAlignment w:val="baseline"/>
        <w:rPr>
          <w:szCs w:val="21"/>
        </w:rPr>
      </w:pPr>
      <w:r>
        <w:rPr>
          <w:szCs w:val="21"/>
        </w:rPr>
        <w:t>本项目《招标文件》及补充文件；</w:t>
      </w:r>
    </w:p>
    <w:p>
      <w:pPr>
        <w:numPr>
          <w:ilvl w:val="0"/>
          <w:numId w:val="1"/>
        </w:numPr>
        <w:tabs>
          <w:tab w:val="left" w:pos="851"/>
          <w:tab w:val="left" w:pos="1260"/>
          <w:tab w:val="left" w:pos="1620"/>
        </w:tabs>
        <w:adjustRightInd w:val="0"/>
        <w:spacing w:line="360" w:lineRule="auto"/>
        <w:ind w:left="0" w:firstLine="420" w:firstLineChars="200"/>
        <w:jc w:val="left"/>
        <w:textAlignment w:val="baseline"/>
        <w:rPr>
          <w:szCs w:val="21"/>
        </w:rPr>
      </w:pPr>
      <w:r>
        <w:rPr>
          <w:szCs w:val="21"/>
        </w:rPr>
        <w:t>招投标法及相关法规；</w:t>
      </w:r>
    </w:p>
    <w:p>
      <w:pPr>
        <w:numPr>
          <w:ilvl w:val="0"/>
          <w:numId w:val="1"/>
        </w:numPr>
        <w:tabs>
          <w:tab w:val="left" w:pos="851"/>
          <w:tab w:val="left" w:pos="1260"/>
          <w:tab w:val="left" w:pos="1620"/>
        </w:tabs>
        <w:adjustRightInd w:val="0"/>
        <w:spacing w:line="360" w:lineRule="auto"/>
        <w:ind w:left="0" w:firstLine="420" w:firstLineChars="200"/>
        <w:jc w:val="left"/>
        <w:textAlignment w:val="baseline"/>
        <w:rPr>
          <w:szCs w:val="21"/>
        </w:rPr>
      </w:pPr>
      <w:r>
        <w:rPr>
          <w:kern w:val="0"/>
          <w:szCs w:val="21"/>
        </w:rPr>
        <w:t>有效的《投标文件》及澄清文件</w:t>
      </w:r>
      <w:r>
        <w:rPr>
          <w:rFonts w:hint="eastAsia"/>
          <w:kern w:val="0"/>
          <w:szCs w:val="21"/>
        </w:rPr>
        <w:t>。</w:t>
      </w:r>
      <w:bookmarkEnd w:id="326"/>
      <w:bookmarkEnd w:id="327"/>
      <w:bookmarkEnd w:id="328"/>
      <w:bookmarkStart w:id="329" w:name="_Toc389065245"/>
      <w:bookmarkStart w:id="330" w:name="_Toc184635095"/>
    </w:p>
    <w:p>
      <w:pPr>
        <w:keepNext/>
        <w:keepLines/>
        <w:spacing w:before="240" w:beforeLines="100" w:line="360" w:lineRule="auto"/>
        <w:outlineLvl w:val="2"/>
        <w:rPr>
          <w:rFonts w:ascii="黑体" w:hAnsi="黑体" w:eastAsia="黑体"/>
          <w:b/>
          <w:bCs/>
          <w:sz w:val="24"/>
          <w:szCs w:val="21"/>
        </w:rPr>
      </w:pPr>
      <w:bookmarkStart w:id="331" w:name="_Toc487632672"/>
      <w:bookmarkStart w:id="332" w:name="_Toc407135175"/>
      <w:bookmarkStart w:id="333" w:name="_Toc25640"/>
      <w:bookmarkStart w:id="334" w:name="_Toc29786927"/>
      <w:r>
        <w:rPr>
          <w:rFonts w:hint="eastAsia" w:ascii="黑体" w:hAnsi="黑体" w:eastAsia="黑体"/>
          <w:b/>
          <w:bCs/>
          <w:sz w:val="24"/>
          <w:szCs w:val="21"/>
        </w:rPr>
        <w:t>3 评标</w:t>
      </w:r>
      <w:bookmarkEnd w:id="329"/>
      <w:bookmarkEnd w:id="330"/>
      <w:bookmarkEnd w:id="331"/>
      <w:bookmarkEnd w:id="332"/>
      <w:r>
        <w:rPr>
          <w:rFonts w:hint="eastAsia" w:ascii="黑体" w:hAnsi="黑体" w:eastAsia="黑体"/>
          <w:b/>
          <w:bCs/>
          <w:sz w:val="24"/>
          <w:szCs w:val="21"/>
        </w:rPr>
        <w:t>组织</w:t>
      </w:r>
      <w:bookmarkEnd w:id="333"/>
      <w:bookmarkEnd w:id="334"/>
    </w:p>
    <w:p>
      <w:pPr>
        <w:snapToGrid w:val="0"/>
        <w:spacing w:line="360" w:lineRule="auto"/>
        <w:rPr>
          <w:rFonts w:ascii="宋体" w:hAnsi="宋体" w:cs="黑体"/>
          <w:kern w:val="0"/>
          <w:sz w:val="24"/>
          <w:szCs w:val="21"/>
        </w:rPr>
      </w:pPr>
      <w:r>
        <w:rPr>
          <w:rFonts w:ascii="宋体" w:hAnsi="宋体"/>
          <w:bCs/>
          <w:szCs w:val="21"/>
        </w:rPr>
        <w:t>3.1</w:t>
      </w:r>
      <w:r>
        <w:rPr>
          <w:rFonts w:hint="eastAsia" w:ascii="宋体" w:hAnsi="宋体"/>
          <w:bCs/>
          <w:szCs w:val="21"/>
        </w:rPr>
        <w:t>评标工作由招标人依法组建的评标委员会负责，评标委员会的组建详见第二章投标人须知第</w:t>
      </w:r>
      <w:r>
        <w:rPr>
          <w:rFonts w:ascii="宋体" w:hAnsi="宋体"/>
          <w:bCs/>
          <w:szCs w:val="21"/>
        </w:rPr>
        <w:t>6.1</w:t>
      </w:r>
      <w:r>
        <w:rPr>
          <w:rFonts w:hint="eastAsia" w:ascii="宋体" w:hAnsi="宋体"/>
          <w:bCs/>
          <w:szCs w:val="21"/>
        </w:rPr>
        <w:t>款的规定。</w:t>
      </w:r>
    </w:p>
    <w:p>
      <w:pPr>
        <w:snapToGrid w:val="0"/>
        <w:spacing w:line="360" w:lineRule="auto"/>
        <w:rPr>
          <w:rFonts w:ascii="宋体" w:hAnsi="宋体"/>
          <w:bCs/>
          <w:szCs w:val="21"/>
        </w:rPr>
      </w:pPr>
      <w:r>
        <w:rPr>
          <w:rFonts w:hint="eastAsia" w:ascii="宋体" w:hAnsi="宋体"/>
          <w:bCs/>
          <w:szCs w:val="21"/>
        </w:rPr>
        <w:t>3</w:t>
      </w:r>
      <w:r>
        <w:rPr>
          <w:rFonts w:ascii="宋体" w:hAnsi="宋体"/>
          <w:bCs/>
          <w:szCs w:val="21"/>
        </w:rPr>
        <w:t>.2评标程序和内容</w:t>
      </w:r>
      <w:r>
        <w:rPr>
          <w:rFonts w:hint="eastAsia" w:ascii="宋体" w:hAnsi="宋体"/>
          <w:bCs/>
          <w:szCs w:val="21"/>
        </w:rPr>
        <w:t>包括：</w:t>
      </w:r>
    </w:p>
    <w:p>
      <w:pPr>
        <w:snapToGrid w:val="0"/>
        <w:spacing w:line="360" w:lineRule="auto"/>
        <w:ind w:firstLine="420" w:firstLineChars="200"/>
        <w:rPr>
          <w:rFonts w:ascii="宋体" w:hAnsi="宋体"/>
          <w:bCs/>
          <w:szCs w:val="21"/>
        </w:rPr>
      </w:pPr>
      <w:r>
        <w:rPr>
          <w:rFonts w:ascii="宋体" w:hAnsi="宋体"/>
          <w:bCs/>
          <w:szCs w:val="21"/>
        </w:rPr>
        <w:t>（1）</w:t>
      </w:r>
      <w:r>
        <w:rPr>
          <w:rFonts w:hint="eastAsia" w:ascii="宋体" w:hAnsi="宋体"/>
          <w:bCs/>
          <w:szCs w:val="21"/>
        </w:rPr>
        <w:t>评标委员会成员熟悉招标文件和评标办法；</w:t>
      </w:r>
    </w:p>
    <w:p>
      <w:pPr>
        <w:snapToGrid w:val="0"/>
        <w:spacing w:line="360" w:lineRule="auto"/>
        <w:ind w:firstLine="420" w:firstLineChars="200"/>
        <w:rPr>
          <w:rFonts w:ascii="宋体" w:hAnsi="宋体"/>
          <w:bCs/>
          <w:szCs w:val="21"/>
        </w:rPr>
      </w:pPr>
      <w:r>
        <w:rPr>
          <w:rFonts w:hint="eastAsia" w:ascii="宋体" w:hAnsi="宋体"/>
          <w:bCs/>
          <w:szCs w:val="21"/>
        </w:rPr>
        <w:t>（</w:t>
      </w:r>
      <w:r>
        <w:rPr>
          <w:rFonts w:ascii="宋体" w:hAnsi="宋体"/>
          <w:bCs/>
          <w:szCs w:val="21"/>
        </w:rPr>
        <w:t>2</w:t>
      </w:r>
      <w:r>
        <w:rPr>
          <w:rFonts w:hint="eastAsia" w:ascii="宋体" w:hAnsi="宋体"/>
          <w:bCs/>
          <w:szCs w:val="21"/>
        </w:rPr>
        <w:t>）全体评标委员会成员对投标文件的资格审查文件进行资格审查；</w:t>
      </w:r>
    </w:p>
    <w:p>
      <w:pPr>
        <w:snapToGrid w:val="0"/>
        <w:spacing w:line="360" w:lineRule="auto"/>
        <w:ind w:firstLine="420" w:firstLineChars="200"/>
        <w:rPr>
          <w:rFonts w:ascii="宋体" w:hAnsi="宋体"/>
          <w:bCs/>
          <w:szCs w:val="21"/>
        </w:rPr>
      </w:pPr>
      <w:r>
        <w:rPr>
          <w:rFonts w:hint="eastAsia" w:ascii="宋体" w:hAnsi="宋体"/>
          <w:bCs/>
          <w:szCs w:val="21"/>
        </w:rPr>
        <w:t>（</w:t>
      </w:r>
      <w:r>
        <w:rPr>
          <w:rFonts w:ascii="宋体" w:hAnsi="宋体"/>
          <w:bCs/>
          <w:szCs w:val="21"/>
        </w:rPr>
        <w:t>3</w:t>
      </w:r>
      <w:r>
        <w:rPr>
          <w:rFonts w:hint="eastAsia" w:ascii="宋体" w:hAnsi="宋体"/>
          <w:bCs/>
          <w:szCs w:val="21"/>
        </w:rPr>
        <w:t>）按专家专业类别分为经济评审组和技术评审组；</w:t>
      </w:r>
    </w:p>
    <w:p>
      <w:pPr>
        <w:snapToGrid w:val="0"/>
        <w:spacing w:line="360" w:lineRule="auto"/>
        <w:ind w:firstLine="420" w:firstLineChars="200"/>
        <w:rPr>
          <w:rFonts w:ascii="宋体" w:hAnsi="宋体"/>
          <w:bCs/>
          <w:szCs w:val="21"/>
        </w:rPr>
      </w:pPr>
      <w:r>
        <w:rPr>
          <w:rFonts w:hint="eastAsia" w:ascii="宋体" w:hAnsi="宋体"/>
          <w:bCs/>
          <w:szCs w:val="21"/>
        </w:rPr>
        <w:t>（</w:t>
      </w:r>
      <w:r>
        <w:rPr>
          <w:rFonts w:ascii="宋体" w:hAnsi="宋体"/>
          <w:bCs/>
          <w:szCs w:val="21"/>
        </w:rPr>
        <w:t>4</w:t>
      </w:r>
      <w:r>
        <w:rPr>
          <w:rFonts w:hint="eastAsia" w:ascii="宋体" w:hAnsi="宋体"/>
          <w:bCs/>
          <w:szCs w:val="21"/>
        </w:rPr>
        <w:t>）评标委员会成员对通过资格审查的投标文件进行初步评审；</w:t>
      </w:r>
    </w:p>
    <w:p>
      <w:pPr>
        <w:snapToGrid w:val="0"/>
        <w:spacing w:line="360" w:lineRule="auto"/>
        <w:ind w:firstLine="420" w:firstLineChars="200"/>
        <w:rPr>
          <w:rFonts w:ascii="宋体" w:hAnsi="宋体"/>
          <w:szCs w:val="21"/>
        </w:rPr>
      </w:pPr>
      <w:r>
        <w:rPr>
          <w:rFonts w:hint="eastAsia" w:ascii="宋体" w:hAnsi="宋体"/>
          <w:bCs/>
          <w:szCs w:val="21"/>
        </w:rPr>
        <w:t>（</w:t>
      </w:r>
      <w:r>
        <w:rPr>
          <w:rFonts w:ascii="宋体" w:hAnsi="宋体"/>
          <w:bCs/>
          <w:szCs w:val="21"/>
        </w:rPr>
        <w:t>5</w:t>
      </w:r>
      <w:r>
        <w:rPr>
          <w:rFonts w:hint="eastAsia" w:ascii="宋体" w:hAnsi="宋体"/>
          <w:bCs/>
          <w:szCs w:val="21"/>
        </w:rPr>
        <w:t>）</w:t>
      </w:r>
      <w:r>
        <w:rPr>
          <w:rFonts w:hint="eastAsia" w:ascii="宋体" w:hAnsi="宋体"/>
          <w:szCs w:val="21"/>
        </w:rPr>
        <w:t>技术评审组对</w:t>
      </w:r>
      <w:r>
        <w:rPr>
          <w:rFonts w:hint="eastAsia" w:ascii="宋体" w:hAnsi="宋体"/>
          <w:bCs/>
          <w:szCs w:val="21"/>
        </w:rPr>
        <w:t>投标文件的资信文件和技术文件进行评审并打分，</w:t>
      </w:r>
      <w:r>
        <w:rPr>
          <w:rFonts w:hint="eastAsia" w:ascii="宋体" w:hAnsi="宋体"/>
          <w:szCs w:val="21"/>
        </w:rPr>
        <w:t>经济评审组对</w:t>
      </w:r>
      <w:r>
        <w:rPr>
          <w:rFonts w:hint="eastAsia" w:ascii="宋体" w:hAnsi="宋体"/>
          <w:bCs/>
          <w:szCs w:val="21"/>
        </w:rPr>
        <w:t>投标文件的报价文件进行评审并打分；</w:t>
      </w:r>
    </w:p>
    <w:p>
      <w:pPr>
        <w:snapToGrid w:val="0"/>
        <w:spacing w:line="360" w:lineRule="auto"/>
        <w:ind w:firstLine="420" w:firstLineChars="200"/>
        <w:rPr>
          <w:rFonts w:ascii="宋体" w:hAnsi="宋体"/>
          <w:szCs w:val="21"/>
        </w:rPr>
      </w:pPr>
      <w:r>
        <w:rPr>
          <w:rFonts w:hint="eastAsia" w:ascii="宋体" w:hAnsi="宋体"/>
          <w:bCs/>
          <w:szCs w:val="21"/>
        </w:rPr>
        <w:t>（</w:t>
      </w:r>
      <w:r>
        <w:rPr>
          <w:rFonts w:ascii="宋体" w:hAnsi="宋体"/>
          <w:bCs/>
          <w:szCs w:val="21"/>
        </w:rPr>
        <w:t>6</w:t>
      </w:r>
      <w:r>
        <w:rPr>
          <w:rFonts w:hint="eastAsia" w:ascii="宋体" w:hAnsi="宋体"/>
          <w:bCs/>
          <w:szCs w:val="21"/>
        </w:rPr>
        <w:t>）计算各投标人综合评分，并按照综合得分由高到低排序；</w:t>
      </w:r>
    </w:p>
    <w:p>
      <w:pPr>
        <w:snapToGrid w:val="0"/>
        <w:spacing w:line="360" w:lineRule="auto"/>
        <w:ind w:firstLine="420" w:firstLineChars="200"/>
        <w:rPr>
          <w:rFonts w:ascii="宋体" w:hAnsi="宋体"/>
          <w:kern w:val="0"/>
          <w:sz w:val="24"/>
          <w:szCs w:val="21"/>
        </w:rPr>
      </w:pPr>
      <w:r>
        <w:rPr>
          <w:rFonts w:hint="eastAsia" w:ascii="宋体" w:hAnsi="宋体"/>
          <w:bCs/>
          <w:szCs w:val="21"/>
        </w:rPr>
        <w:t>（</w:t>
      </w:r>
      <w:r>
        <w:rPr>
          <w:rFonts w:ascii="宋体" w:hAnsi="宋体"/>
          <w:bCs/>
          <w:szCs w:val="21"/>
        </w:rPr>
        <w:t>7</w:t>
      </w:r>
      <w:r>
        <w:rPr>
          <w:rFonts w:hint="eastAsia" w:ascii="宋体" w:hAnsi="宋体"/>
          <w:bCs/>
          <w:szCs w:val="21"/>
        </w:rPr>
        <w:t>）全体评标委员会完成评标报告，推荐中标候选人。</w:t>
      </w:r>
    </w:p>
    <w:p>
      <w:pPr>
        <w:keepNext/>
        <w:keepLines/>
        <w:spacing w:before="240" w:beforeLines="100" w:line="360" w:lineRule="auto"/>
        <w:outlineLvl w:val="2"/>
        <w:rPr>
          <w:rFonts w:ascii="黑体" w:hAnsi="黑体" w:eastAsia="黑体"/>
          <w:b/>
          <w:bCs/>
          <w:sz w:val="24"/>
          <w:szCs w:val="21"/>
        </w:rPr>
      </w:pPr>
      <w:bookmarkStart w:id="335" w:name="_Toc29786928"/>
      <w:bookmarkStart w:id="336" w:name="_Toc22498"/>
      <w:bookmarkStart w:id="337" w:name="_Toc389065246"/>
      <w:bookmarkStart w:id="338" w:name="_Toc487632673"/>
      <w:bookmarkStart w:id="339" w:name="_Toc407135176"/>
      <w:r>
        <w:rPr>
          <w:rFonts w:hint="eastAsia" w:ascii="黑体" w:hAnsi="黑体" w:eastAsia="黑体"/>
          <w:b/>
          <w:bCs/>
          <w:sz w:val="24"/>
          <w:szCs w:val="21"/>
        </w:rPr>
        <w:t>4 资格审查</w:t>
      </w:r>
      <w:bookmarkEnd w:id="335"/>
      <w:bookmarkEnd w:id="336"/>
    </w:p>
    <w:p>
      <w:pPr>
        <w:snapToGrid w:val="0"/>
        <w:spacing w:line="360" w:lineRule="auto"/>
        <w:rPr>
          <w:rFonts w:ascii="宋体" w:hAnsi="宋体"/>
          <w:bCs/>
          <w:szCs w:val="21"/>
        </w:rPr>
      </w:pPr>
      <w:r>
        <w:rPr>
          <w:rFonts w:hint="eastAsia" w:ascii="宋体" w:hAnsi="宋体"/>
          <w:bCs/>
          <w:szCs w:val="21"/>
        </w:rPr>
        <w:t>4</w:t>
      </w:r>
      <w:r>
        <w:rPr>
          <w:rFonts w:ascii="宋体" w:hAnsi="宋体"/>
          <w:bCs/>
          <w:szCs w:val="21"/>
        </w:rPr>
        <w:t>.1</w:t>
      </w:r>
      <w:r>
        <w:rPr>
          <w:rFonts w:hint="eastAsia" w:ascii="宋体" w:hAnsi="宋体"/>
          <w:bCs/>
          <w:szCs w:val="21"/>
        </w:rPr>
        <w:t>全体评标委员会审查投标人是否符合法律、法规、规章以及本招标文件对投标人</w:t>
      </w:r>
      <w:r>
        <w:rPr>
          <w:rFonts w:ascii="宋体" w:hAnsi="宋体"/>
          <w:bCs/>
          <w:szCs w:val="21"/>
        </w:rPr>
        <w:t>资质、业绩和其他强制性标准，是否处于正常的经营状况等情况。</w:t>
      </w:r>
    </w:p>
    <w:p>
      <w:pPr>
        <w:snapToGrid w:val="0"/>
        <w:spacing w:line="360" w:lineRule="auto"/>
        <w:rPr>
          <w:rFonts w:ascii="宋体" w:hAnsi="宋体"/>
          <w:bCs/>
          <w:szCs w:val="21"/>
        </w:rPr>
      </w:pPr>
      <w:r>
        <w:rPr>
          <w:rFonts w:ascii="宋体" w:hAnsi="宋体"/>
          <w:bCs/>
          <w:szCs w:val="21"/>
        </w:rPr>
        <w:t>4.2</w:t>
      </w:r>
      <w:r>
        <w:rPr>
          <w:rFonts w:hint="eastAsia" w:ascii="宋体" w:hAnsi="宋体"/>
          <w:bCs/>
          <w:szCs w:val="21"/>
        </w:rPr>
        <w:t>在本阶段不符合任何一项资格评审标准的投标人，均视为资格审查不合格，不得进入下一阶段的评审。</w:t>
      </w:r>
      <w:r>
        <w:rPr>
          <w:rFonts w:ascii="宋体" w:hAnsi="宋体"/>
          <w:bCs/>
          <w:szCs w:val="21"/>
        </w:rPr>
        <w:t>评审标准详见附表一《资格审查表》。</w:t>
      </w:r>
    </w:p>
    <w:p>
      <w:pPr>
        <w:snapToGrid w:val="0"/>
        <w:spacing w:line="360" w:lineRule="auto"/>
      </w:pPr>
      <w:r>
        <w:rPr>
          <w:rFonts w:hint="eastAsia" w:ascii="宋体" w:hAnsi="宋体"/>
          <w:bCs/>
          <w:szCs w:val="21"/>
        </w:rPr>
        <w:t>4.3当有效投标不足三个时，评标委员会认为剩余的投标文件不具有竞争性的，不进入初步评审阶段。</w:t>
      </w:r>
    </w:p>
    <w:p>
      <w:pPr>
        <w:keepNext/>
        <w:keepLines/>
        <w:spacing w:before="240" w:beforeLines="100" w:line="360" w:lineRule="auto"/>
        <w:outlineLvl w:val="2"/>
        <w:rPr>
          <w:rFonts w:ascii="黑体" w:hAnsi="黑体" w:eastAsia="黑体"/>
          <w:b/>
          <w:bCs/>
          <w:sz w:val="24"/>
          <w:szCs w:val="21"/>
        </w:rPr>
      </w:pPr>
      <w:bookmarkStart w:id="340" w:name="_Toc29786929"/>
      <w:bookmarkStart w:id="341" w:name="_Toc17152"/>
      <w:r>
        <w:rPr>
          <w:rFonts w:hint="eastAsia" w:ascii="黑体" w:hAnsi="黑体" w:eastAsia="黑体"/>
          <w:b/>
          <w:bCs/>
          <w:sz w:val="24"/>
          <w:szCs w:val="21"/>
        </w:rPr>
        <w:t>5 初步评审</w:t>
      </w:r>
      <w:bookmarkEnd w:id="337"/>
      <w:bookmarkEnd w:id="338"/>
      <w:bookmarkEnd w:id="339"/>
      <w:bookmarkEnd w:id="340"/>
      <w:bookmarkEnd w:id="341"/>
    </w:p>
    <w:p>
      <w:pPr>
        <w:tabs>
          <w:tab w:val="left" w:pos="851"/>
        </w:tabs>
        <w:spacing w:before="120" w:beforeLines="50" w:line="360" w:lineRule="auto"/>
        <w:rPr>
          <w:bCs/>
          <w:szCs w:val="21"/>
        </w:rPr>
      </w:pPr>
      <w:r>
        <w:rPr>
          <w:rFonts w:hint="eastAsia"/>
          <w:bCs/>
          <w:szCs w:val="21"/>
        </w:rPr>
        <w:t>5.1</w:t>
      </w:r>
      <w:r>
        <w:rPr>
          <w:bCs/>
          <w:szCs w:val="21"/>
        </w:rPr>
        <w:t>评标委员会将对投标文件的实质性内容进行初步评审，判定其内容是否真实、完整，是否满足招标文件要求并在实质性内容上予以响应</w:t>
      </w:r>
      <w:r>
        <w:rPr>
          <w:rFonts w:hint="eastAsia"/>
          <w:bCs/>
          <w:szCs w:val="21"/>
        </w:rPr>
        <w:t>；</w:t>
      </w:r>
    </w:p>
    <w:p>
      <w:pPr>
        <w:tabs>
          <w:tab w:val="left" w:pos="851"/>
        </w:tabs>
        <w:spacing w:before="120" w:beforeLines="50" w:line="360" w:lineRule="auto"/>
        <w:rPr>
          <w:bCs/>
          <w:szCs w:val="21"/>
        </w:rPr>
      </w:pPr>
      <w:r>
        <w:rPr>
          <w:rFonts w:hint="eastAsia"/>
          <w:bCs/>
          <w:szCs w:val="21"/>
        </w:rPr>
        <w:t>5.2</w:t>
      </w:r>
      <w:r>
        <w:rPr>
          <w:bCs/>
          <w:szCs w:val="21"/>
        </w:rPr>
        <w:t>如果投标文件实质性不响应招标文件的要求和条件的，评标委员会将判定为重大偏差并作否决投标处理，并且不允许投标人通过修正或</w:t>
      </w:r>
      <w:r>
        <w:rPr>
          <w:rFonts w:hint="eastAsia"/>
          <w:bCs/>
          <w:szCs w:val="21"/>
        </w:rPr>
        <w:t>撤销</w:t>
      </w:r>
      <w:r>
        <w:rPr>
          <w:bCs/>
          <w:szCs w:val="21"/>
        </w:rPr>
        <w:t>其不符要求的差异或保留，使之成为具有响应性的投标文件</w:t>
      </w:r>
      <w:r>
        <w:rPr>
          <w:rFonts w:hint="eastAsia"/>
          <w:bCs/>
          <w:szCs w:val="21"/>
        </w:rPr>
        <w:t>；</w:t>
      </w:r>
    </w:p>
    <w:p>
      <w:pPr>
        <w:tabs>
          <w:tab w:val="left" w:pos="851"/>
        </w:tabs>
        <w:spacing w:before="120" w:beforeLines="50" w:line="360" w:lineRule="auto"/>
        <w:rPr>
          <w:bCs/>
          <w:szCs w:val="21"/>
        </w:rPr>
      </w:pPr>
      <w:r>
        <w:rPr>
          <w:rFonts w:hint="eastAsia"/>
          <w:bCs/>
          <w:szCs w:val="21"/>
        </w:rPr>
        <w:t>5.3</w:t>
      </w:r>
      <w:r>
        <w:rPr>
          <w:bCs/>
          <w:szCs w:val="21"/>
        </w:rPr>
        <w:t>评标委员会根据招标文件的要求对投标人进行初步评审，未通过初步评审的投标人不得进入下一阶段的</w:t>
      </w:r>
      <w:r>
        <w:rPr>
          <w:rFonts w:hint="eastAsia"/>
          <w:bCs/>
          <w:szCs w:val="21"/>
        </w:rPr>
        <w:t>详细</w:t>
      </w:r>
      <w:r>
        <w:rPr>
          <w:bCs/>
          <w:szCs w:val="21"/>
        </w:rPr>
        <w:t>评审。评审标准详见附表二《初步评审表》。</w:t>
      </w:r>
    </w:p>
    <w:p>
      <w:pPr>
        <w:tabs>
          <w:tab w:val="left" w:pos="851"/>
        </w:tabs>
        <w:spacing w:before="120" w:beforeLines="50" w:line="360" w:lineRule="auto"/>
        <w:rPr>
          <w:bCs/>
          <w:szCs w:val="21"/>
        </w:rPr>
      </w:pPr>
      <w:r>
        <w:rPr>
          <w:rFonts w:hint="eastAsia" w:ascii="宋体" w:hAnsi="宋体" w:cs="宋体"/>
          <w:bCs/>
          <w:kern w:val="0"/>
          <w:szCs w:val="18"/>
        </w:rPr>
        <w:t>5.4投标文件有下列情形之一的，评标委员会应按否决投标处理：</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不符合附表一《资格审查表》规定的；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不符合附表二《初步评审表》规定的；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法定代表人未按规定出具授权委托书的</w:t>
      </w:r>
      <w:r>
        <w:rPr>
          <w:rFonts w:ascii="宋体" w:hAnsi="宋体"/>
          <w:kern w:val="0"/>
          <w:szCs w:val="18"/>
        </w:rPr>
        <w:t>(</w:t>
      </w:r>
      <w:r>
        <w:rPr>
          <w:rFonts w:hint="eastAsia" w:ascii="宋体" w:hAnsi="宋体"/>
          <w:kern w:val="0"/>
          <w:szCs w:val="18"/>
        </w:rPr>
        <w:t>采用委托代理人形式的</w:t>
      </w:r>
      <w:r>
        <w:rPr>
          <w:rFonts w:ascii="宋体" w:hAnsi="宋体"/>
          <w:kern w:val="0"/>
          <w:szCs w:val="18"/>
        </w:rPr>
        <w:t>)</w:t>
      </w:r>
      <w:r>
        <w:rPr>
          <w:rFonts w:hint="eastAsia" w:ascii="宋体" w:hAnsi="宋体"/>
          <w:kern w:val="0"/>
          <w:szCs w:val="18"/>
        </w:rPr>
        <w:t>；</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在投标文件中有虚假文件和</w:t>
      </w:r>
      <w:r>
        <w:rPr>
          <w:rFonts w:ascii="宋体" w:hAnsi="宋体"/>
          <w:kern w:val="0"/>
          <w:szCs w:val="18"/>
        </w:rPr>
        <w:t>/</w:t>
      </w:r>
      <w:r>
        <w:rPr>
          <w:rFonts w:hint="eastAsia" w:ascii="宋体" w:hAnsi="宋体"/>
          <w:kern w:val="0"/>
          <w:szCs w:val="18"/>
        </w:rPr>
        <w:t>或资料的；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投标文件中附有招标人不能接受的条件；</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投标人以经评标委员会评审认定为低于成本的报价竞标；</w:t>
      </w:r>
    </w:p>
    <w:p>
      <w:pPr>
        <w:numPr>
          <w:ilvl w:val="0"/>
          <w:numId w:val="2"/>
        </w:numPr>
        <w:spacing w:line="360" w:lineRule="auto"/>
        <w:ind w:firstLine="420"/>
        <w:jc w:val="left"/>
        <w:rPr>
          <w:rFonts w:ascii="宋体" w:hAnsi="宋体"/>
          <w:kern w:val="0"/>
          <w:szCs w:val="18"/>
        </w:rPr>
      </w:pPr>
      <w:r>
        <w:rPr>
          <w:rFonts w:hint="eastAsia" w:ascii="宋体" w:hAnsi="宋体"/>
          <w:kern w:val="0"/>
          <w:szCs w:val="18"/>
        </w:rPr>
        <w:t>开标会结束拒绝在开标记录上签字确认，且经核实无误后，仍拒绝签字确认的（选择邮寄方式递交投标文件且未参加开标会的投标人除外）；</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投标人扰乱会场秩序，经劝阻仍然无理取闹的；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投标人未能按照评标委员会要求，对其投标文件进行澄清、说明和补正的；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投标人以他人的名义投标、串通投标、以行贿手段谋取中标或者以其他弄虚作假方式投标的。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为本项目前期准备提供设计或咨询服务的，但设计施工总承包的除外；</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为本项目提供招标代理服务的；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与本项目的招标代理机构同为一个法定代表人的；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与本项目的招标代理机构相互控股或参股的；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与本项目的招标代理机构相互任职或工作的；</w:t>
      </w:r>
    </w:p>
    <w:p>
      <w:pPr>
        <w:numPr>
          <w:ilvl w:val="0"/>
          <w:numId w:val="2"/>
        </w:numPr>
        <w:spacing w:line="360" w:lineRule="auto"/>
        <w:ind w:firstLine="420" w:firstLineChars="200"/>
        <w:rPr>
          <w:rFonts w:ascii="宋体" w:hAnsi="宋体"/>
          <w:kern w:val="0"/>
          <w:szCs w:val="18"/>
        </w:rPr>
      </w:pPr>
      <w:r>
        <w:rPr>
          <w:rFonts w:hint="eastAsia" w:ascii="宋体" w:hAnsi="宋体"/>
          <w:kern w:val="0"/>
          <w:szCs w:val="18"/>
        </w:rPr>
        <w:t>招标文件、法律、法规规定的其他否决投标情况。</w:t>
      </w:r>
    </w:p>
    <w:p>
      <w:pPr>
        <w:spacing w:line="360" w:lineRule="auto"/>
        <w:rPr>
          <w:rFonts w:ascii="宋体" w:hAnsi="宋体"/>
          <w:kern w:val="0"/>
          <w:szCs w:val="21"/>
        </w:rPr>
      </w:pPr>
      <w:r>
        <w:rPr>
          <w:rFonts w:hint="eastAsia"/>
        </w:rPr>
        <w:t>5.5</w:t>
      </w:r>
      <w:r>
        <w:rPr>
          <w:rFonts w:hint="eastAsia" w:ascii="宋体" w:hAnsi="宋体"/>
          <w:kern w:val="0"/>
          <w:szCs w:val="21"/>
        </w:rPr>
        <w:t>当有效投标不足三个时，评标委员会认为剩余的投标文件不具有竞争性的，不进入详细评审阶段。</w:t>
      </w:r>
    </w:p>
    <w:p>
      <w:pPr>
        <w:keepNext/>
        <w:keepLines/>
        <w:spacing w:before="240" w:beforeLines="100" w:line="360" w:lineRule="auto"/>
        <w:outlineLvl w:val="2"/>
        <w:rPr>
          <w:rFonts w:ascii="黑体" w:hAnsi="黑体" w:eastAsia="黑体"/>
          <w:b/>
          <w:bCs/>
          <w:sz w:val="24"/>
          <w:szCs w:val="21"/>
        </w:rPr>
      </w:pPr>
      <w:bookmarkStart w:id="342" w:name="_Toc30259"/>
      <w:bookmarkStart w:id="343" w:name="_Toc29786930"/>
      <w:bookmarkStart w:id="344" w:name="_Toc389065247"/>
      <w:bookmarkStart w:id="345" w:name="_Toc487632674"/>
      <w:bookmarkStart w:id="346" w:name="_Toc407135177"/>
      <w:r>
        <w:rPr>
          <w:rFonts w:hint="eastAsia" w:ascii="黑体" w:hAnsi="黑体" w:eastAsia="黑体"/>
          <w:b/>
          <w:bCs/>
          <w:sz w:val="24"/>
          <w:szCs w:val="21"/>
        </w:rPr>
        <w:t>6 详细评审</w:t>
      </w:r>
      <w:bookmarkEnd w:id="342"/>
      <w:bookmarkEnd w:id="343"/>
    </w:p>
    <w:p>
      <w:pPr>
        <w:keepNext/>
        <w:keepLines/>
        <w:spacing w:line="360" w:lineRule="auto"/>
        <w:outlineLvl w:val="2"/>
        <w:rPr>
          <w:rFonts w:ascii="宋体" w:hAnsi="宋体"/>
          <w:b/>
          <w:bCs/>
          <w:szCs w:val="21"/>
        </w:rPr>
      </w:pPr>
      <w:bookmarkStart w:id="347" w:name="_Toc26783"/>
      <w:r>
        <w:rPr>
          <w:rFonts w:hint="eastAsia" w:ascii="宋体" w:hAnsi="宋体"/>
          <w:b/>
          <w:bCs/>
          <w:szCs w:val="21"/>
        </w:rPr>
        <w:t>6</w:t>
      </w:r>
      <w:r>
        <w:rPr>
          <w:rFonts w:ascii="宋体" w:hAnsi="宋体"/>
          <w:b/>
          <w:bCs/>
          <w:szCs w:val="21"/>
        </w:rPr>
        <w:t>.1</w:t>
      </w:r>
      <w:r>
        <w:rPr>
          <w:rFonts w:hint="eastAsia" w:ascii="宋体" w:hAnsi="宋体"/>
          <w:b/>
          <w:bCs/>
          <w:szCs w:val="21"/>
        </w:rPr>
        <w:t>资信、技术部分评审</w:t>
      </w:r>
      <w:bookmarkEnd w:id="347"/>
    </w:p>
    <w:p>
      <w:pPr>
        <w:tabs>
          <w:tab w:val="left" w:pos="851"/>
          <w:tab w:val="left" w:pos="1134"/>
        </w:tabs>
        <w:spacing w:line="360" w:lineRule="auto"/>
        <w:ind w:firstLine="420" w:firstLineChars="200"/>
        <w:rPr>
          <w:rFonts w:ascii="宋体" w:hAnsi="宋体"/>
          <w:kern w:val="0"/>
          <w:szCs w:val="21"/>
        </w:rPr>
      </w:pPr>
      <w:r>
        <w:rPr>
          <w:rFonts w:ascii="宋体" w:hAnsi="宋体"/>
          <w:kern w:val="0"/>
          <w:szCs w:val="21"/>
        </w:rPr>
        <w:t>6.1.1</w:t>
      </w:r>
      <w:r>
        <w:rPr>
          <w:rFonts w:hint="eastAsia" w:ascii="宋体" w:hAnsi="宋体"/>
          <w:kern w:val="0"/>
          <w:szCs w:val="21"/>
        </w:rPr>
        <w:t>评标委员会技术评审组对通过初步评审的投标文件的资信文件和技术文件进行详细评审。</w:t>
      </w:r>
    </w:p>
    <w:p>
      <w:pPr>
        <w:tabs>
          <w:tab w:val="left" w:pos="851"/>
          <w:tab w:val="left" w:pos="1134"/>
        </w:tabs>
        <w:spacing w:line="360" w:lineRule="auto"/>
        <w:ind w:firstLine="420" w:firstLineChars="200"/>
        <w:rPr>
          <w:rFonts w:ascii="宋体" w:hAnsi="宋体"/>
          <w:kern w:val="0"/>
          <w:szCs w:val="21"/>
        </w:rPr>
      </w:pPr>
      <w:r>
        <w:rPr>
          <w:rFonts w:ascii="宋体" w:hAnsi="宋体"/>
          <w:kern w:val="0"/>
          <w:szCs w:val="21"/>
        </w:rPr>
        <w:t>6.1.2</w:t>
      </w:r>
      <w:r>
        <w:rPr>
          <w:rFonts w:hint="eastAsia" w:ascii="宋体" w:hAnsi="宋体"/>
          <w:kern w:val="0"/>
          <w:szCs w:val="21"/>
        </w:rPr>
        <w:t>技术评审组按照附表三《资信文件评分表》规定的量化因素和分值，对各投标人资信部分评审，各项评审得分合计为投标人资信得分（得分出现小数的，保留小数点后二位，第三位小数四舍五入）。</w:t>
      </w:r>
    </w:p>
    <w:p>
      <w:pPr>
        <w:tabs>
          <w:tab w:val="left" w:pos="851"/>
          <w:tab w:val="left" w:pos="1134"/>
        </w:tabs>
        <w:spacing w:line="360" w:lineRule="auto"/>
        <w:ind w:firstLine="420" w:firstLineChars="200"/>
        <w:rPr>
          <w:rFonts w:ascii="宋体" w:hAnsi="宋体"/>
          <w:kern w:val="0"/>
          <w:szCs w:val="21"/>
        </w:rPr>
      </w:pPr>
      <w:r>
        <w:rPr>
          <w:rFonts w:ascii="宋体" w:hAnsi="宋体"/>
          <w:kern w:val="0"/>
          <w:szCs w:val="21"/>
        </w:rPr>
        <w:t>6.1.3</w:t>
      </w:r>
      <w:r>
        <w:rPr>
          <w:rFonts w:hint="eastAsia" w:ascii="宋体" w:hAnsi="宋体"/>
          <w:kern w:val="0"/>
          <w:szCs w:val="21"/>
        </w:rPr>
        <w:t>技术评审组按照附表四《技术文件评分表》规定的量化因素和分值，对各投标人技术部分评审。各评委对投标人的各评分项评分累加后得出各评委的总得分。投标人技术得分取所有评委总得分的算术平均值（得分出现小数的，保留小数点后二位，第三位小数四舍五入）。</w:t>
      </w:r>
    </w:p>
    <w:p>
      <w:pPr>
        <w:keepNext/>
        <w:keepLines/>
        <w:spacing w:line="360" w:lineRule="auto"/>
        <w:outlineLvl w:val="2"/>
        <w:rPr>
          <w:rFonts w:ascii="宋体" w:hAnsi="宋体"/>
          <w:b/>
          <w:bCs/>
          <w:szCs w:val="21"/>
        </w:rPr>
      </w:pPr>
      <w:bookmarkStart w:id="348" w:name="_Toc28737"/>
      <w:r>
        <w:rPr>
          <w:rFonts w:ascii="宋体" w:hAnsi="宋体"/>
          <w:b/>
          <w:bCs/>
          <w:szCs w:val="21"/>
        </w:rPr>
        <w:t>6.2</w:t>
      </w:r>
      <w:r>
        <w:rPr>
          <w:rFonts w:hint="eastAsia" w:ascii="宋体" w:hAnsi="宋体"/>
          <w:b/>
          <w:bCs/>
          <w:szCs w:val="21"/>
        </w:rPr>
        <w:t>报价部分评审</w:t>
      </w:r>
      <w:bookmarkEnd w:id="348"/>
    </w:p>
    <w:p>
      <w:pPr>
        <w:spacing w:line="360" w:lineRule="auto"/>
        <w:ind w:firstLine="420" w:firstLineChars="200"/>
        <w:rPr>
          <w:rFonts w:ascii="宋体" w:hAnsi="宋体" w:cs="宋体"/>
          <w:kern w:val="0"/>
          <w:szCs w:val="21"/>
        </w:rPr>
      </w:pPr>
      <w:r>
        <w:rPr>
          <w:rFonts w:ascii="宋体" w:hAnsi="宋体" w:cs="宋体"/>
          <w:kern w:val="0"/>
          <w:szCs w:val="21"/>
        </w:rPr>
        <w:t>6.2.1</w:t>
      </w:r>
      <w:r>
        <w:rPr>
          <w:rFonts w:hint="eastAsia" w:ascii="宋体" w:hAnsi="宋体" w:cs="宋体"/>
          <w:kern w:val="0"/>
          <w:szCs w:val="21"/>
        </w:rPr>
        <w:t>评标委员会经济评审组对通过初步评审的投标文件的报价文件进行详细评审。</w:t>
      </w:r>
    </w:p>
    <w:p>
      <w:pPr>
        <w:spacing w:line="360" w:lineRule="auto"/>
        <w:ind w:firstLine="420" w:firstLineChars="200"/>
        <w:rPr>
          <w:rFonts w:ascii="宋体" w:hAnsi="宋体" w:cs="宋体"/>
          <w:kern w:val="0"/>
          <w:szCs w:val="21"/>
        </w:rPr>
      </w:pPr>
      <w:r>
        <w:rPr>
          <w:rFonts w:ascii="宋体" w:hAnsi="宋体" w:cs="宋体"/>
          <w:kern w:val="0"/>
          <w:szCs w:val="21"/>
        </w:rPr>
        <w:t>6.2.2</w:t>
      </w:r>
      <w:r>
        <w:rPr>
          <w:rFonts w:hint="eastAsia" w:ascii="宋体" w:hAnsi="宋体" w:cs="宋体"/>
          <w:kern w:val="0"/>
          <w:szCs w:val="21"/>
        </w:rPr>
        <w:t>投标报价有算术错误的，评标委员会按以下原则对投标报价进行修正，修正的价格经投标人书面确认后具有约束力。投标人不接受修正价格的，其投标作否决投标处理：</w:t>
      </w:r>
    </w:p>
    <w:p>
      <w:pPr>
        <w:spacing w:line="360" w:lineRule="auto"/>
        <w:ind w:firstLine="420" w:firstLineChars="200"/>
        <w:rPr>
          <w:rFonts w:ascii="宋体" w:hAnsi="宋体"/>
          <w:kern w:val="0"/>
          <w:szCs w:val="21"/>
        </w:rPr>
      </w:pPr>
      <w:r>
        <w:rPr>
          <w:rFonts w:hint="eastAsia" w:ascii="宋体" w:hAnsi="宋体" w:cs="宋体"/>
          <w:kern w:val="0"/>
          <w:szCs w:val="21"/>
        </w:rPr>
        <w:t>（</w:t>
      </w:r>
      <w:r>
        <w:rPr>
          <w:rFonts w:ascii="宋体" w:hAnsi="宋体"/>
          <w:kern w:val="0"/>
          <w:szCs w:val="21"/>
        </w:rPr>
        <w:t>1</w:t>
      </w:r>
      <w:r>
        <w:rPr>
          <w:rFonts w:hint="eastAsia" w:ascii="宋体" w:hAnsi="宋体" w:cs="宋体"/>
          <w:kern w:val="0"/>
          <w:szCs w:val="21"/>
        </w:rPr>
        <w:t>）投标文件中的大写金额与小写金额不一致的，以大写金额为准；</w:t>
      </w:r>
    </w:p>
    <w:p>
      <w:pPr>
        <w:spacing w:line="360" w:lineRule="auto"/>
        <w:ind w:firstLine="420" w:firstLineChars="200"/>
        <w:rPr>
          <w:rFonts w:ascii="宋体" w:hAnsi="宋体" w:cs="宋体"/>
          <w:kern w:val="0"/>
          <w:szCs w:val="21"/>
        </w:rPr>
      </w:pPr>
      <w:r>
        <w:rPr>
          <w:rFonts w:hint="eastAsia" w:ascii="宋体" w:hAnsi="宋体" w:cs="宋体"/>
          <w:kern w:val="0"/>
          <w:szCs w:val="21"/>
        </w:rPr>
        <w:t>（</w:t>
      </w:r>
      <w:r>
        <w:rPr>
          <w:rFonts w:ascii="宋体" w:hAnsi="宋体"/>
          <w:kern w:val="0"/>
          <w:szCs w:val="21"/>
        </w:rPr>
        <w:t>2</w:t>
      </w:r>
      <w:r>
        <w:rPr>
          <w:rFonts w:hint="eastAsia" w:ascii="宋体" w:hAnsi="宋体" w:cs="宋体"/>
          <w:kern w:val="0"/>
          <w:szCs w:val="21"/>
        </w:rPr>
        <w:t>）总价金额与依据单价计算出的结果不一致的，以单价金额为准修正总价，但单价金额小数点有明显错误的除外；</w:t>
      </w:r>
    </w:p>
    <w:p>
      <w:pPr>
        <w:spacing w:line="360" w:lineRule="auto"/>
        <w:ind w:firstLine="420" w:firstLineChars="200"/>
        <w:rPr>
          <w:rFonts w:ascii="宋体" w:hAnsi="宋体"/>
          <w:kern w:val="0"/>
          <w:szCs w:val="21"/>
        </w:rPr>
      </w:pPr>
      <w:r>
        <w:rPr>
          <w:rFonts w:hint="eastAsia" w:ascii="宋体" w:hAnsi="宋体"/>
          <w:kern w:val="0"/>
          <w:szCs w:val="21"/>
        </w:rPr>
        <w:t>（3）修正后的最终投标报价超过招标</w:t>
      </w:r>
      <w:r>
        <w:rPr>
          <w:rFonts w:ascii="宋体" w:hAnsi="宋体"/>
          <w:kern w:val="0"/>
          <w:szCs w:val="21"/>
        </w:rPr>
        <w:t>上限</w:t>
      </w:r>
      <w:r>
        <w:rPr>
          <w:rFonts w:hint="eastAsia" w:ascii="宋体" w:hAnsi="宋体"/>
          <w:kern w:val="0"/>
          <w:szCs w:val="21"/>
        </w:rPr>
        <w:t>控制价的投标文件作否决投标处理。如项目设有综合单价控制价的，修正后的综合单价超过综合单价控制价的投标文件作否决投标处理。</w:t>
      </w:r>
    </w:p>
    <w:p>
      <w:pPr>
        <w:widowControl/>
        <w:spacing w:line="360" w:lineRule="auto"/>
        <w:ind w:firstLine="420" w:firstLineChars="200"/>
        <w:rPr>
          <w:rFonts w:ascii="宋体" w:hAnsi="宋体"/>
          <w:kern w:val="0"/>
          <w:szCs w:val="21"/>
        </w:rPr>
      </w:pPr>
      <w:r>
        <w:rPr>
          <w:rFonts w:hint="eastAsia" w:ascii="宋体" w:hAnsi="宋体"/>
          <w:kern w:val="0"/>
          <w:szCs w:val="21"/>
        </w:rPr>
        <w:t>（4）</w:t>
      </w:r>
      <w:r>
        <w:rPr>
          <w:kern w:val="0"/>
          <w:szCs w:val="21"/>
        </w:rPr>
        <w:t>评标</w:t>
      </w:r>
      <w:r>
        <w:rPr>
          <w:rFonts w:hint="eastAsia"/>
          <w:kern w:val="0"/>
          <w:szCs w:val="21"/>
        </w:rPr>
        <w:t>价格及</w:t>
      </w:r>
      <w:r>
        <w:rPr>
          <w:kern w:val="0"/>
          <w:szCs w:val="21"/>
        </w:rPr>
        <w:t>中标价</w:t>
      </w:r>
      <w:r>
        <w:rPr>
          <w:rFonts w:hint="eastAsia"/>
          <w:kern w:val="0"/>
          <w:szCs w:val="21"/>
        </w:rPr>
        <w:t>均以修正后的</w:t>
      </w:r>
      <w:r>
        <w:rPr>
          <w:kern w:val="0"/>
          <w:szCs w:val="21"/>
        </w:rPr>
        <w:t>投标报价为准。</w:t>
      </w:r>
      <w:r>
        <w:rPr>
          <w:rFonts w:hint="eastAsia" w:ascii="宋体" w:hAnsi="宋体"/>
          <w:kern w:val="0"/>
          <w:szCs w:val="21"/>
        </w:rPr>
        <w:t>如投标人不接受按以上规则确定的评标总价和中标价，则其投标将被否决。</w:t>
      </w:r>
    </w:p>
    <w:p>
      <w:pPr>
        <w:tabs>
          <w:tab w:val="left" w:pos="851"/>
        </w:tabs>
        <w:spacing w:line="360" w:lineRule="auto"/>
        <w:ind w:firstLine="420" w:firstLineChars="200"/>
        <w:rPr>
          <w:rFonts w:ascii="宋体" w:hAnsi="宋体"/>
          <w:kern w:val="0"/>
          <w:szCs w:val="21"/>
        </w:rPr>
      </w:pPr>
      <w:r>
        <w:rPr>
          <w:rFonts w:ascii="宋体" w:hAnsi="宋体"/>
          <w:kern w:val="0"/>
          <w:szCs w:val="21"/>
        </w:rPr>
        <w:t>6.2.3</w:t>
      </w:r>
      <w:r>
        <w:rPr>
          <w:rFonts w:hint="eastAsia" w:ascii="宋体" w:hAnsi="宋体"/>
          <w:kern w:val="0"/>
          <w:szCs w:val="21"/>
        </w:rPr>
        <w:t>出现下列情况的投标文件将予以否决：</w:t>
      </w:r>
    </w:p>
    <w:p>
      <w:pPr>
        <w:spacing w:line="360" w:lineRule="auto"/>
        <w:ind w:firstLine="420" w:firstLineChars="200"/>
        <w:rPr>
          <w:rFonts w:ascii="宋体" w:hAnsi="宋体"/>
          <w:bCs/>
          <w:szCs w:val="21"/>
        </w:rPr>
      </w:pPr>
      <w:r>
        <w:rPr>
          <w:rFonts w:hint="eastAsia" w:ascii="宋体" w:hAnsi="宋体"/>
          <w:bCs/>
          <w:szCs w:val="21"/>
        </w:rPr>
        <w:t>（1）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投标，否决其投标。</w:t>
      </w:r>
    </w:p>
    <w:p>
      <w:pPr>
        <w:spacing w:line="360" w:lineRule="auto"/>
        <w:ind w:firstLine="420" w:firstLineChars="200"/>
        <w:rPr>
          <w:rFonts w:ascii="宋体" w:hAnsi="宋体"/>
          <w:bCs/>
          <w:szCs w:val="21"/>
        </w:rPr>
      </w:pPr>
      <w:r>
        <w:rPr>
          <w:rFonts w:hint="eastAsia" w:ascii="宋体" w:hAnsi="宋体"/>
          <w:bCs/>
          <w:szCs w:val="21"/>
        </w:rPr>
        <w:t>（2）投标报价清单如有漏项的投标文件，将予以否决。</w:t>
      </w:r>
    </w:p>
    <w:p>
      <w:pPr>
        <w:widowControl/>
        <w:spacing w:line="360" w:lineRule="auto"/>
        <w:ind w:firstLine="420" w:firstLineChars="200"/>
        <w:rPr>
          <w:rFonts w:ascii="宋体" w:hAnsi="宋体"/>
          <w:b/>
          <w:bCs/>
          <w:kern w:val="0"/>
          <w:szCs w:val="21"/>
        </w:rPr>
      </w:pPr>
      <w:r>
        <w:rPr>
          <w:rFonts w:ascii="宋体" w:hAnsi="宋体"/>
          <w:kern w:val="0"/>
          <w:szCs w:val="21"/>
        </w:rPr>
        <w:t>6.2.4</w:t>
      </w:r>
      <w:r>
        <w:rPr>
          <w:rFonts w:hint="eastAsia" w:ascii="宋体" w:hAnsi="宋体"/>
          <w:kern w:val="0"/>
          <w:szCs w:val="21"/>
        </w:rPr>
        <w:t>经济评审组按照附表五《投标报价评分表》规定的量化因素和分值，对各投标人的投标报价评审，并计算出价格得分（得分出现小数的，保留小数点后二位，第三位小数四舍五入）。</w:t>
      </w:r>
      <w:bookmarkStart w:id="349" w:name="_Hlk31877587"/>
      <w:r>
        <w:rPr>
          <w:rFonts w:ascii="宋体" w:hAnsi="宋体"/>
          <w:b/>
          <w:bCs/>
          <w:kern w:val="0"/>
          <w:szCs w:val="21"/>
        </w:rPr>
        <w:t>以不含税的投标报价计算评标基准价和投标报价得分。</w:t>
      </w:r>
    </w:p>
    <w:bookmarkEnd w:id="349"/>
    <w:p>
      <w:pPr>
        <w:keepNext/>
        <w:keepLines/>
        <w:spacing w:line="360" w:lineRule="auto"/>
        <w:outlineLvl w:val="2"/>
        <w:rPr>
          <w:rFonts w:ascii="宋体" w:hAnsi="宋体"/>
          <w:b/>
          <w:bCs/>
          <w:szCs w:val="21"/>
        </w:rPr>
      </w:pPr>
      <w:bookmarkStart w:id="350" w:name="_Toc29663"/>
      <w:r>
        <w:rPr>
          <w:rFonts w:ascii="宋体" w:hAnsi="宋体"/>
          <w:b/>
          <w:bCs/>
          <w:szCs w:val="21"/>
        </w:rPr>
        <w:t xml:space="preserve">6.3 </w:t>
      </w:r>
      <w:r>
        <w:rPr>
          <w:rFonts w:hint="eastAsia" w:ascii="宋体" w:hAnsi="宋体" w:cs="黑体"/>
          <w:b/>
          <w:bCs/>
          <w:szCs w:val="21"/>
        </w:rPr>
        <w:t>投标文件的澄清和补正</w:t>
      </w:r>
      <w:bookmarkEnd w:id="350"/>
    </w:p>
    <w:p>
      <w:pPr>
        <w:spacing w:line="360" w:lineRule="auto"/>
        <w:ind w:firstLine="420" w:firstLineChars="200"/>
        <w:rPr>
          <w:rFonts w:ascii="宋体" w:hAnsi="宋体" w:cs="宋体"/>
          <w:kern w:val="0"/>
          <w:szCs w:val="21"/>
        </w:rPr>
      </w:pPr>
      <w:r>
        <w:rPr>
          <w:rFonts w:ascii="宋体" w:hAnsi="宋体"/>
          <w:kern w:val="0"/>
          <w:szCs w:val="21"/>
        </w:rPr>
        <w:t>6.3.1</w:t>
      </w:r>
      <w:r>
        <w:rPr>
          <w:rFonts w:hint="eastAsia" w:ascii="宋体" w:hAnsi="宋体" w:cs="宋体"/>
          <w:kern w:val="0"/>
          <w:szCs w:val="21"/>
        </w:rPr>
        <w:t>在评标过程中，评标委员会可以书面形式要求投标人对所提交的投标文件中</w:t>
      </w:r>
      <w:r>
        <w:rPr>
          <w:rFonts w:hint="eastAsia"/>
          <w:kern w:val="0"/>
          <w:szCs w:val="21"/>
        </w:rPr>
        <w:t>的非实质性偏离内容</w:t>
      </w:r>
      <w:r>
        <w:rPr>
          <w:rFonts w:hint="eastAsia" w:ascii="宋体" w:hAnsi="宋体" w:cs="宋体"/>
          <w:kern w:val="0"/>
          <w:szCs w:val="21"/>
        </w:rPr>
        <w:t>进行书面澄清、说明或补正。澄清、说明和补正必须由评标委员会书面提出、投标人书面答复，否则无效。评标委员会不接受投标人主动提出的澄清、说明或补正。</w:t>
      </w:r>
    </w:p>
    <w:p>
      <w:pPr>
        <w:spacing w:line="360" w:lineRule="auto"/>
        <w:ind w:firstLine="420" w:firstLineChars="200"/>
        <w:rPr>
          <w:bCs/>
          <w:szCs w:val="21"/>
        </w:rPr>
      </w:pPr>
      <w:r>
        <w:rPr>
          <w:rFonts w:hint="eastAsia"/>
          <w:bCs/>
          <w:szCs w:val="21"/>
        </w:rPr>
        <w:t>非实质性偏离是指投标文件实质性响应招标文件，但在部分可允许范围内存在一些不规则、不一致、不完整的内容，通过澄清、说明或者补正后这些内容不会改变投标文件的实质性。以下情况属于非实质性偏离：</w:t>
      </w:r>
    </w:p>
    <w:p>
      <w:pPr>
        <w:spacing w:line="360" w:lineRule="auto"/>
        <w:ind w:firstLine="420" w:firstLineChars="200"/>
        <w:rPr>
          <w:bCs/>
          <w:szCs w:val="21"/>
        </w:rPr>
      </w:pPr>
      <w:r>
        <w:rPr>
          <w:rFonts w:hint="eastAsia"/>
          <w:bCs/>
          <w:szCs w:val="21"/>
        </w:rPr>
        <w:t>（1）投标文件文字表述的内容含义不明确；</w:t>
      </w:r>
    </w:p>
    <w:p>
      <w:pPr>
        <w:spacing w:line="360" w:lineRule="auto"/>
        <w:ind w:firstLine="420" w:firstLineChars="200"/>
        <w:rPr>
          <w:bCs/>
          <w:szCs w:val="21"/>
        </w:rPr>
      </w:pPr>
      <w:r>
        <w:rPr>
          <w:rFonts w:hint="eastAsia"/>
          <w:bCs/>
          <w:szCs w:val="21"/>
        </w:rPr>
        <w:t>（2）同类问题表述不一致；</w:t>
      </w:r>
    </w:p>
    <w:p>
      <w:pPr>
        <w:spacing w:line="360" w:lineRule="auto"/>
        <w:ind w:firstLine="420" w:firstLineChars="200"/>
        <w:rPr>
          <w:bCs/>
          <w:szCs w:val="21"/>
        </w:rPr>
      </w:pPr>
      <w:r>
        <w:rPr>
          <w:rFonts w:hint="eastAsia"/>
          <w:bCs/>
          <w:szCs w:val="21"/>
        </w:rPr>
        <w:t>（3）明显文字和计算错误；</w:t>
      </w:r>
    </w:p>
    <w:p>
      <w:pPr>
        <w:spacing w:line="360" w:lineRule="auto"/>
        <w:ind w:firstLine="420" w:firstLineChars="200"/>
        <w:rPr>
          <w:bCs/>
          <w:szCs w:val="21"/>
        </w:rPr>
      </w:pPr>
      <w:r>
        <w:rPr>
          <w:rFonts w:hint="eastAsia"/>
          <w:bCs/>
          <w:szCs w:val="21"/>
        </w:rPr>
        <w:t>（4）评标委员会认定的其他非实质性偏离情况。</w:t>
      </w:r>
    </w:p>
    <w:p>
      <w:pPr>
        <w:spacing w:line="360" w:lineRule="auto"/>
        <w:ind w:firstLine="420" w:firstLineChars="200"/>
        <w:rPr>
          <w:rFonts w:ascii="宋体" w:hAnsi="宋体"/>
          <w:kern w:val="0"/>
          <w:szCs w:val="21"/>
        </w:rPr>
      </w:pPr>
      <w:r>
        <w:rPr>
          <w:rFonts w:ascii="宋体" w:hAnsi="宋体"/>
          <w:kern w:val="0"/>
          <w:szCs w:val="21"/>
        </w:rPr>
        <w:t>6.3.2</w:t>
      </w:r>
      <w:r>
        <w:rPr>
          <w:rFonts w:hint="eastAsia" w:ascii="宋体" w:hAnsi="宋体" w:cs="宋体"/>
          <w:kern w:val="0"/>
          <w:szCs w:val="21"/>
        </w:rPr>
        <w:t>澄清、说明和补正不得改变投标文件的实质性内容（算术性错误修正的除外）。投标人的书面澄清、说明和补正属于投标文件的组成部分。</w:t>
      </w:r>
    </w:p>
    <w:p>
      <w:pPr>
        <w:spacing w:line="360" w:lineRule="auto"/>
        <w:ind w:firstLine="420" w:firstLineChars="200"/>
        <w:rPr>
          <w:rFonts w:ascii="宋体" w:hAnsi="宋体"/>
          <w:kern w:val="0"/>
          <w:szCs w:val="21"/>
        </w:rPr>
      </w:pPr>
      <w:r>
        <w:rPr>
          <w:rFonts w:ascii="宋体" w:hAnsi="宋体"/>
          <w:kern w:val="0"/>
          <w:szCs w:val="21"/>
        </w:rPr>
        <w:t>6.3.3</w:t>
      </w:r>
      <w:r>
        <w:rPr>
          <w:rFonts w:hint="eastAsia" w:ascii="宋体" w:hAnsi="宋体" w:cs="宋体"/>
          <w:kern w:val="0"/>
          <w:szCs w:val="21"/>
        </w:rPr>
        <w:t>评标委员会对投标人提交的澄清、说明或补正有疑问的，可以要求投标人进一步澄清、说明或补正，直至满足评标委员会的要求。</w:t>
      </w:r>
    </w:p>
    <w:p>
      <w:pPr>
        <w:spacing w:line="360" w:lineRule="auto"/>
        <w:ind w:firstLine="420" w:firstLineChars="200"/>
        <w:rPr>
          <w:rFonts w:ascii="宋体" w:hAnsi="宋体"/>
          <w:kern w:val="0"/>
          <w:szCs w:val="21"/>
        </w:rPr>
      </w:pPr>
      <w:r>
        <w:rPr>
          <w:rFonts w:ascii="宋体" w:hAnsi="宋体"/>
          <w:kern w:val="0"/>
          <w:szCs w:val="21"/>
        </w:rPr>
        <w:t>6.3.4</w:t>
      </w:r>
      <w:r>
        <w:rPr>
          <w:rFonts w:hint="eastAsia" w:ascii="宋体" w:hAnsi="宋体" w:cs="宋体"/>
          <w:kern w:val="0"/>
          <w:szCs w:val="21"/>
        </w:rPr>
        <w:t>对投标文件进行澄清、说明和补正采用书面材料。</w:t>
      </w:r>
    </w:p>
    <w:p>
      <w:pPr>
        <w:keepNext/>
        <w:keepLines/>
        <w:spacing w:line="360" w:lineRule="auto"/>
        <w:outlineLvl w:val="2"/>
        <w:rPr>
          <w:rFonts w:ascii="宋体" w:hAnsi="宋体"/>
          <w:b/>
          <w:bCs/>
          <w:szCs w:val="21"/>
        </w:rPr>
      </w:pPr>
      <w:bookmarkStart w:id="351" w:name="_Toc13287"/>
      <w:r>
        <w:rPr>
          <w:rFonts w:ascii="宋体" w:hAnsi="宋体"/>
          <w:b/>
          <w:bCs/>
          <w:szCs w:val="21"/>
        </w:rPr>
        <w:t>6.4</w:t>
      </w:r>
      <w:r>
        <w:rPr>
          <w:rFonts w:hint="eastAsia" w:ascii="宋体" w:hAnsi="宋体"/>
          <w:b/>
          <w:bCs/>
          <w:szCs w:val="21"/>
        </w:rPr>
        <w:t>评标结果</w:t>
      </w:r>
      <w:bookmarkEnd w:id="351"/>
    </w:p>
    <w:p>
      <w:pPr>
        <w:spacing w:line="360" w:lineRule="auto"/>
        <w:ind w:firstLine="420" w:firstLineChars="200"/>
        <w:rPr>
          <w:rFonts w:ascii="宋体" w:hAnsi="宋体"/>
          <w:kern w:val="0"/>
          <w:szCs w:val="21"/>
        </w:rPr>
      </w:pPr>
      <w:r>
        <w:rPr>
          <w:rFonts w:ascii="宋体" w:hAnsi="宋体"/>
          <w:kern w:val="0"/>
          <w:szCs w:val="21"/>
        </w:rPr>
        <w:t>6.4.1</w:t>
      </w:r>
      <w:r>
        <w:rPr>
          <w:rFonts w:hint="eastAsia" w:ascii="宋体" w:hAnsi="宋体"/>
          <w:kern w:val="0"/>
          <w:szCs w:val="21"/>
        </w:rPr>
        <w:t>汇总得分</w:t>
      </w:r>
    </w:p>
    <w:p>
      <w:pPr>
        <w:spacing w:line="360" w:lineRule="auto"/>
        <w:ind w:firstLine="420" w:firstLineChars="200"/>
        <w:rPr>
          <w:rFonts w:ascii="宋体" w:hAnsi="宋体"/>
          <w:b/>
          <w:bCs/>
          <w:kern w:val="0"/>
          <w:szCs w:val="21"/>
        </w:rPr>
      </w:pPr>
      <w:r>
        <w:rPr>
          <w:rFonts w:hint="eastAsia" w:ascii="宋体" w:hAnsi="宋体"/>
          <w:b/>
          <w:bCs/>
          <w:kern w:val="0"/>
          <w:szCs w:val="21"/>
        </w:rPr>
        <w:t>各投标人</w:t>
      </w:r>
      <w:r>
        <w:rPr>
          <w:rFonts w:hint="eastAsia" w:ascii="宋体" w:hAnsi="宋体"/>
          <w:b/>
          <w:bCs/>
          <w:szCs w:val="21"/>
        </w:rPr>
        <w:t>综合评分</w:t>
      </w:r>
      <w:r>
        <w:rPr>
          <w:rFonts w:ascii="宋体" w:hAnsi="宋体"/>
          <w:b/>
          <w:bCs/>
          <w:szCs w:val="21"/>
        </w:rPr>
        <w:t>=</w:t>
      </w:r>
      <w:r>
        <w:rPr>
          <w:rFonts w:hint="eastAsia" w:ascii="宋体" w:hAnsi="宋体"/>
          <w:b/>
          <w:bCs/>
          <w:szCs w:val="21"/>
        </w:rPr>
        <w:t>资信得分</w:t>
      </w:r>
      <w:r>
        <w:rPr>
          <w:rFonts w:ascii="宋体" w:hAnsi="宋体"/>
          <w:b/>
          <w:bCs/>
          <w:szCs w:val="21"/>
        </w:rPr>
        <w:t>+</w:t>
      </w:r>
      <w:r>
        <w:rPr>
          <w:rFonts w:hint="eastAsia" w:ascii="宋体" w:hAnsi="宋体"/>
          <w:b/>
          <w:bCs/>
          <w:szCs w:val="21"/>
        </w:rPr>
        <w:t>技术得分</w:t>
      </w:r>
      <w:r>
        <w:rPr>
          <w:rFonts w:ascii="宋体" w:hAnsi="宋体"/>
          <w:b/>
          <w:bCs/>
          <w:szCs w:val="21"/>
        </w:rPr>
        <w:t>+</w:t>
      </w:r>
      <w:r>
        <w:rPr>
          <w:rFonts w:hint="eastAsia" w:ascii="宋体" w:hAnsi="宋体"/>
          <w:b/>
          <w:bCs/>
          <w:szCs w:val="21"/>
        </w:rPr>
        <w:t>价格得分；</w:t>
      </w:r>
      <w:bookmarkEnd w:id="344"/>
      <w:bookmarkEnd w:id="345"/>
      <w:bookmarkEnd w:id="346"/>
    </w:p>
    <w:p>
      <w:pPr>
        <w:spacing w:line="360" w:lineRule="auto"/>
        <w:ind w:firstLine="420" w:firstLineChars="200"/>
        <w:rPr>
          <w:rFonts w:ascii="宋体" w:hAnsi="宋体"/>
          <w:kern w:val="0"/>
          <w:sz w:val="24"/>
          <w:szCs w:val="21"/>
        </w:rPr>
      </w:pPr>
      <w:r>
        <w:rPr>
          <w:rFonts w:ascii="宋体" w:hAnsi="宋体"/>
          <w:kern w:val="0"/>
          <w:szCs w:val="21"/>
        </w:rPr>
        <w:t>6.4.2</w:t>
      </w:r>
      <w:r>
        <w:rPr>
          <w:rFonts w:hint="eastAsia" w:ascii="宋体" w:hAnsi="宋体"/>
          <w:kern w:val="0"/>
          <w:szCs w:val="21"/>
        </w:rPr>
        <w:t>推荐中标候选人</w:t>
      </w:r>
    </w:p>
    <w:p>
      <w:pPr>
        <w:spacing w:line="360" w:lineRule="auto"/>
        <w:ind w:firstLine="420" w:firstLineChars="200"/>
        <w:rPr>
          <w:rFonts w:ascii="宋体" w:hAnsi="宋体"/>
          <w:kern w:val="0"/>
          <w:szCs w:val="21"/>
        </w:rPr>
      </w:pPr>
      <w:r>
        <w:rPr>
          <w:rFonts w:hint="eastAsia" w:ascii="宋体" w:hAnsi="宋体" w:cs="宋体"/>
          <w:kern w:val="0"/>
          <w:szCs w:val="21"/>
        </w:rPr>
        <w:t>经评审后，评标委员会按综合评分由高到低顺序</w:t>
      </w:r>
      <w:r>
        <w:rPr>
          <w:rFonts w:hint="eastAsia" w:ascii="宋体" w:hAnsi="宋体"/>
          <w:kern w:val="0"/>
          <w:szCs w:val="20"/>
        </w:rPr>
        <w:t>推荐</w:t>
      </w:r>
      <w:r>
        <w:rPr>
          <w:rFonts w:ascii="宋体" w:hAnsi="宋体"/>
          <w:kern w:val="0"/>
          <w:szCs w:val="20"/>
        </w:rPr>
        <w:t>3</w:t>
      </w:r>
      <w:r>
        <w:rPr>
          <w:rFonts w:hint="eastAsia" w:ascii="宋体" w:hAnsi="宋体"/>
          <w:kern w:val="0"/>
          <w:szCs w:val="20"/>
        </w:rPr>
        <w:t>名中标候选人（当中标候选人不足</w:t>
      </w:r>
      <w:r>
        <w:rPr>
          <w:rFonts w:ascii="宋体" w:hAnsi="宋体"/>
          <w:kern w:val="0"/>
          <w:szCs w:val="20"/>
        </w:rPr>
        <w:t>3</w:t>
      </w:r>
      <w:r>
        <w:rPr>
          <w:rFonts w:hint="eastAsia" w:ascii="宋体" w:hAnsi="宋体"/>
          <w:kern w:val="0"/>
          <w:szCs w:val="20"/>
        </w:rPr>
        <w:t>名时按实际数量推荐），并标明排序</w:t>
      </w:r>
      <w:r>
        <w:rPr>
          <w:rFonts w:hint="eastAsia" w:ascii="宋体" w:hAnsi="宋体" w:cs="宋体"/>
          <w:kern w:val="0"/>
          <w:szCs w:val="21"/>
        </w:rPr>
        <w:t>。综合评分相同时，则技术得分较高的排名靠前；如技术得分也相同，则价格得分较高的排名靠前；如价格得分也相同，</w:t>
      </w:r>
      <w:bookmarkStart w:id="352" w:name="_Hlk31877730"/>
      <w:r>
        <w:rPr>
          <w:rFonts w:hint="eastAsia" w:ascii="宋体" w:hAnsi="宋体" w:cs="宋体"/>
          <w:kern w:val="0"/>
          <w:szCs w:val="21"/>
        </w:rPr>
        <w:t>则由评标委员会采用记名投票方式确定</w:t>
      </w:r>
      <w:bookmarkEnd w:id="352"/>
      <w:r>
        <w:rPr>
          <w:rFonts w:hint="eastAsia" w:ascii="宋体" w:hAnsi="宋体" w:cs="宋体"/>
          <w:kern w:val="0"/>
          <w:szCs w:val="21"/>
        </w:rPr>
        <w:t>。</w:t>
      </w:r>
    </w:p>
    <w:p>
      <w:pPr>
        <w:spacing w:line="360" w:lineRule="auto"/>
        <w:ind w:firstLine="420" w:firstLineChars="200"/>
        <w:rPr>
          <w:rFonts w:ascii="宋体" w:hAnsi="宋体"/>
          <w:kern w:val="0"/>
          <w:szCs w:val="21"/>
        </w:rPr>
      </w:pPr>
      <w:r>
        <w:rPr>
          <w:rFonts w:ascii="宋体" w:hAnsi="宋体"/>
          <w:kern w:val="0"/>
          <w:szCs w:val="21"/>
        </w:rPr>
        <w:t xml:space="preserve">6.4.3 </w:t>
      </w:r>
      <w:r>
        <w:rPr>
          <w:rFonts w:hint="eastAsia" w:ascii="宋体" w:hAnsi="宋体" w:cs="宋体"/>
          <w:kern w:val="0"/>
          <w:szCs w:val="21"/>
        </w:rPr>
        <w:t>评标委员会完成评标后，</w:t>
      </w:r>
      <w:r>
        <w:rPr>
          <w:rFonts w:hint="eastAsia" w:ascii="宋体" w:hAnsi="宋体" w:cs="宋体"/>
          <w:strike/>
          <w:kern w:val="0"/>
          <w:szCs w:val="21"/>
        </w:rPr>
        <w:t>由</w:t>
      </w:r>
      <w:r>
        <w:rPr>
          <w:rFonts w:hint="eastAsia" w:ascii="宋体" w:hAnsi="宋体" w:cs="宋体"/>
          <w:kern w:val="0"/>
          <w:szCs w:val="21"/>
        </w:rPr>
        <w:t>应当向招标人提交书面评标报告。</w:t>
      </w:r>
      <w:r>
        <w:rPr>
          <w:rFonts w:ascii="宋体" w:hAnsi="宋体" w:cs="宋体"/>
          <w:bCs/>
          <w:kern w:val="0"/>
          <w:szCs w:val="21"/>
        </w:rPr>
        <w:t>评标报告由评标委员会成员起草，按少数服从多数的原则通过。评标委员会全体成员应在评标报告上签字确认，评标专家如有保留意见可以在评标报告中阐明</w:t>
      </w:r>
      <w:r>
        <w:rPr>
          <w:rFonts w:hint="eastAsia" w:ascii="宋体" w:hAnsi="宋体" w:cs="宋体"/>
          <w:bCs/>
          <w:kern w:val="0"/>
          <w:szCs w:val="21"/>
        </w:rPr>
        <w:t>。</w:t>
      </w:r>
      <w:r>
        <w:rPr>
          <w:rFonts w:hint="eastAsia" w:ascii="宋体" w:hAnsi="宋体"/>
        </w:rPr>
        <w:t>评标委员会成员拒绝在评审报告中签字又不书面说明其不同意见和理由的，视为同意评审结果。</w:t>
      </w:r>
    </w:p>
    <w:p>
      <w:pPr>
        <w:spacing w:line="360" w:lineRule="auto"/>
        <w:ind w:firstLine="420" w:firstLineChars="200"/>
        <w:rPr>
          <w:rFonts w:ascii="宋体" w:hAnsi="宋体" w:cs="宋体"/>
          <w:kern w:val="0"/>
          <w:szCs w:val="21"/>
        </w:rPr>
      </w:pPr>
      <w:r>
        <w:rPr>
          <w:rFonts w:ascii="宋体" w:hAnsi="宋体"/>
          <w:kern w:val="0"/>
          <w:szCs w:val="21"/>
        </w:rPr>
        <w:t>6.4.4</w:t>
      </w:r>
      <w:r>
        <w:rPr>
          <w:rFonts w:hint="eastAsia" w:ascii="宋体" w:hAnsi="宋体" w:cs="宋体"/>
          <w:kern w:val="0"/>
          <w:szCs w:val="21"/>
        </w:rPr>
        <w:t>评标委员会应将评标过程中使用的文件、表格以及其他材料即时归还招标人。</w:t>
      </w:r>
    </w:p>
    <w:p>
      <w:pPr>
        <w:spacing w:line="360" w:lineRule="auto"/>
        <w:ind w:firstLine="420" w:firstLineChars="200"/>
        <w:rPr>
          <w:rFonts w:ascii="宋体" w:hAnsi="宋体" w:cs="宋体"/>
          <w:b/>
          <w:bCs/>
          <w:kern w:val="0"/>
          <w:szCs w:val="21"/>
        </w:rPr>
      </w:pPr>
      <w:r>
        <w:rPr>
          <w:rFonts w:ascii="宋体" w:hAnsi="宋体" w:cs="宋体"/>
          <w:b/>
          <w:bCs/>
          <w:kern w:val="0"/>
          <w:szCs w:val="21"/>
        </w:rPr>
        <w:t>本评标办法由</w:t>
      </w:r>
      <w:r>
        <w:rPr>
          <w:rFonts w:hint="eastAsia" w:ascii="宋体" w:hAnsi="宋体" w:cs="宋体"/>
          <w:b/>
          <w:bCs/>
          <w:kern w:val="0"/>
          <w:szCs w:val="21"/>
        </w:rPr>
        <w:t>南宁轨道数智科技有限公司</w:t>
      </w:r>
      <w:r>
        <w:rPr>
          <w:rFonts w:ascii="宋体" w:hAnsi="宋体" w:cs="宋体"/>
          <w:b/>
          <w:bCs/>
          <w:kern w:val="0"/>
          <w:szCs w:val="21"/>
        </w:rPr>
        <w:t>负责解释</w:t>
      </w:r>
      <w:r>
        <w:rPr>
          <w:rFonts w:hint="eastAsia" w:ascii="宋体" w:hAnsi="宋体" w:cs="宋体"/>
          <w:b/>
          <w:bCs/>
          <w:kern w:val="0"/>
          <w:szCs w:val="21"/>
        </w:rPr>
        <w:t>。</w:t>
      </w:r>
    </w:p>
    <w:bookmarkEnd w:id="317"/>
    <w:bookmarkEnd w:id="318"/>
    <w:bookmarkEnd w:id="319"/>
    <w:bookmarkEnd w:id="320"/>
    <w:bookmarkEnd w:id="321"/>
    <w:p>
      <w:pPr>
        <w:keepNext/>
        <w:keepLines/>
        <w:pageBreakBefore/>
        <w:spacing w:line="360" w:lineRule="auto"/>
        <w:ind w:left="482" w:hanging="480" w:hangingChars="200"/>
        <w:outlineLvl w:val="2"/>
        <w:rPr>
          <w:rFonts w:ascii="宋体" w:hAnsi="宋体"/>
        </w:rPr>
      </w:pPr>
      <w:bookmarkStart w:id="353" w:name="_Toc977"/>
      <w:r>
        <w:rPr>
          <w:rFonts w:hint="eastAsia" w:ascii="Arial" w:hAnsi="Arial"/>
          <w:b/>
          <w:bCs/>
          <w:kern w:val="0"/>
          <w:sz w:val="24"/>
          <w:szCs w:val="28"/>
        </w:rPr>
        <w:t>附表一：</w:t>
      </w:r>
      <w:r>
        <w:rPr>
          <w:rFonts w:ascii="Arial" w:hAnsi="Arial"/>
          <w:b/>
          <w:bCs/>
          <w:kern w:val="0"/>
          <w:sz w:val="24"/>
          <w:szCs w:val="28"/>
        </w:rPr>
        <w:t>资格审查</w:t>
      </w:r>
      <w:r>
        <w:rPr>
          <w:rFonts w:hint="eastAsia" w:ascii="Arial" w:hAnsi="Arial"/>
          <w:b/>
          <w:bCs/>
          <w:kern w:val="0"/>
          <w:sz w:val="24"/>
          <w:szCs w:val="28"/>
        </w:rPr>
        <w:t>表</w:t>
      </w:r>
      <w:bookmarkEnd w:id="353"/>
    </w:p>
    <w:tbl>
      <w:tblPr>
        <w:tblStyle w:val="51"/>
        <w:tblW w:w="98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8"/>
        <w:gridCol w:w="1275"/>
        <w:gridCol w:w="3714"/>
        <w:gridCol w:w="3261"/>
        <w:gridCol w:w="1089"/>
      </w:tblGrid>
      <w:tr>
        <w:trPr>
          <w:trHeight w:val="779" w:hRule="atLeast"/>
          <w:jc w:val="center"/>
        </w:trPr>
        <w:tc>
          <w:tcPr>
            <w:tcW w:w="498" w:type="dxa"/>
            <w:vAlign w:val="center"/>
          </w:tcPr>
          <w:p>
            <w:pPr>
              <w:spacing w:line="360" w:lineRule="exact"/>
              <w:rPr>
                <w:rFonts w:ascii="宋体" w:hAnsi="宋体"/>
                <w:b/>
                <w:szCs w:val="21"/>
              </w:rPr>
            </w:pPr>
            <w:r>
              <w:rPr>
                <w:rFonts w:ascii="宋体" w:hAnsi="宋体"/>
                <w:b/>
                <w:szCs w:val="21"/>
              </w:rPr>
              <w:t>序号</w:t>
            </w:r>
          </w:p>
        </w:tc>
        <w:tc>
          <w:tcPr>
            <w:tcW w:w="1275" w:type="dxa"/>
            <w:vAlign w:val="center"/>
          </w:tcPr>
          <w:p>
            <w:pPr>
              <w:spacing w:line="360" w:lineRule="exact"/>
              <w:jc w:val="center"/>
              <w:rPr>
                <w:rFonts w:ascii="宋体" w:hAnsi="宋体"/>
                <w:b/>
                <w:szCs w:val="21"/>
              </w:rPr>
            </w:pPr>
            <w:r>
              <w:rPr>
                <w:rFonts w:ascii="宋体" w:hAnsi="宋体"/>
                <w:b/>
                <w:szCs w:val="21"/>
              </w:rPr>
              <w:t>内容</w:t>
            </w:r>
          </w:p>
        </w:tc>
        <w:tc>
          <w:tcPr>
            <w:tcW w:w="3714" w:type="dxa"/>
            <w:vAlign w:val="center"/>
          </w:tcPr>
          <w:p>
            <w:pPr>
              <w:spacing w:line="360" w:lineRule="exact"/>
              <w:jc w:val="center"/>
              <w:rPr>
                <w:rFonts w:ascii="宋体" w:hAnsi="宋体"/>
                <w:b/>
                <w:szCs w:val="21"/>
              </w:rPr>
            </w:pPr>
            <w:r>
              <w:rPr>
                <w:rFonts w:ascii="宋体" w:hAnsi="宋体"/>
                <w:b/>
                <w:szCs w:val="21"/>
              </w:rPr>
              <w:t>合格条件标准</w:t>
            </w:r>
          </w:p>
        </w:tc>
        <w:tc>
          <w:tcPr>
            <w:tcW w:w="3261" w:type="dxa"/>
            <w:vAlign w:val="center"/>
          </w:tcPr>
          <w:p>
            <w:pPr>
              <w:spacing w:line="360" w:lineRule="exact"/>
              <w:jc w:val="center"/>
              <w:rPr>
                <w:rFonts w:ascii="宋体" w:hAnsi="宋体"/>
                <w:b/>
                <w:szCs w:val="21"/>
              </w:rPr>
            </w:pPr>
            <w:r>
              <w:rPr>
                <w:rFonts w:hint="eastAsia" w:ascii="宋体" w:hAnsi="宋体"/>
                <w:b/>
                <w:szCs w:val="21"/>
              </w:rPr>
              <w:t>评审依据</w:t>
            </w:r>
          </w:p>
        </w:tc>
        <w:tc>
          <w:tcPr>
            <w:tcW w:w="1089" w:type="dxa"/>
            <w:vAlign w:val="center"/>
          </w:tcPr>
          <w:p>
            <w:pPr>
              <w:spacing w:line="360" w:lineRule="exact"/>
              <w:jc w:val="center"/>
              <w:rPr>
                <w:rFonts w:ascii="宋体" w:hAnsi="宋体"/>
                <w:b/>
                <w:szCs w:val="21"/>
              </w:rPr>
            </w:pPr>
            <w:r>
              <w:rPr>
                <w:rFonts w:hint="eastAsia" w:ascii="宋体" w:hAnsi="宋体"/>
                <w:b/>
                <w:szCs w:val="21"/>
              </w:rPr>
              <w:t>评审结果（合格/不合格）</w:t>
            </w:r>
          </w:p>
        </w:tc>
      </w:tr>
      <w:tr>
        <w:trPr>
          <w:trHeight w:val="1205" w:hRule="atLeast"/>
          <w:jc w:val="center"/>
        </w:trPr>
        <w:tc>
          <w:tcPr>
            <w:tcW w:w="498" w:type="dxa"/>
            <w:vAlign w:val="center"/>
          </w:tcPr>
          <w:p>
            <w:pPr>
              <w:spacing w:line="360" w:lineRule="exact"/>
              <w:jc w:val="center"/>
              <w:rPr>
                <w:rFonts w:ascii="宋体" w:hAnsi="宋体"/>
                <w:szCs w:val="21"/>
              </w:rPr>
            </w:pPr>
            <w:r>
              <w:rPr>
                <w:rFonts w:ascii="宋体" w:hAnsi="宋体"/>
                <w:szCs w:val="21"/>
              </w:rPr>
              <w:t>1</w:t>
            </w:r>
          </w:p>
        </w:tc>
        <w:tc>
          <w:tcPr>
            <w:tcW w:w="1275" w:type="dxa"/>
            <w:vAlign w:val="center"/>
          </w:tcPr>
          <w:p>
            <w:pPr>
              <w:spacing w:line="360" w:lineRule="exact"/>
              <w:jc w:val="center"/>
              <w:rPr>
                <w:rFonts w:ascii="宋体" w:hAnsi="宋体"/>
                <w:szCs w:val="21"/>
              </w:rPr>
            </w:pPr>
            <w:r>
              <w:rPr>
                <w:rFonts w:ascii="宋体" w:hAnsi="宋体"/>
                <w:szCs w:val="21"/>
              </w:rPr>
              <w:t>法定代表人身份证明或授权委托人身份证</w:t>
            </w:r>
          </w:p>
        </w:tc>
        <w:tc>
          <w:tcPr>
            <w:tcW w:w="3714" w:type="dxa"/>
            <w:vAlign w:val="center"/>
          </w:tcPr>
          <w:p>
            <w:pPr>
              <w:spacing w:line="360" w:lineRule="exact"/>
              <w:rPr>
                <w:rFonts w:ascii="宋体" w:hAnsi="宋体"/>
                <w:szCs w:val="21"/>
              </w:rPr>
            </w:pPr>
            <w:r>
              <w:rPr>
                <w:rFonts w:ascii="宋体" w:hAnsi="宋体"/>
                <w:szCs w:val="21"/>
              </w:rPr>
              <w:t>有效的法定代表人</w:t>
            </w:r>
            <w:r>
              <w:rPr>
                <w:rFonts w:hint="eastAsia" w:ascii="宋体" w:hAnsi="宋体"/>
                <w:szCs w:val="21"/>
              </w:rPr>
              <w:t>身份</w:t>
            </w:r>
            <w:r>
              <w:rPr>
                <w:rFonts w:ascii="宋体" w:hAnsi="宋体"/>
                <w:szCs w:val="21"/>
              </w:rPr>
              <w:t>证明（附身份证</w:t>
            </w:r>
            <w:r>
              <w:rPr>
                <w:rFonts w:hint="eastAsia" w:ascii="宋体" w:hAnsi="宋体"/>
                <w:szCs w:val="21"/>
              </w:rPr>
              <w:t>复印件</w:t>
            </w:r>
            <w:r>
              <w:rPr>
                <w:rFonts w:ascii="宋体" w:hAnsi="宋体"/>
                <w:szCs w:val="21"/>
              </w:rPr>
              <w:t>）或法人授权委托书（附身份证</w:t>
            </w:r>
            <w:r>
              <w:rPr>
                <w:rFonts w:hint="eastAsia" w:ascii="宋体" w:hAnsi="宋体"/>
                <w:szCs w:val="21"/>
              </w:rPr>
              <w:t>复印件</w:t>
            </w:r>
            <w:r>
              <w:rPr>
                <w:rFonts w:ascii="宋体" w:hAnsi="宋体"/>
                <w:szCs w:val="21"/>
              </w:rPr>
              <w:t>，授权代理时提供）。</w:t>
            </w:r>
          </w:p>
        </w:tc>
        <w:tc>
          <w:tcPr>
            <w:tcW w:w="3261" w:type="dxa"/>
            <w:vAlign w:val="center"/>
          </w:tcPr>
          <w:p>
            <w:pPr>
              <w:spacing w:line="360" w:lineRule="exact"/>
              <w:rPr>
                <w:rFonts w:ascii="宋体" w:hAnsi="宋体"/>
                <w:szCs w:val="21"/>
              </w:rPr>
            </w:pPr>
            <w:r>
              <w:rPr>
                <w:rFonts w:hint="eastAsia" w:ascii="宋体" w:hAnsi="宋体"/>
                <w:szCs w:val="21"/>
              </w:rPr>
              <w:t>法定代表人身份证明原件及身份证、委托代理人身份证等材料的复印件（委托代理人签署投标文件时提供）。</w:t>
            </w:r>
          </w:p>
        </w:tc>
        <w:tc>
          <w:tcPr>
            <w:tcW w:w="1089" w:type="dxa"/>
            <w:vAlign w:val="center"/>
          </w:tcPr>
          <w:p>
            <w:pPr>
              <w:spacing w:line="360" w:lineRule="exact"/>
              <w:ind w:firstLine="420" w:firstLineChars="200"/>
              <w:rPr>
                <w:rFonts w:ascii="宋体" w:hAnsi="宋体"/>
                <w:szCs w:val="21"/>
              </w:rPr>
            </w:pPr>
          </w:p>
        </w:tc>
      </w:tr>
      <w:tr>
        <w:trPr>
          <w:trHeight w:val="845" w:hRule="atLeast"/>
          <w:jc w:val="center"/>
        </w:trPr>
        <w:tc>
          <w:tcPr>
            <w:tcW w:w="498" w:type="dxa"/>
            <w:vAlign w:val="center"/>
          </w:tcPr>
          <w:p>
            <w:pPr>
              <w:spacing w:line="360" w:lineRule="exact"/>
              <w:jc w:val="center"/>
              <w:rPr>
                <w:rFonts w:ascii="宋体" w:hAnsi="宋体"/>
                <w:szCs w:val="21"/>
              </w:rPr>
            </w:pPr>
            <w:r>
              <w:rPr>
                <w:rFonts w:ascii="宋体" w:hAnsi="宋体"/>
                <w:szCs w:val="21"/>
              </w:rPr>
              <w:t>2</w:t>
            </w:r>
          </w:p>
        </w:tc>
        <w:tc>
          <w:tcPr>
            <w:tcW w:w="1275" w:type="dxa"/>
            <w:vAlign w:val="center"/>
          </w:tcPr>
          <w:p>
            <w:pPr>
              <w:spacing w:line="360" w:lineRule="exact"/>
              <w:jc w:val="center"/>
              <w:rPr>
                <w:rFonts w:ascii="宋体" w:hAnsi="宋体"/>
                <w:szCs w:val="21"/>
              </w:rPr>
            </w:pPr>
            <w:r>
              <w:rPr>
                <w:rFonts w:hint="eastAsia" w:ascii="宋体" w:hAnsi="宋体"/>
              </w:rPr>
              <w:t>投标人资格</w:t>
            </w:r>
          </w:p>
        </w:tc>
        <w:tc>
          <w:tcPr>
            <w:tcW w:w="3714" w:type="dxa"/>
            <w:vAlign w:val="center"/>
          </w:tcPr>
          <w:p>
            <w:pPr>
              <w:spacing w:line="360" w:lineRule="exact"/>
              <w:rPr>
                <w:rFonts w:ascii="宋体" w:hAnsi="宋体"/>
                <w:szCs w:val="21"/>
              </w:rPr>
            </w:pPr>
            <w:r>
              <w:rPr>
                <w:rFonts w:hint="eastAsia" w:ascii="宋体" w:hAnsi="宋体"/>
                <w:szCs w:val="21"/>
              </w:rPr>
              <w:t>投标人为中华人民共和国境内依法设立的法人或其他组织（若以分公司名义参与投标的须出具总公司授权参与的证明）。</w:t>
            </w:r>
          </w:p>
        </w:tc>
        <w:tc>
          <w:tcPr>
            <w:tcW w:w="3261" w:type="dxa"/>
            <w:vAlign w:val="center"/>
          </w:tcPr>
          <w:p>
            <w:pPr>
              <w:spacing w:line="360" w:lineRule="exact"/>
              <w:rPr>
                <w:rFonts w:ascii="宋体" w:hAnsi="宋体"/>
                <w:szCs w:val="21"/>
              </w:rPr>
            </w:pPr>
            <w:r>
              <w:rPr>
                <w:rFonts w:hint="eastAsia"/>
              </w:rPr>
              <w:t>投标人有效的</w:t>
            </w:r>
            <w:r>
              <w:rPr>
                <w:rFonts w:hint="eastAsia" w:ascii="宋体" w:hAnsi="宋体"/>
              </w:rPr>
              <w:t>营业执照副本或事业单位法人证书等证明文件复印件。及投标人须知前附表1.4.1和3.1.1要求</w:t>
            </w:r>
            <w:r>
              <w:rPr>
                <w:rFonts w:ascii="宋体" w:hAnsi="宋体"/>
              </w:rPr>
              <w:t>。</w:t>
            </w:r>
          </w:p>
        </w:tc>
        <w:tc>
          <w:tcPr>
            <w:tcW w:w="1089" w:type="dxa"/>
            <w:vAlign w:val="center"/>
          </w:tcPr>
          <w:p>
            <w:pPr>
              <w:spacing w:line="360" w:lineRule="exact"/>
              <w:ind w:firstLine="420" w:firstLineChars="200"/>
              <w:rPr>
                <w:rFonts w:ascii="宋体" w:hAnsi="宋体"/>
                <w:szCs w:val="21"/>
              </w:rPr>
            </w:pPr>
          </w:p>
        </w:tc>
      </w:tr>
      <w:tr>
        <w:trPr>
          <w:trHeight w:val="90" w:hRule="atLeast"/>
          <w:jc w:val="center"/>
        </w:trPr>
        <w:tc>
          <w:tcPr>
            <w:tcW w:w="498" w:type="dxa"/>
            <w:vAlign w:val="center"/>
          </w:tcPr>
          <w:p>
            <w:pPr>
              <w:spacing w:line="360" w:lineRule="exact"/>
              <w:jc w:val="center"/>
              <w:rPr>
                <w:rFonts w:ascii="宋体" w:hAnsi="宋体"/>
                <w:szCs w:val="21"/>
              </w:rPr>
            </w:pPr>
            <w:r>
              <w:rPr>
                <w:rFonts w:hint="eastAsia" w:ascii="宋体" w:hAnsi="宋体"/>
                <w:szCs w:val="21"/>
              </w:rPr>
              <w:t>3</w:t>
            </w:r>
          </w:p>
        </w:tc>
        <w:tc>
          <w:tcPr>
            <w:tcW w:w="1275" w:type="dxa"/>
            <w:vAlign w:val="center"/>
          </w:tcPr>
          <w:p>
            <w:pPr>
              <w:spacing w:line="360" w:lineRule="exact"/>
              <w:jc w:val="center"/>
              <w:rPr>
                <w:rFonts w:ascii="宋体" w:hAnsi="宋体"/>
                <w:szCs w:val="21"/>
              </w:rPr>
            </w:pPr>
            <w:r>
              <w:rPr>
                <w:rFonts w:hint="eastAsia" w:ascii="宋体" w:hAnsi="宋体"/>
                <w:szCs w:val="21"/>
              </w:rPr>
              <w:t>企业业绩</w:t>
            </w:r>
          </w:p>
        </w:tc>
        <w:tc>
          <w:tcPr>
            <w:tcW w:w="3714" w:type="dxa"/>
            <w:vAlign w:val="center"/>
          </w:tcPr>
          <w:p>
            <w:pPr>
              <w:spacing w:line="360" w:lineRule="exact"/>
            </w:pPr>
            <w:r>
              <w:rPr>
                <w:rFonts w:hint="eastAsia" w:ascii="宋体" w:hAnsi="宋体"/>
                <w:szCs w:val="21"/>
              </w:rPr>
              <w:t>投标人自2020年1月1日至今至少承接过1项含有资产管理（资产管理或固定资产或资产租赁）相关内容的信息化系统建设项目实施案例（实施案例合同含税金额在75万（含）以上）。</w:t>
            </w:r>
          </w:p>
        </w:tc>
        <w:tc>
          <w:tcPr>
            <w:tcW w:w="3261" w:type="dxa"/>
            <w:vAlign w:val="center"/>
          </w:tcPr>
          <w:p>
            <w:pPr>
              <w:spacing w:line="360" w:lineRule="exact"/>
              <w:textAlignment w:val="baseline"/>
              <w:rPr>
                <w:rFonts w:ascii="宋体" w:hAnsi="宋体"/>
                <w:szCs w:val="21"/>
              </w:rPr>
            </w:pPr>
            <w:r>
              <w:rPr>
                <w:rFonts w:hint="eastAsia"/>
                <w:szCs w:val="21"/>
              </w:rPr>
              <w:t>业绩证明文件：项目合同，证明文件中须体现合同甲乙方、合同签订时间、合同标的内容等信息，否则视为无效证明文件；</w:t>
            </w:r>
            <w:r>
              <w:rPr>
                <w:rFonts w:hint="eastAsia" w:ascii="宋体" w:hAnsi="宋体"/>
                <w:szCs w:val="21"/>
              </w:rPr>
              <w:t>分包</w:t>
            </w:r>
            <w:r>
              <w:rPr>
                <w:rFonts w:ascii="宋体" w:hAnsi="宋体"/>
                <w:szCs w:val="21"/>
              </w:rPr>
              <w:t>合同不予认可。</w:t>
            </w:r>
          </w:p>
          <w:p>
            <w:pPr>
              <w:spacing w:line="360" w:lineRule="exact"/>
              <w:rPr>
                <w:szCs w:val="21"/>
              </w:rPr>
            </w:pPr>
          </w:p>
        </w:tc>
        <w:tc>
          <w:tcPr>
            <w:tcW w:w="1089" w:type="dxa"/>
            <w:vAlign w:val="center"/>
          </w:tcPr>
          <w:p>
            <w:pPr>
              <w:spacing w:line="360" w:lineRule="exact"/>
              <w:ind w:firstLine="420" w:firstLineChars="200"/>
              <w:rPr>
                <w:rFonts w:ascii="宋体" w:hAnsi="宋体"/>
                <w:szCs w:val="21"/>
              </w:rPr>
            </w:pPr>
          </w:p>
        </w:tc>
      </w:tr>
      <w:tr>
        <w:trPr>
          <w:trHeight w:val="973" w:hRule="atLeast"/>
          <w:jc w:val="center"/>
        </w:trPr>
        <w:tc>
          <w:tcPr>
            <w:tcW w:w="498" w:type="dxa"/>
            <w:vAlign w:val="center"/>
          </w:tcPr>
          <w:p>
            <w:pPr>
              <w:spacing w:line="360" w:lineRule="exact"/>
              <w:jc w:val="center"/>
              <w:rPr>
                <w:rFonts w:ascii="宋体" w:hAnsi="宋体"/>
                <w:szCs w:val="21"/>
              </w:rPr>
            </w:pPr>
            <w:r>
              <w:rPr>
                <w:rFonts w:hint="eastAsia" w:ascii="宋体" w:hAnsi="宋体"/>
                <w:szCs w:val="21"/>
              </w:rPr>
              <w:t>4</w:t>
            </w:r>
          </w:p>
        </w:tc>
        <w:tc>
          <w:tcPr>
            <w:tcW w:w="1275" w:type="dxa"/>
            <w:vAlign w:val="center"/>
          </w:tcPr>
          <w:p>
            <w:pPr>
              <w:spacing w:line="360" w:lineRule="exact"/>
              <w:jc w:val="center"/>
              <w:rPr>
                <w:rFonts w:ascii="宋体" w:hAnsi="宋体"/>
                <w:szCs w:val="21"/>
              </w:rPr>
            </w:pPr>
            <w:r>
              <w:rPr>
                <w:rFonts w:hint="eastAsia" w:ascii="宋体" w:hAnsi="宋体"/>
                <w:szCs w:val="21"/>
              </w:rPr>
              <w:t>承诺书</w:t>
            </w:r>
          </w:p>
        </w:tc>
        <w:tc>
          <w:tcPr>
            <w:tcW w:w="3714" w:type="dxa"/>
            <w:vAlign w:val="center"/>
          </w:tcPr>
          <w:p>
            <w:pPr>
              <w:spacing w:line="360" w:lineRule="exact"/>
              <w:rPr>
                <w:rFonts w:ascii="宋体" w:hAnsi="宋体"/>
                <w:szCs w:val="21"/>
              </w:rPr>
            </w:pPr>
            <w:r>
              <w:rPr>
                <w:rFonts w:hint="eastAsia" w:ascii="宋体" w:hAnsi="宋体"/>
                <w:szCs w:val="21"/>
              </w:rPr>
              <w:t>投标人没有处于被责令停业，或投标资格被行政主管部门取消，或财产被接管、冻结、破产状态，在投标截止前3年内没有骗取中标、严重违约或重大安全质量事故。</w:t>
            </w:r>
            <w:r>
              <w:rPr>
                <w:rFonts w:ascii="宋体" w:hAnsi="宋体"/>
                <w:b/>
                <w:spacing w:val="1"/>
                <w:kern w:val="0"/>
                <w:position w:val="-2"/>
                <w:szCs w:val="21"/>
              </w:rPr>
              <w:t>与其他投标人之间不存在单位负责人为同一人或者控股、管理关系的情况。</w:t>
            </w:r>
            <w:r>
              <w:rPr>
                <w:rFonts w:hint="eastAsia" w:ascii="宋体" w:hAnsi="宋体" w:cs="宋体"/>
                <w:b/>
                <w:bCs/>
                <w:szCs w:val="21"/>
              </w:rPr>
              <w:t>投标人未列入招标人不良信用名单。</w:t>
            </w:r>
          </w:p>
        </w:tc>
        <w:tc>
          <w:tcPr>
            <w:tcW w:w="3261" w:type="dxa"/>
            <w:vAlign w:val="center"/>
          </w:tcPr>
          <w:p>
            <w:pPr>
              <w:spacing w:line="360" w:lineRule="exact"/>
              <w:rPr>
                <w:rFonts w:ascii="宋体" w:hAnsi="宋体"/>
                <w:szCs w:val="21"/>
              </w:rPr>
            </w:pPr>
            <w:r>
              <w:rPr>
                <w:rFonts w:hint="eastAsia"/>
                <w:kern w:val="0"/>
                <w:szCs w:val="21"/>
              </w:rPr>
              <w:t>按投标文件第六章规定的格式提供承诺书。</w:t>
            </w:r>
          </w:p>
        </w:tc>
        <w:tc>
          <w:tcPr>
            <w:tcW w:w="1089" w:type="dxa"/>
            <w:vAlign w:val="center"/>
          </w:tcPr>
          <w:p>
            <w:pPr>
              <w:spacing w:line="360" w:lineRule="exact"/>
              <w:ind w:firstLine="420" w:firstLineChars="200"/>
              <w:rPr>
                <w:rFonts w:ascii="宋体" w:hAnsi="宋体"/>
                <w:szCs w:val="21"/>
              </w:rPr>
            </w:pPr>
          </w:p>
        </w:tc>
      </w:tr>
      <w:tr>
        <w:trPr>
          <w:trHeight w:val="627" w:hRule="atLeast"/>
          <w:jc w:val="center"/>
        </w:trPr>
        <w:tc>
          <w:tcPr>
            <w:tcW w:w="498" w:type="dxa"/>
            <w:vAlign w:val="center"/>
          </w:tcPr>
          <w:p>
            <w:pPr>
              <w:spacing w:line="360" w:lineRule="exact"/>
              <w:jc w:val="center"/>
              <w:rPr>
                <w:rFonts w:ascii="宋体" w:hAnsi="宋体"/>
                <w:szCs w:val="21"/>
              </w:rPr>
            </w:pPr>
            <w:r>
              <w:rPr>
                <w:rFonts w:hint="eastAsia" w:ascii="宋体" w:hAnsi="宋体"/>
                <w:szCs w:val="21"/>
              </w:rPr>
              <w:t>5</w:t>
            </w:r>
          </w:p>
        </w:tc>
        <w:tc>
          <w:tcPr>
            <w:tcW w:w="1275" w:type="dxa"/>
            <w:vAlign w:val="center"/>
          </w:tcPr>
          <w:p>
            <w:pPr>
              <w:spacing w:line="360" w:lineRule="exact"/>
              <w:jc w:val="center"/>
              <w:rPr>
                <w:rFonts w:ascii="宋体" w:hAnsi="宋体"/>
                <w:szCs w:val="21"/>
              </w:rPr>
            </w:pPr>
            <w:r>
              <w:rPr>
                <w:rFonts w:hint="eastAsia" w:ascii="宋体" w:hAnsi="宋体"/>
                <w:szCs w:val="21"/>
              </w:rPr>
              <w:t>联合体投标</w:t>
            </w:r>
          </w:p>
        </w:tc>
        <w:tc>
          <w:tcPr>
            <w:tcW w:w="3714" w:type="dxa"/>
            <w:vAlign w:val="center"/>
          </w:tcPr>
          <w:p>
            <w:pPr>
              <w:spacing w:line="360" w:lineRule="exact"/>
              <w:rPr>
                <w:rFonts w:ascii="宋体" w:hAnsi="宋体"/>
              </w:rPr>
            </w:pPr>
            <w:r>
              <w:rPr>
                <w:rFonts w:hint="eastAsia" w:ascii="MS Gothic" w:hAnsi="MS Gothic" w:eastAsia="MS Gothic" w:cs="MS Gothic"/>
              </w:rPr>
              <w:t>☑</w:t>
            </w:r>
            <w:r>
              <w:rPr>
                <w:rFonts w:hint="eastAsia" w:ascii="宋体" w:hAnsi="宋体"/>
              </w:rPr>
              <w:t>本项目不接受联合体投标。</w:t>
            </w:r>
          </w:p>
        </w:tc>
        <w:tc>
          <w:tcPr>
            <w:tcW w:w="3261" w:type="dxa"/>
            <w:vAlign w:val="center"/>
          </w:tcPr>
          <w:p>
            <w:pPr>
              <w:spacing w:line="360" w:lineRule="exact"/>
              <w:rPr>
                <w:rFonts w:ascii="宋体" w:hAnsi="宋体"/>
              </w:rPr>
            </w:pPr>
            <w:r>
              <w:rPr>
                <w:rFonts w:hint="eastAsia" w:ascii="MS Gothic" w:hAnsi="MS Gothic" w:eastAsia="MS Gothic" w:cs="MS Gothic"/>
              </w:rPr>
              <w:t>☑</w:t>
            </w:r>
            <w:r>
              <w:rPr>
                <w:rFonts w:hint="eastAsia" w:ascii="宋体" w:hAnsi="宋体"/>
              </w:rPr>
              <w:t>本项目不接受联合体投标的评审依据：投标人为非联合体投标。</w:t>
            </w:r>
          </w:p>
        </w:tc>
        <w:tc>
          <w:tcPr>
            <w:tcW w:w="1089" w:type="dxa"/>
            <w:vAlign w:val="center"/>
          </w:tcPr>
          <w:p>
            <w:pPr>
              <w:spacing w:line="360" w:lineRule="exact"/>
              <w:ind w:firstLine="420" w:firstLineChars="200"/>
              <w:rPr>
                <w:rFonts w:ascii="宋体" w:hAnsi="宋体"/>
                <w:szCs w:val="21"/>
              </w:rPr>
            </w:pPr>
          </w:p>
        </w:tc>
      </w:tr>
    </w:tbl>
    <w:p>
      <w:pPr>
        <w:ind w:firstLine="420" w:firstLineChars="200"/>
        <w:rPr>
          <w:rFonts w:ascii="宋体" w:hAnsi="宋体"/>
          <w:b/>
          <w:szCs w:val="21"/>
        </w:rPr>
      </w:pPr>
      <w:r>
        <w:rPr>
          <w:rFonts w:ascii="宋体" w:hAnsi="宋体"/>
          <w:b/>
          <w:szCs w:val="21"/>
        </w:rPr>
        <w:t>注：</w:t>
      </w:r>
    </w:p>
    <w:p>
      <w:pPr>
        <w:ind w:firstLine="420" w:firstLineChars="200"/>
        <w:rPr>
          <w:rFonts w:ascii="宋体" w:hAnsi="宋体"/>
          <w:b/>
          <w:szCs w:val="21"/>
        </w:rPr>
      </w:pPr>
      <w:r>
        <w:rPr>
          <w:rFonts w:ascii="宋体" w:hAnsi="宋体"/>
          <w:b/>
          <w:szCs w:val="21"/>
        </w:rPr>
        <w:t>1.</w:t>
      </w:r>
      <w:r>
        <w:rPr>
          <w:rFonts w:hint="eastAsia" w:ascii="宋体" w:hAnsi="宋体"/>
          <w:b/>
          <w:szCs w:val="21"/>
        </w:rPr>
        <w:t>投标文件中的所有证明资料的复印件均应加盖投标人公章，原件备查；</w:t>
      </w:r>
    </w:p>
    <w:p>
      <w:pPr>
        <w:ind w:firstLine="420" w:firstLineChars="200"/>
        <w:rPr>
          <w:rFonts w:ascii="宋体" w:hAnsi="宋体"/>
          <w:b/>
          <w:szCs w:val="21"/>
        </w:rPr>
      </w:pPr>
      <w:r>
        <w:rPr>
          <w:rFonts w:hint="eastAsia" w:ascii="宋体" w:hAnsi="宋体"/>
          <w:b/>
          <w:szCs w:val="21"/>
        </w:rPr>
        <w:t>2</w:t>
      </w:r>
      <w:r>
        <w:rPr>
          <w:rFonts w:ascii="宋体" w:hAnsi="宋体"/>
          <w:b/>
          <w:szCs w:val="21"/>
        </w:rPr>
        <w:t>. 评审结果填写</w:t>
      </w:r>
      <w:r>
        <w:rPr>
          <w:rFonts w:hint="eastAsia" w:ascii="宋体" w:hAnsi="宋体"/>
          <w:b/>
          <w:szCs w:val="21"/>
        </w:rPr>
        <w:t>：</w:t>
      </w:r>
      <w:r>
        <w:rPr>
          <w:rFonts w:ascii="宋体" w:hAnsi="宋体"/>
          <w:b/>
          <w:szCs w:val="21"/>
        </w:rPr>
        <w:t>合格打√，不合格打×，凡评审结果有一项不合格者，结论为不通过。</w:t>
      </w:r>
    </w:p>
    <w:p>
      <w:pPr>
        <w:ind w:firstLine="420" w:firstLineChars="200"/>
        <w:rPr>
          <w:rFonts w:ascii="宋体" w:hAnsi="宋体"/>
          <w:b/>
          <w:szCs w:val="21"/>
        </w:rPr>
      </w:pPr>
      <w:r>
        <w:rPr>
          <w:rFonts w:ascii="宋体" w:hAnsi="宋体"/>
          <w:b/>
          <w:szCs w:val="21"/>
        </w:rPr>
        <w:t>3.未通过</w:t>
      </w:r>
      <w:r>
        <w:rPr>
          <w:rFonts w:hint="eastAsia" w:ascii="宋体" w:hAnsi="宋体"/>
          <w:b/>
          <w:szCs w:val="21"/>
        </w:rPr>
        <w:t>资格审查</w:t>
      </w:r>
      <w:r>
        <w:rPr>
          <w:rFonts w:ascii="宋体" w:hAnsi="宋体"/>
          <w:b/>
          <w:szCs w:val="21"/>
        </w:rPr>
        <w:t>不得进入下一步评审。</w:t>
      </w:r>
    </w:p>
    <w:p>
      <w:pPr>
        <w:keepNext/>
        <w:keepLines/>
        <w:pageBreakBefore/>
        <w:spacing w:line="360" w:lineRule="auto"/>
        <w:ind w:left="482" w:hanging="480" w:hangingChars="200"/>
        <w:outlineLvl w:val="2"/>
        <w:rPr>
          <w:rFonts w:ascii="Arial" w:hAnsi="Arial"/>
          <w:b/>
          <w:bCs/>
          <w:kern w:val="0"/>
          <w:sz w:val="24"/>
          <w:szCs w:val="28"/>
        </w:rPr>
      </w:pPr>
      <w:bookmarkStart w:id="354" w:name="_Toc20988"/>
      <w:r>
        <w:rPr>
          <w:rFonts w:hint="eastAsia" w:ascii="Arial" w:hAnsi="Arial"/>
          <w:b/>
          <w:bCs/>
          <w:kern w:val="0"/>
          <w:sz w:val="24"/>
          <w:szCs w:val="28"/>
        </w:rPr>
        <w:t>附表二:  初步评审表</w:t>
      </w:r>
      <w:bookmarkEnd w:id="354"/>
    </w:p>
    <w:p>
      <w:pPr>
        <w:spacing w:line="360" w:lineRule="auto"/>
        <w:jc w:val="center"/>
        <w:rPr>
          <w:rFonts w:ascii="宋体" w:hAnsi="宋体"/>
          <w:b/>
          <w:kern w:val="0"/>
          <w:szCs w:val="21"/>
        </w:rPr>
      </w:pPr>
      <w:r>
        <w:rPr>
          <w:rFonts w:ascii="宋体" w:hAnsi="宋体"/>
          <w:b/>
          <w:kern w:val="0"/>
          <w:szCs w:val="21"/>
        </w:rPr>
        <w:t>初步评审表</w:t>
      </w:r>
      <w:r>
        <w:rPr>
          <w:rFonts w:hint="eastAsia" w:ascii="宋体" w:hAnsi="宋体"/>
          <w:b/>
          <w:kern w:val="0"/>
          <w:szCs w:val="21"/>
        </w:rPr>
        <w:t>一</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
        <w:gridCol w:w="7087"/>
        <w:gridCol w:w="1133"/>
      </w:tblGrid>
      <w:tr>
        <w:trPr>
          <w:cantSplit/>
          <w:trHeight w:val="454" w:hRule="atLeast"/>
          <w:tblHeader/>
          <w:jc w:val="center"/>
        </w:trPr>
        <w:tc>
          <w:tcPr>
            <w:tcW w:w="852" w:type="dxa"/>
            <w:vAlign w:val="center"/>
          </w:tcPr>
          <w:p>
            <w:pPr>
              <w:spacing w:line="0" w:lineRule="atLeast"/>
              <w:jc w:val="center"/>
              <w:rPr>
                <w:rFonts w:ascii="宋体" w:hAnsi="宋体"/>
                <w:b/>
                <w:kern w:val="0"/>
                <w:szCs w:val="21"/>
              </w:rPr>
            </w:pPr>
            <w:r>
              <w:rPr>
                <w:rFonts w:ascii="宋体" w:hAnsi="宋体"/>
                <w:b/>
                <w:kern w:val="0"/>
                <w:szCs w:val="21"/>
              </w:rPr>
              <w:t>序号</w:t>
            </w:r>
          </w:p>
        </w:tc>
        <w:tc>
          <w:tcPr>
            <w:tcW w:w="7087" w:type="dxa"/>
            <w:vAlign w:val="center"/>
          </w:tcPr>
          <w:p>
            <w:pPr>
              <w:spacing w:line="0" w:lineRule="atLeast"/>
              <w:jc w:val="center"/>
              <w:rPr>
                <w:rFonts w:ascii="宋体" w:hAnsi="宋体"/>
                <w:b/>
                <w:kern w:val="0"/>
                <w:szCs w:val="21"/>
              </w:rPr>
            </w:pPr>
            <w:r>
              <w:rPr>
                <w:rFonts w:ascii="宋体" w:hAnsi="宋体"/>
                <w:b/>
                <w:kern w:val="0"/>
                <w:szCs w:val="21"/>
              </w:rPr>
              <w:t>评审项目</w:t>
            </w:r>
          </w:p>
        </w:tc>
        <w:tc>
          <w:tcPr>
            <w:tcW w:w="1133" w:type="dxa"/>
            <w:vAlign w:val="center"/>
          </w:tcPr>
          <w:p>
            <w:pPr>
              <w:spacing w:line="0" w:lineRule="atLeast"/>
              <w:jc w:val="center"/>
              <w:rPr>
                <w:rFonts w:ascii="宋体" w:hAnsi="宋体"/>
                <w:b/>
                <w:kern w:val="0"/>
                <w:szCs w:val="21"/>
              </w:rPr>
            </w:pPr>
            <w:r>
              <w:rPr>
                <w:rFonts w:hint="eastAsia" w:ascii="宋体" w:hAnsi="宋体"/>
                <w:b/>
                <w:kern w:val="0"/>
                <w:szCs w:val="21"/>
              </w:rPr>
              <w:t>评审结果</w:t>
            </w:r>
          </w:p>
        </w:tc>
      </w:tr>
      <w:tr>
        <w:trPr>
          <w:cantSplit/>
          <w:trHeight w:val="454" w:hRule="atLeast"/>
          <w:tblHeader/>
          <w:jc w:val="center"/>
        </w:trPr>
        <w:tc>
          <w:tcPr>
            <w:tcW w:w="852" w:type="dxa"/>
            <w:vAlign w:val="center"/>
          </w:tcPr>
          <w:p>
            <w:pPr>
              <w:spacing w:line="0" w:lineRule="atLeast"/>
              <w:jc w:val="center"/>
              <w:rPr>
                <w:rFonts w:ascii="宋体" w:hAnsi="宋体"/>
                <w:kern w:val="0"/>
                <w:szCs w:val="21"/>
              </w:rPr>
            </w:pPr>
            <w:r>
              <w:rPr>
                <w:rFonts w:ascii="宋体" w:hAnsi="宋体"/>
                <w:kern w:val="0"/>
                <w:szCs w:val="21"/>
              </w:rPr>
              <w:t>1</w:t>
            </w:r>
          </w:p>
        </w:tc>
        <w:tc>
          <w:tcPr>
            <w:tcW w:w="7087" w:type="dxa"/>
            <w:vAlign w:val="center"/>
          </w:tcPr>
          <w:p>
            <w:pPr>
              <w:rPr>
                <w:kern w:val="0"/>
                <w:szCs w:val="21"/>
              </w:rPr>
            </w:pPr>
            <w:r>
              <w:rPr>
                <w:rFonts w:hint="eastAsia"/>
                <w:kern w:val="0"/>
                <w:szCs w:val="21"/>
              </w:rPr>
              <w:t>投标文件按规定签署</w:t>
            </w:r>
            <w:r>
              <w:rPr>
                <w:rFonts w:hint="eastAsia" w:ascii="宋体" w:hAnsi="宋体" w:cs="宋体"/>
                <w:kern w:val="0"/>
                <w:szCs w:val="21"/>
              </w:rPr>
              <w:t>和盖章。</w:t>
            </w:r>
          </w:p>
        </w:tc>
        <w:tc>
          <w:tcPr>
            <w:tcW w:w="1133" w:type="dxa"/>
            <w:vAlign w:val="center"/>
          </w:tcPr>
          <w:p>
            <w:pPr>
              <w:spacing w:line="0" w:lineRule="atLeast"/>
              <w:jc w:val="center"/>
              <w:rPr>
                <w:rFonts w:ascii="宋体" w:hAnsi="宋体"/>
                <w:b/>
                <w:kern w:val="0"/>
                <w:szCs w:val="21"/>
              </w:rPr>
            </w:pPr>
          </w:p>
        </w:tc>
      </w:tr>
      <w:tr>
        <w:trPr>
          <w:cantSplit/>
          <w:trHeight w:val="454" w:hRule="atLeast"/>
          <w:tblHeader/>
          <w:jc w:val="center"/>
        </w:trPr>
        <w:tc>
          <w:tcPr>
            <w:tcW w:w="852" w:type="dxa"/>
            <w:vAlign w:val="center"/>
          </w:tcPr>
          <w:p>
            <w:pPr>
              <w:spacing w:line="0" w:lineRule="atLeast"/>
              <w:jc w:val="center"/>
              <w:rPr>
                <w:rFonts w:ascii="宋体" w:hAnsi="宋体"/>
                <w:kern w:val="0"/>
                <w:szCs w:val="21"/>
              </w:rPr>
            </w:pPr>
            <w:r>
              <w:rPr>
                <w:rFonts w:ascii="宋体" w:hAnsi="宋体"/>
                <w:kern w:val="0"/>
                <w:szCs w:val="21"/>
              </w:rPr>
              <w:t>2</w:t>
            </w:r>
          </w:p>
        </w:tc>
        <w:tc>
          <w:tcPr>
            <w:tcW w:w="7087" w:type="dxa"/>
            <w:vAlign w:val="center"/>
          </w:tcPr>
          <w:p>
            <w:pPr>
              <w:rPr>
                <w:kern w:val="0"/>
                <w:szCs w:val="21"/>
              </w:rPr>
            </w:pPr>
            <w:r>
              <w:rPr>
                <w:rFonts w:hint="eastAsia"/>
                <w:kern w:val="0"/>
                <w:szCs w:val="21"/>
              </w:rPr>
              <w:t>投标文件按规定的格式填写，内容齐全</w:t>
            </w:r>
            <w:r>
              <w:rPr>
                <w:rFonts w:hint="eastAsia" w:ascii="宋体" w:hAnsi="宋体" w:cs="宋体"/>
                <w:kern w:val="0"/>
                <w:szCs w:val="21"/>
              </w:rPr>
              <w:t>（</w:t>
            </w:r>
            <w:r>
              <w:rPr>
                <w:rFonts w:hint="eastAsia"/>
                <w:kern w:val="0"/>
                <w:szCs w:val="21"/>
              </w:rPr>
              <w:t>应按照招标文件规定第六章节格式填写</w:t>
            </w:r>
            <w:r>
              <w:rPr>
                <w:rFonts w:hint="eastAsia" w:ascii="宋体" w:hAnsi="宋体" w:cs="宋体"/>
                <w:kern w:val="0"/>
                <w:szCs w:val="21"/>
              </w:rPr>
              <w:t>）</w:t>
            </w:r>
            <w:r>
              <w:rPr>
                <w:rFonts w:hint="eastAsia"/>
                <w:kern w:val="0"/>
                <w:szCs w:val="21"/>
              </w:rPr>
              <w:t>；</w:t>
            </w:r>
          </w:p>
          <w:p>
            <w:pPr>
              <w:rPr>
                <w:rFonts w:eastAsia="Times New Roman"/>
                <w:kern w:val="0"/>
                <w:szCs w:val="21"/>
              </w:rPr>
            </w:pPr>
            <w:r>
              <w:rPr>
                <w:rFonts w:hint="eastAsia" w:ascii="宋体" w:hAnsi="宋体" w:cs="宋体"/>
                <w:kern w:val="0"/>
                <w:szCs w:val="21"/>
              </w:rPr>
              <w:t>投标函中没有关键字迹模糊、无法辨认或含义不明确的。</w:t>
            </w:r>
          </w:p>
        </w:tc>
        <w:tc>
          <w:tcPr>
            <w:tcW w:w="1133" w:type="dxa"/>
            <w:vAlign w:val="center"/>
          </w:tcPr>
          <w:p>
            <w:pPr>
              <w:spacing w:line="0" w:lineRule="atLeast"/>
              <w:jc w:val="center"/>
              <w:rPr>
                <w:rFonts w:ascii="宋体" w:hAnsi="宋体"/>
                <w:b/>
                <w:kern w:val="0"/>
                <w:szCs w:val="21"/>
              </w:rPr>
            </w:pPr>
          </w:p>
        </w:tc>
      </w:tr>
      <w:tr>
        <w:trPr>
          <w:cantSplit/>
          <w:trHeight w:val="454" w:hRule="atLeast"/>
          <w:tblHeader/>
          <w:jc w:val="center"/>
        </w:trPr>
        <w:tc>
          <w:tcPr>
            <w:tcW w:w="852" w:type="dxa"/>
            <w:vAlign w:val="center"/>
          </w:tcPr>
          <w:p>
            <w:pPr>
              <w:spacing w:line="0" w:lineRule="atLeast"/>
              <w:jc w:val="center"/>
              <w:rPr>
                <w:rFonts w:ascii="宋体" w:hAnsi="宋体"/>
                <w:kern w:val="0"/>
                <w:szCs w:val="21"/>
              </w:rPr>
            </w:pPr>
            <w:r>
              <w:rPr>
                <w:rFonts w:ascii="宋体" w:hAnsi="宋体"/>
                <w:kern w:val="0"/>
                <w:szCs w:val="21"/>
              </w:rPr>
              <w:t>3</w:t>
            </w:r>
          </w:p>
        </w:tc>
        <w:tc>
          <w:tcPr>
            <w:tcW w:w="7087" w:type="dxa"/>
            <w:vAlign w:val="center"/>
          </w:tcPr>
          <w:p>
            <w:pPr>
              <w:rPr>
                <w:kern w:val="0"/>
                <w:szCs w:val="21"/>
              </w:rPr>
            </w:pPr>
            <w:r>
              <w:rPr>
                <w:rFonts w:hint="eastAsia"/>
                <w:kern w:val="0"/>
                <w:szCs w:val="21"/>
              </w:rPr>
              <w:t>投标有效期</w:t>
            </w:r>
            <w:r>
              <w:rPr>
                <w:rFonts w:hint="eastAsia" w:ascii="宋体" w:hAnsi="宋体" w:cs="宋体"/>
                <w:kern w:val="0"/>
                <w:szCs w:val="21"/>
              </w:rPr>
              <w:t>满足招标文件要求。</w:t>
            </w:r>
          </w:p>
        </w:tc>
        <w:tc>
          <w:tcPr>
            <w:tcW w:w="1133" w:type="dxa"/>
            <w:vAlign w:val="center"/>
          </w:tcPr>
          <w:p>
            <w:pPr>
              <w:spacing w:line="0" w:lineRule="atLeast"/>
              <w:jc w:val="center"/>
              <w:rPr>
                <w:rFonts w:ascii="宋体" w:hAnsi="宋体"/>
                <w:b/>
                <w:kern w:val="0"/>
                <w:szCs w:val="21"/>
              </w:rPr>
            </w:pPr>
          </w:p>
        </w:tc>
      </w:tr>
      <w:tr>
        <w:trPr>
          <w:cantSplit/>
          <w:trHeight w:val="454" w:hRule="atLeast"/>
          <w:tblHeader/>
          <w:jc w:val="center"/>
        </w:trPr>
        <w:tc>
          <w:tcPr>
            <w:tcW w:w="852" w:type="dxa"/>
            <w:vAlign w:val="center"/>
          </w:tcPr>
          <w:p>
            <w:pPr>
              <w:spacing w:line="0" w:lineRule="atLeast"/>
              <w:jc w:val="center"/>
              <w:rPr>
                <w:rFonts w:ascii="宋体" w:hAnsi="宋体"/>
                <w:kern w:val="0"/>
                <w:szCs w:val="21"/>
              </w:rPr>
            </w:pPr>
            <w:r>
              <w:rPr>
                <w:rFonts w:hint="eastAsia" w:ascii="宋体" w:hAnsi="宋体"/>
                <w:kern w:val="0"/>
                <w:szCs w:val="21"/>
              </w:rPr>
              <w:t>4</w:t>
            </w:r>
          </w:p>
        </w:tc>
        <w:tc>
          <w:tcPr>
            <w:tcW w:w="7087" w:type="dxa"/>
            <w:vAlign w:val="center"/>
          </w:tcPr>
          <w:p>
            <w:pPr>
              <w:rPr>
                <w:kern w:val="0"/>
                <w:szCs w:val="21"/>
              </w:rPr>
            </w:pPr>
            <w:r>
              <w:rPr>
                <w:rFonts w:hint="eastAsia"/>
                <w:kern w:val="0"/>
                <w:szCs w:val="21"/>
              </w:rPr>
              <w:t>投标报价</w:t>
            </w:r>
            <w:r>
              <w:rPr>
                <w:rFonts w:hint="eastAsia" w:ascii="宋体" w:hAnsi="宋体" w:cs="宋体"/>
                <w:kern w:val="0"/>
                <w:szCs w:val="21"/>
              </w:rPr>
              <w:t>未超过招标</w:t>
            </w:r>
            <w:r>
              <w:rPr>
                <w:rFonts w:ascii="宋体" w:hAnsi="宋体"/>
                <w:kern w:val="0"/>
                <w:szCs w:val="21"/>
              </w:rPr>
              <w:t>上限</w:t>
            </w:r>
            <w:r>
              <w:rPr>
                <w:rFonts w:hint="eastAsia"/>
                <w:kern w:val="0"/>
                <w:szCs w:val="21"/>
              </w:rPr>
              <w:t>控制</w:t>
            </w:r>
            <w:r>
              <w:rPr>
                <w:rFonts w:hint="eastAsia" w:ascii="宋体" w:hAnsi="宋体" w:cs="宋体"/>
                <w:kern w:val="0"/>
                <w:szCs w:val="21"/>
              </w:rPr>
              <w:t>价</w:t>
            </w:r>
            <w:r>
              <w:rPr>
                <w:rFonts w:hint="eastAsia"/>
                <w:kern w:val="0"/>
                <w:szCs w:val="21"/>
              </w:rPr>
              <w:t>，综合单价未超过</w:t>
            </w:r>
            <w:r>
              <w:rPr>
                <w:rFonts w:hint="eastAsia" w:ascii="宋体" w:hAnsi="宋体" w:cs="宋体"/>
                <w:kern w:val="0"/>
                <w:szCs w:val="21"/>
              </w:rPr>
              <w:t>招标</w:t>
            </w:r>
            <w:r>
              <w:rPr>
                <w:rFonts w:hint="eastAsia"/>
                <w:kern w:val="0"/>
                <w:szCs w:val="21"/>
              </w:rPr>
              <w:t>控制综合单</w:t>
            </w:r>
            <w:r>
              <w:rPr>
                <w:rFonts w:hint="eastAsia" w:ascii="宋体" w:hAnsi="宋体" w:cs="宋体"/>
                <w:kern w:val="0"/>
                <w:szCs w:val="21"/>
              </w:rPr>
              <w:t>价的</w:t>
            </w:r>
            <w:r>
              <w:rPr>
                <w:rFonts w:hint="eastAsia"/>
                <w:kern w:val="0"/>
                <w:szCs w:val="21"/>
              </w:rPr>
              <w:t>（如有）</w:t>
            </w:r>
            <w:r>
              <w:rPr>
                <w:rFonts w:hint="eastAsia" w:ascii="宋体" w:hAnsi="宋体" w:cs="宋体"/>
                <w:kern w:val="0"/>
                <w:szCs w:val="21"/>
              </w:rPr>
              <w:t>。</w:t>
            </w:r>
          </w:p>
        </w:tc>
        <w:tc>
          <w:tcPr>
            <w:tcW w:w="1133" w:type="dxa"/>
            <w:vAlign w:val="center"/>
          </w:tcPr>
          <w:p>
            <w:pPr>
              <w:spacing w:line="0" w:lineRule="atLeast"/>
              <w:jc w:val="center"/>
              <w:rPr>
                <w:rFonts w:ascii="宋体" w:hAnsi="宋体"/>
                <w:kern w:val="0"/>
                <w:szCs w:val="21"/>
              </w:rPr>
            </w:pPr>
          </w:p>
        </w:tc>
      </w:tr>
      <w:tr>
        <w:trPr>
          <w:cantSplit/>
          <w:trHeight w:val="454" w:hRule="atLeast"/>
          <w:tblHeader/>
          <w:jc w:val="center"/>
        </w:trPr>
        <w:tc>
          <w:tcPr>
            <w:tcW w:w="852" w:type="dxa"/>
            <w:vAlign w:val="center"/>
          </w:tcPr>
          <w:p>
            <w:pPr>
              <w:spacing w:line="0" w:lineRule="atLeast"/>
              <w:jc w:val="center"/>
              <w:rPr>
                <w:rFonts w:ascii="宋体" w:hAnsi="宋体"/>
                <w:kern w:val="0"/>
                <w:szCs w:val="21"/>
              </w:rPr>
            </w:pPr>
            <w:r>
              <w:rPr>
                <w:rFonts w:hint="eastAsia" w:ascii="宋体" w:hAnsi="宋体"/>
                <w:kern w:val="0"/>
                <w:szCs w:val="21"/>
              </w:rPr>
              <w:t>5</w:t>
            </w:r>
          </w:p>
        </w:tc>
        <w:tc>
          <w:tcPr>
            <w:tcW w:w="7087" w:type="dxa"/>
            <w:vAlign w:val="center"/>
          </w:tcPr>
          <w:p>
            <w:pPr>
              <w:rPr>
                <w:kern w:val="0"/>
                <w:szCs w:val="21"/>
              </w:rPr>
            </w:pPr>
            <w:r>
              <w:rPr>
                <w:rFonts w:hint="eastAsia"/>
                <w:kern w:val="0"/>
                <w:szCs w:val="21"/>
              </w:rPr>
              <w:t>投标人没有递交两份或多份内容不同的投标文件，或在一份投标文件中，有两个或多个报价但书面声明哪一个有效（按招标文件规定提供可选择性方案报价的除外）。</w:t>
            </w:r>
          </w:p>
        </w:tc>
        <w:tc>
          <w:tcPr>
            <w:tcW w:w="1133" w:type="dxa"/>
            <w:vAlign w:val="center"/>
          </w:tcPr>
          <w:p>
            <w:pPr>
              <w:spacing w:line="0" w:lineRule="atLeast"/>
              <w:jc w:val="center"/>
              <w:rPr>
                <w:rFonts w:ascii="宋体" w:hAnsi="宋体"/>
                <w:b/>
                <w:kern w:val="0"/>
                <w:szCs w:val="21"/>
              </w:rPr>
            </w:pPr>
          </w:p>
        </w:tc>
      </w:tr>
      <w:tr>
        <w:trPr>
          <w:cantSplit/>
          <w:trHeight w:val="454" w:hRule="atLeast"/>
          <w:jc w:val="center"/>
        </w:trPr>
        <w:tc>
          <w:tcPr>
            <w:tcW w:w="852" w:type="dxa"/>
            <w:vAlign w:val="center"/>
          </w:tcPr>
          <w:p>
            <w:pPr>
              <w:spacing w:line="0" w:lineRule="atLeast"/>
              <w:jc w:val="center"/>
              <w:rPr>
                <w:rFonts w:ascii="宋体" w:hAnsi="宋体"/>
                <w:kern w:val="0"/>
                <w:szCs w:val="21"/>
              </w:rPr>
            </w:pPr>
            <w:r>
              <w:rPr>
                <w:rFonts w:hint="eastAsia" w:ascii="宋体" w:hAnsi="宋体"/>
                <w:kern w:val="0"/>
                <w:szCs w:val="21"/>
              </w:rPr>
              <w:t>6</w:t>
            </w:r>
          </w:p>
        </w:tc>
        <w:tc>
          <w:tcPr>
            <w:tcW w:w="7087" w:type="dxa"/>
            <w:vAlign w:val="center"/>
          </w:tcPr>
          <w:p>
            <w:pPr>
              <w:rPr>
                <w:kern w:val="0"/>
                <w:szCs w:val="21"/>
              </w:rPr>
            </w:pPr>
            <w:r>
              <w:rPr>
                <w:rFonts w:hint="eastAsia"/>
                <w:kern w:val="0"/>
                <w:szCs w:val="21"/>
              </w:rPr>
              <w:t>投标报价固定</w:t>
            </w:r>
            <w:r>
              <w:rPr>
                <w:rFonts w:hint="eastAsia" w:ascii="宋体" w:hAnsi="宋体" w:cs="宋体"/>
                <w:kern w:val="0"/>
                <w:szCs w:val="21"/>
              </w:rPr>
              <w:t>，或同一方案无选择性报价。</w:t>
            </w:r>
          </w:p>
        </w:tc>
        <w:tc>
          <w:tcPr>
            <w:tcW w:w="1133" w:type="dxa"/>
            <w:vAlign w:val="center"/>
          </w:tcPr>
          <w:p>
            <w:pPr>
              <w:spacing w:line="0" w:lineRule="atLeast"/>
              <w:jc w:val="center"/>
              <w:rPr>
                <w:rFonts w:ascii="宋体" w:hAnsi="宋体"/>
                <w:kern w:val="0"/>
                <w:szCs w:val="21"/>
              </w:rPr>
            </w:pPr>
          </w:p>
        </w:tc>
      </w:tr>
      <w:tr>
        <w:trPr>
          <w:cantSplit/>
          <w:trHeight w:val="454" w:hRule="atLeast"/>
          <w:jc w:val="center"/>
        </w:trPr>
        <w:tc>
          <w:tcPr>
            <w:tcW w:w="852" w:type="dxa"/>
            <w:vAlign w:val="center"/>
          </w:tcPr>
          <w:p>
            <w:pPr>
              <w:spacing w:line="0" w:lineRule="atLeast"/>
              <w:jc w:val="center"/>
              <w:rPr>
                <w:rFonts w:ascii="宋体" w:hAnsi="宋体"/>
                <w:kern w:val="0"/>
                <w:szCs w:val="21"/>
              </w:rPr>
            </w:pPr>
            <w:r>
              <w:rPr>
                <w:rFonts w:hint="eastAsia" w:ascii="宋体" w:hAnsi="宋体"/>
                <w:kern w:val="0"/>
                <w:szCs w:val="21"/>
              </w:rPr>
              <w:t>7</w:t>
            </w:r>
          </w:p>
        </w:tc>
        <w:tc>
          <w:tcPr>
            <w:tcW w:w="7087" w:type="dxa"/>
            <w:vAlign w:val="center"/>
          </w:tcPr>
          <w:p>
            <w:pPr>
              <w:rPr>
                <w:kern w:val="0"/>
                <w:szCs w:val="21"/>
              </w:rPr>
            </w:pPr>
            <w:r>
              <w:rPr>
                <w:rFonts w:hint="eastAsia"/>
                <w:kern w:val="0"/>
                <w:szCs w:val="21"/>
              </w:rPr>
              <w:t>服务</w:t>
            </w:r>
            <w:r>
              <w:rPr>
                <w:rFonts w:hint="eastAsia" w:ascii="宋体" w:hAnsi="宋体" w:cs="宋体"/>
                <w:kern w:val="0"/>
                <w:szCs w:val="21"/>
              </w:rPr>
              <w:t>期满足招标文件要求。</w:t>
            </w:r>
          </w:p>
        </w:tc>
        <w:tc>
          <w:tcPr>
            <w:tcW w:w="1133" w:type="dxa"/>
            <w:vAlign w:val="center"/>
          </w:tcPr>
          <w:p>
            <w:pPr>
              <w:spacing w:line="0" w:lineRule="atLeast"/>
              <w:jc w:val="center"/>
              <w:rPr>
                <w:rFonts w:ascii="宋体" w:hAnsi="宋体"/>
                <w:kern w:val="0"/>
                <w:szCs w:val="21"/>
              </w:rPr>
            </w:pPr>
          </w:p>
        </w:tc>
      </w:tr>
      <w:tr>
        <w:trPr>
          <w:cantSplit/>
          <w:trHeight w:val="454" w:hRule="atLeast"/>
          <w:jc w:val="center"/>
        </w:trPr>
        <w:tc>
          <w:tcPr>
            <w:tcW w:w="852" w:type="dxa"/>
            <w:vAlign w:val="center"/>
          </w:tcPr>
          <w:p>
            <w:pPr>
              <w:spacing w:line="0" w:lineRule="atLeast"/>
              <w:jc w:val="center"/>
              <w:rPr>
                <w:rFonts w:ascii="宋体" w:hAnsi="宋体"/>
                <w:kern w:val="0"/>
                <w:szCs w:val="21"/>
              </w:rPr>
            </w:pPr>
            <w:r>
              <w:rPr>
                <w:rFonts w:hint="eastAsia" w:ascii="宋体" w:hAnsi="宋体"/>
                <w:kern w:val="0"/>
                <w:szCs w:val="21"/>
              </w:rPr>
              <w:t>8</w:t>
            </w:r>
          </w:p>
        </w:tc>
        <w:tc>
          <w:tcPr>
            <w:tcW w:w="7087" w:type="dxa"/>
            <w:vAlign w:val="center"/>
          </w:tcPr>
          <w:p>
            <w:pPr>
              <w:rPr>
                <w:kern w:val="0"/>
                <w:szCs w:val="21"/>
              </w:rPr>
            </w:pPr>
            <w:r>
              <w:rPr>
                <w:rFonts w:hint="eastAsia"/>
              </w:rPr>
              <w:t>投标报价清单无缺、漏项。</w:t>
            </w:r>
          </w:p>
        </w:tc>
        <w:tc>
          <w:tcPr>
            <w:tcW w:w="1133" w:type="dxa"/>
            <w:vAlign w:val="center"/>
          </w:tcPr>
          <w:p>
            <w:pPr>
              <w:spacing w:line="0" w:lineRule="atLeast"/>
              <w:jc w:val="center"/>
              <w:rPr>
                <w:rFonts w:ascii="宋体" w:hAnsi="宋体"/>
                <w:kern w:val="0"/>
                <w:szCs w:val="21"/>
              </w:rPr>
            </w:pPr>
          </w:p>
        </w:tc>
      </w:tr>
      <w:tr>
        <w:trPr>
          <w:cantSplit/>
          <w:trHeight w:val="454" w:hRule="atLeast"/>
          <w:jc w:val="center"/>
        </w:trPr>
        <w:tc>
          <w:tcPr>
            <w:tcW w:w="852" w:type="dxa"/>
            <w:vAlign w:val="center"/>
          </w:tcPr>
          <w:p>
            <w:pPr>
              <w:spacing w:line="0" w:lineRule="atLeast"/>
              <w:jc w:val="center"/>
              <w:rPr>
                <w:rFonts w:ascii="宋体" w:hAnsi="宋体"/>
                <w:kern w:val="0"/>
                <w:szCs w:val="21"/>
              </w:rPr>
            </w:pPr>
            <w:r>
              <w:rPr>
                <w:rFonts w:hint="eastAsia" w:ascii="宋体" w:hAnsi="宋体"/>
                <w:kern w:val="0"/>
                <w:szCs w:val="21"/>
              </w:rPr>
              <w:t>9</w:t>
            </w:r>
          </w:p>
        </w:tc>
        <w:tc>
          <w:tcPr>
            <w:tcW w:w="7087" w:type="dxa"/>
            <w:vAlign w:val="center"/>
          </w:tcPr>
          <w:p>
            <w:pPr>
              <w:rPr>
                <w:kern w:val="0"/>
                <w:szCs w:val="21"/>
              </w:rPr>
            </w:pPr>
            <w:r>
              <w:rPr>
                <w:rFonts w:hint="eastAsia"/>
                <w:kern w:val="0"/>
                <w:szCs w:val="21"/>
              </w:rPr>
              <w:t>无</w:t>
            </w:r>
            <w:r>
              <w:rPr>
                <w:rFonts w:hint="eastAsia" w:ascii="宋体" w:hAnsi="宋体" w:cs="宋体"/>
                <w:kern w:val="0"/>
                <w:szCs w:val="21"/>
              </w:rPr>
              <w:t>招标文件、法律、法规规定的其他否决投标情况。</w:t>
            </w:r>
          </w:p>
        </w:tc>
        <w:tc>
          <w:tcPr>
            <w:tcW w:w="1133" w:type="dxa"/>
            <w:vAlign w:val="center"/>
          </w:tcPr>
          <w:p>
            <w:pPr>
              <w:spacing w:line="0" w:lineRule="atLeast"/>
              <w:jc w:val="center"/>
              <w:rPr>
                <w:rFonts w:ascii="宋体" w:hAnsi="宋体"/>
                <w:kern w:val="0"/>
                <w:szCs w:val="21"/>
              </w:rPr>
            </w:pPr>
          </w:p>
        </w:tc>
      </w:tr>
      <w:tr>
        <w:trPr>
          <w:cantSplit/>
          <w:trHeight w:val="454" w:hRule="atLeast"/>
          <w:jc w:val="center"/>
        </w:trPr>
        <w:tc>
          <w:tcPr>
            <w:tcW w:w="7939" w:type="dxa"/>
            <w:gridSpan w:val="2"/>
            <w:vAlign w:val="center"/>
          </w:tcPr>
          <w:p>
            <w:pPr>
              <w:jc w:val="center"/>
              <w:rPr>
                <w:rFonts w:eastAsia="Times New Roman"/>
                <w:kern w:val="0"/>
                <w:szCs w:val="18"/>
              </w:rPr>
            </w:pPr>
            <w:r>
              <w:rPr>
                <w:rFonts w:hint="eastAsia" w:ascii="宋体" w:hAnsi="宋体" w:cs="宋体"/>
                <w:kern w:val="0"/>
                <w:szCs w:val="18"/>
              </w:rPr>
              <w:t>评审结论</w:t>
            </w:r>
          </w:p>
        </w:tc>
        <w:tc>
          <w:tcPr>
            <w:tcW w:w="1133" w:type="dxa"/>
            <w:vAlign w:val="center"/>
          </w:tcPr>
          <w:p>
            <w:pPr>
              <w:spacing w:line="0" w:lineRule="atLeast"/>
              <w:jc w:val="center"/>
              <w:rPr>
                <w:rFonts w:ascii="宋体" w:hAnsi="宋体"/>
                <w:kern w:val="0"/>
                <w:szCs w:val="21"/>
              </w:rPr>
            </w:pPr>
          </w:p>
        </w:tc>
      </w:tr>
    </w:tbl>
    <w:p>
      <w:pPr>
        <w:spacing w:line="276" w:lineRule="auto"/>
        <w:rPr>
          <w:rFonts w:ascii="宋体" w:hAnsi="宋体"/>
        </w:rPr>
      </w:pPr>
      <w:r>
        <w:rPr>
          <w:rFonts w:hint="eastAsia" w:ascii="宋体" w:hAnsi="宋体"/>
          <w:kern w:val="0"/>
          <w:szCs w:val="21"/>
        </w:rPr>
        <w:t>注：</w:t>
      </w:r>
      <w:r>
        <w:rPr>
          <w:rFonts w:hint="eastAsia" w:ascii="宋体" w:hAnsi="宋体"/>
        </w:rPr>
        <w:t>1.</w:t>
      </w:r>
      <w:r>
        <w:rPr>
          <w:rFonts w:ascii="宋体" w:hAnsi="宋体"/>
        </w:rPr>
        <w:t>评审结果填写合格打√，不合格打×，凡评审结果有一项不合格者，结论为不通过。本表内容由经济评审组评审使用。</w:t>
      </w:r>
    </w:p>
    <w:p>
      <w:pPr>
        <w:spacing w:line="276" w:lineRule="auto"/>
        <w:ind w:firstLine="409" w:firstLineChars="195"/>
        <w:rPr>
          <w:rFonts w:ascii="宋体" w:hAnsi="宋体"/>
        </w:rPr>
      </w:pPr>
      <w:r>
        <w:rPr>
          <w:rFonts w:ascii="宋体" w:hAnsi="宋体"/>
        </w:rPr>
        <w:t>2.</w:t>
      </w:r>
      <w:r>
        <w:rPr>
          <w:rFonts w:hint="eastAsia" w:ascii="宋体" w:hAnsi="宋体"/>
        </w:rPr>
        <w:t>“缺、漏项”是指投标人未按照招标人提供的清单项进行报价，投标人的报价清单中缺少某项清单或报价。</w:t>
      </w:r>
    </w:p>
    <w:p>
      <w:pPr>
        <w:spacing w:line="360" w:lineRule="auto"/>
        <w:jc w:val="center"/>
        <w:rPr>
          <w:rFonts w:ascii="宋体" w:hAnsi="宋体"/>
          <w:b/>
          <w:kern w:val="0"/>
          <w:szCs w:val="21"/>
        </w:rPr>
      </w:pPr>
      <w:r>
        <w:rPr>
          <w:rFonts w:ascii="宋体" w:hAnsi="宋体"/>
          <w:b/>
          <w:kern w:val="0"/>
          <w:szCs w:val="21"/>
        </w:rPr>
        <w:t>初步评审表二</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4"/>
        <w:gridCol w:w="7022"/>
        <w:gridCol w:w="1450"/>
      </w:tblGrid>
      <w:tr>
        <w:trPr>
          <w:cantSplit/>
          <w:trHeight w:val="519" w:hRule="atLeast"/>
          <w:tblHeader/>
          <w:jc w:val="center"/>
        </w:trPr>
        <w:tc>
          <w:tcPr>
            <w:tcW w:w="438" w:type="pct"/>
            <w:tcBorders>
              <w:top w:val="single" w:color="auto" w:sz="12" w:space="0"/>
            </w:tcBorders>
            <w:vAlign w:val="center"/>
          </w:tcPr>
          <w:p>
            <w:pPr>
              <w:ind w:left="709" w:right="-57" w:rightChars="-27" w:hanging="709"/>
              <w:jc w:val="center"/>
              <w:rPr>
                <w:b/>
                <w:szCs w:val="21"/>
              </w:rPr>
            </w:pPr>
            <w:r>
              <w:rPr>
                <w:b/>
                <w:szCs w:val="21"/>
              </w:rPr>
              <w:t>序号</w:t>
            </w:r>
          </w:p>
        </w:tc>
        <w:tc>
          <w:tcPr>
            <w:tcW w:w="3779" w:type="pct"/>
            <w:tcBorders>
              <w:top w:val="single" w:color="auto" w:sz="12" w:space="0"/>
            </w:tcBorders>
            <w:vAlign w:val="center"/>
          </w:tcPr>
          <w:p>
            <w:pPr>
              <w:ind w:left="709" w:right="-57" w:rightChars="-27" w:hanging="709"/>
              <w:jc w:val="center"/>
              <w:rPr>
                <w:b/>
                <w:szCs w:val="21"/>
              </w:rPr>
            </w:pPr>
            <w:r>
              <w:rPr>
                <w:b/>
                <w:szCs w:val="21"/>
              </w:rPr>
              <w:t>评审项目</w:t>
            </w:r>
          </w:p>
        </w:tc>
        <w:tc>
          <w:tcPr>
            <w:tcW w:w="781" w:type="pct"/>
            <w:tcBorders>
              <w:top w:val="single" w:color="auto" w:sz="12" w:space="0"/>
            </w:tcBorders>
            <w:vAlign w:val="center"/>
          </w:tcPr>
          <w:p>
            <w:pPr>
              <w:ind w:left="709" w:right="-57" w:rightChars="-27" w:hanging="709"/>
              <w:jc w:val="center"/>
              <w:rPr>
                <w:b/>
                <w:szCs w:val="21"/>
              </w:rPr>
            </w:pPr>
            <w:r>
              <w:rPr>
                <w:b/>
                <w:szCs w:val="21"/>
              </w:rPr>
              <w:t>评审结果</w:t>
            </w:r>
          </w:p>
        </w:tc>
      </w:tr>
      <w:tr>
        <w:trPr>
          <w:cantSplit/>
          <w:trHeight w:val="449" w:hRule="atLeast"/>
          <w:jc w:val="center"/>
        </w:trPr>
        <w:tc>
          <w:tcPr>
            <w:tcW w:w="438" w:type="pct"/>
            <w:vAlign w:val="center"/>
          </w:tcPr>
          <w:p>
            <w:pPr>
              <w:ind w:left="709" w:right="-57" w:rightChars="-27" w:hanging="709"/>
              <w:jc w:val="center"/>
              <w:rPr>
                <w:rFonts w:ascii="宋体" w:hAnsi="宋体"/>
                <w:szCs w:val="21"/>
              </w:rPr>
            </w:pPr>
            <w:r>
              <w:rPr>
                <w:rFonts w:ascii="宋体" w:hAnsi="宋体"/>
                <w:szCs w:val="21"/>
              </w:rPr>
              <w:t>1</w:t>
            </w:r>
          </w:p>
        </w:tc>
        <w:tc>
          <w:tcPr>
            <w:tcW w:w="3779" w:type="pct"/>
            <w:vAlign w:val="center"/>
          </w:tcPr>
          <w:p>
            <w:pPr>
              <w:ind w:left="709" w:right="-57" w:rightChars="-27" w:hanging="709"/>
              <w:rPr>
                <w:rFonts w:ascii="宋体" w:hAnsi="宋体"/>
                <w:szCs w:val="21"/>
              </w:rPr>
            </w:pPr>
            <w:r>
              <w:rPr>
                <w:rFonts w:ascii="宋体" w:hAnsi="宋体"/>
                <w:szCs w:val="21"/>
              </w:rPr>
              <w:t>投标文件</w:t>
            </w:r>
            <w:r>
              <w:rPr>
                <w:rFonts w:ascii="宋体" w:hAnsi="宋体"/>
                <w:snapToGrid w:val="0"/>
                <w:kern w:val="0"/>
                <w:szCs w:val="21"/>
              </w:rPr>
              <w:t>按规定签署</w:t>
            </w:r>
            <w:r>
              <w:rPr>
                <w:rFonts w:hint="eastAsia" w:ascii="宋体" w:hAnsi="宋体"/>
                <w:snapToGrid w:val="0"/>
                <w:kern w:val="0"/>
                <w:szCs w:val="21"/>
              </w:rPr>
              <w:t>和</w:t>
            </w:r>
            <w:r>
              <w:rPr>
                <w:rFonts w:ascii="宋体" w:hAnsi="宋体"/>
                <w:snapToGrid w:val="0"/>
                <w:kern w:val="0"/>
                <w:szCs w:val="21"/>
              </w:rPr>
              <w:t>盖章</w:t>
            </w:r>
            <w:r>
              <w:rPr>
                <w:rFonts w:hint="eastAsia" w:ascii="宋体" w:hAnsi="宋体"/>
                <w:snapToGrid w:val="0"/>
                <w:kern w:val="0"/>
                <w:szCs w:val="21"/>
              </w:rPr>
              <w:t>。</w:t>
            </w:r>
          </w:p>
        </w:tc>
        <w:tc>
          <w:tcPr>
            <w:tcW w:w="781" w:type="pct"/>
            <w:vAlign w:val="center"/>
          </w:tcPr>
          <w:p>
            <w:pPr>
              <w:ind w:left="709" w:right="-57" w:rightChars="-27" w:hanging="709"/>
              <w:rPr>
                <w:szCs w:val="21"/>
              </w:rPr>
            </w:pPr>
          </w:p>
        </w:tc>
      </w:tr>
      <w:tr>
        <w:trPr>
          <w:cantSplit/>
          <w:trHeight w:val="449" w:hRule="atLeast"/>
          <w:jc w:val="center"/>
        </w:trPr>
        <w:tc>
          <w:tcPr>
            <w:tcW w:w="438" w:type="pct"/>
            <w:vAlign w:val="center"/>
          </w:tcPr>
          <w:p>
            <w:pPr>
              <w:ind w:left="709" w:right="-57" w:rightChars="-27" w:hanging="709"/>
              <w:jc w:val="center"/>
              <w:rPr>
                <w:rFonts w:ascii="宋体" w:hAnsi="宋体"/>
                <w:szCs w:val="21"/>
              </w:rPr>
            </w:pPr>
            <w:r>
              <w:rPr>
                <w:rFonts w:ascii="宋体" w:hAnsi="宋体"/>
                <w:szCs w:val="21"/>
              </w:rPr>
              <w:t>2</w:t>
            </w:r>
          </w:p>
        </w:tc>
        <w:tc>
          <w:tcPr>
            <w:tcW w:w="3779" w:type="pct"/>
            <w:vAlign w:val="center"/>
          </w:tcPr>
          <w:p>
            <w:pPr>
              <w:ind w:right="-57" w:rightChars="-27"/>
              <w:rPr>
                <w:rFonts w:ascii="宋体" w:hAnsi="宋体"/>
                <w:szCs w:val="21"/>
              </w:rPr>
            </w:pPr>
            <w:r>
              <w:rPr>
                <w:rFonts w:hint="eastAsia" w:ascii="宋体" w:hAnsi="宋体"/>
                <w:szCs w:val="21"/>
              </w:rPr>
              <w:t>投标文件的实质性内容按照规定的格式填写、内容齐全（应按照招标文件规定第六章节格式填写）。</w:t>
            </w:r>
          </w:p>
        </w:tc>
        <w:tc>
          <w:tcPr>
            <w:tcW w:w="781" w:type="pct"/>
            <w:vAlign w:val="center"/>
          </w:tcPr>
          <w:p>
            <w:pPr>
              <w:ind w:left="709" w:right="-57" w:rightChars="-27" w:hanging="709"/>
              <w:rPr>
                <w:szCs w:val="21"/>
              </w:rPr>
            </w:pPr>
          </w:p>
        </w:tc>
      </w:tr>
      <w:tr>
        <w:trPr>
          <w:cantSplit/>
          <w:trHeight w:val="449" w:hRule="atLeast"/>
          <w:jc w:val="center"/>
        </w:trPr>
        <w:tc>
          <w:tcPr>
            <w:tcW w:w="438" w:type="pct"/>
            <w:vAlign w:val="center"/>
          </w:tcPr>
          <w:p>
            <w:pPr>
              <w:ind w:left="709" w:right="-57" w:rightChars="-27" w:hanging="709"/>
              <w:jc w:val="center"/>
              <w:rPr>
                <w:rFonts w:ascii="宋体" w:hAnsi="宋体"/>
                <w:szCs w:val="21"/>
              </w:rPr>
            </w:pPr>
            <w:r>
              <w:rPr>
                <w:rFonts w:ascii="宋体" w:hAnsi="宋体"/>
                <w:szCs w:val="21"/>
              </w:rPr>
              <w:t>3</w:t>
            </w:r>
          </w:p>
        </w:tc>
        <w:tc>
          <w:tcPr>
            <w:tcW w:w="3779" w:type="pct"/>
            <w:vAlign w:val="center"/>
          </w:tcPr>
          <w:p>
            <w:pPr>
              <w:ind w:right="-57" w:rightChars="-27"/>
              <w:rPr>
                <w:rFonts w:ascii="宋体" w:hAnsi="宋体"/>
                <w:szCs w:val="21"/>
              </w:rPr>
            </w:pPr>
            <w:r>
              <w:rPr>
                <w:rFonts w:ascii="宋体" w:hAnsi="宋体"/>
              </w:rPr>
              <w:t>投标人在资格审查</w:t>
            </w:r>
            <w:r>
              <w:rPr>
                <w:rFonts w:hint="eastAsia" w:ascii="宋体" w:hAnsi="宋体"/>
              </w:rPr>
              <w:t>文件</w:t>
            </w:r>
            <w:r>
              <w:rPr>
                <w:rFonts w:ascii="宋体" w:hAnsi="宋体"/>
                <w:szCs w:val="21"/>
              </w:rPr>
              <w:t>、资信</w:t>
            </w:r>
            <w:r>
              <w:rPr>
                <w:rFonts w:hint="eastAsia" w:ascii="宋体" w:hAnsi="宋体"/>
                <w:szCs w:val="21"/>
              </w:rPr>
              <w:t>文件</w:t>
            </w:r>
            <w:r>
              <w:rPr>
                <w:rFonts w:ascii="宋体" w:hAnsi="宋体"/>
              </w:rPr>
              <w:t>或技术</w:t>
            </w:r>
            <w:r>
              <w:rPr>
                <w:rFonts w:hint="eastAsia" w:ascii="宋体" w:hAnsi="宋体"/>
              </w:rPr>
              <w:t>文件</w:t>
            </w:r>
            <w:r>
              <w:rPr>
                <w:rFonts w:ascii="宋体" w:hAnsi="宋体"/>
              </w:rPr>
              <w:t>中</w:t>
            </w:r>
            <w:r>
              <w:rPr>
                <w:rFonts w:hint="eastAsia" w:ascii="宋体" w:hAnsi="宋体"/>
              </w:rPr>
              <w:t>未</w:t>
            </w:r>
            <w:r>
              <w:rPr>
                <w:rFonts w:ascii="宋体" w:hAnsi="宋体"/>
              </w:rPr>
              <w:t>透露有关报价的信息</w:t>
            </w:r>
            <w:r>
              <w:rPr>
                <w:rFonts w:hint="eastAsia" w:ascii="宋体" w:hAnsi="宋体"/>
              </w:rPr>
              <w:t>。</w:t>
            </w:r>
          </w:p>
        </w:tc>
        <w:tc>
          <w:tcPr>
            <w:tcW w:w="781" w:type="pct"/>
            <w:vAlign w:val="center"/>
          </w:tcPr>
          <w:p>
            <w:pPr>
              <w:ind w:left="709" w:right="-57" w:rightChars="-27" w:hanging="709"/>
              <w:rPr>
                <w:szCs w:val="21"/>
              </w:rPr>
            </w:pPr>
          </w:p>
        </w:tc>
      </w:tr>
      <w:tr>
        <w:trPr>
          <w:cantSplit/>
          <w:trHeight w:val="449" w:hRule="atLeast"/>
          <w:jc w:val="center"/>
        </w:trPr>
        <w:tc>
          <w:tcPr>
            <w:tcW w:w="438" w:type="pct"/>
            <w:vAlign w:val="center"/>
          </w:tcPr>
          <w:p>
            <w:pPr>
              <w:ind w:left="709" w:right="-57" w:rightChars="-27" w:hanging="709"/>
              <w:jc w:val="center"/>
              <w:rPr>
                <w:rFonts w:ascii="宋体" w:hAnsi="宋体"/>
                <w:szCs w:val="21"/>
              </w:rPr>
            </w:pPr>
            <w:r>
              <w:rPr>
                <w:rFonts w:ascii="宋体" w:hAnsi="宋体"/>
                <w:szCs w:val="21"/>
              </w:rPr>
              <w:t>4</w:t>
            </w:r>
          </w:p>
        </w:tc>
        <w:tc>
          <w:tcPr>
            <w:tcW w:w="3779" w:type="pct"/>
            <w:vAlign w:val="center"/>
          </w:tcPr>
          <w:p>
            <w:pPr>
              <w:ind w:left="709" w:right="-57" w:rightChars="-27" w:hanging="709"/>
              <w:rPr>
                <w:rFonts w:ascii="宋体" w:hAnsi="宋体"/>
                <w:szCs w:val="21"/>
              </w:rPr>
            </w:pPr>
            <w:r>
              <w:rPr>
                <w:rFonts w:hint="eastAsia" w:ascii="宋体" w:hAnsi="宋体"/>
              </w:rPr>
              <w:t>商务条款响应表无负偏离的</w:t>
            </w:r>
            <w:r>
              <w:rPr>
                <w:rFonts w:hint="eastAsia" w:ascii="宋体" w:hAnsi="宋体"/>
                <w:szCs w:val="21"/>
              </w:rPr>
              <w:t>。</w:t>
            </w:r>
          </w:p>
        </w:tc>
        <w:tc>
          <w:tcPr>
            <w:tcW w:w="781" w:type="pct"/>
            <w:vAlign w:val="center"/>
          </w:tcPr>
          <w:p>
            <w:pPr>
              <w:ind w:left="709" w:right="-57" w:rightChars="-27" w:hanging="709"/>
              <w:rPr>
                <w:szCs w:val="21"/>
              </w:rPr>
            </w:pPr>
          </w:p>
        </w:tc>
      </w:tr>
      <w:tr>
        <w:trPr>
          <w:cantSplit/>
          <w:trHeight w:val="449" w:hRule="atLeast"/>
          <w:jc w:val="center"/>
        </w:trPr>
        <w:tc>
          <w:tcPr>
            <w:tcW w:w="438" w:type="pct"/>
            <w:vAlign w:val="center"/>
          </w:tcPr>
          <w:p>
            <w:pPr>
              <w:ind w:left="709" w:right="-57" w:rightChars="-27" w:hanging="709"/>
              <w:jc w:val="center"/>
              <w:rPr>
                <w:rFonts w:ascii="宋体" w:hAnsi="宋体"/>
                <w:szCs w:val="21"/>
              </w:rPr>
            </w:pPr>
            <w:bookmarkStart w:id="355" w:name="_Hlk31867435"/>
            <w:r>
              <w:rPr>
                <w:rFonts w:ascii="宋体" w:hAnsi="宋体"/>
                <w:szCs w:val="21"/>
              </w:rPr>
              <w:t>5</w:t>
            </w:r>
          </w:p>
        </w:tc>
        <w:tc>
          <w:tcPr>
            <w:tcW w:w="3779" w:type="pct"/>
            <w:vAlign w:val="center"/>
          </w:tcPr>
          <w:p>
            <w:pPr>
              <w:rPr>
                <w:rFonts w:ascii="宋体" w:hAnsi="宋体"/>
                <w:szCs w:val="21"/>
              </w:rPr>
            </w:pPr>
            <w:r>
              <w:rPr>
                <w:rFonts w:hint="eastAsia" w:ascii="宋体" w:hAnsi="宋体"/>
              </w:rPr>
              <w:t>技术条款响应表无负偏离的。</w:t>
            </w:r>
          </w:p>
        </w:tc>
        <w:tc>
          <w:tcPr>
            <w:tcW w:w="781" w:type="pct"/>
            <w:vAlign w:val="center"/>
          </w:tcPr>
          <w:p>
            <w:pPr>
              <w:ind w:left="709" w:right="-57" w:rightChars="-27" w:hanging="709"/>
              <w:rPr>
                <w:szCs w:val="21"/>
              </w:rPr>
            </w:pPr>
          </w:p>
        </w:tc>
      </w:tr>
      <w:bookmarkEnd w:id="355"/>
      <w:tr>
        <w:trPr>
          <w:cantSplit/>
          <w:trHeight w:val="450" w:hRule="atLeast"/>
          <w:jc w:val="center"/>
        </w:trPr>
        <w:tc>
          <w:tcPr>
            <w:tcW w:w="438" w:type="pct"/>
            <w:vAlign w:val="center"/>
          </w:tcPr>
          <w:p>
            <w:pPr>
              <w:ind w:left="709" w:right="-57" w:rightChars="-27" w:hanging="709"/>
              <w:jc w:val="center"/>
              <w:rPr>
                <w:rFonts w:ascii="宋体" w:hAnsi="宋体"/>
                <w:szCs w:val="21"/>
              </w:rPr>
            </w:pPr>
            <w:r>
              <w:rPr>
                <w:rFonts w:ascii="宋体" w:hAnsi="宋体"/>
                <w:szCs w:val="21"/>
              </w:rPr>
              <w:t>6</w:t>
            </w:r>
          </w:p>
        </w:tc>
        <w:tc>
          <w:tcPr>
            <w:tcW w:w="3779" w:type="pct"/>
            <w:vAlign w:val="center"/>
          </w:tcPr>
          <w:p>
            <w:pPr>
              <w:ind w:left="709" w:right="-57" w:rightChars="-27" w:hanging="709"/>
              <w:rPr>
                <w:rFonts w:ascii="宋体" w:hAnsi="宋体"/>
                <w:szCs w:val="21"/>
              </w:rPr>
            </w:pPr>
            <w:r>
              <w:rPr>
                <w:rFonts w:hint="eastAsia" w:ascii="宋体" w:hAnsi="宋体"/>
                <w:snapToGrid w:val="0"/>
                <w:kern w:val="0"/>
                <w:szCs w:val="21"/>
              </w:rPr>
              <w:t>无</w:t>
            </w:r>
            <w:r>
              <w:rPr>
                <w:rFonts w:ascii="宋体" w:hAnsi="宋体"/>
                <w:snapToGrid w:val="0"/>
                <w:kern w:val="0"/>
                <w:szCs w:val="21"/>
              </w:rPr>
              <w:t>招标文件、法律、法规规定的其他否决投标</w:t>
            </w:r>
            <w:r>
              <w:rPr>
                <w:rFonts w:hint="eastAsia" w:ascii="宋体" w:hAnsi="宋体"/>
                <w:snapToGrid w:val="0"/>
                <w:kern w:val="0"/>
                <w:szCs w:val="21"/>
              </w:rPr>
              <w:t>情况。</w:t>
            </w:r>
          </w:p>
        </w:tc>
        <w:tc>
          <w:tcPr>
            <w:tcW w:w="781" w:type="pct"/>
            <w:vAlign w:val="center"/>
          </w:tcPr>
          <w:p>
            <w:pPr>
              <w:ind w:left="709" w:right="-57" w:rightChars="-27" w:hanging="709"/>
              <w:rPr>
                <w:szCs w:val="21"/>
              </w:rPr>
            </w:pPr>
          </w:p>
        </w:tc>
      </w:tr>
      <w:tr>
        <w:trPr>
          <w:cantSplit/>
          <w:trHeight w:val="450" w:hRule="atLeast"/>
          <w:jc w:val="center"/>
        </w:trPr>
        <w:tc>
          <w:tcPr>
            <w:tcW w:w="4218" w:type="pct"/>
            <w:gridSpan w:val="2"/>
            <w:tcBorders>
              <w:bottom w:val="single" w:color="auto" w:sz="12" w:space="0"/>
            </w:tcBorders>
            <w:vAlign w:val="center"/>
          </w:tcPr>
          <w:p>
            <w:pPr>
              <w:ind w:left="709" w:right="-57" w:rightChars="-27" w:hanging="709"/>
              <w:jc w:val="center"/>
              <w:rPr>
                <w:rFonts w:ascii="宋体" w:hAnsi="宋体"/>
                <w:snapToGrid w:val="0"/>
                <w:kern w:val="0"/>
                <w:szCs w:val="21"/>
              </w:rPr>
            </w:pPr>
            <w:r>
              <w:rPr>
                <w:rFonts w:hint="eastAsia" w:ascii="宋体" w:hAnsi="宋体"/>
                <w:snapToGrid w:val="0"/>
                <w:kern w:val="0"/>
                <w:szCs w:val="21"/>
              </w:rPr>
              <w:t>评审结论</w:t>
            </w:r>
          </w:p>
        </w:tc>
        <w:tc>
          <w:tcPr>
            <w:tcW w:w="781" w:type="pct"/>
            <w:tcBorders>
              <w:bottom w:val="single" w:color="auto" w:sz="12" w:space="0"/>
            </w:tcBorders>
            <w:vAlign w:val="center"/>
          </w:tcPr>
          <w:p>
            <w:pPr>
              <w:ind w:left="709" w:right="-57" w:rightChars="-27" w:hanging="709"/>
              <w:rPr>
                <w:szCs w:val="21"/>
              </w:rPr>
            </w:pPr>
          </w:p>
        </w:tc>
      </w:tr>
    </w:tbl>
    <w:p>
      <w:pPr>
        <w:spacing w:line="360" w:lineRule="auto"/>
        <w:ind w:firstLine="420" w:firstLineChars="200"/>
        <w:rPr>
          <w:rFonts w:ascii="宋体" w:hAnsi="宋体"/>
          <w:szCs w:val="21"/>
        </w:rPr>
      </w:pPr>
      <w:r>
        <w:rPr>
          <w:rFonts w:hint="eastAsia" w:ascii="宋体" w:hAnsi="宋体"/>
          <w:kern w:val="0"/>
          <w:szCs w:val="21"/>
        </w:rPr>
        <w:t>注：</w:t>
      </w:r>
      <w:r>
        <w:rPr>
          <w:rFonts w:hint="eastAsia" w:ascii="宋体" w:hAnsi="宋体"/>
        </w:rPr>
        <w:t>评审结果填写合格打√，不合格打</w:t>
      </w:r>
      <w:r>
        <w:rPr>
          <w:rFonts w:ascii="宋体" w:hAnsi="宋体"/>
        </w:rPr>
        <w:t>×</w:t>
      </w:r>
      <w:r>
        <w:rPr>
          <w:rFonts w:hint="eastAsia" w:ascii="宋体" w:hAnsi="宋体"/>
        </w:rPr>
        <w:t>，凡评审结果有一项不合格者，结论为不通过。本表内</w:t>
      </w:r>
      <w:r>
        <w:rPr>
          <w:rFonts w:hint="eastAsia"/>
        </w:rPr>
        <w:t>容由技术评审组评审使用。</w:t>
      </w:r>
    </w:p>
    <w:p>
      <w:pPr>
        <w:keepNext/>
        <w:keepLines/>
        <w:pageBreakBefore/>
        <w:spacing w:line="360" w:lineRule="auto"/>
        <w:ind w:left="482" w:hanging="480" w:hangingChars="200"/>
        <w:outlineLvl w:val="2"/>
        <w:rPr>
          <w:rFonts w:ascii="Arial" w:hAnsi="Arial"/>
          <w:b/>
          <w:bCs/>
          <w:kern w:val="0"/>
          <w:sz w:val="24"/>
          <w:szCs w:val="28"/>
        </w:rPr>
      </w:pPr>
      <w:bookmarkStart w:id="356" w:name="_Toc9206"/>
      <w:r>
        <w:rPr>
          <w:rFonts w:ascii="Arial" w:hAnsi="Arial"/>
          <w:b/>
          <w:bCs/>
          <w:kern w:val="0"/>
          <w:sz w:val="24"/>
          <w:szCs w:val="28"/>
        </w:rPr>
        <w:t>附表</w:t>
      </w:r>
      <w:r>
        <w:rPr>
          <w:rFonts w:hint="eastAsia" w:ascii="Arial" w:hAnsi="Arial"/>
          <w:b/>
          <w:bCs/>
          <w:kern w:val="0"/>
          <w:sz w:val="24"/>
          <w:szCs w:val="28"/>
        </w:rPr>
        <w:t>三：</w:t>
      </w:r>
      <w:r>
        <w:rPr>
          <w:rFonts w:ascii="Arial" w:hAnsi="Arial"/>
          <w:b/>
          <w:bCs/>
          <w:kern w:val="0"/>
          <w:sz w:val="24"/>
          <w:szCs w:val="28"/>
        </w:rPr>
        <w:t>资信文件评分表</w:t>
      </w:r>
      <w:bookmarkEnd w:id="356"/>
    </w:p>
    <w:tbl>
      <w:tblPr>
        <w:tblStyle w:val="51"/>
        <w:tblW w:w="517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9"/>
        <w:gridCol w:w="711"/>
        <w:gridCol w:w="707"/>
        <w:gridCol w:w="7376"/>
        <w:gridCol w:w="421"/>
      </w:tblGrid>
      <w:tr>
        <w:trPr>
          <w:cantSplit/>
          <w:trHeight w:val="680" w:hRule="atLeast"/>
        </w:trPr>
        <w:tc>
          <w:tcPr>
            <w:tcW w:w="203" w:type="pct"/>
            <w:vAlign w:val="center"/>
          </w:tcPr>
          <w:p>
            <w:pPr>
              <w:spacing w:line="360" w:lineRule="exact"/>
              <w:jc w:val="center"/>
              <w:rPr>
                <w:rFonts w:ascii="宋体" w:hAnsi="宋体" w:cs="宋体"/>
                <w:b/>
                <w:kern w:val="0"/>
                <w:szCs w:val="21"/>
              </w:rPr>
            </w:pPr>
            <w:bookmarkStart w:id="357" w:name="_Hlk29787829"/>
            <w:r>
              <w:rPr>
                <w:rFonts w:hint="eastAsia" w:ascii="宋体" w:hAnsi="宋体" w:cs="宋体"/>
                <w:b/>
                <w:kern w:val="0"/>
                <w:szCs w:val="21"/>
              </w:rPr>
              <w:t>序号</w:t>
            </w:r>
          </w:p>
        </w:tc>
        <w:tc>
          <w:tcPr>
            <w:tcW w:w="370" w:type="pct"/>
            <w:vAlign w:val="center"/>
          </w:tcPr>
          <w:p>
            <w:pPr>
              <w:spacing w:line="360" w:lineRule="exact"/>
              <w:jc w:val="center"/>
              <w:rPr>
                <w:rFonts w:ascii="宋体" w:hAnsi="宋体" w:cs="宋体"/>
                <w:b/>
                <w:kern w:val="0"/>
                <w:szCs w:val="21"/>
              </w:rPr>
            </w:pPr>
            <w:r>
              <w:rPr>
                <w:rFonts w:hint="eastAsia" w:ascii="宋体" w:hAnsi="宋体" w:cs="宋体"/>
                <w:b/>
                <w:kern w:val="0"/>
                <w:szCs w:val="21"/>
              </w:rPr>
              <w:t>评审项目</w:t>
            </w:r>
          </w:p>
        </w:tc>
        <w:tc>
          <w:tcPr>
            <w:tcW w:w="368" w:type="pct"/>
            <w:vAlign w:val="center"/>
          </w:tcPr>
          <w:p>
            <w:pPr>
              <w:spacing w:line="360" w:lineRule="exact"/>
              <w:jc w:val="center"/>
              <w:rPr>
                <w:rFonts w:ascii="宋体" w:hAnsi="宋体" w:cs="宋体"/>
                <w:b/>
                <w:kern w:val="0"/>
                <w:szCs w:val="21"/>
              </w:rPr>
            </w:pPr>
            <w:r>
              <w:rPr>
                <w:rFonts w:hint="eastAsia" w:ascii="宋体" w:hAnsi="宋体" w:cs="宋体"/>
                <w:b/>
                <w:kern w:val="0"/>
                <w:szCs w:val="21"/>
              </w:rPr>
              <w:t>标准分</w:t>
            </w:r>
          </w:p>
        </w:tc>
        <w:tc>
          <w:tcPr>
            <w:tcW w:w="3840" w:type="pct"/>
            <w:vAlign w:val="center"/>
          </w:tcPr>
          <w:p>
            <w:pPr>
              <w:spacing w:line="360" w:lineRule="exact"/>
              <w:jc w:val="center"/>
              <w:rPr>
                <w:rFonts w:ascii="宋体" w:hAnsi="宋体" w:cs="宋体"/>
                <w:b/>
                <w:kern w:val="0"/>
                <w:szCs w:val="21"/>
              </w:rPr>
            </w:pPr>
            <w:r>
              <w:rPr>
                <w:rFonts w:hint="eastAsia" w:ascii="宋体" w:hAnsi="宋体" w:cs="宋体"/>
                <w:b/>
                <w:kern w:val="0"/>
                <w:szCs w:val="21"/>
              </w:rPr>
              <w:t>评分标准</w:t>
            </w:r>
          </w:p>
        </w:tc>
        <w:tc>
          <w:tcPr>
            <w:tcW w:w="219" w:type="pct"/>
            <w:vAlign w:val="center"/>
          </w:tcPr>
          <w:p>
            <w:pPr>
              <w:spacing w:line="360" w:lineRule="exact"/>
              <w:jc w:val="center"/>
              <w:rPr>
                <w:rFonts w:ascii="宋体" w:hAnsi="宋体" w:cs="宋体"/>
                <w:b/>
                <w:kern w:val="0"/>
                <w:szCs w:val="21"/>
              </w:rPr>
            </w:pPr>
            <w:r>
              <w:rPr>
                <w:rFonts w:hint="eastAsia" w:ascii="宋体" w:hAnsi="宋体" w:cs="宋体"/>
                <w:b/>
                <w:kern w:val="0"/>
                <w:szCs w:val="21"/>
              </w:rPr>
              <w:t>得分</w:t>
            </w:r>
          </w:p>
        </w:tc>
      </w:tr>
      <w:tr>
        <w:trPr>
          <w:cantSplit/>
          <w:trHeight w:val="680" w:hRule="atLeast"/>
          <w:tblHeader/>
        </w:trPr>
        <w:tc>
          <w:tcPr>
            <w:tcW w:w="203" w:type="pct"/>
            <w:vAlign w:val="center"/>
          </w:tcPr>
          <w:p>
            <w:pPr>
              <w:spacing w:line="360" w:lineRule="exact"/>
              <w:jc w:val="center"/>
              <w:rPr>
                <w:rFonts w:ascii="宋体" w:hAnsi="宋体" w:cs="宋体"/>
                <w:kern w:val="0"/>
                <w:szCs w:val="21"/>
              </w:rPr>
            </w:pPr>
            <w:r>
              <w:rPr>
                <w:rFonts w:hint="eastAsia" w:ascii="宋体" w:hAnsi="宋体" w:cs="宋体"/>
                <w:kern w:val="0"/>
                <w:szCs w:val="21"/>
              </w:rPr>
              <w:t>1</w:t>
            </w:r>
          </w:p>
        </w:tc>
        <w:tc>
          <w:tcPr>
            <w:tcW w:w="370" w:type="pct"/>
            <w:vAlign w:val="center"/>
          </w:tcPr>
          <w:p>
            <w:pPr>
              <w:spacing w:line="360" w:lineRule="exact"/>
              <w:jc w:val="center"/>
              <w:rPr>
                <w:rFonts w:ascii="宋体" w:hAnsi="宋体" w:cs="宋体"/>
                <w:kern w:val="0"/>
                <w:szCs w:val="21"/>
              </w:rPr>
            </w:pPr>
            <w:r>
              <w:rPr>
                <w:rFonts w:hint="eastAsia" w:ascii="宋体" w:hAnsi="宋体" w:cs="宋体"/>
                <w:kern w:val="0"/>
                <w:szCs w:val="21"/>
              </w:rPr>
              <w:t>企业实力</w:t>
            </w:r>
          </w:p>
        </w:tc>
        <w:tc>
          <w:tcPr>
            <w:tcW w:w="368" w:type="pct"/>
            <w:vAlign w:val="center"/>
          </w:tcPr>
          <w:p>
            <w:pPr>
              <w:spacing w:line="360" w:lineRule="exact"/>
              <w:jc w:val="center"/>
              <w:rPr>
                <w:rFonts w:ascii="宋体" w:hAnsi="宋体" w:cs="宋体"/>
                <w:kern w:val="0"/>
                <w:szCs w:val="21"/>
              </w:rPr>
            </w:pPr>
            <w:r>
              <w:rPr>
                <w:rFonts w:hint="eastAsia" w:ascii="宋体" w:hAnsi="宋体" w:cs="宋体"/>
                <w:kern w:val="0"/>
                <w:szCs w:val="21"/>
              </w:rPr>
              <w:t>1</w:t>
            </w:r>
            <w:r>
              <w:rPr>
                <w:rFonts w:ascii="宋体" w:hAnsi="宋体" w:cs="宋体"/>
                <w:kern w:val="0"/>
                <w:szCs w:val="21"/>
              </w:rPr>
              <w:t>5</w:t>
            </w:r>
          </w:p>
        </w:tc>
        <w:tc>
          <w:tcPr>
            <w:tcW w:w="3840" w:type="pct"/>
            <w:vAlign w:val="center"/>
          </w:tcPr>
          <w:p>
            <w:pPr>
              <w:spacing w:line="360" w:lineRule="exact"/>
              <w:jc w:val="left"/>
              <w:rPr>
                <w:rFonts w:ascii="宋体" w:hAnsi="宋体" w:cs="宋体"/>
                <w:kern w:val="0"/>
                <w:szCs w:val="21"/>
              </w:rPr>
            </w:pPr>
            <w:r>
              <w:rPr>
                <w:rFonts w:hint="eastAsia" w:ascii="宋体" w:hAnsi="宋体" w:cs="宋体"/>
                <w:kern w:val="0"/>
                <w:szCs w:val="21"/>
              </w:rPr>
              <w:t>1.投标人具有</w:t>
            </w:r>
            <w:r>
              <w:rPr>
                <w:rFonts w:ascii="宋体" w:hAnsi="宋体" w:cs="宋体"/>
                <w:kern w:val="0"/>
                <w:szCs w:val="21"/>
              </w:rPr>
              <w:t>或</w:t>
            </w:r>
            <w:r>
              <w:rPr>
                <w:rFonts w:hint="eastAsia" w:ascii="宋体" w:hAnsi="宋体" w:cs="宋体"/>
                <w:kern w:val="0"/>
                <w:szCs w:val="21"/>
              </w:rPr>
              <w:t>提供资产管理系统类相关的软件著作权登记证书得</w:t>
            </w:r>
            <w:r>
              <w:rPr>
                <w:rFonts w:ascii="宋体" w:hAnsi="宋体" w:cs="宋体"/>
                <w:kern w:val="0"/>
                <w:szCs w:val="21"/>
              </w:rPr>
              <w:t>1</w:t>
            </w:r>
            <w:r>
              <w:rPr>
                <w:rFonts w:hint="eastAsia" w:ascii="宋体" w:hAnsi="宋体" w:cs="宋体"/>
                <w:kern w:val="0"/>
                <w:szCs w:val="21"/>
              </w:rPr>
              <w:t>分，本项满分</w:t>
            </w:r>
            <w:r>
              <w:rPr>
                <w:rFonts w:ascii="宋体" w:hAnsi="宋体" w:cs="宋体"/>
                <w:kern w:val="0"/>
                <w:szCs w:val="21"/>
              </w:rPr>
              <w:t>1</w:t>
            </w:r>
            <w:r>
              <w:rPr>
                <w:rFonts w:hint="eastAsia" w:ascii="宋体" w:hAnsi="宋体" w:cs="宋体"/>
                <w:kern w:val="0"/>
                <w:szCs w:val="21"/>
              </w:rPr>
              <w:t>分。</w:t>
            </w:r>
          </w:p>
          <w:p>
            <w:pPr>
              <w:spacing w:line="360" w:lineRule="exact"/>
              <w:jc w:val="left"/>
              <w:rPr>
                <w:rFonts w:ascii="宋体" w:hAnsi="宋体" w:cs="宋体"/>
                <w:kern w:val="0"/>
                <w:szCs w:val="21"/>
              </w:rPr>
            </w:pPr>
            <w:r>
              <w:rPr>
                <w:rFonts w:hint="eastAsia" w:ascii="宋体" w:hAnsi="宋体" w:cs="宋体"/>
                <w:kern w:val="0"/>
                <w:szCs w:val="21"/>
              </w:rPr>
              <w:t>2.投标人具有</w:t>
            </w:r>
            <w:r>
              <w:rPr>
                <w:rFonts w:ascii="宋体" w:hAnsi="宋体" w:cs="宋体"/>
                <w:kern w:val="0"/>
                <w:szCs w:val="21"/>
              </w:rPr>
              <w:t>或</w:t>
            </w:r>
            <w:r>
              <w:rPr>
                <w:rFonts w:hint="eastAsia" w:ascii="宋体" w:hAnsi="宋体" w:cs="宋体"/>
                <w:kern w:val="0"/>
                <w:szCs w:val="21"/>
              </w:rPr>
              <w:t>提供软件生产厂商的CMMI（软件能力成熟度模型集成）3或4级证书得1分，5级证书得2分；本项满分2分。</w:t>
            </w:r>
          </w:p>
          <w:p>
            <w:pPr>
              <w:spacing w:line="360" w:lineRule="exact"/>
              <w:jc w:val="left"/>
              <w:rPr>
                <w:rFonts w:ascii="宋体" w:hAnsi="宋体" w:cs="宋体"/>
                <w:kern w:val="0"/>
                <w:szCs w:val="21"/>
              </w:rPr>
            </w:pPr>
            <w:r>
              <w:rPr>
                <w:rFonts w:hint="eastAsia" w:ascii="宋体" w:hAnsi="宋体" w:cs="宋体"/>
                <w:kern w:val="0"/>
                <w:szCs w:val="21"/>
              </w:rPr>
              <w:t>3.投标人具有</w:t>
            </w:r>
            <w:r>
              <w:rPr>
                <w:rFonts w:ascii="宋体" w:hAnsi="宋体" w:cs="宋体"/>
                <w:kern w:val="0"/>
                <w:szCs w:val="21"/>
              </w:rPr>
              <w:t>或</w:t>
            </w:r>
            <w:r>
              <w:rPr>
                <w:rFonts w:hint="eastAsia" w:ascii="宋体" w:hAnsi="宋体" w:cs="宋体"/>
                <w:kern w:val="0"/>
                <w:szCs w:val="21"/>
              </w:rPr>
              <w:t>提供软件生产厂商的ISO9001质量管理体系认证证书得1分；具有ISO20000信息技术服务管理体系认证证书得1分；具有ISO27001信息安全管理体系认证证书得1分。本项满分3分。</w:t>
            </w:r>
          </w:p>
          <w:p>
            <w:pPr>
              <w:spacing w:line="360" w:lineRule="exact"/>
              <w:jc w:val="left"/>
              <w:rPr>
                <w:rFonts w:ascii="宋体" w:hAnsi="宋体" w:cs="宋体"/>
                <w:kern w:val="0"/>
                <w:szCs w:val="21"/>
              </w:rPr>
            </w:pPr>
            <w:r>
              <w:rPr>
                <w:rFonts w:hint="eastAsia" w:ascii="宋体" w:hAnsi="宋体" w:cs="宋体"/>
                <w:kern w:val="0"/>
                <w:szCs w:val="21"/>
              </w:rPr>
              <w:t>4.投标人具有</w:t>
            </w:r>
            <w:r>
              <w:rPr>
                <w:rFonts w:ascii="宋体" w:hAnsi="宋体" w:cs="宋体"/>
                <w:kern w:val="0"/>
                <w:szCs w:val="21"/>
              </w:rPr>
              <w:t>或</w:t>
            </w:r>
            <w:r>
              <w:rPr>
                <w:rFonts w:hint="eastAsia" w:ascii="宋体" w:hAnsi="宋体" w:cs="宋体"/>
                <w:kern w:val="0"/>
                <w:szCs w:val="21"/>
              </w:rPr>
              <w:t>提供软件生产厂商的信息系统建设和服务能力等级证书，CS2级及以上级别证书得1分；本项满分1分。</w:t>
            </w:r>
          </w:p>
          <w:p>
            <w:pPr>
              <w:spacing w:line="360" w:lineRule="exact"/>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.投标人具有</w:t>
            </w:r>
            <w:r>
              <w:rPr>
                <w:rFonts w:ascii="宋体" w:hAnsi="宋体" w:cs="宋体"/>
                <w:kern w:val="0"/>
                <w:szCs w:val="21"/>
              </w:rPr>
              <w:t>或</w:t>
            </w:r>
            <w:r>
              <w:rPr>
                <w:rFonts w:hint="eastAsia" w:ascii="宋体" w:hAnsi="宋体" w:cs="宋体"/>
                <w:kern w:val="0"/>
                <w:szCs w:val="21"/>
              </w:rPr>
              <w:t>提供软件生产厂商的CCRC信息安全服务资质认证证书，其中，软件安全开发服务资质二级（含）以上得 1分；信息系统安全运维服务资质二级（含）以上得1分；本项满分2分。</w:t>
            </w:r>
          </w:p>
          <w:p>
            <w:pPr>
              <w:spacing w:line="360" w:lineRule="exact"/>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.投标人提供软件的信息系统安全等级保护备案证明三级及2024年测评合格报告得</w:t>
            </w:r>
            <w:r>
              <w:rPr>
                <w:rFonts w:ascii="宋体" w:hAnsi="宋体" w:cs="宋体"/>
                <w:kern w:val="0"/>
                <w:szCs w:val="21"/>
              </w:rPr>
              <w:t>2</w:t>
            </w:r>
            <w:r>
              <w:rPr>
                <w:rFonts w:hint="eastAsia" w:ascii="宋体" w:hAnsi="宋体" w:cs="宋体"/>
                <w:kern w:val="0"/>
                <w:szCs w:val="21"/>
              </w:rPr>
              <w:t>分；本项满分</w:t>
            </w:r>
            <w:r>
              <w:rPr>
                <w:rFonts w:ascii="宋体" w:hAnsi="宋体" w:cs="宋体"/>
                <w:kern w:val="0"/>
                <w:szCs w:val="21"/>
              </w:rPr>
              <w:t>2</w:t>
            </w:r>
            <w:r>
              <w:rPr>
                <w:rFonts w:hint="eastAsia" w:ascii="宋体" w:hAnsi="宋体" w:cs="宋体"/>
                <w:kern w:val="0"/>
                <w:szCs w:val="21"/>
              </w:rPr>
              <w:t>分。</w:t>
            </w:r>
          </w:p>
          <w:p>
            <w:pPr>
              <w:spacing w:line="360" w:lineRule="exact"/>
              <w:jc w:val="left"/>
              <w:rPr>
                <w:rFonts w:ascii="宋体" w:hAnsi="宋体" w:cs="宋体"/>
                <w:kern w:val="0"/>
                <w:szCs w:val="21"/>
              </w:rPr>
            </w:pPr>
            <w:r>
              <w:rPr>
                <w:rFonts w:ascii="宋体" w:hAnsi="宋体" w:cs="宋体"/>
                <w:kern w:val="0"/>
                <w:szCs w:val="21"/>
              </w:rPr>
              <w:t>7</w:t>
            </w:r>
            <w:r>
              <w:rPr>
                <w:rFonts w:hint="eastAsia" w:ascii="宋体" w:hAnsi="宋体" w:cs="宋体"/>
                <w:kern w:val="0"/>
                <w:szCs w:val="21"/>
              </w:rPr>
              <w:t>.投标人具有</w:t>
            </w:r>
            <w:r>
              <w:rPr>
                <w:rFonts w:ascii="宋体" w:hAnsi="宋体" w:cs="宋体"/>
                <w:kern w:val="0"/>
                <w:szCs w:val="21"/>
              </w:rPr>
              <w:t>或</w:t>
            </w:r>
            <w:r>
              <w:rPr>
                <w:rFonts w:hint="eastAsia" w:ascii="宋体" w:hAnsi="宋体" w:cs="宋体"/>
                <w:kern w:val="0"/>
                <w:szCs w:val="21"/>
              </w:rPr>
              <w:t>提供软件生产厂商的高新企业技术证书得</w:t>
            </w:r>
            <w:r>
              <w:rPr>
                <w:rFonts w:ascii="宋体" w:hAnsi="宋体" w:cs="宋体"/>
                <w:kern w:val="0"/>
                <w:szCs w:val="21"/>
              </w:rPr>
              <w:t>2</w:t>
            </w:r>
            <w:r>
              <w:rPr>
                <w:rFonts w:hint="eastAsia" w:ascii="宋体" w:hAnsi="宋体" w:cs="宋体"/>
                <w:kern w:val="0"/>
                <w:szCs w:val="21"/>
              </w:rPr>
              <w:t>分。本项满分</w:t>
            </w:r>
            <w:r>
              <w:rPr>
                <w:rFonts w:ascii="宋体" w:hAnsi="宋体" w:cs="宋体"/>
                <w:kern w:val="0"/>
                <w:szCs w:val="21"/>
              </w:rPr>
              <w:t>2</w:t>
            </w:r>
            <w:r>
              <w:rPr>
                <w:rFonts w:hint="eastAsia" w:ascii="宋体" w:hAnsi="宋体" w:cs="宋体"/>
                <w:kern w:val="0"/>
                <w:szCs w:val="21"/>
              </w:rPr>
              <w:t>分。</w:t>
            </w:r>
          </w:p>
          <w:p>
            <w:pPr>
              <w:spacing w:line="360" w:lineRule="exact"/>
              <w:jc w:val="left"/>
              <w:rPr>
                <w:rFonts w:ascii="宋体" w:hAnsi="宋体" w:cs="宋体"/>
                <w:kern w:val="0"/>
                <w:szCs w:val="21"/>
              </w:rPr>
            </w:pPr>
            <w:r>
              <w:rPr>
                <w:rFonts w:hint="eastAsia" w:ascii="宋体" w:hAnsi="宋体" w:cs="宋体"/>
                <w:kern w:val="0"/>
                <w:szCs w:val="21"/>
              </w:rPr>
              <w:t>注：软件生产厂商以软件著作权证书登记的厂商名称为准；投标文件中附加盖投标人公章的证明扫描件，否则不得分。</w:t>
            </w:r>
          </w:p>
          <w:p>
            <w:pPr>
              <w:pStyle w:val="4"/>
              <w:rPr>
                <w:rFonts w:ascii="宋体" w:hAnsi="宋体" w:cs="宋体"/>
                <w:kern w:val="0"/>
                <w:szCs w:val="21"/>
              </w:rPr>
            </w:pPr>
            <w:r>
              <w:rPr>
                <w:rFonts w:hint="eastAsia"/>
              </w:rPr>
              <w:t>8.</w:t>
            </w:r>
            <w:r>
              <w:rPr>
                <w:rFonts w:hint="eastAsia" w:ascii="仿宋" w:hAnsi="仿宋" w:eastAsia="仿宋" w:cs="仿宋"/>
                <w:sz w:val="28"/>
                <w:szCs w:val="36"/>
              </w:rPr>
              <w:t xml:space="preserve"> </w:t>
            </w:r>
            <w:r>
              <w:rPr>
                <w:rFonts w:hint="eastAsia" w:ascii="宋体" w:hAnsi="宋体" w:cs="宋体"/>
                <w:kern w:val="0"/>
                <w:szCs w:val="21"/>
              </w:rPr>
              <w:t>投标人具有有资产盘清服务的专业能力和经验的得2分</w:t>
            </w:r>
            <w:r>
              <w:rPr>
                <w:rFonts w:ascii="宋体" w:hAnsi="宋体" w:cs="宋体"/>
                <w:kern w:val="0"/>
                <w:szCs w:val="21"/>
              </w:rPr>
              <w:t>；</w:t>
            </w:r>
          </w:p>
          <w:p>
            <w:pPr>
              <w:pStyle w:val="4"/>
            </w:pPr>
            <w:r>
              <w:rPr>
                <w:rFonts w:hint="eastAsia" w:ascii="宋体" w:hAnsi="宋体"/>
                <w:szCs w:val="21"/>
              </w:rPr>
              <w:t>注：须提供证明文件：项目合同，证明文件中须体现合同甲乙方、合同签订时间、合同标的内容等信息，否则视为无效证明文件，分包合同不予认可。</w:t>
            </w:r>
          </w:p>
        </w:tc>
        <w:tc>
          <w:tcPr>
            <w:tcW w:w="219" w:type="pct"/>
            <w:vAlign w:val="center"/>
          </w:tcPr>
          <w:p>
            <w:pPr>
              <w:spacing w:line="360" w:lineRule="exact"/>
              <w:jc w:val="center"/>
              <w:rPr>
                <w:rFonts w:ascii="宋体" w:hAnsi="宋体" w:cs="宋体"/>
                <w:kern w:val="0"/>
                <w:szCs w:val="21"/>
              </w:rPr>
            </w:pPr>
          </w:p>
        </w:tc>
      </w:tr>
      <w:tr>
        <w:trPr>
          <w:cantSplit/>
          <w:trHeight w:val="680" w:hRule="atLeast"/>
          <w:tblHeader/>
        </w:trPr>
        <w:tc>
          <w:tcPr>
            <w:tcW w:w="203" w:type="pct"/>
            <w:vAlign w:val="center"/>
          </w:tcPr>
          <w:p>
            <w:pPr>
              <w:spacing w:line="360" w:lineRule="exact"/>
              <w:jc w:val="center"/>
              <w:rPr>
                <w:rFonts w:ascii="宋体" w:hAnsi="宋体" w:cs="宋体"/>
                <w:kern w:val="0"/>
                <w:szCs w:val="21"/>
              </w:rPr>
            </w:pPr>
            <w:r>
              <w:rPr>
                <w:rFonts w:hint="eastAsia" w:ascii="宋体" w:hAnsi="宋体" w:cs="宋体"/>
                <w:kern w:val="0"/>
                <w:szCs w:val="21"/>
              </w:rPr>
              <w:t>2</w:t>
            </w:r>
          </w:p>
        </w:tc>
        <w:tc>
          <w:tcPr>
            <w:tcW w:w="370" w:type="pct"/>
            <w:vAlign w:val="center"/>
          </w:tcPr>
          <w:p>
            <w:pPr>
              <w:spacing w:line="360" w:lineRule="exact"/>
              <w:jc w:val="center"/>
              <w:rPr>
                <w:rFonts w:ascii="宋体" w:hAnsi="宋体" w:cs="宋体"/>
                <w:kern w:val="0"/>
                <w:szCs w:val="21"/>
              </w:rPr>
            </w:pPr>
            <w:r>
              <w:rPr>
                <w:rFonts w:hint="eastAsia" w:ascii="宋体" w:hAnsi="宋体" w:cs="宋体"/>
                <w:kern w:val="0"/>
                <w:szCs w:val="21"/>
              </w:rPr>
              <w:t>财务状况</w:t>
            </w:r>
          </w:p>
        </w:tc>
        <w:tc>
          <w:tcPr>
            <w:tcW w:w="368" w:type="pct"/>
            <w:vAlign w:val="center"/>
          </w:tcPr>
          <w:p>
            <w:pPr>
              <w:spacing w:line="360" w:lineRule="exact"/>
              <w:jc w:val="center"/>
              <w:rPr>
                <w:rFonts w:ascii="宋体" w:hAnsi="宋体" w:cs="宋体"/>
                <w:kern w:val="0"/>
                <w:szCs w:val="21"/>
              </w:rPr>
            </w:pPr>
            <w:r>
              <w:rPr>
                <w:rFonts w:ascii="宋体" w:hAnsi="宋体" w:cs="宋体"/>
                <w:kern w:val="0"/>
                <w:szCs w:val="21"/>
              </w:rPr>
              <w:t>1</w:t>
            </w:r>
          </w:p>
        </w:tc>
        <w:tc>
          <w:tcPr>
            <w:tcW w:w="3840" w:type="pct"/>
            <w:vAlign w:val="center"/>
          </w:tcPr>
          <w:p>
            <w:pPr>
              <w:spacing w:line="360" w:lineRule="exact"/>
              <w:jc w:val="left"/>
              <w:rPr>
                <w:rFonts w:ascii="宋体" w:hAnsi="宋体" w:cs="宋体"/>
                <w:kern w:val="0"/>
                <w:szCs w:val="21"/>
              </w:rPr>
            </w:pPr>
            <w:r>
              <w:rPr>
                <w:rFonts w:hint="eastAsia" w:ascii="宋体" w:hAnsi="宋体" w:cs="宋体"/>
                <w:szCs w:val="21"/>
              </w:rPr>
              <w:t>提供</w:t>
            </w:r>
            <w:r>
              <w:rPr>
                <w:rFonts w:hint="eastAsia" w:ascii="宋体" w:hAnsi="宋体" w:cs="宋体"/>
                <w:kern w:val="0"/>
                <w:szCs w:val="21"/>
              </w:rPr>
              <w:t>投标人近三年</w:t>
            </w:r>
            <w:r>
              <w:rPr>
                <w:rFonts w:hint="eastAsia" w:ascii="宋体" w:hAnsi="宋体"/>
                <w:kern w:val="0"/>
                <w:szCs w:val="21"/>
              </w:rPr>
              <w:t>（202</w:t>
            </w:r>
            <w:r>
              <w:rPr>
                <w:rFonts w:ascii="宋体" w:hAnsi="宋体"/>
                <w:kern w:val="0"/>
                <w:szCs w:val="21"/>
              </w:rPr>
              <w:t>1</w:t>
            </w:r>
            <w:r>
              <w:rPr>
                <w:rFonts w:hint="eastAsia" w:ascii="宋体" w:hAnsi="宋体"/>
                <w:kern w:val="0"/>
                <w:szCs w:val="21"/>
              </w:rPr>
              <w:t>年-202</w:t>
            </w:r>
            <w:r>
              <w:rPr>
                <w:rFonts w:ascii="宋体" w:hAnsi="宋体"/>
                <w:kern w:val="0"/>
                <w:szCs w:val="21"/>
              </w:rPr>
              <w:t>3</w:t>
            </w:r>
            <w:r>
              <w:rPr>
                <w:rFonts w:hint="eastAsia" w:ascii="宋体" w:hAnsi="宋体"/>
                <w:kern w:val="0"/>
                <w:szCs w:val="21"/>
              </w:rPr>
              <w:t>年）</w:t>
            </w:r>
            <w:r>
              <w:rPr>
                <w:rFonts w:hint="eastAsia" w:ascii="宋体" w:hAnsi="宋体" w:cs="宋体"/>
                <w:kern w:val="0"/>
                <w:szCs w:val="21"/>
              </w:rPr>
              <w:t>财务报表或</w:t>
            </w:r>
            <w:r>
              <w:rPr>
                <w:rFonts w:hint="eastAsia" w:ascii="宋体" w:hAnsi="宋体" w:cs="宋体"/>
                <w:szCs w:val="21"/>
              </w:rPr>
              <w:t>由注册会计师事务所出具的无保留意见的投标人近三年（202</w:t>
            </w:r>
            <w:r>
              <w:rPr>
                <w:rFonts w:ascii="宋体" w:hAnsi="宋体" w:cs="宋体"/>
                <w:szCs w:val="21"/>
              </w:rPr>
              <w:t>1</w:t>
            </w:r>
            <w:r>
              <w:rPr>
                <w:rFonts w:hint="eastAsia" w:ascii="宋体" w:hAnsi="宋体" w:cs="宋体"/>
                <w:szCs w:val="21"/>
              </w:rPr>
              <w:t>年-202</w:t>
            </w:r>
            <w:r>
              <w:rPr>
                <w:rFonts w:ascii="宋体" w:hAnsi="宋体" w:cs="宋体"/>
                <w:szCs w:val="21"/>
              </w:rPr>
              <w:t>3</w:t>
            </w:r>
            <w:r>
              <w:rPr>
                <w:rFonts w:hint="eastAsia" w:ascii="宋体" w:hAnsi="宋体" w:cs="宋体"/>
                <w:szCs w:val="21"/>
              </w:rPr>
              <w:t>年）年度审计报告（应包含资产负债表、损益表、现金流量表等主要财务报表及附注），得</w:t>
            </w:r>
            <w:r>
              <w:rPr>
                <w:rFonts w:ascii="宋体" w:hAnsi="宋体" w:cs="宋体"/>
                <w:szCs w:val="21"/>
              </w:rPr>
              <w:t>1</w:t>
            </w:r>
            <w:r>
              <w:rPr>
                <w:rFonts w:hint="eastAsia" w:ascii="宋体" w:hAnsi="宋体" w:cs="宋体"/>
                <w:szCs w:val="21"/>
              </w:rPr>
              <w:t>分。否则不得分。</w:t>
            </w:r>
            <w:r>
              <w:rPr>
                <w:rFonts w:hint="eastAsia" w:ascii="宋体" w:hAnsi="宋体" w:cs="宋体"/>
                <w:kern w:val="0"/>
                <w:szCs w:val="21"/>
              </w:rPr>
              <w:t>本项满分1分。</w:t>
            </w:r>
          </w:p>
        </w:tc>
        <w:tc>
          <w:tcPr>
            <w:tcW w:w="219" w:type="pct"/>
            <w:vAlign w:val="center"/>
          </w:tcPr>
          <w:p>
            <w:pPr>
              <w:spacing w:line="360" w:lineRule="exact"/>
              <w:jc w:val="center"/>
              <w:rPr>
                <w:rFonts w:ascii="宋体" w:hAnsi="宋体" w:cs="宋体"/>
                <w:kern w:val="0"/>
                <w:szCs w:val="21"/>
              </w:rPr>
            </w:pPr>
          </w:p>
        </w:tc>
      </w:tr>
      <w:tr>
        <w:trPr>
          <w:cantSplit/>
          <w:trHeight w:val="680" w:hRule="atLeast"/>
          <w:tblHeader/>
        </w:trPr>
        <w:tc>
          <w:tcPr>
            <w:tcW w:w="203" w:type="pct"/>
            <w:vAlign w:val="center"/>
          </w:tcPr>
          <w:p>
            <w:pPr>
              <w:spacing w:line="360" w:lineRule="exact"/>
              <w:jc w:val="center"/>
              <w:rPr>
                <w:rFonts w:ascii="宋体" w:hAnsi="宋体" w:cs="宋体"/>
                <w:kern w:val="0"/>
                <w:szCs w:val="21"/>
              </w:rPr>
            </w:pPr>
            <w:r>
              <w:rPr>
                <w:rFonts w:hint="eastAsia" w:ascii="宋体" w:hAnsi="宋体" w:cs="宋体"/>
                <w:kern w:val="0"/>
                <w:szCs w:val="21"/>
              </w:rPr>
              <w:t>3</w:t>
            </w:r>
          </w:p>
        </w:tc>
        <w:tc>
          <w:tcPr>
            <w:tcW w:w="370" w:type="pct"/>
            <w:vAlign w:val="center"/>
          </w:tcPr>
          <w:p>
            <w:pPr>
              <w:jc w:val="center"/>
            </w:pPr>
            <w:r>
              <w:rPr>
                <w:rFonts w:hint="eastAsia"/>
              </w:rPr>
              <w:t>信</w:t>
            </w:r>
            <w:r>
              <w:rPr>
                <w:rFonts w:hint="eastAsia" w:ascii="宋体" w:hAnsi="宋体" w:cs="宋体"/>
                <w:kern w:val="0"/>
                <w:szCs w:val="21"/>
              </w:rPr>
              <w:t>创支持</w:t>
            </w:r>
          </w:p>
        </w:tc>
        <w:tc>
          <w:tcPr>
            <w:tcW w:w="368" w:type="pct"/>
            <w:vAlign w:val="center"/>
          </w:tcPr>
          <w:p>
            <w:pPr>
              <w:spacing w:line="360" w:lineRule="exact"/>
              <w:jc w:val="center"/>
            </w:pPr>
            <w:r>
              <w:rPr>
                <w:rFonts w:hint="eastAsia" w:ascii="宋体" w:hAnsi="宋体" w:cs="宋体"/>
                <w:kern w:val="0"/>
                <w:szCs w:val="21"/>
              </w:rPr>
              <w:t>3</w:t>
            </w:r>
          </w:p>
        </w:tc>
        <w:tc>
          <w:tcPr>
            <w:tcW w:w="3840" w:type="pct"/>
            <w:vAlign w:val="center"/>
          </w:tcPr>
          <w:p>
            <w:pPr>
              <w:spacing w:line="360" w:lineRule="exact"/>
              <w:jc w:val="left"/>
              <w:rPr>
                <w:rFonts w:ascii="宋体" w:hAnsi="宋体" w:cs="宋体"/>
                <w:kern w:val="0"/>
                <w:szCs w:val="21"/>
              </w:rPr>
            </w:pPr>
            <w:r>
              <w:rPr>
                <w:rFonts w:hint="eastAsia" w:ascii="宋体" w:hAnsi="宋体" w:cs="宋体"/>
                <w:kern w:val="0"/>
                <w:szCs w:val="21"/>
              </w:rPr>
              <w:t>投标人提供系统兼容国产信创主流服务器操作系统、桌面操作系统、主流国产数据库的兼容性证书，每提供一个国产厂家兼容性证书得1分。未提供兼容性证书的不得分。本项满分3分。</w:t>
            </w:r>
          </w:p>
        </w:tc>
        <w:tc>
          <w:tcPr>
            <w:tcW w:w="219" w:type="pct"/>
            <w:vAlign w:val="center"/>
          </w:tcPr>
          <w:p>
            <w:pPr>
              <w:spacing w:line="360" w:lineRule="exact"/>
              <w:jc w:val="center"/>
              <w:rPr>
                <w:rFonts w:ascii="宋体" w:hAnsi="宋体" w:cs="宋体"/>
                <w:kern w:val="0"/>
                <w:szCs w:val="21"/>
              </w:rPr>
            </w:pPr>
          </w:p>
        </w:tc>
      </w:tr>
      <w:tr>
        <w:trPr>
          <w:cantSplit/>
          <w:trHeight w:val="1017" w:hRule="atLeast"/>
        </w:trPr>
        <w:tc>
          <w:tcPr>
            <w:tcW w:w="203" w:type="pct"/>
            <w:vAlign w:val="center"/>
          </w:tcPr>
          <w:p>
            <w:pPr>
              <w:spacing w:line="360" w:lineRule="exact"/>
              <w:jc w:val="center"/>
              <w:rPr>
                <w:rFonts w:ascii="宋体" w:hAnsi="宋体" w:cs="宋体"/>
                <w:kern w:val="0"/>
                <w:szCs w:val="21"/>
              </w:rPr>
            </w:pPr>
            <w:r>
              <w:rPr>
                <w:rFonts w:hint="eastAsia" w:ascii="宋体" w:hAnsi="宋体" w:cs="宋体"/>
                <w:kern w:val="0"/>
                <w:szCs w:val="21"/>
              </w:rPr>
              <w:t>4</w:t>
            </w:r>
          </w:p>
        </w:tc>
        <w:tc>
          <w:tcPr>
            <w:tcW w:w="370" w:type="pct"/>
            <w:vAlign w:val="center"/>
          </w:tcPr>
          <w:p>
            <w:pPr>
              <w:spacing w:line="360" w:lineRule="exact"/>
              <w:jc w:val="center"/>
              <w:rPr>
                <w:rFonts w:ascii="宋体" w:hAnsi="宋体" w:cs="宋体"/>
                <w:szCs w:val="21"/>
              </w:rPr>
            </w:pPr>
            <w:r>
              <w:rPr>
                <w:rFonts w:hint="eastAsia" w:ascii="宋体" w:hAnsi="宋体"/>
                <w:szCs w:val="21"/>
              </w:rPr>
              <w:t>企业业绩</w:t>
            </w:r>
          </w:p>
        </w:tc>
        <w:tc>
          <w:tcPr>
            <w:tcW w:w="368" w:type="pct"/>
            <w:vAlign w:val="center"/>
          </w:tcPr>
          <w:p>
            <w:pPr>
              <w:spacing w:line="360" w:lineRule="exact"/>
              <w:jc w:val="center"/>
              <w:rPr>
                <w:rFonts w:ascii="宋体" w:hAnsi="宋体" w:cs="宋体"/>
                <w:kern w:val="0"/>
                <w:szCs w:val="21"/>
              </w:rPr>
            </w:pPr>
            <w:r>
              <w:rPr>
                <w:rFonts w:hint="eastAsia" w:ascii="宋体" w:hAnsi="宋体" w:cs="宋体"/>
                <w:kern w:val="0"/>
                <w:szCs w:val="21"/>
              </w:rPr>
              <w:t>6</w:t>
            </w:r>
          </w:p>
        </w:tc>
        <w:tc>
          <w:tcPr>
            <w:tcW w:w="3840" w:type="pct"/>
            <w:vAlign w:val="center"/>
          </w:tcPr>
          <w:p>
            <w:pPr>
              <w:spacing w:line="360" w:lineRule="exact"/>
              <w:jc w:val="left"/>
              <w:rPr>
                <w:rFonts w:ascii="宋体" w:hAnsi="宋体"/>
                <w:szCs w:val="21"/>
              </w:rPr>
            </w:pPr>
            <w:r>
              <w:rPr>
                <w:rFonts w:hint="eastAsia" w:ascii="宋体" w:hAnsi="宋体"/>
                <w:szCs w:val="21"/>
              </w:rPr>
              <w:t>1、投标人自2020年1月1日至今承接过含有资产管理（资产管理或固定资产或资产租赁）相关内容的信息化系统建设项目实施案例（实施案例合同含税金额在75万（含）以上），每个业绩得</w:t>
            </w:r>
            <w:r>
              <w:rPr>
                <w:rFonts w:ascii="宋体" w:hAnsi="宋体"/>
                <w:szCs w:val="21"/>
              </w:rPr>
              <w:t>2</w:t>
            </w:r>
            <w:r>
              <w:rPr>
                <w:rFonts w:hint="eastAsia" w:ascii="宋体" w:hAnsi="宋体"/>
                <w:szCs w:val="21"/>
              </w:rPr>
              <w:t>分，本项满分</w:t>
            </w:r>
            <w:r>
              <w:rPr>
                <w:rFonts w:ascii="宋体" w:hAnsi="宋体"/>
                <w:szCs w:val="21"/>
              </w:rPr>
              <w:t>6</w:t>
            </w:r>
            <w:r>
              <w:rPr>
                <w:rFonts w:hint="eastAsia" w:ascii="宋体" w:hAnsi="宋体"/>
                <w:szCs w:val="21"/>
              </w:rPr>
              <w:t>分。</w:t>
            </w:r>
          </w:p>
          <w:p>
            <w:pPr>
              <w:spacing w:line="360" w:lineRule="exact"/>
              <w:jc w:val="left"/>
              <w:rPr>
                <w:rFonts w:ascii="宋体" w:hAnsi="宋体" w:cs="宋体"/>
                <w:szCs w:val="21"/>
              </w:rPr>
            </w:pPr>
            <w:r>
              <w:rPr>
                <w:rFonts w:hint="eastAsia" w:ascii="宋体" w:hAnsi="宋体"/>
                <w:szCs w:val="21"/>
              </w:rPr>
              <w:t>注：须提供业绩证明文件：项目合同，证明文件中须体现合同甲乙方、合同签订时间、合同标的内容等信息，否则视为无效证明文件，分包合同不予认可。</w:t>
            </w:r>
          </w:p>
        </w:tc>
        <w:tc>
          <w:tcPr>
            <w:tcW w:w="219" w:type="pct"/>
            <w:vAlign w:val="center"/>
          </w:tcPr>
          <w:p>
            <w:pPr>
              <w:spacing w:line="360" w:lineRule="exact"/>
              <w:rPr>
                <w:rFonts w:ascii="宋体" w:hAnsi="宋体" w:cs="宋体"/>
                <w:kern w:val="0"/>
                <w:szCs w:val="21"/>
              </w:rPr>
            </w:pPr>
          </w:p>
        </w:tc>
      </w:tr>
      <w:tr>
        <w:trPr>
          <w:cantSplit/>
          <w:trHeight w:val="680" w:hRule="atLeast"/>
        </w:trPr>
        <w:tc>
          <w:tcPr>
            <w:tcW w:w="573" w:type="pct"/>
            <w:gridSpan w:val="2"/>
            <w:vAlign w:val="center"/>
          </w:tcPr>
          <w:p>
            <w:pPr>
              <w:autoSpaceDE w:val="0"/>
              <w:autoSpaceDN w:val="0"/>
              <w:spacing w:line="360" w:lineRule="exact"/>
              <w:jc w:val="center"/>
              <w:rPr>
                <w:rFonts w:ascii="宋体" w:hAnsi="宋体" w:cs="宋体"/>
                <w:kern w:val="0"/>
                <w:szCs w:val="21"/>
              </w:rPr>
            </w:pPr>
            <w:r>
              <w:rPr>
                <w:rFonts w:hint="eastAsia" w:ascii="宋体" w:hAnsi="宋体" w:cs="宋体"/>
                <w:kern w:val="0"/>
                <w:szCs w:val="21"/>
              </w:rPr>
              <w:t>资信文件得分</w:t>
            </w:r>
          </w:p>
        </w:tc>
        <w:tc>
          <w:tcPr>
            <w:tcW w:w="368" w:type="pct"/>
            <w:vAlign w:val="center"/>
          </w:tcPr>
          <w:p>
            <w:pPr>
              <w:spacing w:line="360" w:lineRule="exact"/>
              <w:jc w:val="center"/>
              <w:rPr>
                <w:rFonts w:ascii="宋体" w:hAnsi="宋体" w:cs="宋体"/>
                <w:kern w:val="0"/>
                <w:szCs w:val="21"/>
              </w:rPr>
            </w:pPr>
            <w:r>
              <w:rPr>
                <w:rFonts w:hint="eastAsia" w:ascii="宋体" w:hAnsi="宋体" w:cs="宋体"/>
                <w:kern w:val="0"/>
                <w:szCs w:val="21"/>
              </w:rPr>
              <w:t>25</w:t>
            </w:r>
          </w:p>
        </w:tc>
        <w:tc>
          <w:tcPr>
            <w:tcW w:w="3840" w:type="pct"/>
            <w:vAlign w:val="center"/>
          </w:tcPr>
          <w:p>
            <w:pPr>
              <w:spacing w:line="360" w:lineRule="exact"/>
              <w:rPr>
                <w:rFonts w:ascii="宋体" w:hAnsi="宋体" w:cs="宋体"/>
                <w:kern w:val="0"/>
                <w:szCs w:val="21"/>
              </w:rPr>
            </w:pPr>
          </w:p>
        </w:tc>
        <w:tc>
          <w:tcPr>
            <w:tcW w:w="219" w:type="pct"/>
            <w:vAlign w:val="center"/>
          </w:tcPr>
          <w:p>
            <w:pPr>
              <w:spacing w:line="360" w:lineRule="exact"/>
              <w:rPr>
                <w:rFonts w:ascii="宋体" w:hAnsi="宋体" w:cs="宋体"/>
                <w:kern w:val="0"/>
                <w:szCs w:val="21"/>
              </w:rPr>
            </w:pPr>
          </w:p>
        </w:tc>
      </w:tr>
      <w:bookmarkEnd w:id="357"/>
    </w:tbl>
    <w:p>
      <w:pPr>
        <w:spacing w:line="360" w:lineRule="auto"/>
        <w:ind w:firstLine="420" w:firstLineChars="200"/>
        <w:rPr>
          <w:rFonts w:ascii="宋体" w:hAnsi="宋体"/>
          <w:szCs w:val="21"/>
        </w:rPr>
        <w:sectPr>
          <w:pgSz w:w="11906" w:h="16838"/>
          <w:pgMar w:top="1418" w:right="1418" w:bottom="1418" w:left="1418" w:header="851" w:footer="992" w:gutter="0"/>
          <w:cols w:space="720" w:num="1"/>
          <w:docGrid w:linePitch="312" w:charSpace="0"/>
        </w:sectPr>
      </w:pPr>
    </w:p>
    <w:p>
      <w:pPr>
        <w:keepNext/>
        <w:keepLines/>
        <w:pageBreakBefore/>
        <w:spacing w:line="360" w:lineRule="auto"/>
        <w:ind w:left="482" w:hanging="480" w:hangingChars="200"/>
        <w:outlineLvl w:val="2"/>
        <w:rPr>
          <w:rFonts w:ascii="Arial" w:hAnsi="Arial"/>
          <w:b/>
          <w:bCs/>
          <w:kern w:val="0"/>
          <w:sz w:val="24"/>
          <w:szCs w:val="28"/>
        </w:rPr>
      </w:pPr>
      <w:bookmarkStart w:id="358" w:name="_Toc22030"/>
      <w:r>
        <w:rPr>
          <w:rFonts w:hint="eastAsia" w:ascii="Arial" w:hAnsi="Arial"/>
          <w:b/>
          <w:bCs/>
          <w:kern w:val="0"/>
          <w:sz w:val="24"/>
          <w:szCs w:val="28"/>
        </w:rPr>
        <w:t>附表四：技术文件评分表</w:t>
      </w:r>
      <w:bookmarkEnd w:id="358"/>
    </w:p>
    <w:tbl>
      <w:tblPr>
        <w:tblStyle w:val="51"/>
        <w:tblW w:w="14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228"/>
        <w:gridCol w:w="992"/>
        <w:gridCol w:w="9927"/>
        <w:gridCol w:w="1414"/>
      </w:tblGrid>
      <w:tr>
        <w:trPr>
          <w:trHeight w:val="651" w:hRule="atLeast"/>
          <w:tblHeader/>
        </w:trPr>
        <w:tc>
          <w:tcPr>
            <w:tcW w:w="723" w:type="dxa"/>
            <w:vAlign w:val="center"/>
          </w:tcPr>
          <w:p>
            <w:pPr>
              <w:spacing w:line="360" w:lineRule="exact"/>
              <w:jc w:val="center"/>
              <w:rPr>
                <w:rFonts w:ascii="宋体" w:hAnsi="宋体" w:cs="宋体"/>
                <w:kern w:val="0"/>
                <w:szCs w:val="21"/>
              </w:rPr>
            </w:pPr>
            <w:r>
              <w:rPr>
                <w:rFonts w:ascii="宋体" w:hAnsi="宋体"/>
                <w:b/>
                <w:kern w:val="0"/>
                <w:szCs w:val="21"/>
              </w:rPr>
              <w:t>序号</w:t>
            </w:r>
          </w:p>
        </w:tc>
        <w:tc>
          <w:tcPr>
            <w:tcW w:w="1228" w:type="dxa"/>
            <w:vAlign w:val="center"/>
          </w:tcPr>
          <w:p>
            <w:pPr>
              <w:spacing w:line="360" w:lineRule="exact"/>
              <w:jc w:val="center"/>
              <w:rPr>
                <w:rFonts w:ascii="宋体" w:hAnsi="宋体" w:cs="宋体"/>
                <w:kern w:val="0"/>
                <w:szCs w:val="21"/>
              </w:rPr>
            </w:pPr>
            <w:r>
              <w:rPr>
                <w:rFonts w:hint="eastAsia" w:ascii="宋体" w:hAnsi="宋体"/>
                <w:b/>
                <w:kern w:val="0"/>
                <w:szCs w:val="21"/>
              </w:rPr>
              <w:t>评审</w:t>
            </w:r>
            <w:r>
              <w:rPr>
                <w:rFonts w:ascii="宋体" w:hAnsi="宋体"/>
                <w:b/>
                <w:kern w:val="0"/>
                <w:szCs w:val="21"/>
              </w:rPr>
              <w:t>项目</w:t>
            </w:r>
          </w:p>
        </w:tc>
        <w:tc>
          <w:tcPr>
            <w:tcW w:w="992" w:type="dxa"/>
            <w:vAlign w:val="center"/>
          </w:tcPr>
          <w:p>
            <w:pPr>
              <w:spacing w:line="360" w:lineRule="exact"/>
              <w:jc w:val="center"/>
              <w:rPr>
                <w:rFonts w:ascii="宋体" w:hAnsi="宋体"/>
                <w:szCs w:val="21"/>
              </w:rPr>
            </w:pPr>
            <w:r>
              <w:rPr>
                <w:rFonts w:ascii="宋体" w:hAnsi="宋体"/>
                <w:b/>
                <w:kern w:val="0"/>
                <w:szCs w:val="21"/>
              </w:rPr>
              <w:t>标准分</w:t>
            </w:r>
          </w:p>
        </w:tc>
        <w:tc>
          <w:tcPr>
            <w:tcW w:w="9927" w:type="dxa"/>
            <w:vAlign w:val="center"/>
          </w:tcPr>
          <w:p>
            <w:pPr>
              <w:spacing w:line="360" w:lineRule="exact"/>
              <w:jc w:val="center"/>
              <w:rPr>
                <w:rFonts w:ascii="宋体" w:hAnsi="宋体" w:cs="宋体"/>
                <w:kern w:val="0"/>
                <w:szCs w:val="21"/>
              </w:rPr>
            </w:pPr>
            <w:r>
              <w:rPr>
                <w:rFonts w:ascii="宋体" w:hAnsi="宋体"/>
                <w:b/>
                <w:kern w:val="0"/>
                <w:szCs w:val="21"/>
              </w:rPr>
              <w:t>评分标准</w:t>
            </w:r>
          </w:p>
        </w:tc>
        <w:tc>
          <w:tcPr>
            <w:tcW w:w="1414" w:type="dxa"/>
            <w:vAlign w:val="center"/>
          </w:tcPr>
          <w:p>
            <w:pPr>
              <w:spacing w:line="360" w:lineRule="exact"/>
              <w:jc w:val="center"/>
              <w:rPr>
                <w:rFonts w:ascii="宋体" w:hAnsi="宋体"/>
                <w:kern w:val="0"/>
                <w:szCs w:val="21"/>
              </w:rPr>
            </w:pPr>
            <w:r>
              <w:rPr>
                <w:rFonts w:ascii="宋体" w:hAnsi="宋体"/>
                <w:b/>
                <w:kern w:val="0"/>
                <w:szCs w:val="21"/>
              </w:rPr>
              <w:t>得分</w:t>
            </w:r>
          </w:p>
        </w:tc>
      </w:tr>
      <w:tr>
        <w:trPr>
          <w:trHeight w:val="438" w:hRule="atLeast"/>
        </w:trPr>
        <w:tc>
          <w:tcPr>
            <w:tcW w:w="723"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1</w:t>
            </w:r>
          </w:p>
        </w:tc>
        <w:tc>
          <w:tcPr>
            <w:tcW w:w="1228"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整体建设方案</w:t>
            </w:r>
          </w:p>
        </w:tc>
        <w:tc>
          <w:tcPr>
            <w:tcW w:w="992" w:type="dxa"/>
            <w:vAlign w:val="center"/>
          </w:tcPr>
          <w:p>
            <w:pPr>
              <w:snapToGrid w:val="0"/>
              <w:spacing w:line="360" w:lineRule="exact"/>
              <w:jc w:val="center"/>
              <w:rPr>
                <w:rFonts w:ascii="宋体" w:hAnsi="宋体"/>
                <w:szCs w:val="21"/>
              </w:rPr>
            </w:pPr>
            <w:r>
              <w:rPr>
                <w:rFonts w:hint="eastAsia" w:ascii="宋体" w:hAnsi="宋体"/>
                <w:szCs w:val="21"/>
              </w:rPr>
              <w:t>24</w:t>
            </w:r>
          </w:p>
        </w:tc>
        <w:tc>
          <w:tcPr>
            <w:tcW w:w="9927" w:type="dxa"/>
            <w:vAlign w:val="center"/>
          </w:tcPr>
          <w:p>
            <w:pPr>
              <w:spacing w:line="360" w:lineRule="exact"/>
              <w:jc w:val="left"/>
              <w:rPr>
                <w:rFonts w:ascii="宋体" w:hAnsi="宋体" w:cs="宋体"/>
                <w:kern w:val="0"/>
                <w:szCs w:val="21"/>
              </w:rPr>
            </w:pPr>
            <w:r>
              <w:rPr>
                <w:rFonts w:hint="eastAsia" w:ascii="宋体" w:hAnsi="宋体" w:cs="宋体"/>
                <w:kern w:val="0"/>
                <w:szCs w:val="21"/>
              </w:rPr>
              <w:t>系统详细功能设计科学、合理，满足招标文件的各项要求，图文并茂的对系统的具体功能有详细设计描述，根据投标人提供业务功能的完整性、易用性、满足度等方面，进行综合评分。</w:t>
            </w:r>
          </w:p>
          <w:p>
            <w:pPr>
              <w:spacing w:line="360" w:lineRule="exact"/>
              <w:jc w:val="left"/>
              <w:rPr>
                <w:rFonts w:ascii="宋体" w:hAnsi="宋体" w:cs="宋体"/>
                <w:kern w:val="0"/>
                <w:szCs w:val="21"/>
              </w:rPr>
            </w:pPr>
            <w:r>
              <w:rPr>
                <w:rFonts w:hint="eastAsia" w:ascii="宋体" w:hAnsi="宋体" w:cs="宋体"/>
                <w:kern w:val="0"/>
                <w:szCs w:val="21"/>
              </w:rPr>
              <w:t>（1）需求分析与总体设计（</w:t>
            </w:r>
            <w:r>
              <w:rPr>
                <w:rFonts w:ascii="宋体" w:hAnsi="宋体" w:cs="宋体"/>
                <w:kern w:val="0"/>
                <w:szCs w:val="21"/>
              </w:rPr>
              <w:t>6</w:t>
            </w:r>
            <w:r>
              <w:rPr>
                <w:rFonts w:hint="eastAsia" w:ascii="宋体" w:hAnsi="宋体" w:cs="宋体"/>
                <w:kern w:val="0"/>
                <w:szCs w:val="21"/>
              </w:rPr>
              <w:t>分）：综合评价投标人对本项目需求理解充分性，总体设计思路、架构分析、功能设置合理，并且支持未来的智能化前瞻性应用。内容表述详细、清晰、合理，设计方案技术可靠、先进、适用。评委根据以上标准打分，</w:t>
            </w:r>
            <w:r>
              <w:rPr>
                <w:rFonts w:hint="eastAsia" w:ascii="宋体" w:hAnsi="宋体"/>
                <w:szCs w:val="21"/>
              </w:rPr>
              <w:t>优[5</w:t>
            </w:r>
            <w:r>
              <w:rPr>
                <w:rFonts w:ascii="宋体" w:hAnsi="宋体"/>
                <w:szCs w:val="21"/>
              </w:rPr>
              <w:t>-</w:t>
            </w:r>
            <w:r>
              <w:rPr>
                <w:rFonts w:hint="eastAsia" w:ascii="宋体" w:hAnsi="宋体"/>
                <w:szCs w:val="21"/>
              </w:rPr>
              <w:t>6]分；良（3</w:t>
            </w:r>
            <w:r>
              <w:rPr>
                <w:rFonts w:ascii="宋体" w:hAnsi="宋体"/>
                <w:szCs w:val="21"/>
              </w:rPr>
              <w:t>-</w:t>
            </w:r>
            <w:r>
              <w:rPr>
                <w:rFonts w:hint="eastAsia" w:ascii="宋体" w:hAnsi="宋体"/>
                <w:szCs w:val="21"/>
              </w:rPr>
              <w:t>4）分；一般</w:t>
            </w:r>
            <w:r>
              <w:rPr>
                <w:rFonts w:ascii="宋体" w:hAnsi="宋体"/>
                <w:szCs w:val="21"/>
              </w:rPr>
              <w:t>0-2</w:t>
            </w:r>
            <w:r>
              <w:rPr>
                <w:rFonts w:hint="eastAsia" w:ascii="宋体" w:hAnsi="宋体"/>
                <w:szCs w:val="21"/>
              </w:rPr>
              <w:t>]分</w:t>
            </w:r>
            <w:r>
              <w:rPr>
                <w:rFonts w:hint="eastAsia" w:ascii="宋体" w:hAnsi="宋体" w:cs="宋体"/>
                <w:kern w:val="0"/>
                <w:szCs w:val="21"/>
              </w:rPr>
              <w:t>。本项满分6分。</w:t>
            </w:r>
          </w:p>
          <w:p>
            <w:pPr>
              <w:spacing w:line="360" w:lineRule="exact"/>
              <w:jc w:val="left"/>
              <w:rPr>
                <w:rFonts w:ascii="宋体" w:hAnsi="宋体" w:cs="宋体"/>
                <w:kern w:val="0"/>
                <w:szCs w:val="21"/>
              </w:rPr>
            </w:pPr>
            <w:r>
              <w:rPr>
                <w:rFonts w:hint="eastAsia" w:ascii="宋体" w:hAnsi="宋体" w:cs="宋体"/>
                <w:kern w:val="0"/>
                <w:szCs w:val="21"/>
              </w:rPr>
              <w:t>（2）产品与需求匹配度（</w:t>
            </w:r>
            <w:r>
              <w:rPr>
                <w:rFonts w:ascii="宋体" w:hAnsi="宋体" w:cs="宋体"/>
                <w:kern w:val="0"/>
                <w:szCs w:val="21"/>
              </w:rPr>
              <w:t>8</w:t>
            </w:r>
            <w:r>
              <w:rPr>
                <w:rFonts w:hint="eastAsia" w:ascii="宋体" w:hAnsi="宋体" w:cs="宋体"/>
                <w:kern w:val="0"/>
                <w:szCs w:val="21"/>
              </w:rPr>
              <w:t>分）：阐述产品针对招标人资产管理系统建设需求的匹配情况，对各项功能需求的响应程度和相关流程的易用度，Web平台应用和APP移动应用是否分别满足本项目需求或优于项目需求；针对招标人需求设计业务解决方案提供轻度的业务咨询服务。评委根据以上标准打分，</w:t>
            </w:r>
            <w:r>
              <w:rPr>
                <w:rFonts w:hint="eastAsia" w:ascii="宋体" w:hAnsi="宋体"/>
                <w:szCs w:val="21"/>
              </w:rPr>
              <w:t>优[</w:t>
            </w:r>
            <w:r>
              <w:rPr>
                <w:rFonts w:ascii="宋体" w:hAnsi="宋体"/>
                <w:szCs w:val="21"/>
              </w:rPr>
              <w:t>5-</w:t>
            </w:r>
            <w:r>
              <w:rPr>
                <w:rFonts w:hint="eastAsia" w:ascii="宋体" w:hAnsi="宋体"/>
                <w:szCs w:val="21"/>
              </w:rPr>
              <w:t>8分；良（</w:t>
            </w:r>
            <w:r>
              <w:rPr>
                <w:rFonts w:ascii="宋体" w:hAnsi="宋体"/>
                <w:szCs w:val="21"/>
              </w:rPr>
              <w:t>3-4</w:t>
            </w:r>
            <w:r>
              <w:rPr>
                <w:rFonts w:hint="eastAsia" w:ascii="宋体" w:hAnsi="宋体"/>
                <w:szCs w:val="21"/>
              </w:rPr>
              <w:t>）分；一般[</w:t>
            </w:r>
            <w:r>
              <w:rPr>
                <w:rFonts w:ascii="宋体" w:hAnsi="宋体"/>
                <w:szCs w:val="21"/>
              </w:rPr>
              <w:t>0-2</w:t>
            </w:r>
            <w:r>
              <w:rPr>
                <w:rFonts w:hint="eastAsia" w:ascii="宋体" w:hAnsi="宋体"/>
                <w:szCs w:val="21"/>
              </w:rPr>
              <w:t>]分</w:t>
            </w:r>
            <w:r>
              <w:rPr>
                <w:rFonts w:hint="eastAsia" w:ascii="宋体" w:hAnsi="宋体" w:cs="宋体"/>
                <w:kern w:val="0"/>
                <w:szCs w:val="21"/>
              </w:rPr>
              <w:t>。本项满分8分。</w:t>
            </w:r>
          </w:p>
          <w:p>
            <w:pPr>
              <w:spacing w:line="360" w:lineRule="exact"/>
              <w:jc w:val="left"/>
              <w:rPr>
                <w:rFonts w:ascii="宋体" w:hAnsi="宋体" w:cs="宋体"/>
                <w:kern w:val="0"/>
                <w:szCs w:val="21"/>
              </w:rPr>
            </w:pPr>
            <w:r>
              <w:rPr>
                <w:rFonts w:hint="eastAsia" w:ascii="宋体" w:hAnsi="宋体" w:cs="宋体"/>
                <w:kern w:val="0"/>
                <w:szCs w:val="21"/>
              </w:rPr>
              <w:t>（3）产品可扩展能力（</w:t>
            </w:r>
            <w:r>
              <w:rPr>
                <w:rFonts w:ascii="宋体" w:hAnsi="宋体" w:cs="宋体"/>
                <w:kern w:val="0"/>
                <w:szCs w:val="21"/>
              </w:rPr>
              <w:t>5</w:t>
            </w:r>
            <w:r>
              <w:rPr>
                <w:rFonts w:hint="eastAsia" w:ascii="宋体" w:hAnsi="宋体" w:cs="宋体"/>
                <w:kern w:val="0"/>
                <w:szCs w:val="21"/>
              </w:rPr>
              <w:t>分）：租售一体化方案设计科学、合理，满足招标文件的各项要求（方案包括：思路、流程、功能说明、效果四个方面）。评委根据以上标准打分，</w:t>
            </w:r>
            <w:r>
              <w:rPr>
                <w:rFonts w:hint="eastAsia" w:ascii="宋体" w:hAnsi="宋体"/>
                <w:szCs w:val="21"/>
              </w:rPr>
              <w:t>优[</w:t>
            </w:r>
            <w:r>
              <w:rPr>
                <w:rFonts w:ascii="宋体" w:hAnsi="宋体"/>
                <w:szCs w:val="21"/>
              </w:rPr>
              <w:t>3-</w:t>
            </w:r>
            <w:r>
              <w:rPr>
                <w:rFonts w:hint="eastAsia" w:ascii="宋体" w:hAnsi="宋体"/>
                <w:szCs w:val="21"/>
              </w:rPr>
              <w:t>5]分；良（</w:t>
            </w:r>
            <w:r>
              <w:rPr>
                <w:rFonts w:ascii="宋体" w:hAnsi="宋体"/>
                <w:szCs w:val="21"/>
              </w:rPr>
              <w:t>2-3</w:t>
            </w:r>
            <w:r>
              <w:rPr>
                <w:rFonts w:hint="eastAsia" w:ascii="宋体" w:hAnsi="宋体"/>
                <w:szCs w:val="21"/>
              </w:rPr>
              <w:t>）分；一般[</w:t>
            </w:r>
            <w:r>
              <w:rPr>
                <w:rFonts w:ascii="宋体" w:hAnsi="宋体"/>
                <w:szCs w:val="21"/>
              </w:rPr>
              <w:t>0-1</w:t>
            </w:r>
            <w:r>
              <w:rPr>
                <w:rFonts w:hint="eastAsia" w:ascii="宋体" w:hAnsi="宋体"/>
                <w:szCs w:val="21"/>
              </w:rPr>
              <w:t>]分</w:t>
            </w:r>
            <w:r>
              <w:rPr>
                <w:rFonts w:hint="eastAsia" w:ascii="宋体" w:hAnsi="宋体" w:cs="宋体"/>
                <w:kern w:val="0"/>
                <w:szCs w:val="21"/>
              </w:rPr>
              <w:t>。本项满分5分。</w:t>
            </w:r>
          </w:p>
          <w:p>
            <w:pPr>
              <w:spacing w:line="360" w:lineRule="exact"/>
              <w:jc w:val="left"/>
              <w:rPr>
                <w:rFonts w:ascii="宋体" w:hAnsi="宋体" w:cs="宋体"/>
                <w:kern w:val="0"/>
                <w:szCs w:val="21"/>
              </w:rPr>
            </w:pPr>
            <w:r>
              <w:rPr>
                <w:rFonts w:hint="eastAsia" w:ascii="宋体" w:hAnsi="宋体" w:cs="宋体"/>
                <w:kern w:val="0"/>
                <w:szCs w:val="21"/>
              </w:rPr>
              <w:t>（4）非功能性需求（</w:t>
            </w:r>
            <w:r>
              <w:rPr>
                <w:rFonts w:ascii="宋体" w:hAnsi="宋体" w:cs="宋体"/>
                <w:kern w:val="0"/>
                <w:szCs w:val="21"/>
              </w:rPr>
              <w:t>5</w:t>
            </w:r>
            <w:r>
              <w:rPr>
                <w:rFonts w:hint="eastAsia" w:ascii="宋体" w:hAnsi="宋体" w:cs="宋体"/>
                <w:kern w:val="0"/>
                <w:szCs w:val="21"/>
              </w:rPr>
              <w:t>分）：满足国产信创、高性能、安全性、兼容性、集成性等非功能性需求。解决方案应完整、先进、合理、可行，且扩展能力强、稳定可靠。评委根据以上标准打分，</w:t>
            </w:r>
            <w:r>
              <w:rPr>
                <w:rFonts w:hint="eastAsia" w:ascii="宋体" w:hAnsi="宋体"/>
                <w:szCs w:val="21"/>
              </w:rPr>
              <w:t>优[3，5]分；良（</w:t>
            </w:r>
            <w:r>
              <w:rPr>
                <w:rFonts w:ascii="宋体" w:hAnsi="宋体"/>
                <w:szCs w:val="21"/>
              </w:rPr>
              <w:t>1-2</w:t>
            </w:r>
            <w:r>
              <w:rPr>
                <w:rFonts w:hint="eastAsia" w:ascii="宋体" w:hAnsi="宋体"/>
                <w:szCs w:val="21"/>
              </w:rPr>
              <w:t>）分；一般[0，1]分</w:t>
            </w:r>
            <w:r>
              <w:rPr>
                <w:rFonts w:hint="eastAsia" w:ascii="宋体" w:hAnsi="宋体" w:cs="宋体"/>
                <w:kern w:val="0"/>
                <w:szCs w:val="21"/>
              </w:rPr>
              <w:t>。本项满分5分。</w:t>
            </w:r>
          </w:p>
        </w:tc>
        <w:tc>
          <w:tcPr>
            <w:tcW w:w="1414" w:type="dxa"/>
            <w:vAlign w:val="center"/>
          </w:tcPr>
          <w:p>
            <w:pPr>
              <w:spacing w:line="360" w:lineRule="exact"/>
              <w:jc w:val="center"/>
              <w:rPr>
                <w:rFonts w:ascii="宋体" w:hAnsi="宋体"/>
                <w:b/>
                <w:kern w:val="0"/>
                <w:szCs w:val="21"/>
              </w:rPr>
            </w:pPr>
          </w:p>
        </w:tc>
      </w:tr>
      <w:tr>
        <w:trPr>
          <w:trHeight w:val="438" w:hRule="atLeast"/>
        </w:trPr>
        <w:tc>
          <w:tcPr>
            <w:tcW w:w="723"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2</w:t>
            </w:r>
          </w:p>
        </w:tc>
        <w:tc>
          <w:tcPr>
            <w:tcW w:w="1228"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技术架构先进性</w:t>
            </w:r>
          </w:p>
        </w:tc>
        <w:tc>
          <w:tcPr>
            <w:tcW w:w="992" w:type="dxa"/>
            <w:vAlign w:val="center"/>
          </w:tcPr>
          <w:p>
            <w:pPr>
              <w:snapToGrid w:val="0"/>
              <w:spacing w:line="360" w:lineRule="exact"/>
              <w:jc w:val="center"/>
              <w:rPr>
                <w:rFonts w:ascii="宋体" w:hAnsi="宋体"/>
                <w:szCs w:val="21"/>
              </w:rPr>
            </w:pPr>
            <w:r>
              <w:rPr>
                <w:rFonts w:ascii="宋体" w:hAnsi="宋体"/>
                <w:szCs w:val="21"/>
              </w:rPr>
              <w:t>6</w:t>
            </w:r>
          </w:p>
        </w:tc>
        <w:tc>
          <w:tcPr>
            <w:tcW w:w="9927" w:type="dxa"/>
            <w:vAlign w:val="center"/>
          </w:tcPr>
          <w:p>
            <w:pPr>
              <w:spacing w:line="360" w:lineRule="exact"/>
              <w:jc w:val="left"/>
              <w:rPr>
                <w:rFonts w:ascii="宋体" w:hAnsi="宋体" w:cs="宋体"/>
                <w:kern w:val="0"/>
                <w:szCs w:val="21"/>
              </w:rPr>
            </w:pPr>
            <w:r>
              <w:rPr>
                <w:rFonts w:hint="eastAsia" w:ascii="宋体" w:hAnsi="宋体" w:cs="宋体"/>
                <w:kern w:val="0"/>
                <w:szCs w:val="21"/>
              </w:rPr>
              <w:t>采用技术平台底座先进，云原生、微服务架构、低代码平台，采用国际主流的技术架构。总体结构完整，技术路线合理，系统扩展性强，能跨操作系统、跨数据库应用，兼容性强，可与其他系统集成。先进(</w:t>
            </w:r>
            <w:r>
              <w:rPr>
                <w:rFonts w:ascii="宋体" w:hAnsi="宋体" w:cs="宋体"/>
                <w:kern w:val="0"/>
                <w:szCs w:val="21"/>
              </w:rPr>
              <w:t>4-6</w:t>
            </w:r>
            <w:r>
              <w:rPr>
                <w:rFonts w:hint="eastAsia" w:ascii="宋体" w:hAnsi="宋体" w:cs="宋体"/>
                <w:kern w:val="0"/>
                <w:szCs w:val="21"/>
              </w:rPr>
              <w:t>]分；一般（</w:t>
            </w:r>
            <w:r>
              <w:rPr>
                <w:rFonts w:ascii="宋体" w:hAnsi="宋体" w:cs="宋体"/>
                <w:kern w:val="0"/>
                <w:szCs w:val="21"/>
              </w:rPr>
              <w:t>0-3</w:t>
            </w:r>
            <w:r>
              <w:rPr>
                <w:rFonts w:hint="eastAsia" w:ascii="宋体" w:hAnsi="宋体" w:cs="宋体"/>
                <w:kern w:val="0"/>
                <w:szCs w:val="21"/>
              </w:rPr>
              <w:t>]；技术架构弱或系统兼容、扩展性较弱不得分。本项满分6分。</w:t>
            </w:r>
          </w:p>
        </w:tc>
        <w:tc>
          <w:tcPr>
            <w:tcW w:w="1414" w:type="dxa"/>
            <w:vAlign w:val="center"/>
          </w:tcPr>
          <w:p>
            <w:pPr>
              <w:spacing w:line="360" w:lineRule="exact"/>
              <w:jc w:val="center"/>
              <w:rPr>
                <w:rFonts w:ascii="宋体" w:hAnsi="宋体"/>
                <w:b/>
                <w:kern w:val="0"/>
                <w:szCs w:val="21"/>
              </w:rPr>
            </w:pPr>
          </w:p>
        </w:tc>
      </w:tr>
      <w:tr>
        <w:trPr>
          <w:trHeight w:val="438" w:hRule="atLeast"/>
        </w:trPr>
        <w:tc>
          <w:tcPr>
            <w:tcW w:w="723"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3</w:t>
            </w:r>
          </w:p>
        </w:tc>
        <w:tc>
          <w:tcPr>
            <w:tcW w:w="1228"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实施方案</w:t>
            </w:r>
          </w:p>
        </w:tc>
        <w:tc>
          <w:tcPr>
            <w:tcW w:w="992" w:type="dxa"/>
            <w:vAlign w:val="center"/>
          </w:tcPr>
          <w:p>
            <w:pPr>
              <w:snapToGrid w:val="0"/>
              <w:spacing w:line="360" w:lineRule="exact"/>
              <w:jc w:val="center"/>
              <w:rPr>
                <w:rFonts w:ascii="宋体" w:hAnsi="宋体"/>
                <w:szCs w:val="21"/>
              </w:rPr>
            </w:pPr>
            <w:r>
              <w:rPr>
                <w:rFonts w:ascii="宋体" w:hAnsi="宋体"/>
                <w:szCs w:val="21"/>
              </w:rPr>
              <w:t>10</w:t>
            </w:r>
          </w:p>
        </w:tc>
        <w:tc>
          <w:tcPr>
            <w:tcW w:w="9927" w:type="dxa"/>
            <w:vAlign w:val="center"/>
          </w:tcPr>
          <w:p>
            <w:pPr>
              <w:spacing w:line="360" w:lineRule="exact"/>
              <w:jc w:val="left"/>
              <w:rPr>
                <w:rFonts w:ascii="宋体" w:hAnsi="宋体" w:cs="宋体"/>
                <w:kern w:val="0"/>
                <w:szCs w:val="21"/>
              </w:rPr>
            </w:pPr>
            <w:r>
              <w:rPr>
                <w:rFonts w:hint="eastAsia" w:ascii="宋体" w:hAnsi="宋体" w:cs="宋体"/>
                <w:kern w:val="0"/>
                <w:szCs w:val="21"/>
              </w:rPr>
              <w:t>对投标人提供的项目实施方案、管理方案进行评价。根据本项目的建设内容和建设目标，提出实施方案，包括实施组织、人员情况、进度安排、项目管理、实施计划、培训组织计划、运行维护计划以及风险分析和控制等，能够充分考虑项目不同阶段的需求和特点，人力资源保障策略科学、合理、可行并具有弹性。</w:t>
            </w:r>
          </w:p>
          <w:p>
            <w:pPr>
              <w:spacing w:line="360" w:lineRule="exact"/>
              <w:jc w:val="left"/>
              <w:rPr>
                <w:rFonts w:ascii="宋体" w:hAnsi="宋体" w:cs="宋体"/>
                <w:kern w:val="0"/>
                <w:szCs w:val="21"/>
              </w:rPr>
            </w:pPr>
            <w:r>
              <w:rPr>
                <w:rFonts w:hint="eastAsia" w:ascii="宋体" w:hAnsi="宋体" w:cs="宋体"/>
                <w:kern w:val="0"/>
                <w:szCs w:val="21"/>
              </w:rPr>
              <w:t>评委根据以上标准打分，</w:t>
            </w:r>
            <w:r>
              <w:rPr>
                <w:rFonts w:hint="eastAsia" w:ascii="宋体" w:hAnsi="宋体"/>
                <w:szCs w:val="21"/>
              </w:rPr>
              <w:t>优[</w:t>
            </w:r>
            <w:r>
              <w:rPr>
                <w:rFonts w:ascii="宋体" w:hAnsi="宋体"/>
                <w:szCs w:val="21"/>
              </w:rPr>
              <w:t>7-10</w:t>
            </w:r>
            <w:r>
              <w:rPr>
                <w:rFonts w:hint="eastAsia" w:ascii="宋体" w:hAnsi="宋体"/>
                <w:szCs w:val="21"/>
              </w:rPr>
              <w:t>]分；良（</w:t>
            </w:r>
            <w:r>
              <w:rPr>
                <w:rFonts w:ascii="宋体" w:hAnsi="宋体"/>
                <w:szCs w:val="21"/>
              </w:rPr>
              <w:t>4-6</w:t>
            </w:r>
            <w:r>
              <w:rPr>
                <w:rFonts w:hint="eastAsia" w:ascii="宋体" w:hAnsi="宋体"/>
                <w:szCs w:val="21"/>
              </w:rPr>
              <w:t>）分；一般[</w:t>
            </w:r>
            <w:r>
              <w:rPr>
                <w:rFonts w:ascii="宋体" w:hAnsi="宋体"/>
                <w:szCs w:val="21"/>
              </w:rPr>
              <w:t>0-3</w:t>
            </w:r>
            <w:r>
              <w:rPr>
                <w:rFonts w:hint="eastAsia" w:ascii="宋体" w:hAnsi="宋体"/>
                <w:szCs w:val="21"/>
              </w:rPr>
              <w:t>]分</w:t>
            </w:r>
            <w:r>
              <w:rPr>
                <w:rFonts w:hint="eastAsia" w:ascii="宋体" w:hAnsi="宋体" w:cs="宋体"/>
                <w:kern w:val="0"/>
                <w:szCs w:val="21"/>
              </w:rPr>
              <w:t>。本项满分10分。</w:t>
            </w:r>
          </w:p>
        </w:tc>
        <w:tc>
          <w:tcPr>
            <w:tcW w:w="1414" w:type="dxa"/>
            <w:vAlign w:val="center"/>
          </w:tcPr>
          <w:p>
            <w:pPr>
              <w:spacing w:line="360" w:lineRule="exact"/>
              <w:jc w:val="center"/>
              <w:rPr>
                <w:rFonts w:ascii="宋体" w:hAnsi="宋体"/>
                <w:b/>
                <w:kern w:val="0"/>
                <w:szCs w:val="21"/>
              </w:rPr>
            </w:pPr>
          </w:p>
        </w:tc>
      </w:tr>
      <w:tr>
        <w:trPr>
          <w:trHeight w:val="449" w:hRule="atLeast"/>
        </w:trPr>
        <w:tc>
          <w:tcPr>
            <w:tcW w:w="723" w:type="dxa"/>
            <w:vAlign w:val="center"/>
          </w:tcPr>
          <w:p>
            <w:pPr>
              <w:spacing w:line="360" w:lineRule="exact"/>
              <w:jc w:val="center"/>
              <w:rPr>
                <w:rFonts w:ascii="宋体" w:hAnsi="宋体" w:cs="宋体"/>
                <w:kern w:val="0"/>
                <w:szCs w:val="21"/>
              </w:rPr>
            </w:pPr>
            <w:r>
              <w:rPr>
                <w:rFonts w:hint="eastAsia" w:ascii="宋体" w:hAnsi="宋体" w:cs="宋体"/>
                <w:kern w:val="0"/>
                <w:szCs w:val="21"/>
              </w:rPr>
              <w:t>4</w:t>
            </w:r>
          </w:p>
        </w:tc>
        <w:tc>
          <w:tcPr>
            <w:tcW w:w="1228" w:type="dxa"/>
            <w:vAlign w:val="center"/>
          </w:tcPr>
          <w:p>
            <w:pPr>
              <w:spacing w:line="360" w:lineRule="exact"/>
              <w:jc w:val="center"/>
              <w:rPr>
                <w:rFonts w:ascii="宋体" w:hAnsi="宋体"/>
                <w:szCs w:val="21"/>
              </w:rPr>
            </w:pPr>
            <w:r>
              <w:rPr>
                <w:rFonts w:hint="eastAsia" w:ascii="宋体" w:hAnsi="宋体"/>
                <w:szCs w:val="21"/>
              </w:rPr>
              <w:t>人员组织架构</w:t>
            </w:r>
          </w:p>
        </w:tc>
        <w:tc>
          <w:tcPr>
            <w:tcW w:w="992" w:type="dxa"/>
            <w:vAlign w:val="center"/>
          </w:tcPr>
          <w:p>
            <w:pPr>
              <w:spacing w:line="360" w:lineRule="exact"/>
              <w:jc w:val="center"/>
              <w:rPr>
                <w:rFonts w:ascii="宋体" w:hAnsi="宋体"/>
                <w:szCs w:val="21"/>
              </w:rPr>
            </w:pPr>
            <w:r>
              <w:rPr>
                <w:rFonts w:ascii="宋体" w:hAnsi="宋体" w:cs="宋体"/>
                <w:kern w:val="0"/>
                <w:szCs w:val="21"/>
              </w:rPr>
              <w:t>9</w:t>
            </w:r>
          </w:p>
        </w:tc>
        <w:tc>
          <w:tcPr>
            <w:tcW w:w="9927" w:type="dxa"/>
            <w:vAlign w:val="center"/>
          </w:tcPr>
          <w:p>
            <w:pPr>
              <w:spacing w:line="360" w:lineRule="exact"/>
              <w:jc w:val="left"/>
              <w:rPr>
                <w:rFonts w:ascii="宋体" w:hAnsi="宋体" w:cs="宋体"/>
                <w:kern w:val="0"/>
                <w:szCs w:val="21"/>
              </w:rPr>
            </w:pPr>
            <w:r>
              <w:rPr>
                <w:rFonts w:hint="eastAsia" w:ascii="宋体" w:hAnsi="宋体" w:cs="宋体"/>
                <w:kern w:val="0"/>
                <w:szCs w:val="21"/>
              </w:rPr>
              <w:t>（1）项目负责人：作为项目负责人（或项目经理）参加过类似项目的，提供的信息系统项目业绩证明文件中具备一个合同或实施内容包含资产管理（</w:t>
            </w:r>
            <w:r>
              <w:rPr>
                <w:rFonts w:hint="eastAsia" w:ascii="宋体" w:hAnsi="宋体"/>
                <w:szCs w:val="21"/>
              </w:rPr>
              <w:t>资产管理或固定资产或资产租赁相关内容</w:t>
            </w:r>
            <w:r>
              <w:rPr>
                <w:rFonts w:hint="eastAsia" w:ascii="宋体" w:hAnsi="宋体" w:cs="宋体"/>
                <w:kern w:val="0"/>
                <w:szCs w:val="21"/>
              </w:rPr>
              <w:t>）系统的加2分，本项满分</w:t>
            </w:r>
            <w:r>
              <w:rPr>
                <w:rFonts w:ascii="宋体" w:hAnsi="宋体" w:cs="宋体"/>
                <w:kern w:val="0"/>
                <w:szCs w:val="21"/>
              </w:rPr>
              <w:t>4</w:t>
            </w:r>
            <w:r>
              <w:rPr>
                <w:rFonts w:hint="eastAsia" w:ascii="宋体" w:hAnsi="宋体" w:cs="宋体"/>
                <w:kern w:val="0"/>
                <w:szCs w:val="21"/>
              </w:rPr>
              <w:t>分。</w:t>
            </w:r>
          </w:p>
          <w:p>
            <w:pPr>
              <w:spacing w:line="360" w:lineRule="exact"/>
              <w:jc w:val="left"/>
              <w:rPr>
                <w:rFonts w:ascii="宋体" w:hAnsi="宋体" w:cs="宋体"/>
                <w:kern w:val="0"/>
                <w:szCs w:val="21"/>
              </w:rPr>
            </w:pPr>
            <w:r>
              <w:rPr>
                <w:rFonts w:hint="eastAsia" w:ascii="宋体" w:hAnsi="宋体" w:cs="宋体"/>
                <w:kern w:val="0"/>
                <w:szCs w:val="21"/>
              </w:rPr>
              <w:t>注：须提供业绩证明文件：合同或其他证明文件，证明文件中须体现甲乙方、签订时间、标的内容、项目负责人等信息，否则视为无效证明文件；类似</w:t>
            </w:r>
            <w:r>
              <w:rPr>
                <w:rFonts w:ascii="宋体" w:hAnsi="宋体" w:cs="宋体"/>
                <w:kern w:val="0"/>
                <w:szCs w:val="21"/>
              </w:rPr>
              <w:t>项目</w:t>
            </w:r>
            <w:r>
              <w:rPr>
                <w:rFonts w:hint="eastAsia" w:ascii="宋体" w:hAnsi="宋体" w:cs="宋体"/>
                <w:kern w:val="0"/>
                <w:szCs w:val="21"/>
              </w:rPr>
              <w:t>指</w:t>
            </w:r>
            <w:r>
              <w:rPr>
                <w:rFonts w:ascii="宋体" w:hAnsi="宋体" w:cs="宋体"/>
                <w:kern w:val="0"/>
                <w:szCs w:val="21"/>
              </w:rPr>
              <w:t>：</w:t>
            </w:r>
            <w:r>
              <w:rPr>
                <w:rFonts w:hint="eastAsia" w:ascii="宋体" w:hAnsi="宋体"/>
                <w:szCs w:val="21"/>
              </w:rPr>
              <w:t>资产管理（资产管理或固定资产或资产租赁）相关内容的信息化系统建设项目实施案例。</w:t>
            </w:r>
          </w:p>
          <w:p>
            <w:pPr>
              <w:spacing w:line="360" w:lineRule="exact"/>
              <w:jc w:val="left"/>
              <w:rPr>
                <w:rFonts w:ascii="宋体" w:hAnsi="宋体" w:cs="宋体"/>
                <w:szCs w:val="21"/>
              </w:rPr>
            </w:pPr>
            <w:r>
              <w:rPr>
                <w:rFonts w:hint="eastAsia" w:ascii="宋体" w:hAnsi="宋体" w:cs="宋体"/>
                <w:kern w:val="0"/>
                <w:szCs w:val="21"/>
              </w:rPr>
              <w:t>（</w:t>
            </w:r>
            <w:r>
              <w:rPr>
                <w:rFonts w:ascii="宋体" w:hAnsi="宋体" w:cs="宋体"/>
                <w:kern w:val="0"/>
                <w:szCs w:val="21"/>
              </w:rPr>
              <w:t>2</w:t>
            </w:r>
            <w:r>
              <w:rPr>
                <w:rFonts w:hint="eastAsia" w:ascii="宋体" w:hAnsi="宋体" w:cs="宋体"/>
                <w:kern w:val="0"/>
                <w:szCs w:val="21"/>
              </w:rPr>
              <w:t>）满足项目人员需求，对拟投入专业人员数量的配备、专业配备齐全性、系统建设工作经验、组织架构的合理性、人员管理等方面进行评价：优[</w:t>
            </w:r>
            <w:r>
              <w:rPr>
                <w:rFonts w:ascii="宋体" w:hAnsi="宋体" w:cs="宋体"/>
                <w:kern w:val="0"/>
                <w:szCs w:val="21"/>
              </w:rPr>
              <w:t>4-5</w:t>
            </w:r>
            <w:r>
              <w:rPr>
                <w:rFonts w:hint="eastAsia" w:ascii="宋体" w:hAnsi="宋体" w:cs="宋体"/>
                <w:kern w:val="0"/>
                <w:szCs w:val="21"/>
              </w:rPr>
              <w:t>]分；良（</w:t>
            </w:r>
            <w:r>
              <w:rPr>
                <w:rFonts w:ascii="宋体" w:hAnsi="宋体" w:cs="宋体"/>
                <w:kern w:val="0"/>
                <w:szCs w:val="21"/>
              </w:rPr>
              <w:t>2-3</w:t>
            </w:r>
            <w:r>
              <w:rPr>
                <w:rFonts w:hint="eastAsia" w:ascii="宋体" w:hAnsi="宋体" w:cs="宋体"/>
                <w:kern w:val="0"/>
                <w:szCs w:val="21"/>
              </w:rPr>
              <w:t>）分；一般[0，1]分。本项满分5分。</w:t>
            </w:r>
          </w:p>
        </w:tc>
        <w:tc>
          <w:tcPr>
            <w:tcW w:w="1414" w:type="dxa"/>
            <w:vAlign w:val="center"/>
          </w:tcPr>
          <w:p>
            <w:pPr>
              <w:spacing w:line="360" w:lineRule="exact"/>
              <w:jc w:val="center"/>
              <w:rPr>
                <w:rFonts w:ascii="宋体" w:hAnsi="宋体"/>
                <w:b/>
                <w:kern w:val="0"/>
                <w:szCs w:val="21"/>
              </w:rPr>
            </w:pPr>
          </w:p>
        </w:tc>
      </w:tr>
      <w:tr>
        <w:trPr>
          <w:trHeight w:val="355" w:hRule="atLeast"/>
        </w:trPr>
        <w:tc>
          <w:tcPr>
            <w:tcW w:w="723" w:type="dxa"/>
            <w:vAlign w:val="center"/>
          </w:tcPr>
          <w:p>
            <w:pPr>
              <w:widowControl/>
              <w:spacing w:line="360" w:lineRule="exact"/>
              <w:jc w:val="center"/>
              <w:rPr>
                <w:rFonts w:ascii="宋体" w:hAnsi="宋体" w:cs="宋体"/>
                <w:kern w:val="0"/>
                <w:szCs w:val="21"/>
              </w:rPr>
            </w:pPr>
            <w:r>
              <w:rPr>
                <w:rFonts w:ascii="宋体" w:hAnsi="宋体" w:cs="宋体"/>
                <w:kern w:val="0"/>
                <w:szCs w:val="21"/>
              </w:rPr>
              <w:t>5</w:t>
            </w:r>
          </w:p>
        </w:tc>
        <w:tc>
          <w:tcPr>
            <w:tcW w:w="1228" w:type="dxa"/>
            <w:vAlign w:val="center"/>
          </w:tcPr>
          <w:p>
            <w:pPr>
              <w:widowControl/>
              <w:spacing w:line="360" w:lineRule="exact"/>
              <w:jc w:val="center"/>
              <w:rPr>
                <w:rFonts w:ascii="宋体" w:hAnsi="宋体"/>
                <w:szCs w:val="21"/>
              </w:rPr>
            </w:pPr>
            <w:r>
              <w:rPr>
                <w:rFonts w:hint="eastAsia" w:ascii="宋体" w:hAnsi="宋体"/>
                <w:szCs w:val="21"/>
              </w:rPr>
              <w:t>售后服务方案</w:t>
            </w:r>
          </w:p>
        </w:tc>
        <w:tc>
          <w:tcPr>
            <w:tcW w:w="992" w:type="dxa"/>
            <w:vAlign w:val="center"/>
          </w:tcPr>
          <w:p>
            <w:pPr>
              <w:snapToGrid w:val="0"/>
              <w:spacing w:line="440" w:lineRule="exact"/>
              <w:jc w:val="center"/>
              <w:rPr>
                <w:rFonts w:ascii="宋体" w:hAnsi="宋体"/>
                <w:szCs w:val="21"/>
              </w:rPr>
            </w:pPr>
            <w:r>
              <w:rPr>
                <w:rFonts w:hint="eastAsia" w:ascii="宋体" w:hAnsi="宋体"/>
                <w:szCs w:val="21"/>
              </w:rPr>
              <w:t>6</w:t>
            </w:r>
          </w:p>
        </w:tc>
        <w:tc>
          <w:tcPr>
            <w:tcW w:w="9927" w:type="dxa"/>
            <w:vAlign w:val="center"/>
          </w:tcPr>
          <w:p>
            <w:pPr>
              <w:spacing w:line="360" w:lineRule="exact"/>
              <w:jc w:val="left"/>
            </w:pPr>
            <w:r>
              <w:rPr>
                <w:rFonts w:hint="eastAsia" w:ascii="宋体" w:hAnsi="宋体"/>
                <w:szCs w:val="21"/>
              </w:rPr>
              <w:t>1.</w:t>
            </w:r>
            <w:r>
              <w:rPr>
                <w:rFonts w:ascii="宋体" w:hAnsi="宋体"/>
                <w:szCs w:val="21"/>
              </w:rPr>
              <w:t>质保期运维服务方案，包括对项目的售后服务能力和有关承诺，从服务内容、响应时间、现场服务支撑能力、售后服务体系和架构、运维内容、应急预防方案、售后服务团队配置、培训计划（针对</w:t>
            </w:r>
            <w:r>
              <w:rPr>
                <w:rFonts w:hint="eastAsia" w:ascii="宋体" w:hAnsi="宋体"/>
                <w:szCs w:val="21"/>
              </w:rPr>
              <w:t>甲方</w:t>
            </w:r>
            <w:r>
              <w:rPr>
                <w:rFonts w:ascii="宋体" w:hAnsi="宋体"/>
                <w:szCs w:val="21"/>
              </w:rPr>
              <w:t>操作、维护人员的技术、运维方面培训计划）等进行综合评比：优[4-6]分；良（2-3）分；一般[0，1]分。</w:t>
            </w:r>
            <w:r>
              <w:rPr>
                <w:rFonts w:hint="eastAsia" w:ascii="宋体" w:hAnsi="宋体" w:cs="宋体"/>
                <w:kern w:val="0"/>
                <w:szCs w:val="21"/>
              </w:rPr>
              <w:t>本项满分6分。</w:t>
            </w:r>
          </w:p>
        </w:tc>
        <w:tc>
          <w:tcPr>
            <w:tcW w:w="1414" w:type="dxa"/>
          </w:tcPr>
          <w:p>
            <w:pPr>
              <w:snapToGrid w:val="0"/>
              <w:spacing w:line="360" w:lineRule="exact"/>
              <w:rPr>
                <w:rFonts w:ascii="宋体" w:hAnsi="宋体"/>
                <w:kern w:val="0"/>
                <w:szCs w:val="21"/>
              </w:rPr>
            </w:pPr>
          </w:p>
        </w:tc>
      </w:tr>
      <w:tr>
        <w:trPr>
          <w:trHeight w:val="502" w:hRule="atLeast"/>
        </w:trPr>
        <w:tc>
          <w:tcPr>
            <w:tcW w:w="1951" w:type="dxa"/>
            <w:gridSpan w:val="2"/>
            <w:vAlign w:val="center"/>
          </w:tcPr>
          <w:p>
            <w:pPr>
              <w:spacing w:line="360" w:lineRule="exact"/>
              <w:jc w:val="center"/>
              <w:rPr>
                <w:rFonts w:ascii="宋体" w:hAnsi="宋体"/>
                <w:szCs w:val="21"/>
              </w:rPr>
            </w:pPr>
            <w:r>
              <w:rPr>
                <w:rFonts w:hint="eastAsia" w:ascii="宋体" w:hAnsi="宋体"/>
                <w:szCs w:val="21"/>
              </w:rPr>
              <w:t>技术分总分</w:t>
            </w:r>
          </w:p>
        </w:tc>
        <w:tc>
          <w:tcPr>
            <w:tcW w:w="992" w:type="dxa"/>
            <w:vAlign w:val="center"/>
          </w:tcPr>
          <w:p>
            <w:pPr>
              <w:spacing w:line="360" w:lineRule="exact"/>
              <w:jc w:val="center"/>
              <w:rPr>
                <w:rFonts w:ascii="宋体" w:hAnsi="宋体"/>
                <w:szCs w:val="21"/>
              </w:rPr>
            </w:pPr>
            <w:r>
              <w:rPr>
                <w:rFonts w:ascii="宋体" w:hAnsi="宋体"/>
                <w:szCs w:val="21"/>
              </w:rPr>
              <w:t>5</w:t>
            </w:r>
            <w:r>
              <w:rPr>
                <w:rFonts w:hint="eastAsia" w:ascii="宋体" w:hAnsi="宋体"/>
                <w:szCs w:val="21"/>
              </w:rPr>
              <w:t>5</w:t>
            </w:r>
          </w:p>
        </w:tc>
        <w:tc>
          <w:tcPr>
            <w:tcW w:w="9927" w:type="dxa"/>
            <w:vAlign w:val="center"/>
          </w:tcPr>
          <w:p>
            <w:pPr>
              <w:spacing w:line="360" w:lineRule="exact"/>
              <w:rPr>
                <w:rFonts w:ascii="宋体" w:hAnsi="宋体"/>
                <w:szCs w:val="21"/>
              </w:rPr>
            </w:pPr>
          </w:p>
        </w:tc>
        <w:tc>
          <w:tcPr>
            <w:tcW w:w="1414" w:type="dxa"/>
          </w:tcPr>
          <w:p>
            <w:pPr>
              <w:snapToGrid w:val="0"/>
              <w:spacing w:line="360" w:lineRule="exact"/>
              <w:rPr>
                <w:rFonts w:ascii="宋体" w:hAnsi="宋体"/>
                <w:szCs w:val="21"/>
              </w:rPr>
            </w:pPr>
          </w:p>
        </w:tc>
      </w:tr>
    </w:tbl>
    <w:p>
      <w:pPr>
        <w:pStyle w:val="50"/>
        <w:ind w:left="0" w:leftChars="0" w:firstLine="0" w:firstLineChars="0"/>
        <w:rPr>
          <w:rFonts w:eastAsia="宋体"/>
        </w:rPr>
        <w:sectPr>
          <w:pgSz w:w="16840" w:h="11907" w:orient="landscape"/>
          <w:pgMar w:top="1440" w:right="1440" w:bottom="1797" w:left="1440" w:header="567" w:footer="590" w:gutter="0"/>
          <w:cols w:space="720" w:num="1"/>
          <w:docGrid w:linePitch="312" w:charSpace="0"/>
        </w:sectPr>
      </w:pPr>
    </w:p>
    <w:p>
      <w:pPr>
        <w:keepNext/>
        <w:keepLines/>
        <w:pageBreakBefore/>
        <w:spacing w:line="360" w:lineRule="auto"/>
        <w:ind w:left="482" w:hanging="480" w:hangingChars="200"/>
        <w:outlineLvl w:val="2"/>
        <w:rPr>
          <w:rFonts w:ascii="Arial" w:hAnsi="Arial"/>
          <w:b/>
          <w:bCs/>
          <w:kern w:val="0"/>
          <w:sz w:val="24"/>
          <w:szCs w:val="28"/>
        </w:rPr>
      </w:pPr>
      <w:bookmarkStart w:id="359" w:name="_Toc28515"/>
      <w:r>
        <w:rPr>
          <w:rFonts w:hint="eastAsia" w:ascii="Arial" w:hAnsi="Arial"/>
          <w:b/>
          <w:bCs/>
          <w:kern w:val="0"/>
          <w:sz w:val="24"/>
          <w:szCs w:val="28"/>
        </w:rPr>
        <w:t>附表五：投标报价评分表</w:t>
      </w:r>
      <w:bookmarkEnd w:id="359"/>
    </w:p>
    <w:p>
      <w:pPr>
        <w:pStyle w:val="50"/>
        <w:ind w:left="0" w:leftChars="0" w:firstLine="0" w:firstLineChars="0"/>
        <w:jc w:val="center"/>
      </w:pPr>
      <w:r>
        <w:rPr>
          <w:rFonts w:hint="eastAsia" w:ascii="MS Gothic" w:hAnsi="MS Gothic" w:eastAsia="MS Gothic" w:cs="MS Gothic"/>
          <w:b/>
          <w:bCs/>
        </w:rPr>
        <w:t>☑</w:t>
      </w:r>
      <w:r>
        <w:rPr>
          <w:rFonts w:hint="eastAsia"/>
          <w:b/>
          <w:bCs/>
        </w:rPr>
        <w:t>投标报价评分表一</w:t>
      </w:r>
    </w:p>
    <w:tbl>
      <w:tblPr>
        <w:tblStyle w:val="51"/>
        <w:tblW w:w="100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734"/>
        <w:gridCol w:w="3833"/>
        <w:gridCol w:w="4111"/>
        <w:gridCol w:w="703"/>
      </w:tblGrid>
      <w:tr>
        <w:trPr>
          <w:cantSplit/>
          <w:trHeight w:val="617" w:hRule="atLeast"/>
          <w:tblHeader/>
          <w:jc w:val="center"/>
        </w:trPr>
        <w:tc>
          <w:tcPr>
            <w:tcW w:w="650" w:type="dxa"/>
            <w:vAlign w:val="center"/>
          </w:tcPr>
          <w:p>
            <w:pPr>
              <w:jc w:val="center"/>
              <w:rPr>
                <w:rFonts w:ascii="宋体" w:hAnsi="宋体"/>
                <w:b/>
                <w:szCs w:val="21"/>
              </w:rPr>
            </w:pPr>
            <w:r>
              <w:rPr>
                <w:rFonts w:ascii="宋体" w:hAnsi="宋体"/>
                <w:b/>
                <w:szCs w:val="21"/>
              </w:rPr>
              <w:t>序号</w:t>
            </w:r>
          </w:p>
        </w:tc>
        <w:tc>
          <w:tcPr>
            <w:tcW w:w="734" w:type="dxa"/>
            <w:vAlign w:val="center"/>
          </w:tcPr>
          <w:p>
            <w:pPr>
              <w:jc w:val="center"/>
              <w:rPr>
                <w:rFonts w:ascii="宋体" w:hAnsi="宋体"/>
                <w:b/>
                <w:szCs w:val="21"/>
              </w:rPr>
            </w:pPr>
            <w:r>
              <w:rPr>
                <w:rFonts w:ascii="宋体" w:hAnsi="宋体"/>
                <w:b/>
                <w:szCs w:val="21"/>
              </w:rPr>
              <w:t>项目</w:t>
            </w:r>
          </w:p>
        </w:tc>
        <w:tc>
          <w:tcPr>
            <w:tcW w:w="3833" w:type="dxa"/>
            <w:vAlign w:val="center"/>
          </w:tcPr>
          <w:p>
            <w:pPr>
              <w:jc w:val="center"/>
              <w:rPr>
                <w:rFonts w:ascii="宋体" w:hAnsi="宋体"/>
                <w:b/>
                <w:szCs w:val="21"/>
              </w:rPr>
            </w:pPr>
            <w:r>
              <w:rPr>
                <w:rFonts w:hint="eastAsia" w:ascii="宋体" w:hAnsi="宋体"/>
                <w:b/>
                <w:szCs w:val="21"/>
              </w:rPr>
              <w:t>基准价</w:t>
            </w:r>
          </w:p>
        </w:tc>
        <w:tc>
          <w:tcPr>
            <w:tcW w:w="4111" w:type="dxa"/>
            <w:vAlign w:val="center"/>
          </w:tcPr>
          <w:p>
            <w:pPr>
              <w:jc w:val="center"/>
              <w:rPr>
                <w:rFonts w:ascii="宋体" w:hAnsi="宋体"/>
                <w:b/>
                <w:szCs w:val="21"/>
              </w:rPr>
            </w:pPr>
            <w:r>
              <w:rPr>
                <w:rFonts w:hint="eastAsia" w:ascii="宋体" w:hAnsi="宋体"/>
                <w:b/>
                <w:szCs w:val="21"/>
              </w:rPr>
              <w:t>得分计算公式</w:t>
            </w:r>
          </w:p>
        </w:tc>
        <w:tc>
          <w:tcPr>
            <w:tcW w:w="703" w:type="dxa"/>
            <w:vAlign w:val="center"/>
          </w:tcPr>
          <w:p>
            <w:pPr>
              <w:jc w:val="center"/>
              <w:rPr>
                <w:rFonts w:ascii="宋体" w:hAnsi="宋体"/>
                <w:b/>
                <w:szCs w:val="21"/>
              </w:rPr>
            </w:pPr>
            <w:r>
              <w:rPr>
                <w:rFonts w:ascii="宋体" w:hAnsi="宋体"/>
                <w:b/>
                <w:szCs w:val="21"/>
              </w:rPr>
              <w:t>得分</w:t>
            </w:r>
          </w:p>
        </w:tc>
      </w:tr>
      <w:tr>
        <w:trPr>
          <w:cantSplit/>
          <w:trHeight w:val="3561" w:hRule="exact"/>
          <w:jc w:val="center"/>
        </w:trPr>
        <w:tc>
          <w:tcPr>
            <w:tcW w:w="650" w:type="dxa"/>
            <w:vAlign w:val="center"/>
          </w:tcPr>
          <w:p>
            <w:pPr>
              <w:jc w:val="center"/>
              <w:rPr>
                <w:rFonts w:ascii="宋体" w:hAnsi="宋体"/>
                <w:szCs w:val="21"/>
              </w:rPr>
            </w:pPr>
            <w:r>
              <w:rPr>
                <w:rFonts w:hint="eastAsia" w:ascii="宋体" w:hAnsi="宋体"/>
                <w:szCs w:val="21"/>
              </w:rPr>
              <w:t>1</w:t>
            </w:r>
          </w:p>
        </w:tc>
        <w:tc>
          <w:tcPr>
            <w:tcW w:w="734" w:type="dxa"/>
            <w:vAlign w:val="center"/>
          </w:tcPr>
          <w:p>
            <w:pPr>
              <w:jc w:val="center"/>
              <w:rPr>
                <w:rFonts w:ascii="宋体" w:hAnsi="宋体"/>
                <w:szCs w:val="21"/>
              </w:rPr>
            </w:pPr>
            <w:r>
              <w:rPr>
                <w:rFonts w:hint="eastAsia" w:ascii="宋体" w:hAnsi="宋体" w:cs="宋体"/>
              </w:rPr>
              <w:t>投标报价</w:t>
            </w:r>
          </w:p>
        </w:tc>
        <w:tc>
          <w:tcPr>
            <w:tcW w:w="3833" w:type="dxa"/>
            <w:vAlign w:val="center"/>
          </w:tcPr>
          <w:p>
            <w:pPr>
              <w:snapToGrid w:val="0"/>
              <w:spacing w:line="288" w:lineRule="auto"/>
              <w:rPr>
                <w:rFonts w:ascii="宋体" w:hAnsi="宋体"/>
                <w:szCs w:val="21"/>
              </w:rPr>
            </w:pPr>
            <w:r>
              <w:rPr>
                <w:rFonts w:hint="eastAsia" w:ascii="宋体" w:hAnsi="宋体"/>
                <w:szCs w:val="21"/>
              </w:rPr>
              <w:t>当经评审的有效报价多于5个时（含5个），去掉一个最高评标价和一个最低评标价后的算术平均值作为基准价；当经评审的有效投标报价少于5个时，则以所有有效投标的评标价的算术平均值作为基准价。价格评审满分为20分，基准价和投标价格得分计算结果均保留小数点后两位。</w:t>
            </w:r>
          </w:p>
        </w:tc>
        <w:tc>
          <w:tcPr>
            <w:tcW w:w="4111" w:type="dxa"/>
            <w:vAlign w:val="center"/>
          </w:tcPr>
          <w:p>
            <w:pPr>
              <w:snapToGrid w:val="0"/>
              <w:spacing w:line="288" w:lineRule="auto"/>
              <w:rPr>
                <w:rFonts w:ascii="宋体" w:hAnsi="宋体"/>
                <w:szCs w:val="21"/>
              </w:rPr>
            </w:pPr>
            <w:r>
              <w:rPr>
                <w:rFonts w:hint="eastAsia" w:ascii="宋体" w:hAnsi="宋体"/>
                <w:szCs w:val="21"/>
              </w:rPr>
              <w:t>1）当评标价等于基准价时，投标人的价格得分为20分；</w:t>
            </w:r>
            <w:r>
              <w:rPr>
                <w:rFonts w:hint="eastAsia" w:ascii="宋体" w:hAnsi="宋体"/>
                <w:szCs w:val="21"/>
              </w:rPr>
              <w:br w:type="textWrapping"/>
            </w:r>
            <w:r>
              <w:rPr>
                <w:rFonts w:hint="eastAsia" w:ascii="宋体" w:hAnsi="宋体"/>
                <w:szCs w:val="21"/>
              </w:rPr>
              <w:t>2）当评标价高于基准价时，每高于基准价的1%，投标人的价格得分扣1分，中间数按内插法计算，即：投标价格得分=20-（评标价-基准价）/基准价×100×1</w:t>
            </w:r>
            <w:r>
              <w:rPr>
                <w:rFonts w:hint="eastAsia" w:ascii="宋体" w:hAnsi="宋体"/>
                <w:szCs w:val="21"/>
              </w:rPr>
              <w:br w:type="textWrapping"/>
            </w:r>
            <w:r>
              <w:rPr>
                <w:rFonts w:hint="eastAsia" w:ascii="宋体" w:hAnsi="宋体"/>
                <w:szCs w:val="21"/>
              </w:rPr>
              <w:t>3）当评标价低于基准价时，每低于基准价的1%，投标人的价格得分扣0.5分，中间数按内插法计算，即:投标价格得分=20-（基准价-评标价）/基准价×100×0.5</w:t>
            </w:r>
            <w:r>
              <w:rPr>
                <w:rFonts w:hint="eastAsia" w:ascii="宋体" w:hAnsi="宋体"/>
                <w:szCs w:val="21"/>
              </w:rPr>
              <w:br w:type="textWrapping"/>
            </w:r>
            <w:r>
              <w:rPr>
                <w:rFonts w:hint="eastAsia" w:ascii="宋体" w:hAnsi="宋体"/>
                <w:szCs w:val="21"/>
              </w:rPr>
              <w:t>本项最低为0分。</w:t>
            </w:r>
          </w:p>
        </w:tc>
        <w:tc>
          <w:tcPr>
            <w:tcW w:w="703" w:type="dxa"/>
            <w:vAlign w:val="center"/>
          </w:tcPr>
          <w:p>
            <w:pPr>
              <w:ind w:firstLine="420" w:firstLineChars="200"/>
              <w:rPr>
                <w:rFonts w:ascii="宋体" w:hAnsi="宋体"/>
                <w:szCs w:val="21"/>
              </w:rPr>
            </w:pPr>
          </w:p>
        </w:tc>
      </w:tr>
      <w:tr>
        <w:trPr>
          <w:cantSplit/>
          <w:trHeight w:val="946" w:hRule="exact"/>
          <w:jc w:val="center"/>
        </w:trPr>
        <w:tc>
          <w:tcPr>
            <w:tcW w:w="5217" w:type="dxa"/>
            <w:gridSpan w:val="3"/>
            <w:vAlign w:val="center"/>
          </w:tcPr>
          <w:p>
            <w:pPr>
              <w:ind w:firstLine="420" w:firstLineChars="200"/>
              <w:jc w:val="center"/>
              <w:rPr>
                <w:rFonts w:ascii="宋体" w:hAnsi="宋体"/>
                <w:szCs w:val="21"/>
              </w:rPr>
            </w:pPr>
            <w:r>
              <w:rPr>
                <w:rFonts w:hint="eastAsia" w:ascii="宋体" w:hAnsi="宋体"/>
                <w:szCs w:val="21"/>
              </w:rPr>
              <w:t>价格分总分</w:t>
            </w:r>
          </w:p>
        </w:tc>
        <w:tc>
          <w:tcPr>
            <w:tcW w:w="4111" w:type="dxa"/>
            <w:vAlign w:val="center"/>
          </w:tcPr>
          <w:p>
            <w:pPr>
              <w:jc w:val="center"/>
              <w:rPr>
                <w:rFonts w:ascii="宋体" w:hAnsi="宋体"/>
                <w:szCs w:val="21"/>
              </w:rPr>
            </w:pPr>
            <w:r>
              <w:rPr>
                <w:rFonts w:hint="eastAsia" w:ascii="宋体" w:hAnsi="宋体"/>
                <w:szCs w:val="21"/>
              </w:rPr>
              <w:t>20</w:t>
            </w:r>
          </w:p>
        </w:tc>
        <w:tc>
          <w:tcPr>
            <w:tcW w:w="703" w:type="dxa"/>
          </w:tcPr>
          <w:p>
            <w:pPr>
              <w:ind w:firstLine="420" w:firstLineChars="200"/>
              <w:rPr>
                <w:rFonts w:ascii="宋体" w:hAnsi="宋体"/>
                <w:szCs w:val="21"/>
              </w:rPr>
            </w:pPr>
          </w:p>
        </w:tc>
      </w:tr>
    </w:tbl>
    <w:p>
      <w:pPr>
        <w:spacing w:line="360" w:lineRule="auto"/>
        <w:rPr>
          <w:rFonts w:hAnsi="宋体"/>
          <w:bCs/>
          <w:szCs w:val="21"/>
        </w:rPr>
      </w:pPr>
      <w:r>
        <w:rPr>
          <w:rFonts w:hint="eastAsia" w:hAnsi="宋体"/>
          <w:bCs/>
          <w:szCs w:val="21"/>
        </w:rPr>
        <w:t>注：投标报价如有修正，经济评审组需填写附表《投标报价修正表》并由投标人代表签字确认。</w:t>
      </w:r>
    </w:p>
    <w:p>
      <w:pPr>
        <w:pStyle w:val="50"/>
        <w:ind w:left="0" w:leftChars="0" w:firstLine="0" w:firstLineChars="0"/>
        <w:rPr>
          <w:rFonts w:eastAsia="宋体"/>
        </w:rPr>
        <w:sectPr>
          <w:pgSz w:w="11907" w:h="16840"/>
          <w:pgMar w:top="1440" w:right="1440" w:bottom="1440" w:left="1797" w:header="567" w:footer="590" w:gutter="0"/>
          <w:cols w:space="720" w:num="1"/>
          <w:docGrid w:linePitch="312" w:charSpace="0"/>
        </w:sectPr>
      </w:pPr>
    </w:p>
    <w:p>
      <w:pPr>
        <w:spacing w:line="360" w:lineRule="auto"/>
        <w:rPr>
          <w:rFonts w:ascii="宋体" w:hAnsi="宋体"/>
          <w:b/>
          <w:sz w:val="24"/>
        </w:rPr>
      </w:pPr>
      <w:r>
        <w:rPr>
          <w:rFonts w:hint="eastAsia" w:ascii="宋体" w:hAnsi="宋体"/>
          <w:b/>
          <w:sz w:val="24"/>
        </w:rPr>
        <w:t>附表  投标价格修正表</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756"/>
        <w:gridCol w:w="2621"/>
        <w:gridCol w:w="2798"/>
      </w:tblGrid>
      <w:tr>
        <w:trPr>
          <w:trHeight w:val="680" w:hRule="atLeast"/>
        </w:trPr>
        <w:tc>
          <w:tcPr>
            <w:tcW w:w="963" w:type="pct"/>
            <w:tcBorders>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编号</w:t>
            </w:r>
          </w:p>
        </w:tc>
        <w:tc>
          <w:tcPr>
            <w:tcW w:w="988" w:type="pct"/>
            <w:tcBorders>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修正项目</w:t>
            </w:r>
          </w:p>
        </w:tc>
        <w:tc>
          <w:tcPr>
            <w:tcW w:w="1475" w:type="pct"/>
            <w:tcBorders>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修正前投标报价（元）</w:t>
            </w:r>
          </w:p>
        </w:tc>
        <w:tc>
          <w:tcPr>
            <w:tcW w:w="157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修正后投标报价（元）</w:t>
            </w:r>
          </w:p>
        </w:tc>
      </w:tr>
      <w:tr>
        <w:trPr>
          <w:trHeight w:val="680" w:hRule="atLeast"/>
        </w:trPr>
        <w:tc>
          <w:tcPr>
            <w:tcW w:w="963"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988"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475"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574" w:type="pct"/>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szCs w:val="21"/>
              </w:rPr>
            </w:pPr>
          </w:p>
        </w:tc>
      </w:tr>
      <w:tr>
        <w:trPr>
          <w:trHeight w:val="680" w:hRule="atLeast"/>
        </w:trPr>
        <w:tc>
          <w:tcPr>
            <w:tcW w:w="963" w:type="pct"/>
            <w:tcBorders>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szCs w:val="21"/>
              </w:rPr>
            </w:pPr>
          </w:p>
        </w:tc>
        <w:tc>
          <w:tcPr>
            <w:tcW w:w="988" w:type="pct"/>
            <w:tcBorders>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szCs w:val="21"/>
              </w:rPr>
            </w:pPr>
          </w:p>
        </w:tc>
        <w:tc>
          <w:tcPr>
            <w:tcW w:w="1475" w:type="pct"/>
            <w:tcBorders>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szCs w:val="21"/>
              </w:rPr>
            </w:pPr>
          </w:p>
        </w:tc>
        <w:tc>
          <w:tcPr>
            <w:tcW w:w="1574" w:type="pct"/>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szCs w:val="21"/>
              </w:rPr>
            </w:pPr>
          </w:p>
        </w:tc>
      </w:tr>
      <w:tr>
        <w:trPr>
          <w:trHeight w:val="680" w:hRule="atLeast"/>
        </w:trPr>
        <w:tc>
          <w:tcPr>
            <w:tcW w:w="963"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988"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475"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574" w:type="pct"/>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szCs w:val="21"/>
              </w:rPr>
            </w:pPr>
          </w:p>
        </w:tc>
      </w:tr>
      <w:tr>
        <w:trPr>
          <w:trHeight w:val="680" w:hRule="atLeast"/>
        </w:trPr>
        <w:tc>
          <w:tcPr>
            <w:tcW w:w="963"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988"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475"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574" w:type="pct"/>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szCs w:val="21"/>
              </w:rPr>
            </w:pPr>
          </w:p>
        </w:tc>
      </w:tr>
      <w:tr>
        <w:trPr>
          <w:trHeight w:val="680" w:hRule="atLeast"/>
        </w:trPr>
        <w:tc>
          <w:tcPr>
            <w:tcW w:w="963"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988"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475"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574" w:type="pct"/>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szCs w:val="21"/>
              </w:rPr>
            </w:pPr>
          </w:p>
        </w:tc>
      </w:tr>
      <w:tr>
        <w:trPr>
          <w:trHeight w:val="1003" w:hRule="atLeast"/>
        </w:trPr>
        <w:tc>
          <w:tcPr>
            <w:tcW w:w="963"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988" w:type="pct"/>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c>
          <w:tcPr>
            <w:tcW w:w="1475" w:type="pct"/>
            <w:tcBorders>
              <w:left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投标报价：</w:t>
            </w:r>
          </w:p>
        </w:tc>
        <w:tc>
          <w:tcPr>
            <w:tcW w:w="157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修正后总价：</w:t>
            </w:r>
          </w:p>
        </w:tc>
      </w:tr>
      <w:tr>
        <w:trPr>
          <w:trHeight w:val="644" w:hRule="atLeast"/>
        </w:trPr>
        <w:tc>
          <w:tcPr>
            <w:tcW w:w="963" w:type="pct"/>
            <w:tcBorders>
              <w:left w:val="single" w:color="auto" w:sz="4" w:space="0"/>
              <w:right w:val="single" w:color="auto" w:sz="4" w:space="0"/>
            </w:tcBorders>
            <w:vAlign w:val="center"/>
          </w:tcPr>
          <w:p>
            <w:pPr>
              <w:jc w:val="center"/>
              <w:rPr>
                <w:rFonts w:ascii="宋体" w:hAnsi="宋体"/>
                <w:szCs w:val="21"/>
              </w:rPr>
            </w:pPr>
            <w:r>
              <w:rPr>
                <w:rFonts w:hint="eastAsia" w:ascii="宋体" w:hAnsi="宋体"/>
                <w:szCs w:val="21"/>
              </w:rPr>
              <w:t>投标人名称</w:t>
            </w:r>
          </w:p>
        </w:tc>
        <w:tc>
          <w:tcPr>
            <w:tcW w:w="4037" w:type="pct"/>
            <w:gridSpan w:val="3"/>
            <w:tcBorders>
              <w:left w:val="single" w:color="auto" w:sz="4" w:space="0"/>
              <w:right w:val="single" w:color="auto" w:sz="4" w:space="0"/>
            </w:tcBorders>
            <w:vAlign w:val="center"/>
          </w:tcPr>
          <w:p>
            <w:pPr>
              <w:spacing w:line="360" w:lineRule="auto"/>
              <w:ind w:firstLine="420" w:firstLineChars="200"/>
              <w:rPr>
                <w:rFonts w:ascii="宋体" w:hAnsi="宋体"/>
                <w:szCs w:val="21"/>
              </w:rPr>
            </w:pPr>
          </w:p>
        </w:tc>
      </w:tr>
      <w:tr>
        <w:trPr>
          <w:trHeight w:val="1217" w:hRule="atLeast"/>
        </w:trPr>
        <w:tc>
          <w:tcPr>
            <w:tcW w:w="963" w:type="pct"/>
            <w:tcBorders>
              <w:left w:val="single" w:color="auto" w:sz="4" w:space="0"/>
              <w:right w:val="single" w:color="auto" w:sz="4" w:space="0"/>
            </w:tcBorders>
            <w:vAlign w:val="center"/>
          </w:tcPr>
          <w:p>
            <w:pPr>
              <w:jc w:val="center"/>
              <w:rPr>
                <w:rFonts w:ascii="宋体" w:hAnsi="宋体"/>
                <w:szCs w:val="21"/>
              </w:rPr>
            </w:pPr>
            <w:r>
              <w:rPr>
                <w:rFonts w:hint="eastAsia" w:ascii="宋体" w:hAnsi="宋体"/>
                <w:szCs w:val="21"/>
              </w:rPr>
              <w:t>投标人声明</w:t>
            </w:r>
          </w:p>
        </w:tc>
        <w:tc>
          <w:tcPr>
            <w:tcW w:w="4037" w:type="pct"/>
            <w:gridSpan w:val="3"/>
            <w:tcBorders>
              <w:left w:val="single" w:color="auto" w:sz="4" w:space="0"/>
              <w:right w:val="single" w:color="auto" w:sz="4" w:space="0"/>
            </w:tcBorders>
            <w:vAlign w:val="center"/>
          </w:tcPr>
          <w:p>
            <w:pPr>
              <w:spacing w:line="360" w:lineRule="auto"/>
              <w:ind w:firstLine="420" w:firstLineChars="200"/>
              <w:rPr>
                <w:rFonts w:ascii="宋体" w:hAnsi="宋体"/>
                <w:szCs w:val="21"/>
              </w:rPr>
            </w:pPr>
            <w:r>
              <w:rPr>
                <w:rFonts w:hint="eastAsia" w:ascii="宋体" w:hAnsi="宋体"/>
                <w:szCs w:val="21"/>
              </w:rPr>
              <w:t>我单位（</w:t>
            </w:r>
            <w:r>
              <w:rPr>
                <w:rFonts w:ascii="宋体" w:hAnsi="宋体"/>
                <w:szCs w:val="21"/>
              </w:rPr>
              <w:t>□</w:t>
            </w:r>
            <w:r>
              <w:rPr>
                <w:rFonts w:hint="eastAsia" w:ascii="宋体" w:hAnsi="宋体"/>
                <w:szCs w:val="21"/>
              </w:rPr>
              <w:t>接受</w:t>
            </w:r>
            <w:r>
              <w:rPr>
                <w:rFonts w:ascii="宋体" w:hAnsi="宋体"/>
                <w:szCs w:val="21"/>
              </w:rPr>
              <w:t>□不接受</w:t>
            </w:r>
            <w:r>
              <w:rPr>
                <w:rFonts w:hint="eastAsia" w:ascii="宋体" w:hAnsi="宋体"/>
                <w:szCs w:val="21"/>
              </w:rPr>
              <w:t>）本评标办法第6.2.2款价格评审确定的评标总价和中标价。</w:t>
            </w:r>
          </w:p>
        </w:tc>
      </w:tr>
      <w:tr>
        <w:trPr>
          <w:trHeight w:val="1217" w:hRule="atLeast"/>
        </w:trPr>
        <w:tc>
          <w:tcPr>
            <w:tcW w:w="963" w:type="pct"/>
            <w:tcBorders>
              <w:left w:val="single" w:color="auto" w:sz="4" w:space="0"/>
              <w:right w:val="single" w:color="auto" w:sz="4" w:space="0"/>
            </w:tcBorders>
            <w:vAlign w:val="center"/>
          </w:tcPr>
          <w:p>
            <w:pPr>
              <w:spacing w:before="120"/>
              <w:jc w:val="center"/>
              <w:rPr>
                <w:rFonts w:ascii="宋体" w:hAnsi="宋体"/>
                <w:szCs w:val="21"/>
              </w:rPr>
            </w:pPr>
            <w:r>
              <w:rPr>
                <w:rFonts w:hint="eastAsia" w:ascii="宋体" w:hAnsi="宋体"/>
                <w:szCs w:val="21"/>
              </w:rPr>
              <w:t>法定代表人或授权代理人签字</w:t>
            </w:r>
          </w:p>
        </w:tc>
        <w:tc>
          <w:tcPr>
            <w:tcW w:w="4037" w:type="pct"/>
            <w:gridSpan w:val="3"/>
            <w:tcBorders>
              <w:left w:val="single" w:color="auto" w:sz="4" w:space="0"/>
              <w:right w:val="single" w:color="auto" w:sz="4" w:space="0"/>
            </w:tcBorders>
            <w:vAlign w:val="center"/>
          </w:tcPr>
          <w:p>
            <w:pPr>
              <w:spacing w:before="120"/>
              <w:rPr>
                <w:rFonts w:ascii="Calibri" w:hAnsi="Calibri" w:cs="宋体"/>
                <w:bCs/>
                <w:kern w:val="0"/>
                <w:szCs w:val="21"/>
              </w:rPr>
            </w:pPr>
          </w:p>
          <w:p>
            <w:pPr>
              <w:spacing w:before="120"/>
              <w:rPr>
                <w:rFonts w:ascii="宋体" w:hAnsi="宋体"/>
                <w:szCs w:val="21"/>
              </w:rPr>
            </w:pPr>
            <w:r>
              <w:rPr>
                <w:rFonts w:hint="eastAsia" w:ascii="Calibri" w:hAnsi="Calibri" w:cs="宋体"/>
                <w:bCs/>
                <w:kern w:val="0"/>
                <w:szCs w:val="21"/>
              </w:rPr>
              <w:t xml:space="preserve">                                                                             日期：    年  月   日</w:t>
            </w:r>
          </w:p>
        </w:tc>
      </w:tr>
    </w:tbl>
    <w:p>
      <w:pPr>
        <w:spacing w:line="360" w:lineRule="auto"/>
        <w:ind w:firstLine="420" w:firstLineChars="200"/>
        <w:jc w:val="left"/>
        <w:rPr>
          <w:b/>
          <w:szCs w:val="21"/>
        </w:rPr>
      </w:pPr>
      <w:r>
        <w:rPr>
          <w:rFonts w:hint="eastAsia" w:ascii="宋体" w:hAnsi="宋体"/>
          <w:b/>
          <w:szCs w:val="21"/>
        </w:rPr>
        <w:t>备注：</w:t>
      </w:r>
      <w:r>
        <w:rPr>
          <w:rFonts w:hint="eastAsia"/>
          <w:b/>
          <w:szCs w:val="21"/>
        </w:rPr>
        <w:t>评标价格及中标价均以修正后的投标报价为准</w:t>
      </w:r>
      <w:r>
        <w:rPr>
          <w:b/>
          <w:szCs w:val="21"/>
        </w:rPr>
        <w:t>。</w:t>
      </w:r>
      <w:r>
        <w:rPr>
          <w:rFonts w:hint="eastAsia" w:ascii="宋体" w:hAnsi="宋体"/>
          <w:b/>
          <w:szCs w:val="21"/>
        </w:rPr>
        <w:t>如投标人不接受按以上规则确定的评标总价和中标价，则其投标将被拒绝。</w:t>
      </w:r>
    </w:p>
    <w:p>
      <w:pPr>
        <w:rPr>
          <w:b/>
          <w:sz w:val="24"/>
        </w:rPr>
      </w:pPr>
      <w:r>
        <w:rPr>
          <w:rFonts w:hint="eastAsia"/>
          <w:b/>
          <w:sz w:val="24"/>
        </w:rPr>
        <w:t xml:space="preserve">    2.修正后投标报价小数位数保留到分。</w: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sectPr>
          <w:pgSz w:w="11907" w:h="16840"/>
          <w:pgMar w:top="1440" w:right="1440" w:bottom="1440" w:left="1797" w:header="567" w:footer="590" w:gutter="0"/>
          <w:cols w:space="720" w:num="1"/>
          <w:docGrid w:linePitch="312" w:charSpace="0"/>
        </w:sectPr>
      </w:pPr>
    </w:p>
    <w:bookmarkEnd w:id="297"/>
    <w:bookmarkEnd w:id="298"/>
    <w:bookmarkEnd w:id="322"/>
    <w:p>
      <w:pPr>
        <w:spacing w:line="312" w:lineRule="auto"/>
        <w:jc w:val="center"/>
        <w:outlineLvl w:val="0"/>
        <w:rPr>
          <w:rFonts w:eastAsia="黑体"/>
          <w:b/>
          <w:bCs/>
          <w:kern w:val="0"/>
          <w:sz w:val="32"/>
          <w:szCs w:val="32"/>
        </w:rPr>
      </w:pPr>
      <w:bookmarkStart w:id="360" w:name="_Toc11866"/>
      <w:bookmarkStart w:id="361" w:name="_Toc530736581"/>
      <w:bookmarkStart w:id="362" w:name="_Toc234121074"/>
      <w:bookmarkStart w:id="363" w:name="_Toc9080"/>
      <w:bookmarkStart w:id="364" w:name="_Toc32377"/>
      <w:bookmarkStart w:id="365" w:name="_Toc12867"/>
      <w:bookmarkStart w:id="366" w:name="_Toc19285"/>
      <w:r>
        <w:rPr>
          <w:rFonts w:hint="eastAsia" w:eastAsia="黑体"/>
          <w:b/>
          <w:bCs/>
          <w:kern w:val="0"/>
          <w:sz w:val="32"/>
          <w:szCs w:val="32"/>
        </w:rPr>
        <w:t xml:space="preserve"> </w:t>
      </w:r>
      <w:bookmarkStart w:id="367" w:name="_Toc180507110"/>
      <w:bookmarkStart w:id="368" w:name="_Toc23930"/>
      <w:bookmarkStart w:id="369" w:name="_Toc25383"/>
      <w:bookmarkStart w:id="370" w:name="_Toc23839"/>
      <w:r>
        <w:rPr>
          <w:rFonts w:hint="eastAsia" w:eastAsia="黑体"/>
          <w:b/>
          <w:bCs/>
          <w:kern w:val="0"/>
          <w:sz w:val="32"/>
          <w:szCs w:val="32"/>
        </w:rPr>
        <w:t>第四章 合同条款及格式</w:t>
      </w:r>
      <w:bookmarkEnd w:id="360"/>
      <w:bookmarkEnd w:id="361"/>
      <w:bookmarkEnd w:id="362"/>
      <w:bookmarkEnd w:id="363"/>
      <w:bookmarkEnd w:id="364"/>
      <w:bookmarkEnd w:id="365"/>
      <w:bookmarkEnd w:id="366"/>
      <w:bookmarkEnd w:id="367"/>
      <w:bookmarkEnd w:id="368"/>
      <w:bookmarkEnd w:id="369"/>
      <w:bookmarkEnd w:id="370"/>
      <w:bookmarkStart w:id="371" w:name="_Toc234121073"/>
      <w:bookmarkStart w:id="372" w:name="_Toc14957"/>
      <w:bookmarkStart w:id="373" w:name="_Toc530736602"/>
      <w:bookmarkStart w:id="374" w:name="_Toc11777"/>
      <w:bookmarkStart w:id="375" w:name="_Toc31316"/>
      <w:bookmarkStart w:id="376" w:name="_Toc1420"/>
    </w:p>
    <w:p>
      <w:pPr>
        <w:jc w:val="center"/>
        <w:rPr>
          <w:b/>
          <w:bCs/>
          <w:sz w:val="24"/>
        </w:rPr>
      </w:pPr>
      <w:bookmarkStart w:id="377" w:name="_Toc16077"/>
      <w:bookmarkStart w:id="378" w:name="_Toc530736582"/>
      <w:bookmarkStart w:id="379" w:name="_Toc6691"/>
      <w:bookmarkStart w:id="380" w:name="_Toc23075"/>
      <w:bookmarkStart w:id="381" w:name="_Toc325030628"/>
      <w:bookmarkStart w:id="382" w:name="_Toc21526"/>
      <w:bookmarkStart w:id="383" w:name="_Toc342936253"/>
      <w:bookmarkStart w:id="384" w:name="_Toc19850"/>
      <w:r>
        <w:rPr>
          <w:rFonts w:hint="eastAsia"/>
          <w:b/>
          <w:bCs/>
          <w:sz w:val="24"/>
        </w:rPr>
        <w:t xml:space="preserve"> (合同封面)</w:t>
      </w:r>
    </w:p>
    <w:p>
      <w:pPr>
        <w:spacing w:after="156" w:afterLines="50"/>
        <w:ind w:firstLine="600" w:firstLineChars="200"/>
        <w:jc w:val="right"/>
        <w:rPr>
          <w:rFonts w:ascii="宋体" w:hAnsi="宋体"/>
          <w:sz w:val="30"/>
          <w:szCs w:val="30"/>
        </w:rPr>
      </w:pPr>
      <w:r>
        <w:rPr>
          <w:rFonts w:hint="eastAsia" w:ascii="宋体" w:hAnsi="宋体"/>
          <w:sz w:val="30"/>
          <w:szCs w:val="30"/>
        </w:rPr>
        <w:t>【X本】</w:t>
      </w:r>
    </w:p>
    <w:p>
      <w:pPr>
        <w:jc w:val="center"/>
        <w:rPr>
          <w:sz w:val="44"/>
          <w:szCs w:val="44"/>
        </w:rPr>
      </w:pPr>
      <w:r>
        <w:rPr>
          <w:rFonts w:hint="eastAsia"/>
          <w:sz w:val="44"/>
          <w:szCs w:val="44"/>
        </w:rPr>
        <w:t>南宁轨道数智科技有限公司资产管理系统采购项目</w:t>
      </w:r>
    </w:p>
    <w:p>
      <w:pPr>
        <w:spacing w:after="120"/>
        <w:ind w:left="420" w:leftChars="200" w:firstLine="480" w:firstLineChars="200"/>
        <w:rPr>
          <w:rFonts w:ascii="Calibri" w:hAnsi="Calibri" w:eastAsia="Times New Roman"/>
          <w:kern w:val="0"/>
          <w:sz w:val="24"/>
        </w:rPr>
      </w:pPr>
    </w:p>
    <w:tbl>
      <w:tblPr>
        <w:tblStyle w:val="51"/>
        <w:tblW w:w="6630" w:type="dxa"/>
        <w:jc w:val="center"/>
        <w:tblLayout w:type="fixed"/>
        <w:tblCellMar>
          <w:top w:w="0" w:type="dxa"/>
          <w:left w:w="108" w:type="dxa"/>
          <w:bottom w:w="0" w:type="dxa"/>
          <w:right w:w="108" w:type="dxa"/>
        </w:tblCellMar>
      </w:tblPr>
      <w:tblGrid>
        <w:gridCol w:w="1869"/>
        <w:gridCol w:w="4761"/>
      </w:tblGrid>
      <w:tr>
        <w:trPr>
          <w:trHeight w:val="411" w:hRule="atLeast"/>
          <w:jc w:val="center"/>
        </w:trPr>
        <w:tc>
          <w:tcPr>
            <w:tcW w:w="1869" w:type="dxa"/>
          </w:tcPr>
          <w:p>
            <w:pPr>
              <w:rPr>
                <w:rFonts w:ascii="宋体" w:hAnsi="宋体"/>
                <w:sz w:val="28"/>
                <w:szCs w:val="30"/>
              </w:rPr>
            </w:pPr>
            <w:r>
              <w:rPr>
                <w:rFonts w:hint="eastAsia" w:ascii="宋体" w:hAnsi="宋体"/>
                <w:sz w:val="28"/>
                <w:szCs w:val="30"/>
              </w:rPr>
              <w:t>项目编号：</w:t>
            </w:r>
          </w:p>
        </w:tc>
        <w:tc>
          <w:tcPr>
            <w:tcW w:w="4761" w:type="dxa"/>
          </w:tcPr>
          <w:p>
            <w:pPr>
              <w:jc w:val="left"/>
              <w:rPr>
                <w:rFonts w:ascii="宋体" w:hAnsi="宋体"/>
                <w:sz w:val="28"/>
                <w:szCs w:val="30"/>
              </w:rPr>
            </w:pPr>
            <w:r>
              <w:rPr>
                <w:rFonts w:hint="eastAsia" w:ascii="宋体" w:hAnsi="宋体"/>
                <w:sz w:val="28"/>
                <w:szCs w:val="30"/>
              </w:rPr>
              <w:t xml:space="preserve"> </w:t>
            </w:r>
          </w:p>
        </w:tc>
      </w:tr>
      <w:tr>
        <w:trPr>
          <w:trHeight w:val="118" w:hRule="atLeast"/>
          <w:jc w:val="center"/>
        </w:trPr>
        <w:tc>
          <w:tcPr>
            <w:tcW w:w="1869" w:type="dxa"/>
          </w:tcPr>
          <w:p>
            <w:pPr>
              <w:rPr>
                <w:rFonts w:ascii="宋体" w:hAnsi="宋体"/>
                <w:sz w:val="28"/>
                <w:szCs w:val="30"/>
              </w:rPr>
            </w:pPr>
            <w:r>
              <w:rPr>
                <w:rFonts w:hint="eastAsia" w:ascii="宋体" w:hAnsi="宋体"/>
                <w:sz w:val="28"/>
                <w:szCs w:val="30"/>
              </w:rPr>
              <w:t>合同编号：</w:t>
            </w:r>
          </w:p>
        </w:tc>
        <w:tc>
          <w:tcPr>
            <w:tcW w:w="4761" w:type="dxa"/>
          </w:tcPr>
          <w:p>
            <w:pPr>
              <w:jc w:val="left"/>
              <w:rPr>
                <w:rFonts w:ascii="宋体" w:hAnsi="宋体"/>
                <w:sz w:val="28"/>
                <w:szCs w:val="30"/>
              </w:rPr>
            </w:pPr>
            <w:r>
              <w:rPr>
                <w:rFonts w:hint="eastAsia" w:ascii="宋体" w:hAnsi="宋体"/>
                <w:sz w:val="28"/>
                <w:szCs w:val="30"/>
              </w:rPr>
              <w:t xml:space="preserve"> </w:t>
            </w:r>
          </w:p>
        </w:tc>
      </w:tr>
    </w:tbl>
    <w:p>
      <w:pPr>
        <w:spacing w:after="120"/>
        <w:rPr>
          <w:rFonts w:ascii="Calibri" w:hAnsi="Calibri" w:eastAsiaTheme="minorEastAsia"/>
          <w:kern w:val="0"/>
          <w:sz w:val="24"/>
        </w:rPr>
      </w:pPr>
    </w:p>
    <w:p>
      <w:pPr>
        <w:ind w:firstLine="3604" w:firstLineChars="500"/>
        <w:rPr>
          <w:rFonts w:ascii="楷体_GB2312" w:eastAsia="楷体_GB2312"/>
          <w:b/>
          <w:sz w:val="72"/>
          <w:szCs w:val="72"/>
        </w:rPr>
      </w:pPr>
      <w:r>
        <w:rPr>
          <w:rFonts w:hint="eastAsia"/>
          <w:b/>
          <w:sz w:val="72"/>
          <w:szCs w:val="72"/>
        </w:rPr>
        <w:t>合</w:t>
      </w:r>
    </w:p>
    <w:p>
      <w:pPr>
        <w:ind w:firstLine="3604" w:firstLineChars="500"/>
        <w:rPr>
          <w:rFonts w:ascii="宋体" w:hAnsi="宋体"/>
          <w:b/>
          <w:sz w:val="72"/>
          <w:szCs w:val="72"/>
        </w:rPr>
      </w:pPr>
      <w:r>
        <w:rPr>
          <w:rFonts w:hint="eastAsia"/>
          <w:b/>
          <w:sz w:val="72"/>
          <w:szCs w:val="72"/>
        </w:rPr>
        <w:t>同</w:t>
      </w:r>
    </w:p>
    <w:p>
      <w:pPr>
        <w:ind w:firstLine="3604" w:firstLineChars="500"/>
        <w:rPr>
          <w:b/>
          <w:sz w:val="72"/>
          <w:szCs w:val="72"/>
        </w:rPr>
      </w:pPr>
      <w:r>
        <w:rPr>
          <w:rFonts w:hint="eastAsia"/>
          <w:b/>
          <w:sz w:val="72"/>
          <w:szCs w:val="72"/>
        </w:rPr>
        <w:t>书</w:t>
      </w:r>
    </w:p>
    <w:p>
      <w:pPr>
        <w:rPr>
          <w:b/>
          <w:sz w:val="72"/>
          <w:szCs w:val="52"/>
        </w:rPr>
      </w:pPr>
      <w:r>
        <w:drawing>
          <wp:anchor distT="0" distB="0" distL="114300" distR="114300" simplePos="0" relativeHeight="251662336" behindDoc="0" locked="0" layoutInCell="1" allowOverlap="1">
            <wp:simplePos x="0" y="0"/>
            <wp:positionH relativeFrom="column">
              <wp:posOffset>1751330</wp:posOffset>
            </wp:positionH>
            <wp:positionV relativeFrom="paragraph">
              <wp:posOffset>271145</wp:posOffset>
            </wp:positionV>
            <wp:extent cx="1533525" cy="1704975"/>
            <wp:effectExtent l="0" t="0" r="15875" b="22225"/>
            <wp:wrapNone/>
            <wp:docPr id="4" name="图片 10" descr="201110189142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2011101891424664"/>
                    <pic:cNvPicPr>
                      <a:picLocks noChangeAspect="1"/>
                    </pic:cNvPicPr>
                  </pic:nvPicPr>
                  <pic:blipFill>
                    <a:blip r:embed="rId17"/>
                    <a:stretch>
                      <a:fillRect/>
                    </a:stretch>
                  </pic:blipFill>
                  <pic:spPr>
                    <a:xfrm>
                      <a:off x="0" y="0"/>
                      <a:ext cx="1533525" cy="1704975"/>
                    </a:xfrm>
                    <a:prstGeom prst="rect">
                      <a:avLst/>
                    </a:prstGeom>
                    <a:noFill/>
                    <a:ln>
                      <a:noFill/>
                    </a:ln>
                  </pic:spPr>
                </pic:pic>
              </a:graphicData>
            </a:graphic>
          </wp:anchor>
        </w:drawing>
      </w:r>
    </w:p>
    <w:p>
      <w:pPr>
        <w:spacing w:after="120"/>
        <w:ind w:left="420" w:leftChars="200" w:firstLine="480" w:firstLineChars="200"/>
        <w:rPr>
          <w:rFonts w:ascii="Calibri" w:hAnsi="Calibri" w:eastAsia="Times New Roman"/>
          <w:kern w:val="0"/>
          <w:sz w:val="24"/>
        </w:rPr>
      </w:pPr>
    </w:p>
    <w:p>
      <w:pPr>
        <w:spacing w:after="120"/>
        <w:ind w:left="420" w:leftChars="200" w:firstLine="480" w:firstLineChars="200"/>
        <w:rPr>
          <w:rFonts w:ascii="Calibri" w:hAnsi="Calibri" w:eastAsia="Times New Roman"/>
          <w:kern w:val="0"/>
          <w:sz w:val="24"/>
        </w:rPr>
      </w:pPr>
    </w:p>
    <w:p>
      <w:pPr>
        <w:spacing w:after="120"/>
        <w:ind w:left="420" w:leftChars="200" w:firstLine="480" w:firstLineChars="200"/>
        <w:rPr>
          <w:rFonts w:ascii="Calibri" w:hAnsi="Calibri" w:eastAsia="Times New Roman"/>
          <w:kern w:val="0"/>
          <w:sz w:val="24"/>
        </w:rPr>
      </w:pPr>
    </w:p>
    <w:p>
      <w:pPr>
        <w:spacing w:after="120"/>
        <w:ind w:left="420" w:leftChars="200" w:firstLine="480" w:firstLineChars="200"/>
        <w:rPr>
          <w:rFonts w:ascii="Calibri" w:hAnsi="Calibri" w:eastAsia="Times New Roman"/>
          <w:kern w:val="0"/>
          <w:sz w:val="24"/>
        </w:rPr>
      </w:pPr>
    </w:p>
    <w:p>
      <w:pPr>
        <w:spacing w:after="120"/>
        <w:ind w:left="420" w:leftChars="200" w:firstLine="480" w:firstLineChars="200"/>
        <w:rPr>
          <w:rFonts w:ascii="Calibri" w:hAnsi="Calibri" w:eastAsia="Times New Roman"/>
          <w:kern w:val="0"/>
          <w:sz w:val="24"/>
        </w:rPr>
      </w:pPr>
    </w:p>
    <w:p>
      <w:pPr>
        <w:spacing w:after="120"/>
        <w:rPr>
          <w:rFonts w:ascii="Calibri" w:hAnsi="Calibri" w:eastAsia="Times New Roman"/>
          <w:kern w:val="0"/>
          <w:sz w:val="24"/>
        </w:rPr>
      </w:pPr>
    </w:p>
    <w:p>
      <w:pPr>
        <w:spacing w:line="400" w:lineRule="exact"/>
        <w:ind w:firstLine="1121" w:firstLineChars="400"/>
        <w:rPr>
          <w:rFonts w:ascii="宋体" w:hAnsi="宋体"/>
          <w:b/>
          <w:sz w:val="28"/>
          <w:szCs w:val="28"/>
        </w:rPr>
      </w:pPr>
    </w:p>
    <w:p>
      <w:pPr>
        <w:spacing w:line="400" w:lineRule="exact"/>
        <w:ind w:firstLine="1121" w:firstLineChars="400"/>
        <w:rPr>
          <w:rFonts w:ascii="宋体" w:hAnsi="宋体"/>
          <w:b/>
          <w:sz w:val="28"/>
          <w:szCs w:val="28"/>
        </w:rPr>
      </w:pPr>
    </w:p>
    <w:p>
      <w:pPr>
        <w:spacing w:line="400" w:lineRule="exact"/>
        <w:ind w:firstLine="1121" w:firstLineChars="400"/>
        <w:rPr>
          <w:sz w:val="28"/>
          <w:szCs w:val="28"/>
        </w:rPr>
      </w:pPr>
      <w:r>
        <w:rPr>
          <w:rFonts w:hint="eastAsia" w:ascii="宋体" w:hAnsi="宋体"/>
          <w:b/>
          <w:sz w:val="28"/>
          <w:szCs w:val="28"/>
        </w:rPr>
        <w:t>甲</w:t>
      </w:r>
      <w:r>
        <w:rPr>
          <w:rFonts w:ascii="宋体" w:hAnsi="宋体"/>
          <w:b/>
          <w:sz w:val="28"/>
          <w:szCs w:val="28"/>
        </w:rPr>
        <w:t xml:space="preserve">    </w:t>
      </w:r>
      <w:r>
        <w:rPr>
          <w:rFonts w:hint="eastAsia" w:ascii="宋体" w:hAnsi="宋体"/>
          <w:b/>
          <w:sz w:val="28"/>
          <w:szCs w:val="28"/>
        </w:rPr>
        <w:t>方：</w:t>
      </w:r>
      <w:r>
        <w:rPr>
          <w:rFonts w:hint="eastAsia"/>
          <w:sz w:val="28"/>
          <w:szCs w:val="28"/>
        </w:rPr>
        <w:t xml:space="preserve"> </w:t>
      </w:r>
    </w:p>
    <w:p>
      <w:pPr>
        <w:spacing w:line="400" w:lineRule="exact"/>
        <w:ind w:firstLine="1121" w:firstLineChars="400"/>
        <w:rPr>
          <w:rFonts w:ascii="宋体" w:hAnsi="宋体"/>
          <w:bCs/>
          <w:sz w:val="28"/>
          <w:szCs w:val="28"/>
        </w:rPr>
      </w:pPr>
      <w:r>
        <w:rPr>
          <w:rFonts w:hint="eastAsia" w:ascii="宋体" w:hAnsi="宋体"/>
          <w:b/>
          <w:sz w:val="28"/>
          <w:szCs w:val="28"/>
        </w:rPr>
        <w:t>乙</w:t>
      </w:r>
      <w:r>
        <w:rPr>
          <w:rFonts w:ascii="宋体" w:hAnsi="宋体"/>
          <w:b/>
          <w:sz w:val="28"/>
          <w:szCs w:val="28"/>
        </w:rPr>
        <w:t xml:space="preserve">    </w:t>
      </w:r>
      <w:r>
        <w:rPr>
          <w:rFonts w:hint="eastAsia" w:ascii="宋体" w:hAnsi="宋体"/>
          <w:b/>
          <w:sz w:val="28"/>
          <w:szCs w:val="28"/>
        </w:rPr>
        <w:t>方：</w:t>
      </w:r>
      <w:r>
        <w:rPr>
          <w:rFonts w:hint="eastAsia" w:ascii="宋体" w:hAnsi="宋体"/>
          <w:bCs/>
          <w:sz w:val="28"/>
          <w:szCs w:val="28"/>
        </w:rPr>
        <w:t xml:space="preserve"> </w:t>
      </w:r>
    </w:p>
    <w:p>
      <w:pPr>
        <w:spacing w:line="400" w:lineRule="exact"/>
        <w:ind w:firstLine="1121" w:firstLineChars="400"/>
        <w:rPr>
          <w:rFonts w:ascii="宋体" w:hAnsi="宋体"/>
          <w:b/>
          <w:sz w:val="28"/>
          <w:szCs w:val="28"/>
        </w:rPr>
      </w:pPr>
      <w:r>
        <w:rPr>
          <w:rFonts w:hint="eastAsia" w:ascii="宋体" w:hAnsi="宋体"/>
          <w:b/>
          <w:sz w:val="28"/>
          <w:szCs w:val="28"/>
        </w:rPr>
        <w:t>签约日期：</w:t>
      </w:r>
      <w:r>
        <w:rPr>
          <w:rFonts w:hint="eastAsia" w:ascii="宋体" w:hAnsi="宋体"/>
          <w:b/>
          <w:sz w:val="28"/>
          <w:szCs w:val="28"/>
          <w:u w:val="single"/>
        </w:rPr>
        <w:t xml:space="preserve">      </w:t>
      </w:r>
      <w:r>
        <w:rPr>
          <w:rFonts w:hint="eastAsia" w:ascii="宋体" w:hAnsi="宋体"/>
          <w:sz w:val="28"/>
          <w:szCs w:val="28"/>
        </w:rPr>
        <w:t>年</w:t>
      </w:r>
      <w:r>
        <w:rPr>
          <w:rFonts w:hint="eastAsia" w:ascii="宋体" w:hAnsi="宋体"/>
          <w:b/>
          <w:bCs/>
          <w:sz w:val="28"/>
          <w:szCs w:val="28"/>
          <w:u w:val="single"/>
        </w:rPr>
        <w:t>　</w:t>
      </w:r>
      <w:r>
        <w:rPr>
          <w:rFonts w:ascii="宋体" w:hAnsi="宋体"/>
          <w:b/>
          <w:bCs/>
          <w:sz w:val="28"/>
          <w:szCs w:val="28"/>
          <w:u w:val="single"/>
        </w:rPr>
        <w:t xml:space="preserve">  </w:t>
      </w:r>
      <w:r>
        <w:rPr>
          <w:rFonts w:hint="eastAsia" w:ascii="宋体" w:hAnsi="宋体"/>
          <w:sz w:val="28"/>
          <w:szCs w:val="28"/>
          <w:u w:val="single"/>
        </w:rPr>
        <w:t>　</w:t>
      </w:r>
      <w:r>
        <w:rPr>
          <w:rFonts w:hint="eastAsia" w:ascii="宋体" w:hAnsi="宋体"/>
          <w:sz w:val="28"/>
          <w:szCs w:val="28"/>
        </w:rPr>
        <w:t>月</w:t>
      </w:r>
      <w:r>
        <w:rPr>
          <w:rFonts w:hint="eastAsia" w:ascii="宋体" w:hAnsi="宋体"/>
          <w:sz w:val="28"/>
          <w:szCs w:val="28"/>
          <w:u w:val="single"/>
        </w:rPr>
        <w:t>　</w:t>
      </w:r>
      <w:r>
        <w:rPr>
          <w:rFonts w:ascii="宋体" w:hAnsi="宋体"/>
          <w:sz w:val="28"/>
          <w:szCs w:val="28"/>
          <w:u w:val="single"/>
        </w:rPr>
        <w:t xml:space="preserve">    </w:t>
      </w:r>
      <w:r>
        <w:rPr>
          <w:rFonts w:hint="eastAsia" w:ascii="宋体" w:hAnsi="宋体"/>
          <w:sz w:val="28"/>
          <w:szCs w:val="28"/>
        </w:rPr>
        <w:t>日</w:t>
      </w:r>
    </w:p>
    <w:p>
      <w:pPr>
        <w:spacing w:line="400" w:lineRule="exact"/>
        <w:ind w:right="-86" w:rightChars="-41" w:firstLine="1121" w:firstLineChars="400"/>
        <w:rPr>
          <w:rFonts w:ascii="宋体" w:hAnsi="宋体"/>
          <w:b/>
          <w:sz w:val="24"/>
        </w:rPr>
      </w:pPr>
      <w:r>
        <w:rPr>
          <w:rFonts w:hint="eastAsia" w:ascii="宋体" w:hAnsi="宋体"/>
          <w:b/>
          <w:sz w:val="28"/>
          <w:szCs w:val="28"/>
        </w:rPr>
        <w:t>签约</w:t>
      </w:r>
      <w:r>
        <w:rPr>
          <w:rFonts w:hint="eastAsia" w:ascii="宋体" w:hAnsi="宋体"/>
          <w:b/>
          <w:bCs/>
          <w:sz w:val="28"/>
          <w:szCs w:val="28"/>
        </w:rPr>
        <w:t>地点：</w:t>
      </w:r>
      <w:r>
        <w:rPr>
          <w:rFonts w:hint="eastAsia" w:ascii="宋体" w:hAnsi="宋体"/>
          <w:sz w:val="28"/>
          <w:szCs w:val="28"/>
        </w:rPr>
        <w:t>广西壮族自治区南宁市</w:t>
      </w:r>
    </w:p>
    <w:p>
      <w:pPr>
        <w:spacing w:after="120"/>
        <w:ind w:left="420" w:leftChars="200" w:firstLine="480" w:firstLineChars="200"/>
        <w:rPr>
          <w:rFonts w:ascii="Calibri" w:hAnsi="Calibri" w:eastAsia="等线"/>
          <w:kern w:val="0"/>
          <w:sz w:val="24"/>
        </w:rPr>
        <w:sectPr>
          <w:headerReference r:id="rId8" w:type="default"/>
          <w:footerReference r:id="rId9" w:type="default"/>
          <w:pgSz w:w="11906" w:h="16838"/>
          <w:pgMar w:top="1440" w:right="1800" w:bottom="1440" w:left="1800" w:header="851" w:footer="992" w:gutter="0"/>
          <w:cols w:space="720" w:num="1"/>
          <w:docGrid w:type="lines" w:linePitch="312" w:charSpace="0"/>
        </w:sectPr>
      </w:pPr>
    </w:p>
    <w:p>
      <w:pPr>
        <w:jc w:val="center"/>
        <w:rPr>
          <w:sz w:val="24"/>
        </w:rPr>
      </w:pPr>
      <w:r>
        <w:rPr>
          <w:rFonts w:hint="eastAsia" w:eastAsia="黑体"/>
          <w:sz w:val="32"/>
          <w:szCs w:val="32"/>
        </w:rPr>
        <w:t>合同目录</w:t>
      </w:r>
    </w:p>
    <w:p>
      <w:pPr>
        <w:jc w:val="center"/>
        <w:rPr>
          <w:sz w:val="24"/>
        </w:rPr>
      </w:pPr>
    </w:p>
    <w:p>
      <w:pPr>
        <w:keepNext/>
        <w:keepLines/>
        <w:autoSpaceDE w:val="0"/>
        <w:autoSpaceDN w:val="0"/>
        <w:adjustRightInd w:val="0"/>
        <w:spacing w:before="220" w:after="220" w:line="360" w:lineRule="auto"/>
        <w:ind w:right="412" w:rightChars="196"/>
        <w:jc w:val="center"/>
        <w:outlineLvl w:val="1"/>
        <w:rPr>
          <w:rFonts w:eastAsia="黑体"/>
          <w:bCs/>
          <w:kern w:val="0"/>
          <w:sz w:val="28"/>
          <w:szCs w:val="28"/>
        </w:rPr>
        <w:sectPr>
          <w:headerReference r:id="rId10" w:type="default"/>
          <w:footerReference r:id="rId11" w:type="default"/>
          <w:footerReference r:id="rId12" w:type="even"/>
          <w:pgSz w:w="11906" w:h="16838"/>
          <w:pgMar w:top="1440" w:right="1417" w:bottom="1440" w:left="1417" w:header="851" w:footer="992" w:gutter="0"/>
          <w:cols w:space="720" w:num="1"/>
          <w:docGrid w:type="lines" w:linePitch="312" w:charSpace="0"/>
        </w:sectPr>
      </w:pPr>
    </w:p>
    <w:p>
      <w:pPr>
        <w:keepNext/>
        <w:keepLines/>
        <w:autoSpaceDE w:val="0"/>
        <w:autoSpaceDN w:val="0"/>
        <w:adjustRightInd w:val="0"/>
        <w:spacing w:before="220" w:after="220" w:line="360" w:lineRule="auto"/>
        <w:ind w:right="412" w:rightChars="196"/>
        <w:jc w:val="center"/>
        <w:outlineLvl w:val="1"/>
        <w:rPr>
          <w:rFonts w:ascii="宋体" w:hAnsi="宋体" w:eastAsia="黑体"/>
          <w:b/>
          <w:bCs/>
          <w:szCs w:val="21"/>
          <w:u w:val="single"/>
        </w:rPr>
      </w:pPr>
      <w:bookmarkStart w:id="385" w:name="_Toc31718"/>
      <w:bookmarkStart w:id="386" w:name="_Toc19418"/>
      <w:bookmarkStart w:id="387" w:name="_Toc5511"/>
      <w:bookmarkStart w:id="388" w:name="_Toc25220"/>
      <w:bookmarkStart w:id="389" w:name="_Toc26000"/>
      <w:bookmarkStart w:id="390" w:name="_Toc22757"/>
      <w:bookmarkStart w:id="391" w:name="_Toc18975"/>
      <w:bookmarkStart w:id="392" w:name="_Toc12376"/>
      <w:bookmarkStart w:id="393" w:name="_Toc180507111"/>
      <w:bookmarkStart w:id="394" w:name="_Toc10026"/>
      <w:r>
        <w:rPr>
          <w:rFonts w:hint="eastAsia" w:eastAsia="黑体"/>
          <w:bCs/>
          <w:kern w:val="0"/>
          <w:sz w:val="28"/>
          <w:szCs w:val="28"/>
        </w:rPr>
        <w:t>第一部分</w:t>
      </w:r>
      <w:r>
        <w:rPr>
          <w:rFonts w:eastAsia="黑体"/>
          <w:bCs/>
          <w:kern w:val="0"/>
          <w:sz w:val="28"/>
          <w:szCs w:val="28"/>
        </w:rPr>
        <w:t xml:space="preserve">  </w:t>
      </w:r>
      <w:r>
        <w:rPr>
          <w:rFonts w:hint="eastAsia" w:eastAsia="黑体"/>
          <w:bCs/>
          <w:kern w:val="0"/>
          <w:sz w:val="28"/>
          <w:szCs w:val="28"/>
        </w:rPr>
        <w:t>合同协议书</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spacing w:line="360" w:lineRule="auto"/>
        <w:ind w:firstLine="420" w:firstLineChars="200"/>
        <w:jc w:val="left"/>
        <w:rPr>
          <w:rFonts w:ascii="宋体"/>
          <w:szCs w:val="21"/>
        </w:rPr>
      </w:pPr>
      <w:r>
        <w:rPr>
          <w:rFonts w:hint="eastAsia" w:ascii="宋体" w:hAnsi="宋体"/>
          <w:szCs w:val="21"/>
        </w:rPr>
        <w:t>本协议由南宁轨道数智科技有限公司</w:t>
      </w:r>
      <w:r>
        <w:rPr>
          <w:rFonts w:hint="eastAsia" w:ascii="宋体" w:hAnsi="宋体"/>
          <w:bCs/>
          <w:szCs w:val="21"/>
        </w:rPr>
        <w:t>（下称</w:t>
      </w:r>
      <w:r>
        <w:rPr>
          <w:rFonts w:hint="eastAsia" w:ascii="宋体"/>
          <w:bCs/>
          <w:szCs w:val="21"/>
        </w:rPr>
        <w:t>“</w:t>
      </w:r>
      <w:r>
        <w:rPr>
          <w:rFonts w:hint="eastAsia" w:ascii="宋体" w:hAnsi="宋体"/>
          <w:bCs/>
          <w:szCs w:val="21"/>
        </w:rPr>
        <w:t>甲方</w:t>
      </w:r>
      <w:r>
        <w:rPr>
          <w:rFonts w:hint="eastAsia" w:ascii="宋体"/>
          <w:bCs/>
          <w:szCs w:val="21"/>
        </w:rPr>
        <w:t>”</w:t>
      </w:r>
      <w:r>
        <w:rPr>
          <w:rFonts w:hint="eastAsia" w:ascii="宋体" w:hAnsi="宋体"/>
          <w:bCs/>
          <w:szCs w:val="21"/>
        </w:rPr>
        <w:t>或业主）与</w:t>
      </w:r>
      <w:r>
        <w:rPr>
          <w:rFonts w:ascii="宋体" w:hAnsi="宋体"/>
          <w:szCs w:val="21"/>
          <w:u w:val="single"/>
        </w:rPr>
        <w:t xml:space="preserve">              </w:t>
      </w:r>
      <w:r>
        <w:rPr>
          <w:rFonts w:hint="eastAsia" w:ascii="宋体" w:hAnsi="宋体"/>
          <w:szCs w:val="21"/>
        </w:rPr>
        <w:t>（下称</w:t>
      </w:r>
      <w:r>
        <w:rPr>
          <w:rFonts w:hint="eastAsia" w:ascii="宋体"/>
          <w:szCs w:val="21"/>
        </w:rPr>
        <w:t>“</w:t>
      </w:r>
      <w:r>
        <w:rPr>
          <w:rFonts w:hint="eastAsia" w:ascii="宋体" w:hAnsi="宋体"/>
          <w:szCs w:val="21"/>
        </w:rPr>
        <w:t>乙方</w:t>
      </w:r>
      <w:r>
        <w:rPr>
          <w:rFonts w:hint="eastAsia" w:ascii="宋体"/>
          <w:szCs w:val="21"/>
        </w:rPr>
        <w:t>”</w:t>
      </w:r>
      <w:r>
        <w:rPr>
          <w:rFonts w:hint="eastAsia" w:ascii="宋体" w:hAnsi="宋体"/>
          <w:szCs w:val="21"/>
        </w:rPr>
        <w:t>）根据</w:t>
      </w:r>
      <w:r>
        <w:rPr>
          <w:rFonts w:ascii="宋体" w:hAnsi="宋体"/>
          <w:szCs w:val="21"/>
          <w:u w:val="single"/>
        </w:rPr>
        <w:t xml:space="preserve">            </w:t>
      </w:r>
      <w:r>
        <w:rPr>
          <w:rFonts w:hint="eastAsia" w:ascii="宋体" w:hAnsi="宋体"/>
          <w:szCs w:val="21"/>
          <w:u w:val="single"/>
        </w:rPr>
        <w:t>（项目名称）</w:t>
      </w:r>
      <w:r>
        <w:rPr>
          <w:rFonts w:ascii="宋体" w:hAnsi="宋体"/>
          <w:szCs w:val="21"/>
          <w:u w:val="single"/>
        </w:rPr>
        <w:t xml:space="preserve"> </w:t>
      </w:r>
      <w:r>
        <w:rPr>
          <w:rFonts w:hint="eastAsia" w:ascii="宋体" w:hAnsi="宋体"/>
          <w:szCs w:val="21"/>
        </w:rPr>
        <w:t>项目（项目编号：</w:t>
      </w:r>
      <w:r>
        <w:rPr>
          <w:rFonts w:ascii="宋体" w:hAnsi="宋体"/>
          <w:szCs w:val="21"/>
          <w:u w:val="single"/>
        </w:rPr>
        <w:t xml:space="preserve">            </w:t>
      </w:r>
      <w:r>
        <w:rPr>
          <w:rFonts w:hint="eastAsia" w:ascii="宋体" w:hAnsi="宋体"/>
          <w:szCs w:val="21"/>
        </w:rPr>
        <w:t>）招标结果，依据《中华人民共和国民法典》的规定，于</w:t>
      </w:r>
      <w:r>
        <w:rPr>
          <w:rFonts w:ascii="宋体" w:hAnsi="宋体"/>
          <w:szCs w:val="21"/>
          <w:u w:val="single"/>
        </w:rPr>
        <w:t xml:space="preserve">     </w:t>
      </w:r>
      <w:r>
        <w:rPr>
          <w:rFonts w:hint="eastAsia" w:ascii="宋体" w:hAnsi="宋体"/>
          <w:szCs w:val="21"/>
        </w:rPr>
        <w:t>年</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日在南宁签订。合同内容如下：</w:t>
      </w:r>
    </w:p>
    <w:p>
      <w:pPr>
        <w:autoSpaceDE w:val="0"/>
        <w:autoSpaceDN w:val="0"/>
        <w:adjustRightInd w:val="0"/>
        <w:snapToGrid w:val="0"/>
        <w:spacing w:line="360" w:lineRule="auto"/>
        <w:ind w:right="720" w:firstLine="420" w:firstLineChars="200"/>
        <w:jc w:val="left"/>
        <w:rPr>
          <w:rFonts w:ascii="宋体" w:hAnsi="宋体"/>
          <w:kern w:val="0"/>
          <w:szCs w:val="21"/>
        </w:rPr>
      </w:pPr>
      <w:r>
        <w:rPr>
          <w:rFonts w:hint="eastAsia" w:ascii="宋体" w:hAnsi="宋体"/>
          <w:kern w:val="0"/>
          <w:szCs w:val="21"/>
        </w:rPr>
        <w:t>一、项目概况</w:t>
      </w:r>
    </w:p>
    <w:p>
      <w:pPr>
        <w:autoSpaceDE w:val="0"/>
        <w:autoSpaceDN w:val="0"/>
        <w:adjustRightInd w:val="0"/>
        <w:snapToGrid w:val="0"/>
        <w:spacing w:line="360" w:lineRule="auto"/>
        <w:ind w:firstLine="420" w:firstLineChars="200"/>
        <w:jc w:val="left"/>
        <w:rPr>
          <w:rFonts w:ascii="宋体" w:hAnsi="宋体"/>
          <w:kern w:val="0"/>
          <w:sz w:val="24"/>
          <w:szCs w:val="20"/>
        </w:rPr>
      </w:pPr>
      <w:r>
        <w:rPr>
          <w:rFonts w:hint="eastAsia" w:ascii="宋体" w:hAnsi="宋体"/>
          <w:kern w:val="0"/>
          <w:szCs w:val="21"/>
        </w:rPr>
        <w:t>项目名称：</w:t>
      </w:r>
      <w:r>
        <w:rPr>
          <w:rFonts w:hint="eastAsia" w:ascii="宋体" w:hAnsi="宋体"/>
          <w:kern w:val="0"/>
          <w:szCs w:val="21"/>
          <w:u w:val="single"/>
        </w:rPr>
        <w:t xml:space="preserve">                            </w:t>
      </w:r>
    </w:p>
    <w:p>
      <w:pPr>
        <w:autoSpaceDE w:val="0"/>
        <w:autoSpaceDN w:val="0"/>
        <w:adjustRightInd w:val="0"/>
        <w:snapToGrid w:val="0"/>
        <w:spacing w:line="360" w:lineRule="auto"/>
        <w:ind w:firstLine="420" w:firstLineChars="200"/>
        <w:jc w:val="left"/>
        <w:rPr>
          <w:rFonts w:ascii="宋体" w:hAnsi="宋体"/>
          <w:kern w:val="0"/>
          <w:szCs w:val="21"/>
        </w:rPr>
      </w:pPr>
      <w:r>
        <w:rPr>
          <w:rFonts w:hint="eastAsia" w:ascii="宋体" w:hAnsi="宋体"/>
          <w:kern w:val="0"/>
          <w:szCs w:val="21"/>
        </w:rPr>
        <w:t>项目地点：</w:t>
      </w:r>
      <w:r>
        <w:rPr>
          <w:rFonts w:hint="eastAsia" w:ascii="宋体" w:hAnsi="宋体"/>
          <w:kern w:val="0"/>
          <w:szCs w:val="21"/>
          <w:u w:val="single"/>
        </w:rPr>
        <w:t>南宁市</w:t>
      </w:r>
    </w:p>
    <w:p>
      <w:pPr>
        <w:widowControl/>
        <w:snapToGrid w:val="0"/>
        <w:spacing w:line="360" w:lineRule="auto"/>
        <w:ind w:firstLine="420" w:firstLineChars="200"/>
        <w:jc w:val="left"/>
        <w:rPr>
          <w:rFonts w:ascii="宋体" w:hAnsi="宋体"/>
          <w:szCs w:val="21"/>
          <w:u w:val="single"/>
        </w:rPr>
      </w:pPr>
      <w:r>
        <w:rPr>
          <w:rFonts w:hint="eastAsia" w:ascii="宋体" w:hAnsi="宋体"/>
          <w:szCs w:val="21"/>
        </w:rPr>
        <w:t>项目范围：</w:t>
      </w:r>
      <w:r>
        <w:rPr>
          <w:rFonts w:hint="eastAsia" w:ascii="宋体" w:hAnsi="宋体"/>
          <w:szCs w:val="21"/>
          <w:u w:val="single"/>
        </w:rPr>
        <w:t xml:space="preserve">               </w:t>
      </w:r>
    </w:p>
    <w:p>
      <w:pPr>
        <w:tabs>
          <w:tab w:val="left" w:pos="0"/>
        </w:tabs>
        <w:autoSpaceDE w:val="0"/>
        <w:autoSpaceDN w:val="0"/>
        <w:adjustRightInd w:val="0"/>
        <w:snapToGrid w:val="0"/>
        <w:spacing w:line="360" w:lineRule="auto"/>
        <w:ind w:firstLine="420" w:firstLineChars="200"/>
        <w:jc w:val="left"/>
        <w:rPr>
          <w:rFonts w:ascii="宋体" w:hAnsi="宋体"/>
          <w:kern w:val="0"/>
          <w:sz w:val="24"/>
          <w:szCs w:val="20"/>
        </w:rPr>
      </w:pPr>
      <w:r>
        <w:rPr>
          <w:rFonts w:hint="eastAsia" w:ascii="宋体" w:hAnsi="宋体"/>
          <w:kern w:val="0"/>
          <w:szCs w:val="21"/>
        </w:rPr>
        <w:t>二、服务期：</w:t>
      </w:r>
      <w:r>
        <w:rPr>
          <w:rFonts w:hint="eastAsia" w:ascii="宋体" w:hAnsi="宋体"/>
          <w:kern w:val="0"/>
          <w:szCs w:val="21"/>
          <w:u w:val="single"/>
        </w:rPr>
        <w:t xml:space="preserve">             </w:t>
      </w:r>
    </w:p>
    <w:p>
      <w:pPr>
        <w:snapToGrid w:val="0"/>
        <w:spacing w:line="360" w:lineRule="auto"/>
        <w:ind w:firstLine="420" w:firstLineChars="200"/>
        <w:jc w:val="left"/>
        <w:rPr>
          <w:rFonts w:ascii="宋体" w:hAnsi="宋体"/>
          <w:szCs w:val="21"/>
          <w:u w:val="single"/>
        </w:rPr>
      </w:pPr>
      <w:r>
        <w:rPr>
          <w:rFonts w:hint="eastAsia" w:ascii="宋体" w:hAnsi="宋体"/>
          <w:szCs w:val="21"/>
        </w:rPr>
        <w:t>三、项目经理：</w:t>
      </w:r>
      <w:r>
        <w:rPr>
          <w:rFonts w:ascii="宋体" w:hAnsi="宋体"/>
          <w:szCs w:val="21"/>
          <w:u w:val="single"/>
        </w:rPr>
        <w:t xml:space="preserve">           </w:t>
      </w:r>
      <w:r>
        <w:rPr>
          <w:rFonts w:hint="eastAsia" w:ascii="宋体" w:hAnsi="宋体"/>
          <w:szCs w:val="21"/>
        </w:rPr>
        <w:t>。</w:t>
      </w:r>
    </w:p>
    <w:p>
      <w:pPr>
        <w:autoSpaceDE w:val="0"/>
        <w:autoSpaceDN w:val="0"/>
        <w:adjustRightInd w:val="0"/>
        <w:snapToGrid w:val="0"/>
        <w:spacing w:line="360" w:lineRule="auto"/>
        <w:ind w:right="720" w:firstLine="420" w:firstLineChars="200"/>
        <w:jc w:val="left"/>
        <w:rPr>
          <w:rFonts w:ascii="宋体" w:hAnsi="宋体"/>
          <w:kern w:val="0"/>
          <w:szCs w:val="21"/>
        </w:rPr>
      </w:pPr>
      <w:r>
        <w:rPr>
          <w:rFonts w:hint="eastAsia" w:ascii="宋体" w:hAnsi="宋体"/>
          <w:kern w:val="0"/>
          <w:szCs w:val="21"/>
        </w:rPr>
        <w:t>四、合同价款与合同价格形式</w:t>
      </w:r>
    </w:p>
    <w:p>
      <w:pPr>
        <w:widowControl/>
        <w:snapToGrid w:val="0"/>
        <w:spacing w:line="360" w:lineRule="auto"/>
        <w:ind w:firstLine="420" w:firstLineChars="200"/>
        <w:jc w:val="left"/>
        <w:rPr>
          <w:rFonts w:ascii="宋体" w:hAnsi="宋体"/>
          <w:kern w:val="0"/>
          <w:szCs w:val="21"/>
        </w:rPr>
      </w:pPr>
      <w:r>
        <w:rPr>
          <w:rFonts w:hint="eastAsia" w:ascii="宋体" w:hAnsi="宋体"/>
          <w:szCs w:val="21"/>
        </w:rPr>
        <w:t>1．</w:t>
      </w:r>
      <w:r>
        <w:rPr>
          <w:rFonts w:hint="eastAsia" w:ascii="宋体" w:hAnsi="宋体" w:cs="宋体"/>
          <w:szCs w:val="21"/>
        </w:rPr>
        <w:t>人民币</w:t>
      </w:r>
      <w:r>
        <w:rPr>
          <w:rFonts w:hint="eastAsia" w:ascii="宋体" w:hAnsi="宋体" w:cs="宋体"/>
          <w:kern w:val="0"/>
          <w:szCs w:val="21"/>
        </w:rPr>
        <w:t>不含税总价</w:t>
      </w:r>
      <w:r>
        <w:rPr>
          <w:rFonts w:hint="eastAsia" w:ascii="宋体" w:hAnsi="宋体" w:cs="宋体"/>
          <w:kern w:val="0"/>
          <w:szCs w:val="21"/>
          <w:u w:val="single"/>
        </w:rPr>
        <w:t xml:space="preserve">    元   </w:t>
      </w:r>
      <w:r>
        <w:rPr>
          <w:rFonts w:hint="eastAsia" w:ascii="宋体" w:hAnsi="宋体" w:cs="宋体"/>
          <w:szCs w:val="21"/>
          <w:u w:val="single"/>
        </w:rPr>
        <w:t xml:space="preserve">   </w:t>
      </w:r>
      <w:r>
        <w:rPr>
          <w:rFonts w:hint="eastAsia" w:ascii="宋体" w:hAnsi="宋体" w:cs="宋体"/>
          <w:szCs w:val="21"/>
        </w:rPr>
        <w:t>（大写人民币</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kern w:val="0"/>
          <w:szCs w:val="21"/>
        </w:rPr>
        <w:t>，含税总价</w:t>
      </w:r>
      <w:r>
        <w:rPr>
          <w:rFonts w:hint="eastAsia" w:ascii="宋体" w:hAnsi="宋体" w:cs="宋体"/>
          <w:kern w:val="0"/>
          <w:szCs w:val="21"/>
          <w:u w:val="single"/>
        </w:rPr>
        <w:t xml:space="preserve">     </w:t>
      </w:r>
      <w:r>
        <w:rPr>
          <w:rFonts w:hint="eastAsia" w:ascii="宋体" w:hAnsi="宋体" w:cs="宋体"/>
          <w:kern w:val="0"/>
          <w:szCs w:val="21"/>
        </w:rPr>
        <w:t>元（</w:t>
      </w:r>
      <w:r>
        <w:rPr>
          <w:rFonts w:hint="eastAsia" w:ascii="宋体" w:hAnsi="宋体" w:cs="宋体"/>
          <w:szCs w:val="21"/>
        </w:rPr>
        <w:t>大写人民币</w:t>
      </w:r>
      <w:r>
        <w:rPr>
          <w:rFonts w:hint="eastAsia" w:ascii="宋体" w:hAnsi="宋体" w:cs="宋体"/>
          <w:szCs w:val="21"/>
          <w:u w:val="single"/>
        </w:rPr>
        <w:t xml:space="preserve">      ）</w:t>
      </w:r>
      <w:r>
        <w:rPr>
          <w:rFonts w:hint="eastAsia" w:ascii="宋体" w:hAnsi="宋体" w:cs="宋体"/>
          <w:kern w:val="0"/>
          <w:szCs w:val="21"/>
        </w:rPr>
        <w:t>。【其中，软件</w:t>
      </w:r>
      <w:r>
        <w:rPr>
          <w:rFonts w:ascii="宋体" w:hAnsi="宋体" w:cs="宋体"/>
          <w:kern w:val="0"/>
          <w:szCs w:val="21"/>
        </w:rPr>
        <w:t>产品</w:t>
      </w:r>
      <w:r>
        <w:rPr>
          <w:rFonts w:hint="eastAsia" w:ascii="宋体" w:hAnsi="宋体" w:cs="宋体"/>
          <w:kern w:val="0"/>
          <w:szCs w:val="21"/>
        </w:rPr>
        <w:t>合价：</w:t>
      </w:r>
      <w:r>
        <w:rPr>
          <w:rFonts w:hint="eastAsia" w:ascii="宋体" w:hAnsi="宋体" w:cs="宋体"/>
          <w:kern w:val="0"/>
          <w:szCs w:val="21"/>
          <w:u w:val="single"/>
        </w:rPr>
        <w:t xml:space="preserve">     </w:t>
      </w:r>
      <w:r>
        <w:rPr>
          <w:rFonts w:hint="eastAsia" w:ascii="宋体" w:hAnsi="宋体" w:cs="宋体"/>
          <w:kern w:val="0"/>
          <w:szCs w:val="21"/>
        </w:rPr>
        <w:t>，增值税税率为</w:t>
      </w:r>
      <w:r>
        <w:rPr>
          <w:rFonts w:hint="eastAsia" w:ascii="宋体" w:hAnsi="宋体" w:cs="宋体"/>
          <w:kern w:val="0"/>
          <w:szCs w:val="21"/>
          <w:u w:val="single"/>
        </w:rPr>
        <w:t>  </w:t>
      </w:r>
      <w:r>
        <w:rPr>
          <w:rFonts w:hint="eastAsia" w:ascii="宋体" w:hAnsi="宋体" w:cs="宋体"/>
          <w:kern w:val="0"/>
          <w:szCs w:val="21"/>
        </w:rPr>
        <w:t>，税额为</w:t>
      </w:r>
      <w:r>
        <w:rPr>
          <w:rFonts w:hint="eastAsia" w:ascii="宋体" w:hAnsi="宋体" w:cs="宋体"/>
          <w:kern w:val="0"/>
          <w:szCs w:val="21"/>
          <w:u w:val="single"/>
        </w:rPr>
        <w:t>  元</w:t>
      </w:r>
      <w:r>
        <w:rPr>
          <w:rFonts w:hint="eastAsia" w:ascii="宋体" w:hAnsi="宋体" w:cs="宋体"/>
          <w:szCs w:val="21"/>
        </w:rPr>
        <w:t>（大写人民币     ）；</w:t>
      </w:r>
      <w:r>
        <w:rPr>
          <w:rFonts w:hint="eastAsia" w:ascii="宋体" w:hAnsi="宋体" w:cs="宋体"/>
          <w:kern w:val="0"/>
          <w:szCs w:val="21"/>
        </w:rPr>
        <w:t>服务费合价：</w:t>
      </w:r>
      <w:r>
        <w:rPr>
          <w:rFonts w:hint="eastAsia" w:ascii="宋体" w:hAnsi="宋体" w:cs="宋体"/>
          <w:kern w:val="0"/>
          <w:szCs w:val="21"/>
          <w:u w:val="single"/>
        </w:rPr>
        <w:t xml:space="preserve">     </w:t>
      </w:r>
      <w:r>
        <w:rPr>
          <w:rFonts w:hint="eastAsia" w:ascii="宋体" w:hAnsi="宋体" w:cs="宋体"/>
          <w:kern w:val="0"/>
          <w:szCs w:val="21"/>
        </w:rPr>
        <w:t>，增值税税率为</w:t>
      </w:r>
      <w:r>
        <w:rPr>
          <w:rFonts w:hint="eastAsia" w:ascii="宋体" w:hAnsi="宋体" w:cs="宋体"/>
          <w:kern w:val="0"/>
          <w:szCs w:val="21"/>
          <w:u w:val="single"/>
        </w:rPr>
        <w:t>  </w:t>
      </w:r>
      <w:r>
        <w:rPr>
          <w:rFonts w:hint="eastAsia" w:ascii="宋体" w:hAnsi="宋体" w:cs="宋体"/>
          <w:kern w:val="0"/>
          <w:szCs w:val="21"/>
        </w:rPr>
        <w:t>，税额为</w:t>
      </w:r>
      <w:r>
        <w:rPr>
          <w:rFonts w:hint="eastAsia" w:ascii="宋体" w:hAnsi="宋体" w:cs="宋体"/>
          <w:kern w:val="0"/>
          <w:szCs w:val="21"/>
          <w:u w:val="single"/>
        </w:rPr>
        <w:t>  元</w:t>
      </w:r>
      <w:r>
        <w:rPr>
          <w:rFonts w:hint="eastAsia" w:ascii="宋体" w:hAnsi="宋体" w:cs="宋体"/>
          <w:szCs w:val="21"/>
        </w:rPr>
        <w:t>（大写人民币     ）</w:t>
      </w:r>
      <w:r>
        <w:rPr>
          <w:rFonts w:hint="eastAsia" w:ascii="宋体" w:hAnsi="宋体" w:cs="宋体"/>
          <w:kern w:val="0"/>
          <w:szCs w:val="21"/>
        </w:rPr>
        <w:t>】。</w:t>
      </w:r>
      <w:r>
        <w:rPr>
          <w:rFonts w:hint="eastAsia" w:ascii="宋体" w:hAnsi="宋体"/>
          <w:kern w:val="0"/>
          <w:szCs w:val="21"/>
        </w:rPr>
        <w:t>在合同履约过程中，本合同税率必须遵照国家现行税法执行。本合同最终税金在结算阶段，按实际产生的税金进行核算。但合同</w:t>
      </w:r>
      <w:r>
        <w:rPr>
          <w:rFonts w:hint="eastAsia" w:ascii="宋体" w:hAnsi="宋体"/>
        </w:rPr>
        <w:t>不含税</w:t>
      </w:r>
      <w:r>
        <w:rPr>
          <w:rFonts w:hint="eastAsia" w:ascii="宋体" w:hAnsi="宋体"/>
          <w:kern w:val="0"/>
          <w:szCs w:val="21"/>
        </w:rPr>
        <w:t xml:space="preserve">价格不因国家税率调整而调整。 </w:t>
      </w:r>
    </w:p>
    <w:p>
      <w:pPr>
        <w:spacing w:line="360" w:lineRule="auto"/>
        <w:ind w:firstLine="420" w:firstLineChars="200"/>
        <w:jc w:val="left"/>
        <w:rPr>
          <w:rFonts w:ascii="宋体" w:hAnsi="宋体"/>
          <w:szCs w:val="21"/>
        </w:rPr>
      </w:pPr>
      <w:r>
        <w:rPr>
          <w:rFonts w:hint="eastAsia" w:ascii="宋体" w:hAnsi="宋体"/>
          <w:szCs w:val="21"/>
        </w:rPr>
        <w:t>2.合同价格形式：</w:t>
      </w:r>
      <w:r>
        <w:rPr>
          <w:rFonts w:hint="eastAsia" w:ascii="宋体" w:hAnsi="宋体"/>
          <w:szCs w:val="21"/>
          <w:u w:val="single"/>
        </w:rPr>
        <w:t>本项目为</w:t>
      </w:r>
      <w:r>
        <w:rPr>
          <w:rFonts w:hint="eastAsia"/>
          <w:u w:val="single"/>
        </w:rPr>
        <w:t>固定总价</w:t>
      </w:r>
      <w:r>
        <w:rPr>
          <w:rFonts w:hint="eastAsia" w:ascii="宋体" w:hAnsi="宋体"/>
          <w:bCs/>
          <w:szCs w:val="21"/>
          <w:u w:val="single"/>
        </w:rPr>
        <w:t>合同方式</w:t>
      </w:r>
      <w:r>
        <w:rPr>
          <w:rFonts w:hint="eastAsia" w:ascii="宋体" w:hAnsi="宋体" w:cs="宋体"/>
        </w:rPr>
        <w:t>。</w:t>
      </w:r>
    </w:p>
    <w:p>
      <w:pPr>
        <w:autoSpaceDE w:val="0"/>
        <w:autoSpaceDN w:val="0"/>
        <w:adjustRightInd w:val="0"/>
        <w:snapToGrid w:val="0"/>
        <w:spacing w:line="360" w:lineRule="auto"/>
        <w:ind w:right="720" w:firstLine="420" w:firstLineChars="200"/>
        <w:jc w:val="left"/>
        <w:rPr>
          <w:rFonts w:ascii="宋体" w:hAnsi="宋体"/>
          <w:kern w:val="0"/>
          <w:szCs w:val="21"/>
        </w:rPr>
      </w:pPr>
      <w:r>
        <w:rPr>
          <w:rFonts w:hint="eastAsia" w:ascii="宋体" w:hAnsi="宋体"/>
          <w:kern w:val="0"/>
          <w:szCs w:val="21"/>
        </w:rPr>
        <w:t>五、组成合同的文件</w:t>
      </w:r>
    </w:p>
    <w:p>
      <w:pPr>
        <w:autoSpaceDE w:val="0"/>
        <w:autoSpaceDN w:val="0"/>
        <w:adjustRightInd w:val="0"/>
        <w:snapToGrid w:val="0"/>
        <w:spacing w:line="360" w:lineRule="auto"/>
        <w:ind w:right="720" w:firstLine="420" w:firstLineChars="200"/>
        <w:jc w:val="left"/>
        <w:rPr>
          <w:rFonts w:ascii="宋体" w:hAnsi="宋体"/>
          <w:kern w:val="0"/>
          <w:szCs w:val="21"/>
        </w:rPr>
      </w:pPr>
      <w:r>
        <w:rPr>
          <w:rFonts w:hint="eastAsia" w:ascii="宋体" w:hAnsi="宋体"/>
          <w:kern w:val="0"/>
          <w:szCs w:val="21"/>
        </w:rPr>
        <w:t>组成本合同的文件包括：</w:t>
      </w:r>
    </w:p>
    <w:p>
      <w:pPr>
        <w:spacing w:line="360" w:lineRule="auto"/>
        <w:ind w:firstLine="420" w:firstLineChars="200"/>
        <w:rPr>
          <w:rFonts w:ascii="宋体"/>
        </w:rPr>
      </w:pPr>
      <w:r>
        <w:rPr>
          <w:rFonts w:hint="eastAsia" w:ascii="宋体" w:hAnsi="宋体"/>
        </w:rPr>
        <w:t>（</w:t>
      </w:r>
      <w:r>
        <w:rPr>
          <w:rFonts w:ascii="宋体" w:hAnsi="宋体"/>
        </w:rPr>
        <w:t>1</w:t>
      </w:r>
      <w:r>
        <w:rPr>
          <w:rFonts w:hint="eastAsia" w:ascii="宋体" w:hAnsi="宋体"/>
        </w:rPr>
        <w:t>）</w:t>
      </w:r>
      <w:r>
        <w:rPr>
          <w:rFonts w:ascii="宋体" w:hAnsi="宋体"/>
        </w:rPr>
        <w:t xml:space="preserve">  </w:t>
      </w:r>
      <w:r>
        <w:rPr>
          <w:rFonts w:hint="eastAsia" w:ascii="宋体" w:hAnsi="宋体"/>
        </w:rPr>
        <w:t>合同协议书（含合同谈判过程中的澄清文件和补充资料）</w:t>
      </w:r>
    </w:p>
    <w:p>
      <w:pPr>
        <w:spacing w:line="360" w:lineRule="auto"/>
        <w:ind w:firstLine="420" w:firstLineChars="200"/>
        <w:rPr>
          <w:rFonts w:ascii="宋体" w:hAnsi="宋体"/>
        </w:rPr>
      </w:pPr>
      <w:r>
        <w:rPr>
          <w:rFonts w:hint="eastAsia" w:ascii="宋体" w:hAnsi="宋体"/>
        </w:rPr>
        <w:t>（2）  中标通知书</w:t>
      </w:r>
    </w:p>
    <w:p>
      <w:pPr>
        <w:spacing w:line="360" w:lineRule="auto"/>
        <w:ind w:firstLine="420" w:firstLineChars="200"/>
        <w:rPr>
          <w:rFonts w:ascii="宋体" w:hAnsi="宋体"/>
        </w:rPr>
      </w:pPr>
      <w:r>
        <w:rPr>
          <w:rFonts w:hint="eastAsia" w:ascii="宋体" w:hAnsi="宋体"/>
        </w:rPr>
        <w:t>（3）  合同条款</w:t>
      </w:r>
    </w:p>
    <w:p>
      <w:pPr>
        <w:spacing w:line="360" w:lineRule="auto"/>
        <w:ind w:firstLine="420" w:firstLineChars="200"/>
        <w:rPr>
          <w:rFonts w:ascii="宋体" w:hAnsi="宋体"/>
        </w:rPr>
      </w:pPr>
      <w:r>
        <w:rPr>
          <w:rFonts w:hint="eastAsia" w:ascii="宋体" w:hAnsi="宋体"/>
        </w:rPr>
        <w:t>（4）  价格组成文件</w:t>
      </w:r>
    </w:p>
    <w:p>
      <w:pPr>
        <w:spacing w:line="360" w:lineRule="auto"/>
        <w:ind w:firstLine="420" w:firstLineChars="200"/>
        <w:rPr>
          <w:rFonts w:ascii="宋体" w:hAnsi="宋体"/>
        </w:rPr>
      </w:pPr>
      <w:r>
        <w:rPr>
          <w:rFonts w:hint="eastAsia" w:ascii="宋体" w:hAnsi="宋体"/>
        </w:rPr>
        <w:t>（5）  用户需求书</w:t>
      </w:r>
    </w:p>
    <w:p>
      <w:pPr>
        <w:spacing w:line="360" w:lineRule="auto"/>
        <w:ind w:firstLine="420" w:firstLineChars="200"/>
        <w:rPr>
          <w:rFonts w:ascii="宋体" w:hAnsi="宋体"/>
        </w:rPr>
      </w:pPr>
      <w:r>
        <w:rPr>
          <w:rFonts w:hint="eastAsia" w:ascii="宋体" w:hAnsi="宋体"/>
        </w:rPr>
        <w:t>（6）  合同附件（履约担保、廉政合同、项目建设费用线路出资明细表）</w:t>
      </w:r>
    </w:p>
    <w:p>
      <w:pPr>
        <w:spacing w:line="360" w:lineRule="auto"/>
        <w:ind w:firstLine="420" w:firstLineChars="200"/>
        <w:rPr>
          <w:rFonts w:ascii="宋体" w:hAnsi="宋体"/>
        </w:rPr>
      </w:pPr>
      <w:r>
        <w:rPr>
          <w:rFonts w:hint="eastAsia" w:ascii="宋体" w:hAnsi="宋体"/>
        </w:rPr>
        <w:t>（7）  招标文件（含补充文件）</w:t>
      </w:r>
    </w:p>
    <w:p>
      <w:pPr>
        <w:spacing w:line="360" w:lineRule="auto"/>
        <w:ind w:firstLine="420" w:firstLineChars="200"/>
        <w:rPr>
          <w:rFonts w:ascii="宋体" w:hAnsi="宋体"/>
        </w:rPr>
      </w:pPr>
      <w:r>
        <w:rPr>
          <w:rFonts w:hint="eastAsia" w:ascii="宋体" w:hAnsi="宋体"/>
        </w:rPr>
        <w:t>（8）  投标文件（含补充文件）</w:t>
      </w:r>
    </w:p>
    <w:p>
      <w:pPr>
        <w:spacing w:line="360" w:lineRule="auto"/>
        <w:ind w:firstLine="420" w:firstLineChars="200"/>
        <w:rPr>
          <w:rFonts w:ascii="宋体" w:hAnsi="宋体" w:cs="Arial"/>
          <w:szCs w:val="21"/>
        </w:rPr>
      </w:pPr>
      <w:r>
        <w:rPr>
          <w:rFonts w:hint="eastAsia" w:ascii="宋体" w:hAnsi="宋体" w:cs="Arial"/>
          <w:szCs w:val="21"/>
        </w:rPr>
        <w:t>上述文件应认为是互为补充和解释的，如果在构成本合同的各文件之间发生文字表述的差异时，须按第五条合同文件优先顺序予以理解和解释。排列在前的文件优先于排列在后的文件。本合同不同时间产生的同类文件，产生日期在后的优先于产生日期在前的。除非本合同另有规定，</w:t>
      </w:r>
      <w:r>
        <w:rPr>
          <w:rFonts w:ascii="宋体" w:hAnsi="宋体" w:cs="Arial"/>
          <w:szCs w:val="21"/>
        </w:rPr>
        <w:t xml:space="preserve"> </w:t>
      </w:r>
      <w:r>
        <w:rPr>
          <w:rFonts w:hint="eastAsia" w:ascii="宋体" w:hAnsi="宋体" w:cs="Arial"/>
          <w:szCs w:val="21"/>
        </w:rPr>
        <w:t>如果本合同其他部分对技术条款的描述与用户需求书的规定有差异时，以用户需求书为准。</w:t>
      </w:r>
    </w:p>
    <w:p>
      <w:pPr>
        <w:numPr>
          <w:ilvl w:val="0"/>
          <w:numId w:val="3"/>
        </w:numPr>
        <w:spacing w:line="360" w:lineRule="auto"/>
        <w:ind w:firstLine="420" w:firstLineChars="200"/>
        <w:rPr>
          <w:rFonts w:ascii="宋体" w:hAnsi="宋体" w:cs="Arial"/>
          <w:szCs w:val="21"/>
        </w:rPr>
      </w:pPr>
      <w:r>
        <w:rPr>
          <w:rFonts w:hint="eastAsia" w:ascii="宋体" w:hAnsi="宋体"/>
          <w:szCs w:val="21"/>
        </w:rPr>
        <w:t>乙方向甲方承诺严格履行合同条款义务，按合同约定承担本标段的维保任务</w:t>
      </w:r>
      <w:r>
        <w:rPr>
          <w:rFonts w:hint="eastAsia" w:ascii="宋体" w:hAnsi="宋体" w:cs="Arial"/>
          <w:szCs w:val="21"/>
        </w:rPr>
        <w:t>。</w:t>
      </w:r>
    </w:p>
    <w:p>
      <w:pPr>
        <w:numPr>
          <w:ilvl w:val="0"/>
          <w:numId w:val="3"/>
        </w:numPr>
        <w:spacing w:line="360" w:lineRule="auto"/>
        <w:ind w:firstLine="420" w:firstLineChars="200"/>
        <w:rPr>
          <w:rFonts w:ascii="宋体" w:hAnsi="宋体" w:cs="Arial"/>
          <w:szCs w:val="21"/>
        </w:rPr>
      </w:pPr>
      <w:r>
        <w:rPr>
          <w:rFonts w:hint="eastAsia" w:ascii="宋体" w:hAnsi="宋体"/>
          <w:szCs w:val="21"/>
        </w:rPr>
        <w:t>甲方向乙方承诺按合同条款约定的条件、时间和方式支付合同价款</w:t>
      </w:r>
      <w:r>
        <w:rPr>
          <w:rFonts w:hint="eastAsia" w:ascii="宋体" w:hAnsi="宋体" w:cs="Arial"/>
          <w:szCs w:val="21"/>
        </w:rPr>
        <w:t>。</w:t>
      </w:r>
    </w:p>
    <w:p>
      <w:pPr>
        <w:numPr>
          <w:ilvl w:val="0"/>
          <w:numId w:val="3"/>
        </w:numPr>
        <w:spacing w:line="360" w:lineRule="auto"/>
        <w:ind w:firstLine="420" w:firstLineChars="200"/>
        <w:rPr>
          <w:rFonts w:ascii="宋体" w:hAnsi="宋体" w:cs="Arial"/>
          <w:szCs w:val="21"/>
        </w:rPr>
      </w:pPr>
      <w:r>
        <w:rPr>
          <w:rFonts w:hint="eastAsia" w:ascii="宋体" w:hAnsi="宋体"/>
          <w:szCs w:val="21"/>
        </w:rPr>
        <w:t>甲乙</w:t>
      </w:r>
      <w:r>
        <w:rPr>
          <w:rFonts w:ascii="宋体" w:hAnsi="宋体"/>
          <w:szCs w:val="21"/>
        </w:rPr>
        <w:t>双方依据本次招标文件中的用户需求书</w:t>
      </w:r>
      <w:r>
        <w:rPr>
          <w:rFonts w:hint="eastAsia" w:ascii="宋体" w:hAnsi="宋体"/>
          <w:szCs w:val="21"/>
        </w:rPr>
        <w:t>、乙方投标文件（如技术响应表、技术文件等）</w:t>
      </w:r>
      <w:r>
        <w:rPr>
          <w:rFonts w:ascii="宋体" w:hAnsi="宋体"/>
          <w:szCs w:val="21"/>
        </w:rPr>
        <w:t>，按照二者</w:t>
      </w:r>
      <w:r>
        <w:rPr>
          <w:rFonts w:hint="eastAsia" w:ascii="宋体" w:hAnsi="宋体"/>
          <w:szCs w:val="21"/>
        </w:rPr>
        <w:t>较</w:t>
      </w:r>
      <w:r>
        <w:rPr>
          <w:rFonts w:ascii="宋体" w:hAnsi="宋体"/>
          <w:szCs w:val="21"/>
        </w:rPr>
        <w:t>优值形成技术规格书</w:t>
      </w:r>
      <w:r>
        <w:rPr>
          <w:rFonts w:hint="eastAsia" w:ascii="宋体" w:hAnsi="宋体"/>
          <w:szCs w:val="21"/>
        </w:rPr>
        <w:t>。</w:t>
      </w:r>
      <w:r>
        <w:rPr>
          <w:rFonts w:ascii="宋体" w:hAnsi="宋体"/>
          <w:szCs w:val="21"/>
        </w:rPr>
        <w:t>并经双方</w:t>
      </w:r>
      <w:r>
        <w:rPr>
          <w:rFonts w:hint="eastAsia" w:ascii="宋体" w:hAnsi="宋体"/>
          <w:szCs w:val="21"/>
        </w:rPr>
        <w:t>确认</w:t>
      </w:r>
      <w:r>
        <w:rPr>
          <w:rFonts w:ascii="宋体" w:hAnsi="宋体"/>
          <w:szCs w:val="21"/>
        </w:rPr>
        <w:t>后构成本合同的有效组成部分。在本合同执行中的系统技术指标以技术规格书为准。</w:t>
      </w:r>
    </w:p>
    <w:p>
      <w:pPr>
        <w:numPr>
          <w:ilvl w:val="0"/>
          <w:numId w:val="3"/>
        </w:numPr>
        <w:spacing w:line="360" w:lineRule="auto"/>
        <w:ind w:firstLine="420" w:firstLineChars="200"/>
        <w:rPr>
          <w:rFonts w:ascii="宋体" w:cs="Arial"/>
          <w:szCs w:val="21"/>
        </w:rPr>
      </w:pPr>
      <w:r>
        <w:rPr>
          <w:rFonts w:hint="eastAsia" w:ascii="宋体" w:hAnsi="宋体" w:cs="Arial"/>
          <w:szCs w:val="21"/>
        </w:rPr>
        <w:t>本合同列明了双方有关在此所述服务供给的整个合同和协议，本合同的所有条款的解释权属于甲方。乙方无权因甲方的解释或就该解释获得任何赔偿，而且，乙方放弃主张任何该等赔偿的一切和任何权利。</w:t>
      </w:r>
    </w:p>
    <w:p>
      <w:pPr>
        <w:numPr>
          <w:ilvl w:val="0"/>
          <w:numId w:val="3"/>
        </w:numPr>
        <w:spacing w:line="360" w:lineRule="auto"/>
        <w:ind w:firstLine="420" w:firstLineChars="200"/>
      </w:pPr>
      <w:r>
        <w:rPr>
          <w:rFonts w:hint="eastAsia" w:ascii="宋体" w:hAnsi="宋体"/>
          <w:szCs w:val="21"/>
        </w:rPr>
        <w:t>甲方、乙方承诺按照合同条款约定的违约责任和解决争议方式履行合同。</w:t>
      </w:r>
    </w:p>
    <w:p>
      <w:pPr>
        <w:numPr>
          <w:ilvl w:val="0"/>
          <w:numId w:val="3"/>
        </w:numPr>
        <w:spacing w:line="360" w:lineRule="auto"/>
        <w:ind w:firstLine="420" w:firstLineChars="200"/>
      </w:pPr>
      <w:r>
        <w:rPr>
          <w:rFonts w:hint="eastAsia" w:ascii="宋体" w:hAnsi="宋体"/>
          <w:szCs w:val="21"/>
        </w:rPr>
        <w:t>本合同协议书中有关词语含义与本合同《合同条款》中分别赋予它们的定义相同，合同协议书与《合同条款》共同组成完整的合同文本。</w:t>
      </w:r>
    </w:p>
    <w:p>
      <w:pPr>
        <w:numPr>
          <w:ilvl w:val="0"/>
          <w:numId w:val="3"/>
        </w:numPr>
        <w:spacing w:line="360" w:lineRule="auto"/>
        <w:ind w:firstLine="420" w:firstLineChars="200"/>
        <w:rPr>
          <w:rFonts w:ascii="宋体" w:cs="Arial"/>
          <w:szCs w:val="21"/>
        </w:rPr>
      </w:pPr>
      <w:r>
        <w:rPr>
          <w:rFonts w:hint="eastAsia" w:ascii="宋体" w:hAnsi="宋体"/>
          <w:szCs w:val="21"/>
        </w:rPr>
        <w:t>本合同协议书</w:t>
      </w:r>
      <w:r>
        <w:rPr>
          <w:rFonts w:hint="eastAsia" w:ascii="宋体" w:hAnsi="宋体" w:cs="Arial"/>
          <w:szCs w:val="21"/>
        </w:rPr>
        <w:t>经</w:t>
      </w:r>
      <w:r>
        <w:rPr>
          <w:rFonts w:hint="eastAsia" w:ascii="宋体" w:hAnsi="宋体"/>
          <w:szCs w:val="21"/>
        </w:rPr>
        <w:t>双方法定代表人或其委托代理人签字盖单位章后生效。</w:t>
      </w:r>
    </w:p>
    <w:p>
      <w:pPr>
        <w:numPr>
          <w:ilvl w:val="0"/>
          <w:numId w:val="3"/>
        </w:numPr>
        <w:spacing w:line="360" w:lineRule="auto"/>
        <w:ind w:firstLine="420" w:firstLineChars="200"/>
        <w:rPr>
          <w:rFonts w:ascii="宋体" w:hAnsi="宋体"/>
          <w:szCs w:val="21"/>
        </w:rPr>
      </w:pPr>
      <w:r>
        <w:rPr>
          <w:rFonts w:hint="eastAsia" w:ascii="宋体" w:hAnsi="宋体" w:cs="Arial"/>
          <w:szCs w:val="21"/>
        </w:rPr>
        <w:t>本合同用中文书写，正本</w:t>
      </w:r>
      <w:r>
        <w:rPr>
          <w:rFonts w:ascii="宋体" w:hAnsi="宋体" w:cs="Arial"/>
          <w:szCs w:val="21"/>
          <w:u w:val="single"/>
        </w:rPr>
        <w:t xml:space="preserve"> </w:t>
      </w:r>
      <w:r>
        <w:rPr>
          <w:rFonts w:hint="eastAsia" w:ascii="宋体" w:hAnsi="宋体" w:cs="Arial"/>
          <w:szCs w:val="21"/>
          <w:u w:val="single"/>
        </w:rPr>
        <w:t>贰</w:t>
      </w:r>
      <w:r>
        <w:rPr>
          <w:rFonts w:ascii="宋体" w:hAnsi="宋体" w:cs="Arial"/>
          <w:szCs w:val="21"/>
          <w:u w:val="single"/>
        </w:rPr>
        <w:t xml:space="preserve"> </w:t>
      </w:r>
      <w:r>
        <w:rPr>
          <w:rFonts w:hint="eastAsia" w:ascii="宋体" w:hAnsi="宋体" w:cs="Arial"/>
          <w:szCs w:val="21"/>
        </w:rPr>
        <w:t>份，本合同签字方各</w:t>
      </w:r>
      <w:r>
        <w:rPr>
          <w:rFonts w:ascii="宋体" w:hAnsi="宋体" w:cs="Arial"/>
          <w:szCs w:val="21"/>
          <w:u w:val="single"/>
        </w:rPr>
        <w:t xml:space="preserve"> </w:t>
      </w:r>
      <w:r>
        <w:rPr>
          <w:rFonts w:hint="eastAsia" w:ascii="宋体" w:hAnsi="宋体" w:cs="Arial"/>
          <w:szCs w:val="21"/>
          <w:u w:val="single"/>
        </w:rPr>
        <w:t>壹</w:t>
      </w:r>
      <w:r>
        <w:rPr>
          <w:rFonts w:ascii="宋体" w:hAnsi="宋体" w:cs="Arial"/>
          <w:szCs w:val="21"/>
          <w:u w:val="single"/>
        </w:rPr>
        <w:t xml:space="preserve"> </w:t>
      </w:r>
      <w:r>
        <w:rPr>
          <w:rFonts w:hint="eastAsia" w:ascii="宋体" w:hAnsi="宋体" w:cs="Arial"/>
          <w:szCs w:val="21"/>
        </w:rPr>
        <w:t>份；副本</w:t>
      </w:r>
      <w:r>
        <w:rPr>
          <w:rFonts w:ascii="宋体" w:hAnsi="宋体" w:cs="Arial"/>
          <w:szCs w:val="21"/>
          <w:u w:val="single"/>
        </w:rPr>
        <w:t xml:space="preserve">     </w:t>
      </w:r>
      <w:r>
        <w:rPr>
          <w:rFonts w:hint="eastAsia" w:ascii="宋体" w:hAnsi="宋体" w:cs="Arial"/>
          <w:szCs w:val="21"/>
        </w:rPr>
        <w:t>份，甲方持</w:t>
      </w:r>
      <w:r>
        <w:rPr>
          <w:rFonts w:ascii="宋体" w:hAnsi="宋体" w:cs="Arial"/>
          <w:szCs w:val="21"/>
          <w:u w:val="single"/>
        </w:rPr>
        <w:t xml:space="preserve">   </w:t>
      </w:r>
      <w:r>
        <w:rPr>
          <w:rFonts w:hint="eastAsia" w:ascii="宋体" w:hAnsi="宋体" w:cs="Arial"/>
          <w:szCs w:val="21"/>
        </w:rPr>
        <w:t>份，乙方持</w:t>
      </w:r>
      <w:r>
        <w:rPr>
          <w:rFonts w:ascii="宋体" w:hAnsi="宋体" w:cs="Arial"/>
          <w:szCs w:val="21"/>
          <w:u w:val="single"/>
        </w:rPr>
        <w:t xml:space="preserve">      </w:t>
      </w:r>
      <w:r>
        <w:rPr>
          <w:rFonts w:hint="eastAsia" w:ascii="宋体" w:hAnsi="宋体" w:cs="Arial"/>
          <w:szCs w:val="21"/>
        </w:rPr>
        <w:t>份。</w:t>
      </w:r>
    </w:p>
    <w:p>
      <w:pPr>
        <w:numPr>
          <w:ilvl w:val="0"/>
          <w:numId w:val="3"/>
        </w:numPr>
        <w:spacing w:line="360" w:lineRule="auto"/>
        <w:ind w:firstLine="420" w:firstLineChars="200"/>
        <w:rPr>
          <w:rFonts w:ascii="宋体" w:cs="Arial"/>
          <w:szCs w:val="21"/>
        </w:rPr>
      </w:pPr>
      <w:r>
        <w:rPr>
          <w:rFonts w:hint="eastAsia" w:ascii="宋体" w:hAnsi="宋体"/>
          <w:szCs w:val="21"/>
        </w:rPr>
        <w:t>合同未尽事宜，双方另行签订补充协议。</w:t>
      </w:r>
    </w:p>
    <w:tbl>
      <w:tblPr>
        <w:tblStyle w:val="51"/>
        <w:tblW w:w="0" w:type="auto"/>
        <w:tblInd w:w="0" w:type="dxa"/>
        <w:tblLayout w:type="fixed"/>
        <w:tblCellMar>
          <w:top w:w="0" w:type="dxa"/>
          <w:left w:w="108" w:type="dxa"/>
          <w:bottom w:w="0" w:type="dxa"/>
          <w:right w:w="108" w:type="dxa"/>
        </w:tblCellMar>
      </w:tblPr>
      <w:tblGrid>
        <w:gridCol w:w="4610"/>
        <w:gridCol w:w="4610"/>
      </w:tblGrid>
      <w:tr>
        <w:trPr>
          <w:trHeight w:val="4506" w:hRule="atLeast"/>
        </w:trPr>
        <w:tc>
          <w:tcPr>
            <w:tcW w:w="4610" w:type="dxa"/>
          </w:tcPr>
          <w:p>
            <w:pPr>
              <w:spacing w:line="360" w:lineRule="auto"/>
              <w:ind w:left="1200" w:hanging="1200"/>
              <w:rPr>
                <w:rFonts w:ascii="宋体" w:hAnsi="宋体" w:cs="Courier New"/>
                <w:szCs w:val="21"/>
              </w:rPr>
            </w:pPr>
            <w:r>
              <w:rPr>
                <w:rFonts w:hint="eastAsia" w:ascii="宋体" w:hAnsi="宋体" w:cs="Courier New"/>
                <w:szCs w:val="21"/>
              </w:rPr>
              <w:t>甲方：南宁轨道数智科技有限公司</w:t>
            </w:r>
          </w:p>
          <w:p>
            <w:pPr>
              <w:spacing w:line="360" w:lineRule="auto"/>
              <w:ind w:left="1200" w:hanging="1200"/>
              <w:rPr>
                <w:rFonts w:ascii="宋体" w:hAnsi="宋体" w:cs="Courier New"/>
                <w:szCs w:val="21"/>
              </w:rPr>
            </w:pPr>
          </w:p>
          <w:p>
            <w:pPr>
              <w:spacing w:line="360" w:lineRule="auto"/>
              <w:ind w:left="1200" w:hanging="1200"/>
              <w:rPr>
                <w:rFonts w:ascii="宋体" w:hAnsi="宋体" w:cs="Courier New"/>
                <w:szCs w:val="21"/>
              </w:rPr>
            </w:pPr>
            <w:r>
              <w:rPr>
                <w:rFonts w:hint="eastAsia" w:ascii="宋体" w:hAnsi="宋体" w:cs="Courier New"/>
                <w:szCs w:val="21"/>
              </w:rPr>
              <w:t>法定代表人或授权人：</w:t>
            </w:r>
            <w:r>
              <w:rPr>
                <w:rFonts w:ascii="宋体" w:hAnsi="宋体" w:cs="Courier New"/>
                <w:szCs w:val="21"/>
                <w:u w:val="single"/>
              </w:rPr>
              <w:t xml:space="preserve">             </w:t>
            </w:r>
          </w:p>
          <w:p>
            <w:pPr>
              <w:spacing w:line="360" w:lineRule="auto"/>
              <w:ind w:left="735" w:hanging="735"/>
              <w:rPr>
                <w:rFonts w:ascii="宋体" w:hAnsi="宋体" w:cs="Courier New"/>
                <w:szCs w:val="21"/>
              </w:rPr>
            </w:pPr>
          </w:p>
          <w:p>
            <w:pPr>
              <w:spacing w:line="360" w:lineRule="auto"/>
              <w:ind w:left="735" w:hanging="735"/>
              <w:rPr>
                <w:rFonts w:ascii="宋体" w:hAnsi="宋体" w:cs="Courier New"/>
                <w:szCs w:val="21"/>
              </w:rPr>
            </w:pPr>
            <w:r>
              <w:rPr>
                <w:rFonts w:hint="eastAsia" w:ascii="宋体" w:hAnsi="宋体" w:cs="Courier New"/>
                <w:szCs w:val="21"/>
              </w:rPr>
              <w:t>地址：广西南宁市青秀区凤岭北路111号南宁国际旅游中心3号楼</w:t>
            </w:r>
          </w:p>
          <w:p>
            <w:pPr>
              <w:spacing w:line="360" w:lineRule="auto"/>
              <w:ind w:left="1200" w:hanging="1200"/>
              <w:rPr>
                <w:rFonts w:ascii="宋体" w:hAnsi="宋体" w:cs="Courier New"/>
                <w:szCs w:val="21"/>
              </w:rPr>
            </w:pPr>
            <w:r>
              <w:rPr>
                <w:rFonts w:hint="eastAsia" w:ascii="宋体" w:hAnsi="宋体" w:cs="Courier New"/>
                <w:szCs w:val="21"/>
              </w:rPr>
              <w:t>邮政编码：</w:t>
            </w:r>
            <w:r>
              <w:rPr>
                <w:rFonts w:ascii="宋体" w:hAnsi="宋体" w:cs="Courier New"/>
                <w:szCs w:val="21"/>
                <w:u w:val="single"/>
              </w:rPr>
              <w:t xml:space="preserve">  </w:t>
            </w:r>
            <w:r>
              <w:rPr>
                <w:rFonts w:hint="eastAsia" w:ascii="宋体" w:hAnsi="宋体" w:cs="Courier New"/>
                <w:szCs w:val="21"/>
                <w:u w:val="single"/>
              </w:rPr>
              <w:t>530029</w:t>
            </w:r>
            <w:r>
              <w:rPr>
                <w:rFonts w:ascii="宋体" w:hAnsi="宋体" w:cs="Courier New"/>
                <w:szCs w:val="21"/>
                <w:u w:val="single"/>
              </w:rPr>
              <w:t xml:space="preserve">   </w:t>
            </w:r>
          </w:p>
          <w:p>
            <w:pPr>
              <w:spacing w:line="360" w:lineRule="auto"/>
              <w:ind w:left="1200" w:hanging="1200"/>
              <w:rPr>
                <w:rFonts w:ascii="宋体" w:hAnsi="宋体" w:cs="Courier New"/>
                <w:szCs w:val="21"/>
              </w:rPr>
            </w:pPr>
            <w:r>
              <w:rPr>
                <w:rFonts w:hint="eastAsia" w:ascii="宋体" w:hAnsi="宋体" w:cs="Courier New"/>
                <w:szCs w:val="21"/>
              </w:rPr>
              <w:t>联系人：</w:t>
            </w:r>
            <w:r>
              <w:rPr>
                <w:rFonts w:ascii="宋体" w:hAnsi="宋体" w:cs="Courier New"/>
                <w:szCs w:val="21"/>
                <w:u w:val="single"/>
              </w:rPr>
              <w:t xml:space="preserve">                         </w:t>
            </w:r>
          </w:p>
          <w:p>
            <w:pPr>
              <w:spacing w:line="360" w:lineRule="auto"/>
              <w:ind w:left="1200" w:hanging="1200"/>
              <w:rPr>
                <w:rFonts w:ascii="宋体" w:hAnsi="宋体" w:cs="Courier New"/>
                <w:szCs w:val="21"/>
                <w:u w:val="single"/>
              </w:rPr>
            </w:pPr>
            <w:r>
              <w:rPr>
                <w:rFonts w:hint="eastAsia" w:ascii="宋体" w:hAnsi="宋体" w:cs="Courier New"/>
                <w:szCs w:val="21"/>
              </w:rPr>
              <w:t>联系电话：</w:t>
            </w:r>
            <w:r>
              <w:rPr>
                <w:rFonts w:ascii="宋体" w:hAnsi="宋体" w:cs="Courier New"/>
                <w:szCs w:val="21"/>
                <w:u w:val="single"/>
              </w:rPr>
              <w:t xml:space="preserve">                       </w:t>
            </w:r>
          </w:p>
          <w:p>
            <w:pPr>
              <w:spacing w:line="360" w:lineRule="auto"/>
              <w:ind w:left="1200" w:hanging="1200"/>
              <w:rPr>
                <w:rFonts w:ascii="宋体" w:hAnsi="宋体" w:cs="Courier New"/>
                <w:szCs w:val="21"/>
                <w:u w:val="single"/>
              </w:rPr>
            </w:pPr>
            <w:r>
              <w:rPr>
                <w:rFonts w:hint="eastAsia" w:ascii="宋体" w:hAnsi="宋体" w:cs="Courier New"/>
                <w:szCs w:val="21"/>
              </w:rPr>
              <w:t>传真：</w:t>
            </w:r>
            <w:r>
              <w:rPr>
                <w:rFonts w:ascii="宋体" w:hAnsi="宋体" w:cs="Courier New"/>
                <w:szCs w:val="21"/>
                <w:u w:val="single"/>
              </w:rPr>
              <w:t xml:space="preserve">                           </w:t>
            </w:r>
          </w:p>
          <w:p>
            <w:pPr>
              <w:spacing w:line="360" w:lineRule="auto"/>
              <w:ind w:left="1200" w:hanging="1200"/>
              <w:rPr>
                <w:rFonts w:ascii="宋体" w:hAnsi="宋体" w:cs="Courier New"/>
                <w:szCs w:val="21"/>
                <w:u w:val="single"/>
              </w:rPr>
            </w:pPr>
            <w:r>
              <w:rPr>
                <w:rFonts w:hint="eastAsia" w:ascii="宋体" w:hAnsi="宋体" w:cs="Courier New"/>
                <w:szCs w:val="21"/>
              </w:rPr>
              <w:t>开户银行：</w:t>
            </w:r>
            <w:r>
              <w:rPr>
                <w:rFonts w:ascii="宋体" w:hAnsi="宋体" w:cs="Courier New"/>
                <w:szCs w:val="21"/>
                <w:u w:val="single"/>
              </w:rPr>
              <w:t xml:space="preserve"> </w:t>
            </w:r>
          </w:p>
          <w:p>
            <w:pPr>
              <w:spacing w:line="360" w:lineRule="auto"/>
              <w:ind w:left="1200" w:hanging="1200"/>
              <w:rPr>
                <w:rFonts w:ascii="宋体" w:hAnsi="宋体" w:cs="Courier New"/>
                <w:szCs w:val="21"/>
                <w:u w:val="single"/>
              </w:rPr>
            </w:pPr>
            <w:r>
              <w:rPr>
                <w:rFonts w:hint="eastAsia" w:ascii="宋体" w:hAnsi="宋体" w:cs="Courier New"/>
                <w:szCs w:val="21"/>
              </w:rPr>
              <w:t>账号：</w:t>
            </w:r>
            <w:r>
              <w:rPr>
                <w:rFonts w:ascii="宋体" w:hAnsi="宋体" w:cs="Courier New"/>
                <w:szCs w:val="21"/>
              </w:rPr>
              <w:t xml:space="preserve"> </w:t>
            </w:r>
            <w:r>
              <w:rPr>
                <w:rFonts w:ascii="宋体" w:hAnsi="宋体" w:cs="Courier New"/>
                <w:szCs w:val="21"/>
                <w:u w:val="single"/>
              </w:rPr>
              <w:t xml:space="preserve"> </w:t>
            </w:r>
          </w:p>
          <w:p>
            <w:pPr>
              <w:spacing w:line="360" w:lineRule="auto"/>
              <w:ind w:left="1200" w:hanging="1200"/>
              <w:rPr>
                <w:rFonts w:ascii="宋体" w:hAnsi="宋体" w:cs="Courier New"/>
                <w:szCs w:val="21"/>
              </w:rPr>
            </w:pPr>
            <w:r>
              <w:rPr>
                <w:rFonts w:hint="eastAsia" w:ascii="宋体" w:hAnsi="宋体" w:cs="Courier New"/>
                <w:szCs w:val="21"/>
              </w:rPr>
              <w:t>日期：</w:t>
            </w:r>
            <w:r>
              <w:rPr>
                <w:rFonts w:ascii="宋体" w:hAnsi="宋体" w:cs="Courier New"/>
                <w:szCs w:val="21"/>
              </w:rPr>
              <w:t xml:space="preserve"> </w:t>
            </w:r>
            <w:r>
              <w:rPr>
                <w:rFonts w:ascii="宋体" w:hAnsi="宋体" w:cs="Courier New"/>
                <w:szCs w:val="21"/>
                <w:u w:val="single"/>
              </w:rPr>
              <w:t xml:space="preserve">         </w:t>
            </w:r>
            <w:r>
              <w:rPr>
                <w:rFonts w:hint="eastAsia" w:ascii="宋体" w:hAnsi="宋体" w:cs="Courier New"/>
                <w:szCs w:val="21"/>
              </w:rPr>
              <w:t>年</w:t>
            </w:r>
            <w:r>
              <w:rPr>
                <w:rFonts w:ascii="宋体" w:hAnsi="宋体" w:cs="Courier New"/>
                <w:szCs w:val="21"/>
                <w:u w:val="single"/>
              </w:rPr>
              <w:t xml:space="preserve">      </w:t>
            </w:r>
            <w:r>
              <w:rPr>
                <w:rFonts w:hint="eastAsia" w:ascii="宋体" w:hAnsi="宋体" w:cs="Courier New"/>
                <w:szCs w:val="21"/>
              </w:rPr>
              <w:t>月</w:t>
            </w:r>
            <w:r>
              <w:rPr>
                <w:rFonts w:ascii="宋体" w:hAnsi="宋体" w:cs="Courier New"/>
                <w:szCs w:val="21"/>
                <w:u w:val="single"/>
              </w:rPr>
              <w:t xml:space="preserve">     </w:t>
            </w:r>
            <w:r>
              <w:rPr>
                <w:rFonts w:hint="eastAsia" w:ascii="宋体" w:hAnsi="宋体" w:cs="Courier New"/>
                <w:szCs w:val="21"/>
              </w:rPr>
              <w:t>日</w:t>
            </w:r>
          </w:p>
        </w:tc>
        <w:tc>
          <w:tcPr>
            <w:tcW w:w="4610" w:type="dxa"/>
          </w:tcPr>
          <w:p>
            <w:pPr>
              <w:spacing w:line="360" w:lineRule="auto"/>
              <w:ind w:left="1200" w:hanging="1200"/>
              <w:rPr>
                <w:rFonts w:ascii="宋体" w:hAnsi="宋体" w:cs="Courier New"/>
                <w:szCs w:val="21"/>
              </w:rPr>
            </w:pPr>
            <w:r>
              <w:rPr>
                <w:rFonts w:hint="eastAsia" w:ascii="宋体" w:hAnsi="宋体" w:cs="Courier New"/>
                <w:szCs w:val="21"/>
              </w:rPr>
              <w:t>乙方：</w:t>
            </w:r>
            <w:r>
              <w:rPr>
                <w:rFonts w:ascii="宋体" w:hAnsi="宋体" w:cs="Courier New"/>
                <w:szCs w:val="21"/>
                <w:u w:val="single"/>
              </w:rPr>
              <w:t xml:space="preserve">                           </w:t>
            </w:r>
          </w:p>
          <w:p>
            <w:pPr>
              <w:spacing w:line="360" w:lineRule="auto"/>
              <w:ind w:left="1200" w:hanging="1200"/>
              <w:rPr>
                <w:rFonts w:ascii="宋体" w:hAnsi="宋体" w:cs="Courier New"/>
                <w:szCs w:val="21"/>
              </w:rPr>
            </w:pPr>
          </w:p>
          <w:p>
            <w:pPr>
              <w:spacing w:line="360" w:lineRule="auto"/>
              <w:ind w:left="1200" w:hanging="1200"/>
              <w:rPr>
                <w:rFonts w:ascii="宋体" w:hAnsi="宋体" w:cs="Courier New"/>
                <w:szCs w:val="21"/>
                <w:u w:val="single"/>
              </w:rPr>
            </w:pPr>
            <w:r>
              <w:rPr>
                <w:rFonts w:hint="eastAsia" w:ascii="宋体" w:hAnsi="宋体" w:cs="Courier New"/>
                <w:szCs w:val="21"/>
              </w:rPr>
              <w:t>法定代表人或授权人：</w:t>
            </w:r>
            <w:r>
              <w:rPr>
                <w:rFonts w:ascii="宋体" w:hAnsi="宋体" w:cs="Courier New"/>
                <w:szCs w:val="21"/>
                <w:u w:val="single"/>
              </w:rPr>
              <w:t xml:space="preserve">             </w:t>
            </w:r>
          </w:p>
          <w:p>
            <w:pPr>
              <w:spacing w:line="360" w:lineRule="auto"/>
              <w:ind w:left="1200" w:hanging="1200"/>
              <w:rPr>
                <w:rFonts w:ascii="宋体" w:hAnsi="宋体" w:cs="Courier New"/>
                <w:szCs w:val="21"/>
              </w:rPr>
            </w:pPr>
          </w:p>
          <w:p>
            <w:pPr>
              <w:spacing w:line="360" w:lineRule="auto"/>
              <w:ind w:left="1200" w:hanging="1200"/>
              <w:rPr>
                <w:rFonts w:ascii="宋体" w:hAnsi="宋体" w:cs="Courier New"/>
                <w:szCs w:val="21"/>
                <w:u w:val="single"/>
              </w:rPr>
            </w:pPr>
            <w:r>
              <w:rPr>
                <w:rFonts w:hint="eastAsia" w:ascii="宋体" w:hAnsi="宋体" w:cs="Courier New"/>
                <w:szCs w:val="21"/>
              </w:rPr>
              <w:t>地址：</w:t>
            </w:r>
            <w:r>
              <w:rPr>
                <w:rFonts w:ascii="宋体" w:hAnsi="宋体" w:cs="Courier New"/>
                <w:szCs w:val="21"/>
                <w:u w:val="single"/>
              </w:rPr>
              <w:t xml:space="preserve">                           </w:t>
            </w:r>
          </w:p>
          <w:p>
            <w:pPr>
              <w:spacing w:line="360" w:lineRule="auto"/>
              <w:ind w:left="1200" w:hanging="1200"/>
              <w:rPr>
                <w:rFonts w:ascii="宋体" w:hAnsi="宋体" w:cs="Courier New"/>
                <w:szCs w:val="21"/>
              </w:rPr>
            </w:pPr>
          </w:p>
          <w:p>
            <w:pPr>
              <w:spacing w:line="360" w:lineRule="auto"/>
              <w:ind w:left="1200" w:hanging="1200"/>
              <w:rPr>
                <w:rFonts w:ascii="宋体" w:hAnsi="宋体" w:cs="Courier New"/>
                <w:szCs w:val="21"/>
              </w:rPr>
            </w:pPr>
            <w:r>
              <w:rPr>
                <w:rFonts w:hint="eastAsia" w:ascii="宋体" w:hAnsi="宋体" w:cs="Courier New"/>
                <w:szCs w:val="21"/>
              </w:rPr>
              <w:t>邮政编码：</w:t>
            </w:r>
            <w:r>
              <w:rPr>
                <w:rFonts w:ascii="宋体" w:hAnsi="宋体" w:cs="Courier New"/>
                <w:szCs w:val="21"/>
                <w:u w:val="single"/>
              </w:rPr>
              <w:t xml:space="preserve">                       </w:t>
            </w:r>
          </w:p>
          <w:p>
            <w:pPr>
              <w:spacing w:line="360" w:lineRule="auto"/>
              <w:ind w:left="1200" w:hanging="1200"/>
              <w:rPr>
                <w:rFonts w:ascii="宋体" w:hAnsi="宋体" w:cs="Courier New"/>
                <w:szCs w:val="21"/>
              </w:rPr>
            </w:pPr>
            <w:r>
              <w:rPr>
                <w:rFonts w:hint="eastAsia" w:ascii="宋体" w:hAnsi="宋体" w:cs="Courier New"/>
                <w:szCs w:val="21"/>
              </w:rPr>
              <w:t>联系人：</w:t>
            </w:r>
            <w:r>
              <w:rPr>
                <w:rFonts w:ascii="宋体" w:hAnsi="宋体" w:cs="Courier New"/>
                <w:szCs w:val="21"/>
                <w:u w:val="single"/>
              </w:rPr>
              <w:t xml:space="preserve">                         </w:t>
            </w:r>
          </w:p>
          <w:p>
            <w:pPr>
              <w:spacing w:line="360" w:lineRule="auto"/>
              <w:ind w:left="1200" w:hanging="1200"/>
              <w:rPr>
                <w:rFonts w:ascii="宋体" w:hAnsi="宋体" w:cs="Courier New"/>
                <w:szCs w:val="21"/>
                <w:u w:val="single"/>
              </w:rPr>
            </w:pPr>
            <w:r>
              <w:rPr>
                <w:rFonts w:hint="eastAsia" w:ascii="宋体" w:hAnsi="宋体" w:cs="Courier New"/>
                <w:szCs w:val="21"/>
              </w:rPr>
              <w:t>联系电话：</w:t>
            </w:r>
            <w:r>
              <w:rPr>
                <w:rFonts w:ascii="宋体" w:hAnsi="宋体" w:cs="Courier New"/>
                <w:szCs w:val="21"/>
                <w:u w:val="single"/>
              </w:rPr>
              <w:t xml:space="preserve">                       </w:t>
            </w:r>
          </w:p>
          <w:p>
            <w:pPr>
              <w:spacing w:line="360" w:lineRule="auto"/>
              <w:ind w:left="1200" w:hanging="1200"/>
              <w:rPr>
                <w:rFonts w:ascii="宋体" w:hAnsi="宋体" w:cs="Courier New"/>
                <w:szCs w:val="21"/>
                <w:u w:val="single"/>
              </w:rPr>
            </w:pPr>
            <w:r>
              <w:rPr>
                <w:rFonts w:hint="eastAsia" w:ascii="宋体" w:hAnsi="宋体" w:cs="Courier New"/>
                <w:szCs w:val="21"/>
              </w:rPr>
              <w:t>传真：</w:t>
            </w:r>
            <w:r>
              <w:rPr>
                <w:rFonts w:ascii="宋体" w:hAnsi="宋体" w:cs="Courier New"/>
                <w:szCs w:val="21"/>
                <w:u w:val="single"/>
              </w:rPr>
              <w:t xml:space="preserve">                           </w:t>
            </w:r>
          </w:p>
          <w:p>
            <w:pPr>
              <w:spacing w:line="360" w:lineRule="auto"/>
              <w:ind w:left="1200" w:hanging="1200"/>
              <w:rPr>
                <w:rFonts w:ascii="宋体" w:hAnsi="宋体" w:cs="Courier New"/>
                <w:szCs w:val="21"/>
                <w:u w:val="single"/>
              </w:rPr>
            </w:pPr>
            <w:r>
              <w:rPr>
                <w:rFonts w:hint="eastAsia" w:ascii="宋体" w:hAnsi="宋体" w:cs="Courier New"/>
                <w:szCs w:val="21"/>
              </w:rPr>
              <w:t>开户银行：</w:t>
            </w:r>
            <w:r>
              <w:rPr>
                <w:rFonts w:ascii="宋体" w:hAnsi="宋体" w:cs="Courier New"/>
                <w:szCs w:val="21"/>
              </w:rPr>
              <w:t xml:space="preserve"> </w:t>
            </w:r>
            <w:r>
              <w:rPr>
                <w:rFonts w:ascii="宋体" w:hAnsi="宋体" w:cs="Courier New"/>
                <w:szCs w:val="21"/>
                <w:u w:val="single"/>
              </w:rPr>
              <w:t xml:space="preserve">                      </w:t>
            </w:r>
          </w:p>
          <w:p>
            <w:pPr>
              <w:spacing w:line="360" w:lineRule="auto"/>
              <w:ind w:left="1200" w:hanging="1200"/>
              <w:rPr>
                <w:rFonts w:ascii="宋体" w:hAnsi="宋体" w:cs="Courier New"/>
                <w:szCs w:val="21"/>
                <w:u w:val="single"/>
              </w:rPr>
            </w:pPr>
            <w:r>
              <w:rPr>
                <w:rFonts w:hint="eastAsia" w:ascii="宋体" w:hAnsi="宋体" w:cs="Courier New"/>
                <w:szCs w:val="21"/>
              </w:rPr>
              <w:t>账号：</w:t>
            </w:r>
            <w:r>
              <w:rPr>
                <w:rFonts w:ascii="宋体" w:hAnsi="宋体" w:cs="Courier New"/>
                <w:szCs w:val="21"/>
                <w:u w:val="single"/>
              </w:rPr>
              <w:t xml:space="preserve">                            </w:t>
            </w:r>
          </w:p>
          <w:p>
            <w:pPr>
              <w:spacing w:line="360" w:lineRule="auto"/>
              <w:ind w:left="1200" w:hanging="1200"/>
              <w:rPr>
                <w:rFonts w:ascii="宋体" w:hAnsi="宋体" w:cs="Courier New"/>
                <w:szCs w:val="21"/>
              </w:rPr>
            </w:pPr>
            <w:r>
              <w:rPr>
                <w:rFonts w:hint="eastAsia" w:ascii="宋体" w:hAnsi="宋体" w:cs="Courier New"/>
                <w:szCs w:val="21"/>
              </w:rPr>
              <w:t>日期：</w:t>
            </w:r>
            <w:r>
              <w:rPr>
                <w:rFonts w:ascii="宋体" w:hAnsi="宋体" w:cs="Courier New"/>
                <w:szCs w:val="21"/>
                <w:u w:val="single"/>
              </w:rPr>
              <w:t xml:space="preserve">         </w:t>
            </w:r>
            <w:r>
              <w:rPr>
                <w:rFonts w:hint="eastAsia" w:ascii="宋体" w:hAnsi="宋体" w:cs="Courier New"/>
                <w:szCs w:val="21"/>
              </w:rPr>
              <w:t>年</w:t>
            </w:r>
            <w:r>
              <w:rPr>
                <w:rFonts w:ascii="宋体" w:hAnsi="宋体" w:cs="Courier New"/>
                <w:szCs w:val="21"/>
                <w:u w:val="single"/>
              </w:rPr>
              <w:t xml:space="preserve">      </w:t>
            </w:r>
            <w:r>
              <w:rPr>
                <w:rFonts w:hint="eastAsia" w:ascii="宋体" w:hAnsi="宋体" w:cs="Courier New"/>
                <w:szCs w:val="21"/>
              </w:rPr>
              <w:t>月</w:t>
            </w:r>
            <w:r>
              <w:rPr>
                <w:rFonts w:ascii="宋体" w:hAnsi="宋体" w:cs="Courier New"/>
                <w:szCs w:val="21"/>
                <w:u w:val="single"/>
              </w:rPr>
              <w:t xml:space="preserve">       </w:t>
            </w:r>
            <w:r>
              <w:rPr>
                <w:rFonts w:hint="eastAsia" w:ascii="宋体" w:hAnsi="宋体" w:cs="Courier New"/>
                <w:szCs w:val="21"/>
              </w:rPr>
              <w:t>日</w:t>
            </w:r>
          </w:p>
        </w:tc>
      </w:tr>
    </w:tbl>
    <w:p>
      <w:pPr>
        <w:keepNext/>
        <w:keepLines/>
        <w:autoSpaceDE w:val="0"/>
        <w:autoSpaceDN w:val="0"/>
        <w:adjustRightInd w:val="0"/>
        <w:spacing w:before="220" w:after="220" w:line="360" w:lineRule="auto"/>
        <w:ind w:right="412" w:rightChars="196"/>
        <w:jc w:val="center"/>
        <w:outlineLvl w:val="1"/>
        <w:rPr>
          <w:rFonts w:eastAsia="黑体"/>
          <w:bCs/>
          <w:kern w:val="0"/>
          <w:sz w:val="28"/>
          <w:szCs w:val="28"/>
        </w:rPr>
      </w:pPr>
      <w:r>
        <w:br w:type="page"/>
      </w:r>
      <w:bookmarkStart w:id="395" w:name="_Toc7641"/>
      <w:bookmarkStart w:id="396" w:name="_Toc180507112"/>
      <w:bookmarkStart w:id="397" w:name="_Toc5091"/>
      <w:bookmarkStart w:id="398" w:name="_Toc12370"/>
      <w:bookmarkStart w:id="399" w:name="_Toc26523"/>
      <w:bookmarkStart w:id="400" w:name="_Toc21368"/>
      <w:bookmarkStart w:id="401" w:name="_Toc10079"/>
      <w:bookmarkStart w:id="402" w:name="_Toc28642"/>
      <w:bookmarkStart w:id="403" w:name="_Toc32449"/>
      <w:bookmarkStart w:id="404" w:name="_Toc5331"/>
      <w:r>
        <w:rPr>
          <w:rFonts w:hint="eastAsia" w:eastAsia="黑体"/>
          <w:bCs/>
          <w:kern w:val="0"/>
          <w:sz w:val="28"/>
          <w:szCs w:val="28"/>
        </w:rPr>
        <w:t>第二部分</w:t>
      </w:r>
      <w:r>
        <w:rPr>
          <w:rFonts w:eastAsia="黑体"/>
          <w:bCs/>
          <w:kern w:val="0"/>
          <w:sz w:val="28"/>
          <w:szCs w:val="28"/>
        </w:rPr>
        <w:t xml:space="preserve">  </w:t>
      </w:r>
      <w:r>
        <w:rPr>
          <w:rFonts w:hint="eastAsia" w:eastAsia="黑体"/>
          <w:bCs/>
          <w:kern w:val="0"/>
          <w:sz w:val="28"/>
          <w:szCs w:val="28"/>
        </w:rPr>
        <w:t>中标通知书</w:t>
      </w:r>
      <w:bookmarkEnd w:id="395"/>
      <w:bookmarkEnd w:id="396"/>
      <w:bookmarkEnd w:id="397"/>
      <w:bookmarkEnd w:id="398"/>
      <w:bookmarkEnd w:id="399"/>
      <w:bookmarkEnd w:id="400"/>
      <w:bookmarkEnd w:id="401"/>
      <w:bookmarkEnd w:id="402"/>
      <w:bookmarkEnd w:id="403"/>
      <w:bookmarkEnd w:id="404"/>
    </w:p>
    <w:p/>
    <w:p>
      <w:pPr>
        <w:keepNext/>
        <w:keepLines/>
        <w:autoSpaceDE w:val="0"/>
        <w:autoSpaceDN w:val="0"/>
        <w:adjustRightInd w:val="0"/>
        <w:spacing w:before="220" w:after="220" w:line="360" w:lineRule="auto"/>
        <w:ind w:right="412" w:rightChars="196"/>
        <w:jc w:val="center"/>
        <w:outlineLvl w:val="1"/>
        <w:rPr>
          <w:rFonts w:eastAsia="黑体"/>
          <w:bCs/>
          <w:kern w:val="0"/>
          <w:sz w:val="28"/>
          <w:szCs w:val="28"/>
        </w:rPr>
      </w:pPr>
      <w:bookmarkStart w:id="405" w:name="_Toc24654"/>
      <w:bookmarkStart w:id="406" w:name="_Toc3128"/>
      <w:bookmarkStart w:id="407" w:name="_Toc20040"/>
      <w:bookmarkStart w:id="408" w:name="_Toc19829"/>
      <w:bookmarkStart w:id="409" w:name="_Toc2714"/>
      <w:bookmarkStart w:id="410" w:name="_Toc31087"/>
      <w:r>
        <w:rPr>
          <w:rFonts w:eastAsia="黑体"/>
          <w:bCs/>
          <w:kern w:val="0"/>
          <w:sz w:val="28"/>
          <w:szCs w:val="28"/>
        </w:rPr>
        <w:br w:type="page"/>
      </w:r>
      <w:bookmarkStart w:id="411" w:name="_Toc180507113"/>
      <w:bookmarkStart w:id="412" w:name="_Toc7111"/>
      <w:bookmarkStart w:id="413" w:name="_Toc10430"/>
      <w:bookmarkStart w:id="414" w:name="_Toc18990"/>
      <w:r>
        <w:rPr>
          <w:rFonts w:hint="eastAsia" w:eastAsia="黑体"/>
          <w:bCs/>
          <w:kern w:val="0"/>
          <w:sz w:val="28"/>
          <w:szCs w:val="28"/>
        </w:rPr>
        <w:t>第三部分</w:t>
      </w:r>
      <w:r>
        <w:rPr>
          <w:rFonts w:eastAsia="黑体"/>
          <w:bCs/>
          <w:kern w:val="0"/>
          <w:sz w:val="28"/>
          <w:szCs w:val="28"/>
        </w:rPr>
        <w:t xml:space="preserve">  </w:t>
      </w:r>
      <w:r>
        <w:rPr>
          <w:rFonts w:hint="eastAsia" w:eastAsia="黑体"/>
          <w:bCs/>
          <w:kern w:val="0"/>
          <w:sz w:val="28"/>
          <w:szCs w:val="28"/>
        </w:rPr>
        <w:t>合同条款</w:t>
      </w:r>
      <w:bookmarkEnd w:id="405"/>
      <w:bookmarkEnd w:id="406"/>
      <w:bookmarkEnd w:id="407"/>
      <w:bookmarkEnd w:id="408"/>
      <w:bookmarkEnd w:id="409"/>
      <w:bookmarkEnd w:id="410"/>
      <w:bookmarkEnd w:id="411"/>
      <w:bookmarkEnd w:id="412"/>
      <w:bookmarkEnd w:id="413"/>
      <w:bookmarkEnd w:id="414"/>
    </w:p>
    <w:p>
      <w:pPr>
        <w:numPr>
          <w:ilvl w:val="0"/>
          <w:numId w:val="4"/>
        </w:numPr>
        <w:spacing w:line="360" w:lineRule="auto"/>
        <w:ind w:firstLine="420" w:firstLineChars="200"/>
        <w:outlineLvl w:val="2"/>
        <w:rPr>
          <w:rFonts w:ascii="宋体"/>
          <w:b/>
          <w:szCs w:val="21"/>
        </w:rPr>
      </w:pPr>
      <w:bookmarkStart w:id="415" w:name="_Toc28001"/>
      <w:bookmarkStart w:id="416" w:name="_Toc384938625"/>
      <w:bookmarkStart w:id="417" w:name="_Toc27775"/>
      <w:r>
        <w:rPr>
          <w:rFonts w:hint="eastAsia" w:ascii="宋体" w:hAnsi="宋体"/>
          <w:b/>
          <w:szCs w:val="21"/>
        </w:rPr>
        <w:t>定义及解释</w:t>
      </w:r>
      <w:bookmarkEnd w:id="415"/>
      <w:bookmarkEnd w:id="416"/>
      <w:bookmarkEnd w:id="417"/>
    </w:p>
    <w:p>
      <w:pPr>
        <w:numPr>
          <w:ilvl w:val="1"/>
          <w:numId w:val="5"/>
        </w:numPr>
        <w:spacing w:line="276" w:lineRule="auto"/>
        <w:ind w:firstLine="420" w:firstLineChars="200"/>
        <w:rPr>
          <w:rFonts w:ascii="宋体"/>
          <w:szCs w:val="21"/>
        </w:rPr>
      </w:pPr>
      <w:r>
        <w:rPr>
          <w:rFonts w:hint="eastAsia" w:ascii="宋体" w:hAnsi="宋体"/>
          <w:szCs w:val="21"/>
        </w:rPr>
        <w:t>定义</w:t>
      </w:r>
    </w:p>
    <w:p>
      <w:pPr>
        <w:numPr>
          <w:ilvl w:val="2"/>
          <w:numId w:val="6"/>
        </w:numPr>
        <w:tabs>
          <w:tab w:val="clear" w:pos="1134"/>
        </w:tabs>
        <w:spacing w:line="360" w:lineRule="auto"/>
        <w:ind w:firstLine="420" w:firstLineChars="200"/>
        <w:rPr>
          <w:rFonts w:ascii="宋体"/>
          <w:szCs w:val="21"/>
        </w:rPr>
      </w:pPr>
      <w:r>
        <w:rPr>
          <w:rFonts w:hint="eastAsia" w:ascii="宋体" w:hAnsi="宋体"/>
          <w:szCs w:val="21"/>
        </w:rPr>
        <w:t>“合同</w:t>
      </w:r>
      <w:r>
        <w:rPr>
          <w:rFonts w:hint="eastAsia" w:ascii="宋体"/>
          <w:szCs w:val="21"/>
        </w:rPr>
        <w:t>”</w:t>
      </w:r>
      <w:r>
        <w:rPr>
          <w:rFonts w:hint="eastAsia" w:ascii="宋体" w:hAnsi="宋体"/>
          <w:szCs w:val="21"/>
        </w:rPr>
        <w:t>或称</w:t>
      </w:r>
      <w:r>
        <w:rPr>
          <w:rFonts w:hint="eastAsia" w:ascii="宋体"/>
          <w:szCs w:val="21"/>
        </w:rPr>
        <w:t>“</w:t>
      </w:r>
      <w:r>
        <w:rPr>
          <w:rFonts w:hint="eastAsia" w:ascii="宋体" w:hAnsi="宋体"/>
          <w:szCs w:val="21"/>
        </w:rPr>
        <w:t>合同书</w:t>
      </w:r>
      <w:r>
        <w:rPr>
          <w:rFonts w:hint="eastAsia" w:ascii="宋体"/>
          <w:szCs w:val="21"/>
        </w:rPr>
        <w:t>”</w:t>
      </w:r>
      <w:r>
        <w:rPr>
          <w:rFonts w:hint="eastAsia" w:ascii="宋体" w:hAnsi="宋体"/>
          <w:szCs w:val="21"/>
        </w:rPr>
        <w:t>指甲乙双方达成并签署的协议，包括合同协议书、合同条款、</w:t>
      </w:r>
      <w:r>
        <w:rPr>
          <w:rFonts w:hint="eastAsia" w:ascii="宋体" w:hAnsi="宋体" w:cs="Arial"/>
          <w:bCs/>
          <w:szCs w:val="21"/>
        </w:rPr>
        <w:t>合同</w:t>
      </w:r>
      <w:r>
        <w:rPr>
          <w:rFonts w:hint="eastAsia" w:ascii="宋体" w:hAnsi="宋体"/>
          <w:szCs w:val="21"/>
        </w:rPr>
        <w:t>附件、</w:t>
      </w:r>
      <w:r>
        <w:rPr>
          <w:rFonts w:hint="eastAsia" w:ascii="宋体" w:hAnsi="宋体" w:cs="Arial"/>
          <w:bCs/>
          <w:szCs w:val="21"/>
        </w:rPr>
        <w:t>合同</w:t>
      </w:r>
      <w:r>
        <w:rPr>
          <w:rFonts w:hint="eastAsia" w:ascii="宋体" w:hAnsi="宋体"/>
          <w:szCs w:val="21"/>
        </w:rPr>
        <w:t>附录和上述文件所提到的构成合同的所有文件。</w:t>
      </w:r>
    </w:p>
    <w:p>
      <w:pPr>
        <w:numPr>
          <w:ilvl w:val="2"/>
          <w:numId w:val="6"/>
        </w:numPr>
        <w:tabs>
          <w:tab w:val="clear" w:pos="1134"/>
        </w:tabs>
        <w:spacing w:line="360" w:lineRule="auto"/>
        <w:ind w:firstLine="420" w:firstLineChars="200"/>
        <w:rPr>
          <w:rFonts w:ascii="宋体"/>
          <w:szCs w:val="21"/>
        </w:rPr>
      </w:pPr>
      <w:r>
        <w:rPr>
          <w:rFonts w:hint="eastAsia" w:ascii="宋体" w:hAnsi="宋体"/>
          <w:szCs w:val="21"/>
        </w:rPr>
        <w:t>“合同价格</w:t>
      </w:r>
      <w:r>
        <w:rPr>
          <w:rFonts w:hint="eastAsia" w:ascii="宋体"/>
          <w:szCs w:val="21"/>
        </w:rPr>
        <w:t>”</w:t>
      </w:r>
      <w:r>
        <w:rPr>
          <w:rFonts w:hint="eastAsia" w:ascii="宋体" w:hAnsi="宋体"/>
          <w:szCs w:val="21"/>
        </w:rPr>
        <w:t>指合同规定乙方在正确地完全履行合同义务后甲方应支付给乙方的金额。</w:t>
      </w:r>
    </w:p>
    <w:p>
      <w:pPr>
        <w:numPr>
          <w:ilvl w:val="2"/>
          <w:numId w:val="6"/>
        </w:numPr>
        <w:tabs>
          <w:tab w:val="clear" w:pos="1134"/>
        </w:tabs>
        <w:spacing w:line="360" w:lineRule="auto"/>
        <w:ind w:firstLine="420" w:firstLineChars="200"/>
        <w:rPr>
          <w:rFonts w:ascii="宋体"/>
          <w:szCs w:val="21"/>
        </w:rPr>
      </w:pPr>
      <w:r>
        <w:rPr>
          <w:rFonts w:hint="eastAsia" w:ascii="宋体" w:hAnsi="宋体"/>
          <w:szCs w:val="21"/>
        </w:rPr>
        <w:t>“合同条款</w:t>
      </w:r>
      <w:r>
        <w:rPr>
          <w:rFonts w:hint="eastAsia" w:ascii="宋体"/>
          <w:szCs w:val="21"/>
        </w:rPr>
        <w:t>”</w:t>
      </w:r>
      <w:r>
        <w:rPr>
          <w:rFonts w:hint="eastAsia" w:ascii="宋体" w:hAnsi="宋体"/>
          <w:szCs w:val="21"/>
        </w:rPr>
        <w:t>系指本合同条款。</w:t>
      </w:r>
    </w:p>
    <w:p>
      <w:pPr>
        <w:numPr>
          <w:ilvl w:val="2"/>
          <w:numId w:val="6"/>
        </w:numPr>
        <w:tabs>
          <w:tab w:val="clear" w:pos="1134"/>
        </w:tabs>
        <w:spacing w:line="360" w:lineRule="auto"/>
        <w:ind w:firstLine="420" w:firstLineChars="200"/>
        <w:rPr>
          <w:rFonts w:ascii="宋体"/>
          <w:szCs w:val="21"/>
        </w:rPr>
      </w:pPr>
      <w:r>
        <w:rPr>
          <w:rFonts w:hint="eastAsia" w:ascii="宋体" w:hAnsi="宋体"/>
          <w:szCs w:val="21"/>
        </w:rPr>
        <w:t>“甲方</w:t>
      </w:r>
      <w:r>
        <w:rPr>
          <w:rFonts w:hint="eastAsia" w:ascii="宋体"/>
          <w:szCs w:val="21"/>
        </w:rPr>
        <w:t>”</w:t>
      </w:r>
      <w:r>
        <w:rPr>
          <w:rFonts w:hint="eastAsia" w:ascii="宋体" w:hAnsi="宋体"/>
          <w:szCs w:val="21"/>
        </w:rPr>
        <w:t>系指南宁轨道数智科技有限公司。</w:t>
      </w:r>
    </w:p>
    <w:p>
      <w:pPr>
        <w:numPr>
          <w:ilvl w:val="2"/>
          <w:numId w:val="6"/>
        </w:numPr>
        <w:tabs>
          <w:tab w:val="clear" w:pos="1134"/>
        </w:tabs>
        <w:spacing w:line="360" w:lineRule="auto"/>
        <w:ind w:firstLine="420" w:firstLineChars="200"/>
        <w:rPr>
          <w:rFonts w:ascii="宋体"/>
          <w:szCs w:val="21"/>
        </w:rPr>
      </w:pPr>
      <w:r>
        <w:rPr>
          <w:rFonts w:hint="eastAsia" w:ascii="宋体" w:hAnsi="宋体"/>
          <w:szCs w:val="21"/>
        </w:rPr>
        <w:t>“乙方</w:t>
      </w:r>
      <w:r>
        <w:rPr>
          <w:rFonts w:hint="eastAsia" w:ascii="宋体"/>
          <w:szCs w:val="21"/>
        </w:rPr>
        <w:t>”</w:t>
      </w:r>
      <w:r>
        <w:rPr>
          <w:rFonts w:hint="eastAsia" w:ascii="宋体" w:hAnsi="宋体"/>
          <w:szCs w:val="21"/>
        </w:rPr>
        <w:t>系指提供合同项下服务的法人和</w:t>
      </w:r>
      <w:r>
        <w:rPr>
          <w:rFonts w:ascii="宋体" w:hAnsi="宋体"/>
          <w:szCs w:val="21"/>
        </w:rPr>
        <w:t>/</w:t>
      </w:r>
      <w:r>
        <w:rPr>
          <w:rFonts w:hint="eastAsia" w:ascii="宋体" w:hAnsi="宋体"/>
          <w:szCs w:val="21"/>
        </w:rPr>
        <w:t>或其他组织。</w:t>
      </w:r>
    </w:p>
    <w:p>
      <w:pPr>
        <w:numPr>
          <w:ilvl w:val="2"/>
          <w:numId w:val="6"/>
        </w:numPr>
        <w:tabs>
          <w:tab w:val="clear" w:pos="1134"/>
        </w:tabs>
        <w:spacing w:line="360" w:lineRule="auto"/>
        <w:ind w:firstLine="420" w:firstLineChars="200"/>
        <w:rPr>
          <w:rFonts w:ascii="宋体" w:hAnsi="宋体"/>
          <w:szCs w:val="21"/>
        </w:rPr>
      </w:pPr>
      <w:r>
        <w:rPr>
          <w:rFonts w:hint="eastAsia" w:ascii="宋体" w:hAnsi="宋体"/>
          <w:szCs w:val="21"/>
        </w:rPr>
        <w:t>“双方</w:t>
      </w:r>
      <w:r>
        <w:rPr>
          <w:rFonts w:hint="eastAsia" w:ascii="宋体"/>
          <w:szCs w:val="21"/>
        </w:rPr>
        <w:t>”</w:t>
      </w:r>
      <w:r>
        <w:rPr>
          <w:rFonts w:hint="eastAsia" w:ascii="宋体" w:hAnsi="宋体"/>
          <w:szCs w:val="21"/>
        </w:rPr>
        <w:t>系指甲方和乙方。</w:t>
      </w:r>
      <w:bookmarkStart w:id="418" w:name="_Toc336261575"/>
      <w:bookmarkEnd w:id="418"/>
      <w:bookmarkStart w:id="419" w:name="_Toc336261574"/>
      <w:bookmarkEnd w:id="419"/>
    </w:p>
    <w:p>
      <w:pPr>
        <w:numPr>
          <w:ilvl w:val="2"/>
          <w:numId w:val="6"/>
        </w:numPr>
        <w:tabs>
          <w:tab w:val="clear" w:pos="1134"/>
        </w:tabs>
        <w:spacing w:line="360" w:lineRule="auto"/>
        <w:ind w:firstLine="420" w:firstLineChars="200"/>
        <w:rPr>
          <w:rFonts w:ascii="宋体"/>
          <w:szCs w:val="21"/>
        </w:rPr>
      </w:pPr>
      <w:r>
        <w:rPr>
          <w:rFonts w:hint="eastAsia" w:ascii="宋体" w:hAnsi="宋体"/>
          <w:szCs w:val="21"/>
        </w:rPr>
        <w:t xml:space="preserve"> “不可抗力”指合同条款第17条赋予的含义。</w:t>
      </w:r>
    </w:p>
    <w:p>
      <w:pPr>
        <w:numPr>
          <w:ilvl w:val="2"/>
          <w:numId w:val="6"/>
        </w:numPr>
        <w:tabs>
          <w:tab w:val="clear" w:pos="1134"/>
        </w:tabs>
        <w:spacing w:line="360" w:lineRule="auto"/>
        <w:ind w:firstLine="420" w:firstLineChars="200"/>
        <w:rPr>
          <w:rFonts w:ascii="宋体"/>
          <w:szCs w:val="21"/>
        </w:rPr>
      </w:pPr>
      <w:r>
        <w:rPr>
          <w:rFonts w:ascii="宋体" w:hAnsi="宋体"/>
          <w:szCs w:val="21"/>
        </w:rPr>
        <w:t xml:space="preserve"> </w:t>
      </w:r>
      <w:r>
        <w:rPr>
          <w:rFonts w:hint="eastAsia" w:ascii="宋体" w:hAnsi="宋体"/>
          <w:szCs w:val="21"/>
        </w:rPr>
        <w:t>“天</w:t>
      </w:r>
      <w:r>
        <w:rPr>
          <w:rFonts w:hint="eastAsia" w:ascii="宋体"/>
          <w:szCs w:val="21"/>
        </w:rPr>
        <w:t>”</w:t>
      </w:r>
      <w:r>
        <w:rPr>
          <w:rFonts w:hint="eastAsia" w:ascii="宋体" w:hAnsi="宋体"/>
          <w:szCs w:val="21"/>
        </w:rPr>
        <w:t>、</w:t>
      </w:r>
      <w:r>
        <w:rPr>
          <w:rFonts w:hint="eastAsia" w:ascii="宋体"/>
          <w:szCs w:val="21"/>
        </w:rPr>
        <w:t>“</w:t>
      </w:r>
      <w:r>
        <w:rPr>
          <w:rFonts w:hint="eastAsia" w:ascii="宋体" w:hAnsi="宋体"/>
          <w:szCs w:val="21"/>
        </w:rPr>
        <w:t>日</w:t>
      </w:r>
      <w:r>
        <w:rPr>
          <w:rFonts w:hint="eastAsia" w:ascii="宋体"/>
          <w:szCs w:val="21"/>
        </w:rPr>
        <w:t>”</w:t>
      </w:r>
      <w:r>
        <w:rPr>
          <w:rFonts w:hint="eastAsia" w:ascii="宋体" w:hAnsi="宋体"/>
          <w:szCs w:val="21"/>
        </w:rPr>
        <w:t>系指日历日。</w:t>
      </w:r>
    </w:p>
    <w:p>
      <w:pPr>
        <w:numPr>
          <w:ilvl w:val="2"/>
          <w:numId w:val="6"/>
        </w:numPr>
        <w:tabs>
          <w:tab w:val="clear" w:pos="1134"/>
        </w:tabs>
        <w:spacing w:line="360" w:lineRule="auto"/>
        <w:ind w:firstLine="420" w:firstLineChars="200"/>
        <w:rPr>
          <w:rFonts w:ascii="宋体"/>
          <w:szCs w:val="21"/>
        </w:rPr>
      </w:pPr>
      <w:r>
        <w:rPr>
          <w:rFonts w:hint="eastAsia" w:ascii="宋体" w:hAnsi="宋体"/>
          <w:szCs w:val="21"/>
        </w:rPr>
        <w:t>“周</w:t>
      </w:r>
      <w:r>
        <w:rPr>
          <w:rFonts w:hint="eastAsia" w:ascii="宋体"/>
          <w:szCs w:val="21"/>
        </w:rPr>
        <w:t>”</w:t>
      </w:r>
      <w:r>
        <w:rPr>
          <w:rFonts w:hint="eastAsia" w:ascii="宋体" w:hAnsi="宋体"/>
          <w:szCs w:val="21"/>
        </w:rPr>
        <w:t>系指</w:t>
      </w:r>
      <w:r>
        <w:rPr>
          <w:rFonts w:ascii="宋体" w:hAnsi="宋体"/>
          <w:szCs w:val="21"/>
        </w:rPr>
        <w:t>7</w:t>
      </w:r>
      <w:r>
        <w:rPr>
          <w:rFonts w:hint="eastAsia" w:ascii="宋体" w:hAnsi="宋体"/>
          <w:szCs w:val="21"/>
        </w:rPr>
        <w:t>个日历日。</w:t>
      </w:r>
    </w:p>
    <w:p>
      <w:pPr>
        <w:numPr>
          <w:ilvl w:val="2"/>
          <w:numId w:val="6"/>
        </w:numPr>
        <w:tabs>
          <w:tab w:val="clear" w:pos="1134"/>
        </w:tabs>
        <w:spacing w:line="360" w:lineRule="auto"/>
        <w:ind w:firstLine="420" w:firstLineChars="200"/>
        <w:rPr>
          <w:rFonts w:ascii="宋体" w:hAnsi="宋体"/>
          <w:szCs w:val="21"/>
        </w:rPr>
      </w:pPr>
      <w:r>
        <w:rPr>
          <w:rFonts w:hint="eastAsia" w:ascii="宋体" w:hAnsi="宋体"/>
          <w:szCs w:val="21"/>
        </w:rPr>
        <w:t>“月</w:t>
      </w:r>
      <w:r>
        <w:rPr>
          <w:rFonts w:hint="eastAsia" w:ascii="宋体"/>
          <w:szCs w:val="21"/>
        </w:rPr>
        <w:t>”</w:t>
      </w:r>
      <w:r>
        <w:rPr>
          <w:rFonts w:hint="eastAsia" w:ascii="宋体" w:hAnsi="宋体"/>
          <w:szCs w:val="21"/>
        </w:rPr>
        <w:t>系指日历月。</w:t>
      </w:r>
    </w:p>
    <w:p>
      <w:pPr>
        <w:numPr>
          <w:ilvl w:val="2"/>
          <w:numId w:val="6"/>
        </w:numPr>
        <w:tabs>
          <w:tab w:val="clear" w:pos="1134"/>
        </w:tabs>
        <w:spacing w:line="360" w:lineRule="auto"/>
        <w:ind w:firstLine="420" w:firstLineChars="200"/>
        <w:rPr>
          <w:rFonts w:ascii="宋体" w:hAnsi="宋体"/>
          <w:szCs w:val="21"/>
        </w:rPr>
      </w:pPr>
      <w:r>
        <w:rPr>
          <w:rFonts w:hint="eastAsia" w:ascii="宋体" w:hAnsi="宋体"/>
          <w:szCs w:val="21"/>
        </w:rPr>
        <w:t>“质保期”，12个月，是指</w:t>
      </w:r>
      <w:r>
        <w:rPr>
          <w:rFonts w:ascii="宋体" w:hAnsi="宋体"/>
          <w:szCs w:val="21"/>
        </w:rPr>
        <w:t>自</w:t>
      </w:r>
      <w:r>
        <w:rPr>
          <w:rFonts w:hint="eastAsia" w:ascii="宋体" w:hAnsi="宋体"/>
          <w:szCs w:val="21"/>
        </w:rPr>
        <w:t>项目整体验收通过后</w:t>
      </w:r>
      <w:r>
        <w:rPr>
          <w:rFonts w:ascii="宋体" w:hAnsi="宋体"/>
          <w:szCs w:val="21"/>
        </w:rPr>
        <w:t>的第二天开始</w:t>
      </w:r>
      <w:r>
        <w:rPr>
          <w:rFonts w:hint="eastAsia" w:ascii="宋体" w:hAnsi="宋体"/>
          <w:szCs w:val="21"/>
        </w:rPr>
        <w:t>，乙方提供本项目实施的软件系统质量保证的有效期限，在此期间，乙方对软件系统的缺陷负责。</w:t>
      </w:r>
    </w:p>
    <w:p>
      <w:pPr>
        <w:numPr>
          <w:ilvl w:val="1"/>
          <w:numId w:val="5"/>
        </w:numPr>
        <w:spacing w:line="276" w:lineRule="auto"/>
        <w:ind w:firstLine="420" w:firstLineChars="200"/>
        <w:rPr>
          <w:rFonts w:ascii="宋体"/>
          <w:szCs w:val="21"/>
        </w:rPr>
      </w:pPr>
      <w:r>
        <w:rPr>
          <w:rFonts w:hint="eastAsia" w:ascii="宋体" w:hAnsi="宋体"/>
          <w:szCs w:val="21"/>
        </w:rPr>
        <w:t>解释</w:t>
      </w:r>
      <w:r>
        <w:rPr>
          <w:rFonts w:ascii="宋体" w:hAnsi="宋体"/>
          <w:szCs w:val="21"/>
        </w:rPr>
        <w:t xml:space="preserve"> </w:t>
      </w:r>
    </w:p>
    <w:p>
      <w:pPr>
        <w:numPr>
          <w:ilvl w:val="2"/>
          <w:numId w:val="7"/>
        </w:numPr>
        <w:tabs>
          <w:tab w:val="clear" w:pos="1134"/>
        </w:tabs>
        <w:spacing w:line="360" w:lineRule="auto"/>
        <w:ind w:firstLine="420" w:firstLineChars="200"/>
        <w:rPr>
          <w:rFonts w:ascii="宋体"/>
          <w:szCs w:val="21"/>
        </w:rPr>
      </w:pPr>
      <w:r>
        <w:rPr>
          <w:rFonts w:hint="eastAsia" w:ascii="宋体" w:hAnsi="宋体"/>
          <w:szCs w:val="21"/>
        </w:rPr>
        <w:t>本合同条款中的标题和题名不应视为是本合同条款的一部分，在合同的解释或构成中也不应考虑这些标题和题名。本合同引用某个条款时，除非特别说明，应解释为该条款项下所有子条款的内容。</w:t>
      </w:r>
    </w:p>
    <w:p>
      <w:pPr>
        <w:numPr>
          <w:ilvl w:val="2"/>
          <w:numId w:val="7"/>
        </w:numPr>
        <w:tabs>
          <w:tab w:val="clear" w:pos="1134"/>
        </w:tabs>
        <w:spacing w:line="360" w:lineRule="auto"/>
        <w:ind w:firstLine="420" w:firstLineChars="200"/>
        <w:rPr>
          <w:rFonts w:ascii="宋体"/>
          <w:szCs w:val="21"/>
        </w:rPr>
      </w:pPr>
      <w:r>
        <w:rPr>
          <w:rFonts w:hint="eastAsia" w:ascii="宋体" w:hAnsi="宋体"/>
          <w:szCs w:val="21"/>
        </w:rPr>
        <w:t>凡指当事人或各方的措辞应包括商行、公司以及具有法人资格的任何组织。仅表明单数形式的词也包括复数含义，视上下文需要而定，反之亦然。</w:t>
      </w:r>
    </w:p>
    <w:p>
      <w:pPr>
        <w:numPr>
          <w:ilvl w:val="2"/>
          <w:numId w:val="7"/>
        </w:numPr>
        <w:tabs>
          <w:tab w:val="clear" w:pos="1134"/>
        </w:tabs>
        <w:spacing w:line="360" w:lineRule="auto"/>
        <w:ind w:firstLine="420" w:firstLineChars="200"/>
        <w:rPr>
          <w:rFonts w:ascii="宋体"/>
          <w:szCs w:val="21"/>
        </w:rPr>
      </w:pPr>
      <w:r>
        <w:rPr>
          <w:rFonts w:hint="eastAsia" w:ascii="宋体" w:hAnsi="宋体"/>
          <w:szCs w:val="21"/>
        </w:rPr>
        <w:t>凡合同中规定通讯是“书面的”或“用书面形式”，这是指任何手写的、打印的或印刷的通讯及其它所有用书面记录的现代通讯方法进行的通讯，包括电报、电传和传真等发送。</w:t>
      </w:r>
    </w:p>
    <w:p>
      <w:pPr>
        <w:numPr>
          <w:ilvl w:val="2"/>
          <w:numId w:val="7"/>
        </w:numPr>
        <w:tabs>
          <w:tab w:val="clear" w:pos="1134"/>
        </w:tabs>
        <w:spacing w:line="360" w:lineRule="auto"/>
        <w:ind w:firstLine="420" w:firstLineChars="200"/>
        <w:rPr>
          <w:rFonts w:ascii="宋体"/>
          <w:szCs w:val="21"/>
        </w:rPr>
      </w:pPr>
      <w:r>
        <w:rPr>
          <w:rFonts w:hint="eastAsia" w:ascii="宋体" w:hAnsi="宋体"/>
          <w:szCs w:val="21"/>
        </w:rPr>
        <w:t>凡合同规定任何人发出通知、同意或确认时，该通知、同意或确认不得被无故扣押。除非另有规定，该通知、同意或确认应是书面的并应对“通知”一词做出相应解释。</w:t>
      </w:r>
    </w:p>
    <w:p>
      <w:pPr>
        <w:numPr>
          <w:ilvl w:val="2"/>
          <w:numId w:val="7"/>
        </w:numPr>
        <w:tabs>
          <w:tab w:val="clear" w:pos="1134"/>
        </w:tabs>
        <w:spacing w:line="360" w:lineRule="auto"/>
        <w:ind w:firstLine="420" w:firstLineChars="200"/>
        <w:rPr>
          <w:rFonts w:ascii="宋体"/>
          <w:szCs w:val="21"/>
        </w:rPr>
      </w:pPr>
      <w:r>
        <w:rPr>
          <w:rFonts w:hint="eastAsia" w:ascii="宋体" w:hAnsi="宋体"/>
          <w:szCs w:val="21"/>
        </w:rPr>
        <w:t>可分割性：如果合同的某一条款被禁止或定为是无效的、不可实施的，那么，如此的禁止，无效性或不可实施性不会影响到合同其他条款的有效性或可实施性。</w:t>
      </w:r>
    </w:p>
    <w:p>
      <w:pPr>
        <w:numPr>
          <w:ilvl w:val="0"/>
          <w:numId w:val="4"/>
        </w:numPr>
        <w:spacing w:line="360" w:lineRule="auto"/>
        <w:ind w:firstLine="420" w:firstLineChars="200"/>
        <w:outlineLvl w:val="2"/>
        <w:rPr>
          <w:rFonts w:ascii="宋体" w:hAnsi="宋体"/>
          <w:b/>
          <w:szCs w:val="21"/>
        </w:rPr>
      </w:pPr>
      <w:bookmarkStart w:id="420" w:name="_Toc1080"/>
      <w:bookmarkStart w:id="421" w:name="_Toc30241"/>
      <w:bookmarkStart w:id="422" w:name="_Toc384938626"/>
      <w:bookmarkStart w:id="423" w:name="_Toc370933856"/>
      <w:r>
        <w:rPr>
          <w:rFonts w:hint="eastAsia" w:ascii="宋体" w:hAnsi="宋体"/>
          <w:b/>
          <w:szCs w:val="21"/>
        </w:rPr>
        <w:t>适用性</w:t>
      </w:r>
      <w:bookmarkEnd w:id="420"/>
      <w:bookmarkEnd w:id="421"/>
      <w:bookmarkEnd w:id="422"/>
      <w:bookmarkEnd w:id="423"/>
    </w:p>
    <w:p>
      <w:pPr>
        <w:numPr>
          <w:ilvl w:val="1"/>
          <w:numId w:val="8"/>
        </w:numPr>
        <w:tabs>
          <w:tab w:val="left" w:pos="640"/>
        </w:tabs>
        <w:spacing w:line="360" w:lineRule="auto"/>
        <w:ind w:firstLine="420" w:firstLineChars="200"/>
        <w:rPr>
          <w:rFonts w:ascii="宋体"/>
          <w:szCs w:val="21"/>
        </w:rPr>
      </w:pPr>
      <w:r>
        <w:rPr>
          <w:rFonts w:hint="eastAsia" w:ascii="宋体" w:hAnsi="宋体"/>
          <w:szCs w:val="21"/>
        </w:rPr>
        <w:t>本合同条款适用于本合同其它部分未有规定或未被替代的范围。</w:t>
      </w:r>
    </w:p>
    <w:p>
      <w:pPr>
        <w:numPr>
          <w:ilvl w:val="1"/>
          <w:numId w:val="8"/>
        </w:numPr>
        <w:tabs>
          <w:tab w:val="left" w:pos="640"/>
        </w:tabs>
        <w:spacing w:line="360" w:lineRule="auto"/>
        <w:ind w:firstLine="420" w:firstLineChars="200"/>
        <w:rPr>
          <w:rFonts w:ascii="宋体"/>
          <w:szCs w:val="21"/>
        </w:rPr>
      </w:pPr>
      <w:r>
        <w:rPr>
          <w:rFonts w:hint="eastAsia" w:ascii="宋体" w:hAnsi="宋体"/>
          <w:szCs w:val="21"/>
        </w:rPr>
        <w:t>本合同的所有条款的解释权属于甲方。</w:t>
      </w:r>
    </w:p>
    <w:p>
      <w:pPr>
        <w:numPr>
          <w:ilvl w:val="0"/>
          <w:numId w:val="4"/>
        </w:numPr>
        <w:spacing w:line="360" w:lineRule="auto"/>
        <w:ind w:firstLine="420" w:firstLineChars="200"/>
        <w:outlineLvl w:val="2"/>
        <w:rPr>
          <w:rFonts w:ascii="宋体" w:hAnsi="宋体"/>
          <w:b/>
          <w:szCs w:val="21"/>
        </w:rPr>
      </w:pPr>
      <w:bookmarkStart w:id="424" w:name="_Toc15082"/>
      <w:bookmarkStart w:id="425" w:name="_Toc19409"/>
      <w:bookmarkStart w:id="426" w:name="_Toc370933857"/>
      <w:bookmarkStart w:id="427" w:name="_Toc384938627"/>
      <w:r>
        <w:rPr>
          <w:rFonts w:hint="eastAsia" w:ascii="宋体" w:hAnsi="宋体"/>
          <w:b/>
          <w:szCs w:val="21"/>
        </w:rPr>
        <w:t>来源地</w:t>
      </w:r>
      <w:bookmarkEnd w:id="424"/>
      <w:bookmarkEnd w:id="425"/>
      <w:bookmarkEnd w:id="426"/>
      <w:bookmarkEnd w:id="427"/>
    </w:p>
    <w:p>
      <w:pPr>
        <w:numPr>
          <w:ilvl w:val="1"/>
          <w:numId w:val="9"/>
        </w:numPr>
        <w:tabs>
          <w:tab w:val="left" w:pos="640"/>
        </w:tabs>
        <w:spacing w:line="360" w:lineRule="auto"/>
        <w:ind w:firstLine="420" w:firstLineChars="200"/>
        <w:jc w:val="left"/>
        <w:rPr>
          <w:rFonts w:ascii="宋体"/>
          <w:szCs w:val="21"/>
        </w:rPr>
      </w:pPr>
      <w:r>
        <w:rPr>
          <w:rFonts w:hint="eastAsia" w:ascii="宋体" w:hAnsi="宋体"/>
          <w:szCs w:val="21"/>
        </w:rPr>
        <w:t>本合同项下所提供的软件产品和服务均应来自于中华人民共和国或是与中华人民共和国有正常贸易往来的国家和地区。</w:t>
      </w:r>
    </w:p>
    <w:p>
      <w:pPr>
        <w:numPr>
          <w:ilvl w:val="1"/>
          <w:numId w:val="9"/>
        </w:numPr>
        <w:tabs>
          <w:tab w:val="left" w:pos="640"/>
        </w:tabs>
        <w:spacing w:line="360" w:lineRule="auto"/>
        <w:ind w:firstLine="420" w:firstLineChars="200"/>
        <w:rPr>
          <w:rFonts w:ascii="宋体"/>
          <w:szCs w:val="21"/>
        </w:rPr>
      </w:pPr>
      <w:r>
        <w:rPr>
          <w:rFonts w:hint="eastAsia" w:ascii="宋体" w:hAnsi="宋体"/>
          <w:szCs w:val="21"/>
        </w:rPr>
        <w:t>软件产品和服务的来源地有别于乙方的国籍。</w:t>
      </w:r>
    </w:p>
    <w:p>
      <w:pPr>
        <w:numPr>
          <w:ilvl w:val="0"/>
          <w:numId w:val="4"/>
        </w:numPr>
        <w:spacing w:line="360" w:lineRule="auto"/>
        <w:ind w:firstLine="420" w:firstLineChars="200"/>
        <w:outlineLvl w:val="2"/>
        <w:rPr>
          <w:rFonts w:ascii="宋体" w:hAnsi="宋体"/>
          <w:b/>
          <w:szCs w:val="21"/>
        </w:rPr>
      </w:pPr>
      <w:bookmarkStart w:id="428" w:name="_Toc16602"/>
      <w:bookmarkStart w:id="429" w:name="_Toc370933858"/>
      <w:bookmarkStart w:id="430" w:name="_Toc384938628"/>
      <w:bookmarkStart w:id="431" w:name="_Toc27956"/>
      <w:r>
        <w:rPr>
          <w:rFonts w:hint="eastAsia" w:ascii="宋体" w:hAnsi="宋体"/>
          <w:b/>
          <w:szCs w:val="21"/>
        </w:rPr>
        <w:t>标准</w:t>
      </w:r>
      <w:bookmarkEnd w:id="428"/>
      <w:bookmarkEnd w:id="429"/>
      <w:bookmarkEnd w:id="430"/>
      <w:bookmarkEnd w:id="431"/>
    </w:p>
    <w:p>
      <w:pPr>
        <w:numPr>
          <w:ilvl w:val="1"/>
          <w:numId w:val="10"/>
        </w:numPr>
        <w:tabs>
          <w:tab w:val="left" w:pos="640"/>
        </w:tabs>
        <w:spacing w:line="360" w:lineRule="auto"/>
        <w:ind w:firstLine="420" w:firstLineChars="200"/>
        <w:rPr>
          <w:rFonts w:ascii="宋体"/>
          <w:szCs w:val="21"/>
        </w:rPr>
      </w:pPr>
      <w:r>
        <w:rPr>
          <w:rFonts w:hint="eastAsia" w:ascii="宋体" w:hAnsi="宋体"/>
          <w:szCs w:val="21"/>
        </w:rPr>
        <w:t>软件产品和服务须符合合同条款和用户需求书中所述的标准：如果没有提及适用标准，则须符合中华人民共和国国家标准或行业标准；如果中华人民共和国没有相关标准的，则采用国际标准或服务来源国适用的官方标准。这些标准必须是国际权威机构发布的最新版本的标准。</w:t>
      </w:r>
    </w:p>
    <w:p>
      <w:pPr>
        <w:numPr>
          <w:ilvl w:val="1"/>
          <w:numId w:val="10"/>
        </w:numPr>
        <w:tabs>
          <w:tab w:val="left" w:pos="640"/>
        </w:tabs>
        <w:spacing w:line="360" w:lineRule="auto"/>
        <w:ind w:firstLine="420" w:firstLineChars="200"/>
        <w:rPr>
          <w:rFonts w:ascii="宋体"/>
          <w:szCs w:val="21"/>
        </w:rPr>
      </w:pPr>
      <w:r>
        <w:rPr>
          <w:rFonts w:hint="eastAsia" w:ascii="宋体" w:hAnsi="宋体"/>
          <w:szCs w:val="21"/>
        </w:rPr>
        <w:t>乙方须免费向甲方提供有关标准的文本。如果有关标准和文本不是中文，乙方须免费向甲方提供中文的译本，并对中文译本的真实性、完整性、准确性负责。</w:t>
      </w:r>
    </w:p>
    <w:p>
      <w:pPr>
        <w:numPr>
          <w:ilvl w:val="1"/>
          <w:numId w:val="10"/>
        </w:numPr>
        <w:tabs>
          <w:tab w:val="left" w:pos="640"/>
        </w:tabs>
        <w:spacing w:line="360" w:lineRule="auto"/>
        <w:ind w:firstLine="420" w:firstLineChars="200"/>
        <w:rPr>
          <w:rFonts w:ascii="宋体"/>
          <w:szCs w:val="21"/>
        </w:rPr>
      </w:pPr>
      <w:r>
        <w:rPr>
          <w:rFonts w:hint="eastAsia" w:ascii="宋体" w:hAnsi="宋体"/>
          <w:szCs w:val="21"/>
        </w:rPr>
        <w:t>除非合同中另有规定，计量单位均采用中华人民共和国法定计量单位。</w:t>
      </w:r>
    </w:p>
    <w:p>
      <w:pPr>
        <w:numPr>
          <w:ilvl w:val="0"/>
          <w:numId w:val="4"/>
        </w:numPr>
        <w:spacing w:line="360" w:lineRule="auto"/>
        <w:ind w:firstLine="420" w:firstLineChars="200"/>
        <w:outlineLvl w:val="2"/>
        <w:rPr>
          <w:rFonts w:ascii="宋体" w:hAnsi="宋体"/>
          <w:b/>
          <w:szCs w:val="21"/>
        </w:rPr>
      </w:pPr>
      <w:bookmarkStart w:id="432" w:name="_Toc384938629"/>
      <w:bookmarkStart w:id="433" w:name="_Toc28080"/>
      <w:bookmarkStart w:id="434" w:name="_Toc9041"/>
      <w:r>
        <w:rPr>
          <w:rFonts w:hint="eastAsia" w:ascii="宋体" w:hAnsi="宋体"/>
          <w:b/>
          <w:szCs w:val="21"/>
        </w:rPr>
        <w:t>合同标的</w:t>
      </w:r>
      <w:bookmarkEnd w:id="432"/>
      <w:bookmarkEnd w:id="433"/>
      <w:bookmarkEnd w:id="434"/>
    </w:p>
    <w:p>
      <w:pPr>
        <w:numPr>
          <w:ilvl w:val="1"/>
          <w:numId w:val="11"/>
        </w:numPr>
        <w:spacing w:line="360" w:lineRule="auto"/>
        <w:ind w:firstLine="420" w:firstLineChars="200"/>
        <w:rPr>
          <w:rFonts w:ascii="宋体"/>
          <w:szCs w:val="21"/>
        </w:rPr>
      </w:pPr>
      <w:r>
        <w:rPr>
          <w:rFonts w:hint="eastAsia" w:ascii="宋体" w:hAnsi="宋体"/>
          <w:szCs w:val="21"/>
        </w:rPr>
        <w:t>合同生效后，甲方同意采购，乙方同意为南宁轨道数智科技有限公司资产管理系统采购项目提供软件产品和服务等。</w:t>
      </w:r>
    </w:p>
    <w:p>
      <w:pPr>
        <w:numPr>
          <w:ilvl w:val="1"/>
          <w:numId w:val="11"/>
        </w:numPr>
        <w:spacing w:line="360" w:lineRule="auto"/>
        <w:ind w:firstLine="420" w:firstLineChars="200"/>
        <w:rPr>
          <w:rFonts w:ascii="宋体"/>
          <w:szCs w:val="21"/>
        </w:rPr>
      </w:pPr>
      <w:r>
        <w:rPr>
          <w:rFonts w:hint="eastAsia" w:ascii="宋体" w:hAnsi="宋体"/>
          <w:szCs w:val="21"/>
        </w:rPr>
        <w:t>除非合同用户需求书中另有约定，乙方要负责软件产品提供及实施，同时，须满足合同用户需求书中的相关要求、标准规范和合同用户需求书中规定的其它文件资料对服务的所有要求。</w:t>
      </w:r>
    </w:p>
    <w:p>
      <w:pPr>
        <w:numPr>
          <w:ilvl w:val="1"/>
          <w:numId w:val="11"/>
        </w:numPr>
        <w:spacing w:line="360" w:lineRule="auto"/>
        <w:ind w:firstLine="420" w:firstLineChars="200"/>
        <w:rPr>
          <w:rFonts w:ascii="宋体"/>
          <w:szCs w:val="21"/>
        </w:rPr>
      </w:pPr>
      <w:r>
        <w:rPr>
          <w:rFonts w:hint="eastAsia" w:ascii="宋体" w:hAnsi="宋体"/>
          <w:szCs w:val="21"/>
        </w:rPr>
        <w:t>如合同里没有特别地提到，乙方须提供合同中规定的及通过合同就可以合理地推断要获得整个项目的完工所要求的软件。</w:t>
      </w:r>
    </w:p>
    <w:p>
      <w:pPr>
        <w:numPr>
          <w:ilvl w:val="1"/>
          <w:numId w:val="11"/>
        </w:numPr>
        <w:spacing w:line="360" w:lineRule="auto"/>
        <w:ind w:firstLine="420" w:firstLineChars="200"/>
        <w:rPr>
          <w:rFonts w:ascii="宋体"/>
          <w:szCs w:val="21"/>
        </w:rPr>
      </w:pPr>
      <w:r>
        <w:rPr>
          <w:rFonts w:hint="eastAsia" w:ascii="宋体" w:hAnsi="宋体"/>
          <w:szCs w:val="21"/>
        </w:rPr>
        <w:t>在甲方依照合同规定履行其合同义务的条件下，乙方须承担依照合同规定而履行其合同义务所产生的全部费用。</w:t>
      </w:r>
    </w:p>
    <w:p>
      <w:pPr>
        <w:numPr>
          <w:ilvl w:val="1"/>
          <w:numId w:val="11"/>
        </w:numPr>
        <w:spacing w:line="360" w:lineRule="auto"/>
        <w:ind w:firstLine="420" w:firstLineChars="200"/>
        <w:rPr>
          <w:rFonts w:ascii="宋体"/>
          <w:szCs w:val="21"/>
        </w:rPr>
      </w:pPr>
      <w:r>
        <w:rPr>
          <w:rFonts w:hint="eastAsia" w:ascii="宋体" w:hAnsi="宋体"/>
          <w:szCs w:val="21"/>
        </w:rPr>
        <w:t>乙方须对本合同项下其承担的全部工作实施有效管理。</w:t>
      </w:r>
    </w:p>
    <w:p>
      <w:pPr>
        <w:numPr>
          <w:ilvl w:val="1"/>
          <w:numId w:val="11"/>
        </w:numPr>
        <w:spacing w:line="360" w:lineRule="auto"/>
        <w:ind w:firstLine="420" w:firstLineChars="200"/>
        <w:rPr>
          <w:rFonts w:ascii="宋体"/>
          <w:szCs w:val="21"/>
        </w:rPr>
      </w:pPr>
      <w:r>
        <w:rPr>
          <w:rFonts w:hint="eastAsia" w:ascii="宋体" w:hAnsi="宋体"/>
          <w:szCs w:val="21"/>
        </w:rPr>
        <w:t>确保工作的进度符合合同用户需求书的规定。</w:t>
      </w:r>
    </w:p>
    <w:p>
      <w:pPr>
        <w:numPr>
          <w:ilvl w:val="1"/>
          <w:numId w:val="11"/>
        </w:numPr>
        <w:spacing w:line="360" w:lineRule="auto"/>
        <w:ind w:firstLine="420" w:firstLineChars="200"/>
        <w:rPr>
          <w:rFonts w:ascii="宋体"/>
          <w:szCs w:val="21"/>
        </w:rPr>
      </w:pPr>
      <w:r>
        <w:rPr>
          <w:rFonts w:hint="eastAsia" w:ascii="宋体" w:hAnsi="宋体"/>
          <w:szCs w:val="21"/>
        </w:rPr>
        <w:t>本项目是多系统项目，本标段实施系统之间，以及与本标段外的系统接口详见合同用户需求书。</w:t>
      </w:r>
    </w:p>
    <w:p>
      <w:pPr>
        <w:numPr>
          <w:ilvl w:val="1"/>
          <w:numId w:val="11"/>
        </w:numPr>
        <w:spacing w:line="360" w:lineRule="auto"/>
        <w:ind w:firstLine="420" w:firstLineChars="200"/>
        <w:rPr>
          <w:rFonts w:ascii="宋体"/>
          <w:szCs w:val="21"/>
        </w:rPr>
      </w:pPr>
      <w:r>
        <w:rPr>
          <w:rFonts w:hint="eastAsia" w:ascii="宋体" w:hAnsi="宋体"/>
          <w:szCs w:val="21"/>
        </w:rPr>
        <w:t>其他规定见合同用户需求书。</w:t>
      </w:r>
    </w:p>
    <w:p>
      <w:pPr>
        <w:numPr>
          <w:ilvl w:val="0"/>
          <w:numId w:val="4"/>
        </w:numPr>
        <w:spacing w:line="360" w:lineRule="auto"/>
        <w:ind w:firstLine="420" w:firstLineChars="200"/>
        <w:outlineLvl w:val="2"/>
        <w:rPr>
          <w:rFonts w:ascii="宋体" w:hAnsi="宋体"/>
          <w:b/>
          <w:szCs w:val="21"/>
        </w:rPr>
      </w:pPr>
      <w:bookmarkStart w:id="435" w:name="_Toc384938630"/>
      <w:bookmarkStart w:id="436" w:name="_Toc27961"/>
      <w:bookmarkStart w:id="437" w:name="_Toc13581"/>
      <w:bookmarkStart w:id="438" w:name="_Toc370933859"/>
      <w:r>
        <w:rPr>
          <w:rFonts w:hint="eastAsia" w:ascii="宋体" w:hAnsi="宋体"/>
          <w:b/>
          <w:szCs w:val="21"/>
        </w:rPr>
        <w:t>合同文件、资料及使用</w:t>
      </w:r>
      <w:bookmarkEnd w:id="435"/>
      <w:bookmarkEnd w:id="436"/>
      <w:bookmarkEnd w:id="437"/>
      <w:bookmarkEnd w:id="438"/>
    </w:p>
    <w:p>
      <w:pPr>
        <w:numPr>
          <w:ilvl w:val="0"/>
          <w:numId w:val="12"/>
        </w:numPr>
        <w:spacing w:before="120" w:line="276" w:lineRule="auto"/>
        <w:rPr>
          <w:rFonts w:ascii="宋体"/>
          <w:vanish/>
          <w:szCs w:val="21"/>
        </w:rPr>
      </w:pPr>
    </w:p>
    <w:p>
      <w:pPr>
        <w:numPr>
          <w:ilvl w:val="0"/>
          <w:numId w:val="12"/>
        </w:numPr>
        <w:spacing w:before="120" w:line="276" w:lineRule="auto"/>
        <w:rPr>
          <w:rFonts w:ascii="宋体"/>
          <w:vanish/>
          <w:szCs w:val="21"/>
        </w:rPr>
      </w:pPr>
    </w:p>
    <w:p>
      <w:pPr>
        <w:numPr>
          <w:ilvl w:val="0"/>
          <w:numId w:val="12"/>
        </w:numPr>
        <w:spacing w:before="120" w:line="276" w:lineRule="auto"/>
        <w:rPr>
          <w:rFonts w:ascii="宋体"/>
          <w:vanish/>
          <w:szCs w:val="21"/>
        </w:rPr>
      </w:pPr>
    </w:p>
    <w:p>
      <w:pPr>
        <w:numPr>
          <w:ilvl w:val="0"/>
          <w:numId w:val="12"/>
        </w:numPr>
        <w:spacing w:before="120" w:line="276" w:lineRule="auto"/>
        <w:rPr>
          <w:rFonts w:ascii="宋体"/>
          <w:vanish/>
          <w:szCs w:val="21"/>
        </w:rPr>
      </w:pPr>
    </w:p>
    <w:p>
      <w:pPr>
        <w:numPr>
          <w:ilvl w:val="0"/>
          <w:numId w:val="12"/>
        </w:numPr>
        <w:spacing w:before="120" w:line="276" w:lineRule="auto"/>
        <w:rPr>
          <w:rFonts w:ascii="宋体"/>
          <w:vanish/>
          <w:szCs w:val="21"/>
        </w:rPr>
      </w:pPr>
    </w:p>
    <w:p>
      <w:pPr>
        <w:numPr>
          <w:ilvl w:val="0"/>
          <w:numId w:val="12"/>
        </w:numPr>
        <w:spacing w:before="120" w:line="276" w:lineRule="auto"/>
        <w:rPr>
          <w:rFonts w:ascii="宋体"/>
          <w:vanish/>
          <w:szCs w:val="21"/>
        </w:rPr>
      </w:pPr>
    </w:p>
    <w:p>
      <w:pPr>
        <w:numPr>
          <w:ilvl w:val="1"/>
          <w:numId w:val="13"/>
        </w:numPr>
        <w:spacing w:line="360" w:lineRule="auto"/>
        <w:ind w:firstLine="420" w:firstLineChars="200"/>
        <w:rPr>
          <w:rFonts w:ascii="宋体"/>
          <w:szCs w:val="21"/>
        </w:rPr>
      </w:pPr>
      <w:r>
        <w:rPr>
          <w:rFonts w:hint="eastAsia" w:ascii="宋体" w:hAnsi="宋体"/>
          <w:szCs w:val="21"/>
        </w:rPr>
        <w:t>没有甲方事先书面同意，乙方不得将由甲方提供的有关合同或任何合同条文、规格、计划、图纸或资料提供给用于履行本合同以外的任何其他人。即使向履行本合同的雇员提供，也应注意保密并限于履行合同必须的范围。</w:t>
      </w:r>
    </w:p>
    <w:p>
      <w:pPr>
        <w:numPr>
          <w:ilvl w:val="1"/>
          <w:numId w:val="13"/>
        </w:numPr>
        <w:spacing w:line="360" w:lineRule="auto"/>
        <w:ind w:firstLine="420" w:firstLineChars="200"/>
        <w:rPr>
          <w:rFonts w:ascii="宋体"/>
          <w:szCs w:val="21"/>
        </w:rPr>
      </w:pPr>
      <w:r>
        <w:rPr>
          <w:rFonts w:hint="eastAsia" w:ascii="宋体" w:hAnsi="宋体"/>
          <w:szCs w:val="21"/>
        </w:rPr>
        <w:t>没有甲方事先书面同意，除了履行本合同之外，乙方不得允许他人使用合同条款第</w:t>
      </w:r>
      <w:r>
        <w:rPr>
          <w:rFonts w:ascii="宋体" w:hAnsi="宋体"/>
          <w:szCs w:val="21"/>
        </w:rPr>
        <w:t>6.1</w:t>
      </w:r>
      <w:r>
        <w:rPr>
          <w:rFonts w:hint="eastAsia" w:ascii="宋体" w:hAnsi="宋体"/>
          <w:szCs w:val="21"/>
        </w:rPr>
        <w:t>条所列举的任何文件和资料。</w:t>
      </w:r>
    </w:p>
    <w:p>
      <w:pPr>
        <w:numPr>
          <w:ilvl w:val="1"/>
          <w:numId w:val="13"/>
        </w:numPr>
        <w:spacing w:line="360" w:lineRule="auto"/>
        <w:ind w:firstLine="420" w:firstLineChars="200"/>
        <w:rPr>
          <w:rFonts w:ascii="宋体"/>
          <w:szCs w:val="21"/>
        </w:rPr>
      </w:pPr>
      <w:r>
        <w:rPr>
          <w:rFonts w:hint="eastAsia" w:ascii="宋体" w:hAnsi="宋体"/>
          <w:szCs w:val="21"/>
        </w:rPr>
        <w:t>除了合同本身以外，合同条款第</w:t>
      </w:r>
      <w:r>
        <w:rPr>
          <w:rFonts w:ascii="宋体" w:hAnsi="宋体"/>
          <w:szCs w:val="21"/>
        </w:rPr>
        <w:t>6.1</w:t>
      </w:r>
      <w:r>
        <w:rPr>
          <w:rFonts w:hint="eastAsia" w:ascii="宋体" w:hAnsi="宋体"/>
          <w:szCs w:val="21"/>
        </w:rPr>
        <w:t>条所列举的任何文件均视为甲方的财产。如果甲方有要求，乙方在完成合同后或合同终止时应将上述文件及全部复印件还交给甲方，或按甲方需求予以销毁。</w:t>
      </w:r>
    </w:p>
    <w:p>
      <w:pPr>
        <w:numPr>
          <w:ilvl w:val="1"/>
          <w:numId w:val="13"/>
        </w:numPr>
        <w:spacing w:line="360" w:lineRule="auto"/>
        <w:ind w:firstLine="420" w:firstLineChars="200"/>
        <w:rPr>
          <w:rFonts w:ascii="宋体"/>
          <w:szCs w:val="21"/>
        </w:rPr>
      </w:pPr>
      <w:r>
        <w:rPr>
          <w:rFonts w:hint="eastAsia" w:ascii="宋体" w:hAnsi="宋体"/>
          <w:szCs w:val="21"/>
        </w:rPr>
        <w:t>乙方应根据合同规定的要求向甲方提供所有技术文件。如果项目必需但合同又未作规定的，只有乙方才能提供的技术文件，乙方应立即向甲方免费提供。</w:t>
      </w:r>
    </w:p>
    <w:p>
      <w:pPr>
        <w:numPr>
          <w:ilvl w:val="1"/>
          <w:numId w:val="13"/>
        </w:numPr>
        <w:spacing w:line="360" w:lineRule="auto"/>
        <w:ind w:firstLine="420" w:firstLineChars="200"/>
        <w:rPr>
          <w:rFonts w:ascii="宋体"/>
          <w:szCs w:val="21"/>
        </w:rPr>
      </w:pPr>
      <w:r>
        <w:rPr>
          <w:rFonts w:hint="eastAsia" w:ascii="宋体" w:hAnsi="宋体"/>
          <w:szCs w:val="21"/>
        </w:rPr>
        <w:t>上述技术文件应编辑正确，组织合理，内容充实，容易理解，应当详尽描述所实施系统的性能、功能和原理，保证甲方能够正确进行</w:t>
      </w:r>
      <w:r>
        <w:rPr>
          <w:rFonts w:hint="eastAsia"/>
        </w:rPr>
        <w:t>乙方所提供的软件</w:t>
      </w:r>
      <w:r>
        <w:rPr>
          <w:rFonts w:hint="eastAsia" w:ascii="宋体" w:hAnsi="宋体"/>
          <w:szCs w:val="21"/>
        </w:rPr>
        <w:t>的安装、操作、检查、维护、测试、调试和使用，以及</w:t>
      </w:r>
      <w:r>
        <w:rPr>
          <w:rFonts w:hint="eastAsia"/>
        </w:rPr>
        <w:t>保证甲方对采用标准化产品实施的系统（或系统模块）能进行低代码的维护升级，还应保证甲方能正常使用软件接口与其它系统进行集成等</w:t>
      </w:r>
      <w:r>
        <w:rPr>
          <w:rFonts w:hint="eastAsia" w:ascii="宋体" w:hAnsi="宋体"/>
          <w:szCs w:val="21"/>
        </w:rPr>
        <w:t>。</w:t>
      </w:r>
    </w:p>
    <w:p>
      <w:pPr>
        <w:numPr>
          <w:ilvl w:val="1"/>
          <w:numId w:val="13"/>
        </w:numPr>
        <w:spacing w:line="360" w:lineRule="auto"/>
        <w:ind w:firstLine="420" w:firstLineChars="200"/>
        <w:rPr>
          <w:rFonts w:ascii="宋体"/>
          <w:szCs w:val="21"/>
        </w:rPr>
      </w:pPr>
      <w:r>
        <w:rPr>
          <w:rFonts w:hint="eastAsia" w:ascii="宋体" w:hAnsi="宋体"/>
          <w:szCs w:val="21"/>
        </w:rPr>
        <w:t>技术文件均应提交甲方确认。如果甲方收到技术文件后发现有遗漏、损坏或内容有差异，乙方收到甲方书面通知后应立即更换或整改。</w:t>
      </w:r>
    </w:p>
    <w:p>
      <w:pPr>
        <w:numPr>
          <w:ilvl w:val="1"/>
          <w:numId w:val="13"/>
        </w:numPr>
        <w:spacing w:line="360" w:lineRule="auto"/>
        <w:ind w:firstLine="420" w:firstLineChars="200"/>
        <w:rPr>
          <w:rFonts w:ascii="宋体"/>
          <w:szCs w:val="21"/>
        </w:rPr>
      </w:pPr>
      <w:r>
        <w:rPr>
          <w:rFonts w:hint="eastAsia" w:ascii="宋体" w:hAnsi="宋体"/>
          <w:szCs w:val="21"/>
        </w:rPr>
        <w:t>乙方应承担甲方按照技术文件的指导进行的任何安装、操作、维护、测试、调整和使用致使系统和</w:t>
      </w:r>
      <w:r>
        <w:rPr>
          <w:rFonts w:ascii="宋体" w:hAnsi="宋体"/>
          <w:szCs w:val="21"/>
        </w:rPr>
        <w:t>/</w:t>
      </w:r>
      <w:r>
        <w:rPr>
          <w:rFonts w:hint="eastAsia" w:ascii="宋体" w:hAnsi="宋体"/>
          <w:szCs w:val="21"/>
        </w:rPr>
        <w:t>或设备和</w:t>
      </w:r>
      <w:r>
        <w:rPr>
          <w:rFonts w:ascii="宋体" w:hAnsi="宋体"/>
          <w:szCs w:val="21"/>
        </w:rPr>
        <w:t>/</w:t>
      </w:r>
      <w:r>
        <w:rPr>
          <w:rFonts w:hint="eastAsia" w:ascii="宋体" w:hAnsi="宋体"/>
          <w:szCs w:val="21"/>
        </w:rPr>
        <w:t>或其部件损坏所引起的赔偿责任。</w:t>
      </w:r>
    </w:p>
    <w:p>
      <w:pPr>
        <w:numPr>
          <w:ilvl w:val="1"/>
          <w:numId w:val="13"/>
        </w:numPr>
        <w:spacing w:line="360" w:lineRule="auto"/>
        <w:ind w:firstLine="420" w:firstLineChars="200"/>
        <w:rPr>
          <w:rFonts w:ascii="宋体"/>
          <w:szCs w:val="21"/>
        </w:rPr>
      </w:pPr>
      <w:r>
        <w:rPr>
          <w:rFonts w:hint="eastAsia" w:ascii="宋体" w:hAnsi="宋体"/>
          <w:szCs w:val="21"/>
        </w:rPr>
        <w:t>乙方应按照甲方要求提供上述技术文件及其电子文件给甲方。</w:t>
      </w:r>
    </w:p>
    <w:p>
      <w:pPr>
        <w:numPr>
          <w:ilvl w:val="1"/>
          <w:numId w:val="13"/>
        </w:numPr>
        <w:spacing w:line="360" w:lineRule="auto"/>
        <w:ind w:firstLine="420" w:firstLineChars="200"/>
        <w:rPr>
          <w:rFonts w:ascii="宋体"/>
          <w:szCs w:val="21"/>
        </w:rPr>
      </w:pPr>
      <w:r>
        <w:rPr>
          <w:rFonts w:hint="eastAsia" w:ascii="宋体" w:hAnsi="宋体"/>
          <w:szCs w:val="21"/>
        </w:rPr>
        <w:t>技术文件的全部费用已包含在合同价格中。</w:t>
      </w:r>
    </w:p>
    <w:p>
      <w:pPr>
        <w:numPr>
          <w:ilvl w:val="1"/>
          <w:numId w:val="13"/>
        </w:numPr>
        <w:spacing w:line="360" w:lineRule="auto"/>
        <w:ind w:firstLine="420" w:firstLineChars="200"/>
        <w:rPr>
          <w:rFonts w:ascii="宋体"/>
          <w:szCs w:val="21"/>
        </w:rPr>
      </w:pPr>
      <w:r>
        <w:rPr>
          <w:rFonts w:hint="eastAsia" w:ascii="宋体" w:hAnsi="宋体"/>
          <w:szCs w:val="21"/>
        </w:rPr>
        <w:t>由乙方向甲方提供相关技术文件，</w:t>
      </w:r>
      <w:r>
        <w:rPr>
          <w:rFonts w:hint="eastAsia" w:ascii="宋体" w:hAnsi="宋体" w:cs="Arial"/>
          <w:szCs w:val="21"/>
        </w:rPr>
        <w:t>技术文件的具体内容</w:t>
      </w:r>
      <w:r>
        <w:rPr>
          <w:rFonts w:hint="eastAsia" w:ascii="宋体" w:hAnsi="宋体"/>
          <w:szCs w:val="21"/>
        </w:rPr>
        <w:t>应符合用户需求书的规定。</w:t>
      </w:r>
      <w:r>
        <w:rPr>
          <w:rFonts w:hint="eastAsia" w:ascii="宋体" w:hAnsi="宋体" w:cs="Arial"/>
          <w:szCs w:val="21"/>
        </w:rPr>
        <w:t>所提交技术文件所使用的语言为中文。</w:t>
      </w:r>
    </w:p>
    <w:p>
      <w:pPr>
        <w:numPr>
          <w:ilvl w:val="1"/>
          <w:numId w:val="13"/>
        </w:numPr>
        <w:spacing w:line="360" w:lineRule="auto"/>
        <w:ind w:firstLine="420" w:firstLineChars="200"/>
        <w:rPr>
          <w:rFonts w:ascii="宋体"/>
          <w:szCs w:val="21"/>
        </w:rPr>
      </w:pPr>
      <w:r>
        <w:rPr>
          <w:rFonts w:hint="eastAsia" w:ascii="宋体" w:hAnsi="宋体"/>
          <w:szCs w:val="21"/>
        </w:rPr>
        <w:t>提交的技术文件必须按合同附件规定时间交付。技术文件延迟交付时，按合同条款第22条执行。因此导致工程的延误时，按合同条款第22条执行。</w:t>
      </w:r>
    </w:p>
    <w:p>
      <w:pPr>
        <w:numPr>
          <w:ilvl w:val="1"/>
          <w:numId w:val="13"/>
        </w:numPr>
        <w:spacing w:line="360" w:lineRule="auto"/>
        <w:ind w:firstLine="420" w:firstLineChars="200"/>
        <w:rPr>
          <w:rFonts w:ascii="宋体"/>
          <w:szCs w:val="21"/>
        </w:rPr>
      </w:pPr>
      <w:r>
        <w:rPr>
          <w:rFonts w:hint="eastAsia" w:ascii="宋体" w:hAnsi="宋体"/>
          <w:szCs w:val="21"/>
        </w:rPr>
        <w:t>合同中规定乙方提供给甲方的所有技术文件的最终文件除提供书面文件外，均需提供电子文件。</w:t>
      </w:r>
    </w:p>
    <w:p>
      <w:pPr>
        <w:numPr>
          <w:ilvl w:val="1"/>
          <w:numId w:val="13"/>
        </w:numPr>
        <w:spacing w:line="360" w:lineRule="auto"/>
        <w:ind w:firstLine="420" w:firstLineChars="200"/>
        <w:rPr>
          <w:rFonts w:ascii="宋体"/>
          <w:szCs w:val="21"/>
        </w:rPr>
      </w:pPr>
      <w:r>
        <w:rPr>
          <w:rFonts w:hint="eastAsia" w:ascii="宋体" w:hAnsi="宋体"/>
          <w:szCs w:val="21"/>
        </w:rPr>
        <w:t>甲方项目档案管理的规定（各类项目文件资料档案的移交份数，详见南宁轨道数智科技有限公司有关部门立卷的规定文件）。</w:t>
      </w:r>
    </w:p>
    <w:p>
      <w:pPr>
        <w:spacing w:line="360" w:lineRule="auto"/>
        <w:ind w:firstLine="420" w:firstLineChars="200"/>
        <w:rPr>
          <w:rFonts w:ascii="宋体"/>
          <w:szCs w:val="21"/>
        </w:rPr>
      </w:pPr>
      <w:r>
        <w:rPr>
          <w:rFonts w:hint="eastAsia" w:ascii="宋体" w:hAnsi="宋体"/>
          <w:szCs w:val="21"/>
        </w:rPr>
        <w:t>乙方须按甲方有关整理档案的规范，负责编制整理合同项目所产生的档案，在项目整体验收前向甲方及相关档案管理部门移交。验收文件的内容和格式应遵守南宁市档案管理及招标人有关档案管理的规定。甲方接收了乙方完整的档案后应签署项目档案移交确认书。未能按时移交档案的，甲方有权停止支付合同价款。</w:t>
      </w:r>
    </w:p>
    <w:p>
      <w:pPr>
        <w:spacing w:line="360" w:lineRule="auto"/>
        <w:ind w:firstLine="420" w:firstLineChars="200"/>
        <w:rPr>
          <w:rFonts w:ascii="宋体"/>
          <w:szCs w:val="21"/>
        </w:rPr>
      </w:pPr>
      <w:r>
        <w:rPr>
          <w:rFonts w:hint="eastAsia" w:ascii="宋体" w:hAnsi="宋体"/>
          <w:szCs w:val="21"/>
        </w:rPr>
        <w:t>乙方执行合同产生的包括但不限于用户需求书中要求的电子版文件、图纸档案、纸质文件、以及定制开发的</w:t>
      </w:r>
      <w:r>
        <w:rPr>
          <w:rFonts w:hint="eastAsia"/>
        </w:rPr>
        <w:t>源程序代码文件等</w:t>
      </w:r>
      <w:r>
        <w:rPr>
          <w:rFonts w:hint="eastAsia" w:ascii="宋体" w:hAnsi="宋体"/>
          <w:szCs w:val="21"/>
        </w:rPr>
        <w:t>的知识产权属</w:t>
      </w:r>
      <w:r>
        <w:rPr>
          <w:rFonts w:ascii="宋体" w:hAnsi="宋体"/>
          <w:szCs w:val="21"/>
        </w:rPr>
        <w:t>甲方</w:t>
      </w:r>
      <w:r>
        <w:rPr>
          <w:rFonts w:hint="eastAsia" w:ascii="宋体" w:hAnsi="宋体"/>
          <w:szCs w:val="21"/>
        </w:rPr>
        <w:t>所有，未经甲方书面许可，不得转让、提供第三方使用，不得用于本合同以外的其他用途；乙方执行合同需甲方提供资料、信息及档案材料的，未经甲方书面同意，乙方不能向第三方提供；否则引起的知识产权纠纷及保密责任，由乙方负责。</w:t>
      </w:r>
    </w:p>
    <w:p>
      <w:pPr>
        <w:numPr>
          <w:ilvl w:val="1"/>
          <w:numId w:val="13"/>
        </w:numPr>
        <w:spacing w:line="360" w:lineRule="auto"/>
        <w:ind w:firstLine="420" w:firstLineChars="200"/>
        <w:rPr>
          <w:rFonts w:ascii="宋体" w:hAnsi="宋体"/>
          <w:szCs w:val="21"/>
        </w:rPr>
      </w:pPr>
      <w:r>
        <w:rPr>
          <w:rFonts w:hint="eastAsia" w:ascii="宋体" w:hAnsi="宋体"/>
          <w:szCs w:val="21"/>
        </w:rPr>
        <w:t>乙方提供的技术文件（包括软件的图纸、软件需求说明书、详细设计说明书、数据库设计说明书、用户手册和其它技术资料等）的内容、格式、形式、数量、交付时间在用户需求书中有详细规定。</w:t>
      </w:r>
    </w:p>
    <w:p>
      <w:pPr>
        <w:numPr>
          <w:ilvl w:val="1"/>
          <w:numId w:val="13"/>
        </w:numPr>
        <w:spacing w:line="360" w:lineRule="auto"/>
        <w:ind w:firstLine="420" w:firstLineChars="200"/>
        <w:rPr>
          <w:rFonts w:ascii="宋体" w:hAnsi="宋体"/>
          <w:szCs w:val="21"/>
        </w:rPr>
      </w:pPr>
      <w:r>
        <w:rPr>
          <w:rFonts w:hint="eastAsia" w:ascii="宋体" w:hAnsi="宋体"/>
          <w:szCs w:val="21"/>
        </w:rPr>
        <w:t>如果合同需要但又未列明的技术文件，乙方应予及时补齐。</w:t>
      </w:r>
    </w:p>
    <w:p>
      <w:pPr>
        <w:numPr>
          <w:ilvl w:val="1"/>
          <w:numId w:val="13"/>
        </w:numPr>
        <w:spacing w:line="360" w:lineRule="auto"/>
        <w:ind w:firstLine="420" w:firstLineChars="200"/>
        <w:rPr>
          <w:rFonts w:ascii="宋体" w:hAnsi="宋体"/>
          <w:szCs w:val="21"/>
        </w:rPr>
      </w:pPr>
      <w:r>
        <w:rPr>
          <w:rFonts w:hint="eastAsia" w:ascii="宋体" w:hAnsi="宋体"/>
          <w:szCs w:val="21"/>
        </w:rPr>
        <w:t>乙方应按照项目进度提交各个阶段的项目成果，具体要求及项目成果确认（验收）方式详见合同用户需求书。</w:t>
      </w:r>
    </w:p>
    <w:p>
      <w:pPr>
        <w:numPr>
          <w:ilvl w:val="1"/>
          <w:numId w:val="13"/>
        </w:numPr>
        <w:spacing w:line="360" w:lineRule="auto"/>
        <w:ind w:firstLine="420" w:firstLineChars="200"/>
        <w:rPr>
          <w:rFonts w:ascii="宋体" w:hAnsi="宋体"/>
          <w:szCs w:val="21"/>
        </w:rPr>
      </w:pPr>
      <w:r>
        <w:rPr>
          <w:rFonts w:hint="eastAsia" w:ascii="宋体" w:hAnsi="宋体"/>
          <w:szCs w:val="21"/>
        </w:rPr>
        <w:t>乙方应有规范的管理以控制项目成果质量，在成果交付给甲方前，乙方应进行严格审核。对乙方正式提交的项目成果，如经甲方审核认定未符合合同要求的，乙方须按甲方的审核意见予以修改直至验收通过，由此引起的所有责任和费用由乙方承担。乙方提交的所有纸质项目成果文件，均为一式三份，并附有一份电子文件（可编辑、无压缩、不加密、无病毒）。</w:t>
      </w:r>
    </w:p>
    <w:p>
      <w:pPr>
        <w:numPr>
          <w:ilvl w:val="1"/>
          <w:numId w:val="13"/>
        </w:numPr>
        <w:spacing w:line="360" w:lineRule="auto"/>
        <w:ind w:firstLine="420" w:firstLineChars="200"/>
        <w:rPr>
          <w:rFonts w:ascii="宋体" w:hAnsi="宋体"/>
          <w:szCs w:val="21"/>
        </w:rPr>
      </w:pPr>
      <w:r>
        <w:rPr>
          <w:rFonts w:hint="eastAsia" w:ascii="宋体" w:hAnsi="宋体"/>
          <w:szCs w:val="21"/>
        </w:rPr>
        <w:t>乙方须在提交的阶段项目成果得到甲方书面确认通过后才可以开展下一阶段的工作。</w:t>
      </w:r>
    </w:p>
    <w:p>
      <w:pPr>
        <w:numPr>
          <w:ilvl w:val="0"/>
          <w:numId w:val="4"/>
        </w:numPr>
        <w:spacing w:line="360" w:lineRule="auto"/>
        <w:ind w:firstLine="420" w:firstLineChars="200"/>
        <w:outlineLvl w:val="2"/>
        <w:rPr>
          <w:rFonts w:ascii="宋体" w:hAnsi="宋体"/>
          <w:b/>
          <w:szCs w:val="21"/>
        </w:rPr>
      </w:pPr>
      <w:bookmarkStart w:id="439" w:name="_Toc24651"/>
      <w:bookmarkStart w:id="440" w:name="_Toc4404"/>
      <w:bookmarkStart w:id="441" w:name="_Toc370933860"/>
      <w:bookmarkStart w:id="442" w:name="_Toc384938631"/>
      <w:r>
        <w:rPr>
          <w:rFonts w:hint="eastAsia" w:ascii="宋体" w:hAnsi="宋体"/>
          <w:b/>
          <w:szCs w:val="21"/>
        </w:rPr>
        <w:t>知识产权</w:t>
      </w:r>
      <w:bookmarkEnd w:id="439"/>
      <w:bookmarkEnd w:id="440"/>
      <w:bookmarkEnd w:id="441"/>
      <w:bookmarkEnd w:id="442"/>
    </w:p>
    <w:p>
      <w:pPr>
        <w:numPr>
          <w:ilvl w:val="0"/>
          <w:numId w:val="14"/>
        </w:numPr>
        <w:spacing w:line="360" w:lineRule="auto"/>
        <w:ind w:firstLine="420" w:firstLineChars="200"/>
        <w:rPr>
          <w:rFonts w:ascii="宋体"/>
          <w:szCs w:val="21"/>
        </w:rPr>
      </w:pPr>
      <w:r>
        <w:rPr>
          <w:rFonts w:hint="eastAsia" w:ascii="宋体" w:hAnsi="宋体"/>
          <w:kern w:val="0"/>
          <w:szCs w:val="21"/>
        </w:rPr>
        <w:t>乙方应保证其拥有拟提供软件产品或服务的所有权或知识产权、再许可使用权或其他合法使用权，并保证业主在中华人民共和国领域内能按照本合同约定的期限和方式自由使用且无需支付除合同价款之外的任何费用，</w:t>
      </w:r>
      <w:r>
        <w:rPr>
          <w:rFonts w:hint="eastAsia" w:ascii="宋体" w:hAnsi="宋体"/>
          <w:szCs w:val="21"/>
        </w:rPr>
        <w:t>免受第三方提出侵犯其任何专利</w:t>
      </w:r>
      <w:r>
        <w:rPr>
          <w:rFonts w:hint="eastAsia" w:ascii="宋体" w:hAnsi="宋体" w:cs="Arial"/>
          <w:bCs/>
          <w:szCs w:val="21"/>
        </w:rPr>
        <w:t>权、著作权、注册商标专有使用权、计算机软件登记或反不正当竞争的起诉及索赔</w:t>
      </w:r>
      <w:r>
        <w:rPr>
          <w:rFonts w:hint="eastAsia" w:ascii="宋体" w:hAnsi="宋体"/>
          <w:kern w:val="0"/>
          <w:szCs w:val="21"/>
        </w:rPr>
        <w:t>。</w:t>
      </w:r>
    </w:p>
    <w:p>
      <w:pPr>
        <w:numPr>
          <w:ilvl w:val="0"/>
          <w:numId w:val="14"/>
        </w:numPr>
        <w:spacing w:line="360" w:lineRule="auto"/>
        <w:ind w:firstLine="420" w:firstLineChars="200"/>
        <w:rPr>
          <w:rFonts w:ascii="宋体"/>
          <w:szCs w:val="21"/>
        </w:rPr>
      </w:pPr>
      <w:r>
        <w:rPr>
          <w:rFonts w:hint="eastAsia" w:ascii="宋体" w:hAnsi="宋体"/>
          <w:kern w:val="0"/>
          <w:szCs w:val="21"/>
        </w:rPr>
        <w:t>合同价格已包括为履行合同，完成合同约定的责任和义务所有应支付的专利权，版权或其他知识产权的许可使用费用或其它任何费用。</w:t>
      </w:r>
    </w:p>
    <w:p>
      <w:pPr>
        <w:numPr>
          <w:ilvl w:val="0"/>
          <w:numId w:val="14"/>
        </w:numPr>
        <w:spacing w:line="360" w:lineRule="auto"/>
        <w:ind w:firstLine="420" w:firstLineChars="200"/>
        <w:rPr>
          <w:rFonts w:ascii="宋体"/>
          <w:szCs w:val="21"/>
        </w:rPr>
      </w:pPr>
      <w:r>
        <w:rPr>
          <w:rFonts w:hint="eastAsia" w:ascii="宋体"/>
          <w:szCs w:val="21"/>
        </w:rPr>
        <w:t>合同执行期间产生的项目成果，包括但不限于用户需求书中要求的电子版文件、图纸档案、纸质文件、以及定制开发或定义的相关协议、数据接口、应用软件等的知识产权归甲方所有，详见招标文件及合同条款其它约定。</w:t>
      </w:r>
    </w:p>
    <w:p>
      <w:pPr>
        <w:numPr>
          <w:ilvl w:val="0"/>
          <w:numId w:val="15"/>
        </w:numPr>
        <w:spacing w:line="360" w:lineRule="auto"/>
        <w:ind w:firstLine="420" w:firstLineChars="200"/>
        <w:rPr>
          <w:rFonts w:ascii="宋体"/>
          <w:szCs w:val="21"/>
        </w:rPr>
      </w:pPr>
      <w:r>
        <w:rPr>
          <w:rFonts w:hint="eastAsia" w:ascii="宋体"/>
          <w:szCs w:val="21"/>
        </w:rPr>
        <w:t>未经甲方同意，乙方不得将项目成果用于任何本项目之外的用途。</w:t>
      </w:r>
    </w:p>
    <w:p>
      <w:pPr>
        <w:numPr>
          <w:ilvl w:val="0"/>
          <w:numId w:val="14"/>
        </w:numPr>
        <w:spacing w:line="360" w:lineRule="auto"/>
        <w:ind w:firstLine="420" w:firstLineChars="200"/>
        <w:rPr>
          <w:rFonts w:ascii="宋体" w:hAnsi="宋体"/>
          <w:kern w:val="0"/>
          <w:szCs w:val="21"/>
        </w:rPr>
      </w:pPr>
      <w:r>
        <w:rPr>
          <w:rFonts w:hint="eastAsia" w:ascii="宋体" w:hAnsi="宋体"/>
          <w:kern w:val="0"/>
          <w:szCs w:val="21"/>
        </w:rPr>
        <w:t>乙方按合同约定提交的软件产品应符合以下要求：</w:t>
      </w:r>
    </w:p>
    <w:p>
      <w:pPr>
        <w:spacing w:line="360" w:lineRule="auto"/>
        <w:ind w:firstLine="420" w:firstLineChars="200"/>
        <w:rPr>
          <w:rFonts w:ascii="宋体"/>
          <w:szCs w:val="21"/>
        </w:rPr>
      </w:pPr>
      <w:r>
        <w:rPr>
          <w:rFonts w:hint="eastAsia" w:ascii="宋体"/>
          <w:szCs w:val="21"/>
        </w:rPr>
        <w:t>（1）保证该产品为原厂正版的软件产品；</w:t>
      </w:r>
    </w:p>
    <w:p>
      <w:pPr>
        <w:spacing w:line="360" w:lineRule="auto"/>
        <w:ind w:firstLine="420" w:firstLineChars="200"/>
        <w:rPr>
          <w:rFonts w:ascii="宋体"/>
          <w:szCs w:val="21"/>
        </w:rPr>
      </w:pPr>
      <w:r>
        <w:rPr>
          <w:rFonts w:hint="eastAsia" w:ascii="宋体"/>
          <w:szCs w:val="21"/>
        </w:rPr>
        <w:t>（2）确保甲方有权按照合同约定自由使用且无需支付合同约定之外的任何费用；</w:t>
      </w:r>
    </w:p>
    <w:p>
      <w:pPr>
        <w:spacing w:line="360" w:lineRule="auto"/>
        <w:ind w:firstLine="420" w:firstLineChars="200"/>
        <w:rPr>
          <w:rFonts w:ascii="宋体"/>
          <w:szCs w:val="21"/>
        </w:rPr>
      </w:pPr>
      <w:r>
        <w:rPr>
          <w:rFonts w:hint="eastAsia" w:ascii="宋体"/>
          <w:szCs w:val="21"/>
        </w:rPr>
        <w:t>（3）其他要求详见合同用户需求书。</w:t>
      </w:r>
    </w:p>
    <w:p>
      <w:pPr>
        <w:numPr>
          <w:ilvl w:val="0"/>
          <w:numId w:val="14"/>
        </w:numPr>
        <w:spacing w:line="360" w:lineRule="auto"/>
        <w:ind w:firstLine="420" w:firstLineChars="200"/>
        <w:rPr>
          <w:rFonts w:ascii="宋体" w:hAnsi="宋体"/>
          <w:kern w:val="0"/>
          <w:szCs w:val="21"/>
        </w:rPr>
      </w:pPr>
      <w:r>
        <w:rPr>
          <w:rFonts w:hint="eastAsia" w:ascii="宋体" w:hAnsi="宋体"/>
          <w:kern w:val="0"/>
          <w:szCs w:val="21"/>
        </w:rPr>
        <w:t>乙方应保证其提交的软件、项目成果和提供的服务不侵犯任何第三人的合法权益。</w:t>
      </w:r>
    </w:p>
    <w:p>
      <w:pPr>
        <w:numPr>
          <w:ilvl w:val="0"/>
          <w:numId w:val="16"/>
        </w:numPr>
        <w:spacing w:line="360" w:lineRule="auto"/>
        <w:ind w:firstLine="420" w:firstLineChars="200"/>
        <w:rPr>
          <w:rFonts w:ascii="宋体"/>
          <w:szCs w:val="21"/>
        </w:rPr>
      </w:pPr>
      <w:r>
        <w:rPr>
          <w:rFonts w:hint="eastAsia" w:ascii="宋体"/>
          <w:szCs w:val="21"/>
        </w:rPr>
        <w:t>如任何第三人向甲方提出因使用软件产品、项目成果或服务而侵犯其合法权益的诉讼或要求时，或向甲方提出任何许可使用费的诉讼或要求时，乙方应承担此类诉讼或要求的所有责任并承担相关费用。</w:t>
      </w:r>
    </w:p>
    <w:p>
      <w:pPr>
        <w:numPr>
          <w:ilvl w:val="0"/>
          <w:numId w:val="16"/>
        </w:numPr>
        <w:spacing w:line="360" w:lineRule="auto"/>
        <w:ind w:firstLine="420" w:firstLineChars="200"/>
        <w:rPr>
          <w:rFonts w:ascii="宋体"/>
          <w:szCs w:val="21"/>
        </w:rPr>
      </w:pPr>
      <w:r>
        <w:rPr>
          <w:rFonts w:hint="eastAsia" w:ascii="宋体"/>
          <w:szCs w:val="21"/>
        </w:rPr>
        <w:t>发生此类诉讼或要求时，甲方应及时通知乙方并由乙方在处理此类诉讼或要求的过程中占主导地位，甲方予以积极配合。</w:t>
      </w:r>
    </w:p>
    <w:p>
      <w:pPr>
        <w:numPr>
          <w:ilvl w:val="0"/>
          <w:numId w:val="16"/>
        </w:numPr>
        <w:spacing w:line="360" w:lineRule="auto"/>
        <w:ind w:firstLine="420" w:firstLineChars="200"/>
        <w:rPr>
          <w:rFonts w:ascii="宋体"/>
          <w:szCs w:val="21"/>
        </w:rPr>
      </w:pPr>
      <w:r>
        <w:rPr>
          <w:rFonts w:hint="eastAsia" w:ascii="宋体"/>
          <w:szCs w:val="21"/>
        </w:rPr>
        <w:t>发生此类诉讼或要求时，如法院或相关机关认定甲方需承担相应费用的，乙方需予以全额赔偿。</w:t>
      </w:r>
    </w:p>
    <w:p>
      <w:pPr>
        <w:numPr>
          <w:ilvl w:val="0"/>
          <w:numId w:val="16"/>
        </w:numPr>
        <w:spacing w:line="360" w:lineRule="auto"/>
        <w:ind w:firstLine="420" w:firstLineChars="200"/>
        <w:rPr>
          <w:rFonts w:ascii="宋体"/>
          <w:szCs w:val="21"/>
        </w:rPr>
      </w:pPr>
      <w:r>
        <w:rPr>
          <w:rFonts w:hint="eastAsia" w:ascii="宋体"/>
          <w:szCs w:val="21"/>
        </w:rPr>
        <w:t>发生此类诉讼或要求时，如导致甲方产生损失的，乙方应进行赔偿，甲方的损失包括但不限于甲方由此而发生的律师费、诉讼费、鉴定费、向第三人支付的赔偿金等。</w:t>
      </w:r>
    </w:p>
    <w:p>
      <w:pPr>
        <w:numPr>
          <w:ilvl w:val="0"/>
          <w:numId w:val="16"/>
        </w:numPr>
        <w:spacing w:line="360" w:lineRule="auto"/>
        <w:ind w:firstLine="420" w:firstLineChars="200"/>
        <w:rPr>
          <w:rFonts w:ascii="宋体"/>
          <w:szCs w:val="21"/>
        </w:rPr>
      </w:pPr>
      <w:r>
        <w:rPr>
          <w:rFonts w:hint="eastAsia" w:ascii="宋体"/>
          <w:szCs w:val="21"/>
        </w:rPr>
        <w:t>发生此类诉讼或要求时，甲方应采取积极的措施，以避免损失的扩大。</w:t>
      </w:r>
    </w:p>
    <w:p>
      <w:pPr>
        <w:numPr>
          <w:ilvl w:val="0"/>
          <w:numId w:val="14"/>
        </w:numPr>
        <w:spacing w:line="360" w:lineRule="auto"/>
        <w:ind w:firstLine="420" w:firstLineChars="200"/>
        <w:rPr>
          <w:rFonts w:ascii="宋体" w:hAnsi="宋体"/>
          <w:kern w:val="0"/>
          <w:szCs w:val="21"/>
        </w:rPr>
      </w:pPr>
      <w:r>
        <w:rPr>
          <w:rFonts w:hint="eastAsia" w:ascii="宋体" w:hAnsi="宋体"/>
          <w:kern w:val="0"/>
          <w:szCs w:val="21"/>
        </w:rPr>
        <w:t>如项目成果被法院或有权机关确认为侵权，则乙方应采取以下任一或多项补救措施，直至符合法律规定为止：</w:t>
      </w:r>
    </w:p>
    <w:p>
      <w:pPr>
        <w:spacing w:line="360" w:lineRule="auto"/>
        <w:ind w:firstLine="420" w:firstLineChars="200"/>
        <w:rPr>
          <w:rFonts w:ascii="宋体"/>
          <w:szCs w:val="21"/>
        </w:rPr>
      </w:pPr>
      <w:r>
        <w:rPr>
          <w:rFonts w:hint="eastAsia" w:ascii="宋体"/>
          <w:szCs w:val="21"/>
        </w:rPr>
        <w:t>（1）为甲方继续使用项目成果取得合法授权；</w:t>
      </w:r>
    </w:p>
    <w:p>
      <w:pPr>
        <w:spacing w:line="360" w:lineRule="auto"/>
        <w:ind w:firstLine="420" w:firstLineChars="200"/>
        <w:rPr>
          <w:rFonts w:ascii="宋体"/>
          <w:szCs w:val="21"/>
        </w:rPr>
      </w:pPr>
      <w:r>
        <w:rPr>
          <w:rFonts w:hint="eastAsia" w:ascii="宋体"/>
          <w:szCs w:val="21"/>
        </w:rPr>
        <w:t>（2）修改项目成果直至合法合规；</w:t>
      </w:r>
    </w:p>
    <w:p>
      <w:pPr>
        <w:spacing w:line="360" w:lineRule="auto"/>
        <w:ind w:firstLine="420" w:firstLineChars="200"/>
        <w:rPr>
          <w:rFonts w:ascii="宋体"/>
          <w:szCs w:val="21"/>
        </w:rPr>
      </w:pPr>
      <w:r>
        <w:rPr>
          <w:rFonts w:hint="eastAsia" w:ascii="宋体"/>
          <w:szCs w:val="21"/>
        </w:rPr>
        <w:t>（3）以功能上相等的其他项目成果替换；</w:t>
      </w:r>
    </w:p>
    <w:p>
      <w:pPr>
        <w:spacing w:line="360" w:lineRule="auto"/>
        <w:ind w:firstLine="420" w:firstLineChars="200"/>
        <w:rPr>
          <w:rFonts w:ascii="宋体"/>
          <w:szCs w:val="21"/>
        </w:rPr>
      </w:pPr>
      <w:r>
        <w:rPr>
          <w:rFonts w:hint="eastAsia" w:ascii="宋体"/>
          <w:szCs w:val="21"/>
        </w:rPr>
        <w:t>（4）其他经甲方认可的补救措施。</w:t>
      </w:r>
    </w:p>
    <w:p>
      <w:pPr>
        <w:spacing w:line="360" w:lineRule="auto"/>
        <w:ind w:firstLine="420" w:firstLineChars="200"/>
        <w:rPr>
          <w:rFonts w:ascii="宋体"/>
          <w:szCs w:val="21"/>
        </w:rPr>
      </w:pPr>
      <w:r>
        <w:rPr>
          <w:rFonts w:ascii="宋体"/>
          <w:szCs w:val="21"/>
        </w:rPr>
        <w:t>7.6.1</w:t>
      </w:r>
      <w:r>
        <w:rPr>
          <w:rFonts w:hint="eastAsia" w:ascii="宋体"/>
          <w:szCs w:val="21"/>
        </w:rPr>
        <w:t>乙方采取补救措施后产生的项目成果仍需符合合同的约定，且采取补救措施的相关费用由乙方承担。</w:t>
      </w:r>
    </w:p>
    <w:p>
      <w:pPr>
        <w:spacing w:line="360" w:lineRule="auto"/>
        <w:ind w:firstLine="420" w:firstLineChars="200"/>
        <w:rPr>
          <w:rFonts w:ascii="宋体"/>
          <w:szCs w:val="21"/>
        </w:rPr>
      </w:pPr>
      <w:r>
        <w:rPr>
          <w:rFonts w:ascii="宋体"/>
          <w:szCs w:val="21"/>
        </w:rPr>
        <w:t>7.6.2</w:t>
      </w:r>
      <w:r>
        <w:rPr>
          <w:rFonts w:hint="eastAsia" w:ascii="宋体"/>
          <w:szCs w:val="21"/>
        </w:rPr>
        <w:t>乙方确认无法采取任何补救措施时，甲方有权单方解除合同并要求乙方退还全部已收款项，并有权要求乙方按照合同约定总金额的20%支付违约金。</w:t>
      </w:r>
    </w:p>
    <w:p>
      <w:pPr>
        <w:numPr>
          <w:ilvl w:val="0"/>
          <w:numId w:val="4"/>
        </w:numPr>
        <w:spacing w:line="360" w:lineRule="auto"/>
        <w:ind w:firstLine="420" w:firstLineChars="200"/>
        <w:outlineLvl w:val="2"/>
        <w:rPr>
          <w:rFonts w:ascii="宋体" w:hAnsi="宋体"/>
          <w:b/>
          <w:szCs w:val="21"/>
        </w:rPr>
      </w:pPr>
      <w:bookmarkStart w:id="443" w:name="_Toc24369"/>
      <w:bookmarkStart w:id="444" w:name="_Toc28540"/>
      <w:bookmarkStart w:id="445" w:name="_Toc1724590"/>
      <w:bookmarkStart w:id="446" w:name="_Toc9940"/>
      <w:bookmarkStart w:id="447" w:name="_Toc22975"/>
      <w:bookmarkStart w:id="448" w:name="_Toc3289"/>
      <w:r>
        <w:rPr>
          <w:rFonts w:hint="eastAsia" w:ascii="宋体" w:hAnsi="宋体"/>
          <w:b/>
          <w:szCs w:val="21"/>
        </w:rPr>
        <w:t>履约</w:t>
      </w:r>
      <w:bookmarkEnd w:id="443"/>
      <w:bookmarkEnd w:id="444"/>
      <w:bookmarkEnd w:id="445"/>
      <w:bookmarkEnd w:id="446"/>
      <w:r>
        <w:rPr>
          <w:rFonts w:hint="eastAsia" w:ascii="宋体" w:hAnsi="宋体"/>
          <w:b/>
          <w:szCs w:val="21"/>
        </w:rPr>
        <w:t>保证金</w:t>
      </w:r>
      <w:bookmarkEnd w:id="447"/>
      <w:bookmarkEnd w:id="448"/>
    </w:p>
    <w:p>
      <w:pPr>
        <w:spacing w:line="360" w:lineRule="auto"/>
        <w:ind w:firstLine="420" w:firstLineChars="200"/>
        <w:rPr>
          <w:rFonts w:ascii="宋体"/>
          <w:szCs w:val="21"/>
        </w:rPr>
      </w:pPr>
      <w:r>
        <w:rPr>
          <w:rFonts w:hint="eastAsia" w:ascii="宋体"/>
          <w:szCs w:val="21"/>
        </w:rPr>
        <w:t>无</w:t>
      </w:r>
    </w:p>
    <w:p>
      <w:pPr>
        <w:numPr>
          <w:ilvl w:val="0"/>
          <w:numId w:val="4"/>
        </w:numPr>
        <w:spacing w:line="360" w:lineRule="auto"/>
        <w:ind w:firstLine="420" w:firstLineChars="200"/>
        <w:outlineLvl w:val="2"/>
        <w:rPr>
          <w:rFonts w:ascii="宋体" w:hAnsi="宋体"/>
          <w:b/>
          <w:szCs w:val="21"/>
        </w:rPr>
      </w:pPr>
      <w:bookmarkStart w:id="449" w:name="_Toc15945"/>
      <w:bookmarkStart w:id="450" w:name="_Toc23834"/>
      <w:r>
        <w:rPr>
          <w:rFonts w:hint="eastAsia" w:ascii="宋体" w:hAnsi="宋体"/>
          <w:b/>
          <w:szCs w:val="21"/>
        </w:rPr>
        <w:t>合同价格</w:t>
      </w:r>
      <w:bookmarkEnd w:id="449"/>
      <w:bookmarkEnd w:id="450"/>
    </w:p>
    <w:p>
      <w:pPr>
        <w:spacing w:line="360" w:lineRule="auto"/>
        <w:ind w:firstLine="420" w:firstLineChars="200"/>
        <w:rPr>
          <w:rFonts w:ascii="宋体"/>
          <w:szCs w:val="21"/>
        </w:rPr>
      </w:pPr>
      <w:r>
        <w:rPr>
          <w:rFonts w:hint="eastAsia" w:ascii="宋体"/>
          <w:szCs w:val="21"/>
        </w:rPr>
        <w:t>9.1本合同不含税价为大写</w:t>
      </w:r>
      <w:r>
        <w:rPr>
          <w:rFonts w:hint="eastAsia" w:ascii="宋体"/>
          <w:szCs w:val="21"/>
          <w:u w:val="single"/>
        </w:rPr>
        <w:t xml:space="preserve">     </w:t>
      </w:r>
      <w:r>
        <w:rPr>
          <w:rFonts w:hint="eastAsia" w:ascii="宋体"/>
          <w:szCs w:val="21"/>
        </w:rPr>
        <w:t>（¥</w:t>
      </w:r>
      <w:r>
        <w:rPr>
          <w:rFonts w:hint="eastAsia" w:ascii="宋体"/>
          <w:szCs w:val="21"/>
          <w:u w:val="single"/>
        </w:rPr>
        <w:t xml:space="preserve">     </w:t>
      </w:r>
      <w:r>
        <w:rPr>
          <w:rFonts w:hint="eastAsia" w:ascii="宋体"/>
          <w:szCs w:val="21"/>
        </w:rPr>
        <w:t>），增值税税率为</w:t>
      </w:r>
      <w:r>
        <w:rPr>
          <w:rFonts w:hint="eastAsia" w:ascii="宋体"/>
          <w:szCs w:val="21"/>
          <w:u w:val="single"/>
        </w:rPr>
        <w:t xml:space="preserve">     </w:t>
      </w:r>
      <w:r>
        <w:rPr>
          <w:rFonts w:hint="eastAsia" w:ascii="宋体"/>
          <w:szCs w:val="21"/>
        </w:rPr>
        <w:t>，税额为大写</w:t>
      </w:r>
      <w:r>
        <w:rPr>
          <w:rFonts w:hint="eastAsia" w:ascii="宋体"/>
          <w:szCs w:val="21"/>
          <w:u w:val="single"/>
        </w:rPr>
        <w:t xml:space="preserve">     </w:t>
      </w:r>
      <w:r>
        <w:rPr>
          <w:rFonts w:hint="eastAsia" w:ascii="宋体"/>
          <w:szCs w:val="21"/>
        </w:rPr>
        <w:t>（¥</w:t>
      </w:r>
      <w:r>
        <w:rPr>
          <w:rFonts w:hint="eastAsia" w:ascii="宋体"/>
          <w:szCs w:val="21"/>
          <w:u w:val="single"/>
        </w:rPr>
        <w:t xml:space="preserve">     </w:t>
      </w:r>
      <w:r>
        <w:rPr>
          <w:rFonts w:hint="eastAsia" w:ascii="宋体"/>
          <w:szCs w:val="21"/>
        </w:rPr>
        <w:t>），含税总价为大写</w:t>
      </w:r>
      <w:r>
        <w:rPr>
          <w:rFonts w:hint="eastAsia" w:ascii="宋体"/>
          <w:szCs w:val="21"/>
          <w:u w:val="single"/>
        </w:rPr>
        <w:t xml:space="preserve">     </w:t>
      </w:r>
      <w:r>
        <w:rPr>
          <w:rFonts w:hint="eastAsia" w:ascii="宋体"/>
          <w:szCs w:val="21"/>
        </w:rPr>
        <w:t>（¥</w:t>
      </w:r>
      <w:r>
        <w:rPr>
          <w:rFonts w:hint="eastAsia" w:ascii="宋体"/>
          <w:szCs w:val="21"/>
          <w:u w:val="single"/>
        </w:rPr>
        <w:t xml:space="preserve">     </w:t>
      </w:r>
      <w:r>
        <w:rPr>
          <w:rFonts w:hint="eastAsia" w:ascii="宋体"/>
          <w:szCs w:val="21"/>
        </w:rPr>
        <w:t>）。在合同履约过程中，本合同税率必须遵照国家现行税法执行。本合同最终税金在结算阶段，按实际产生的税金进行核算，但合同不含税价格不因国家税率调整而调整。</w:t>
      </w:r>
    </w:p>
    <w:p>
      <w:pPr>
        <w:spacing w:line="360" w:lineRule="auto"/>
        <w:ind w:firstLine="420" w:firstLineChars="200"/>
        <w:rPr>
          <w:rFonts w:ascii="宋体"/>
          <w:szCs w:val="21"/>
        </w:rPr>
      </w:pPr>
      <w:r>
        <w:rPr>
          <w:rFonts w:hint="eastAsia" w:ascii="宋体"/>
          <w:szCs w:val="21"/>
        </w:rPr>
        <w:t>9.2本项目采用总价包干方式，包括但不限于人工费、规费、材料费、交通运输费、通讯费、办公场地费、保险、管理费及利润等为完成该项目所需的一切费用。</w:t>
      </w:r>
    </w:p>
    <w:p>
      <w:pPr>
        <w:numPr>
          <w:ilvl w:val="0"/>
          <w:numId w:val="4"/>
        </w:numPr>
        <w:spacing w:line="360" w:lineRule="auto"/>
        <w:ind w:firstLine="420" w:firstLineChars="200"/>
        <w:outlineLvl w:val="2"/>
        <w:rPr>
          <w:rFonts w:ascii="宋体" w:hAnsi="宋体"/>
          <w:b/>
          <w:szCs w:val="21"/>
        </w:rPr>
      </w:pPr>
      <w:bookmarkStart w:id="451" w:name="_Toc27441"/>
      <w:bookmarkStart w:id="452" w:name="_Toc30045"/>
      <w:bookmarkStart w:id="453" w:name="_Toc31921"/>
      <w:bookmarkStart w:id="454" w:name="_Toc1724588"/>
      <w:bookmarkStart w:id="455" w:name="_Toc5801"/>
      <w:bookmarkStart w:id="456" w:name="_Toc29946"/>
      <w:r>
        <w:rPr>
          <w:rFonts w:hint="eastAsia" w:ascii="宋体" w:hAnsi="宋体"/>
          <w:b/>
          <w:szCs w:val="21"/>
        </w:rPr>
        <w:t>支付</w:t>
      </w:r>
      <w:bookmarkEnd w:id="451"/>
      <w:bookmarkEnd w:id="452"/>
      <w:bookmarkEnd w:id="453"/>
      <w:bookmarkEnd w:id="454"/>
      <w:r>
        <w:rPr>
          <w:rFonts w:hint="eastAsia" w:ascii="宋体" w:hAnsi="宋体"/>
          <w:b/>
          <w:szCs w:val="21"/>
        </w:rPr>
        <w:t>、结算及质保金</w:t>
      </w:r>
      <w:bookmarkEnd w:id="455"/>
      <w:bookmarkEnd w:id="456"/>
    </w:p>
    <w:p>
      <w:pPr>
        <w:spacing w:line="360" w:lineRule="auto"/>
        <w:ind w:firstLine="420" w:firstLineChars="200"/>
        <w:rPr>
          <w:rFonts w:ascii="宋体"/>
          <w:szCs w:val="21"/>
        </w:rPr>
      </w:pPr>
      <w:bookmarkStart w:id="457" w:name="_Hlk29787225"/>
      <w:r>
        <w:rPr>
          <w:rFonts w:hint="eastAsia" w:ascii="宋体"/>
          <w:szCs w:val="21"/>
        </w:rPr>
        <w:t>10.1完成合同签订，甲方在收到由乙方提供的以下材料后，按合同总价（以不含税价作为计算基数，下同）的20%支付预付款：</w:t>
      </w:r>
    </w:p>
    <w:p>
      <w:pPr>
        <w:spacing w:line="360" w:lineRule="auto"/>
        <w:ind w:firstLine="420" w:firstLineChars="200"/>
        <w:rPr>
          <w:rFonts w:ascii="宋体"/>
          <w:szCs w:val="21"/>
        </w:rPr>
      </w:pPr>
      <w:r>
        <w:rPr>
          <w:rFonts w:hint="eastAsia" w:ascii="宋体"/>
          <w:szCs w:val="21"/>
        </w:rPr>
        <w:t>①乙方开具相应金额的增值税专用发票。</w:t>
      </w:r>
    </w:p>
    <w:p>
      <w:pPr>
        <w:spacing w:line="360" w:lineRule="auto"/>
        <w:ind w:firstLine="420" w:firstLineChars="200"/>
        <w:rPr>
          <w:rFonts w:ascii="宋体"/>
          <w:szCs w:val="21"/>
        </w:rPr>
      </w:pPr>
      <w:r>
        <w:rPr>
          <w:rFonts w:hint="eastAsia" w:ascii="宋体"/>
          <w:szCs w:val="21"/>
        </w:rPr>
        <w:t>②乙方出具的支付申请书。</w:t>
      </w:r>
    </w:p>
    <w:p>
      <w:pPr>
        <w:spacing w:line="360" w:lineRule="auto"/>
        <w:ind w:firstLine="420" w:firstLineChars="200"/>
        <w:rPr>
          <w:rFonts w:ascii="宋体"/>
          <w:szCs w:val="21"/>
        </w:rPr>
      </w:pPr>
      <w:r>
        <w:rPr>
          <w:rFonts w:hint="eastAsia" w:ascii="宋体"/>
          <w:szCs w:val="21"/>
        </w:rPr>
        <w:t>10.2 乙方实施的系统实现第一阶段的业务需求内容，完成阶段性验收。甲方在收到由乙方提供的以下材料后，本阶段支付金额抵扣合同签订时的预付款，还须向乙方支付合同总价的25%，累计支付到合同总价的</w:t>
      </w:r>
      <w:r>
        <w:rPr>
          <w:rFonts w:ascii="宋体"/>
          <w:szCs w:val="21"/>
        </w:rPr>
        <w:t>45</w:t>
      </w:r>
      <w:r>
        <w:rPr>
          <w:rFonts w:hint="eastAsia" w:ascii="宋体"/>
          <w:szCs w:val="21"/>
        </w:rPr>
        <w:t>%：</w:t>
      </w:r>
    </w:p>
    <w:p>
      <w:pPr>
        <w:spacing w:line="360" w:lineRule="auto"/>
        <w:ind w:firstLine="420" w:firstLineChars="200"/>
        <w:rPr>
          <w:rFonts w:ascii="宋体"/>
          <w:szCs w:val="21"/>
        </w:rPr>
      </w:pPr>
      <w:r>
        <w:rPr>
          <w:rFonts w:hint="eastAsia" w:ascii="宋体"/>
          <w:szCs w:val="21"/>
        </w:rPr>
        <w:t>①乙方开具相应金额的增值税专用发票；</w:t>
      </w:r>
    </w:p>
    <w:p>
      <w:pPr>
        <w:spacing w:line="360" w:lineRule="auto"/>
        <w:ind w:firstLine="420" w:firstLineChars="200"/>
        <w:rPr>
          <w:rFonts w:ascii="宋体"/>
          <w:szCs w:val="21"/>
        </w:rPr>
      </w:pPr>
      <w:r>
        <w:rPr>
          <w:rFonts w:hint="eastAsia" w:ascii="宋体"/>
          <w:szCs w:val="21"/>
        </w:rPr>
        <w:t>②乙方出具的支付申请书；</w:t>
      </w:r>
    </w:p>
    <w:p>
      <w:pPr>
        <w:spacing w:line="360" w:lineRule="auto"/>
        <w:ind w:firstLine="420" w:firstLineChars="200"/>
        <w:rPr>
          <w:rFonts w:ascii="宋体"/>
          <w:szCs w:val="21"/>
        </w:rPr>
      </w:pPr>
      <w:r>
        <w:rPr>
          <w:rFonts w:hint="eastAsia" w:ascii="宋体"/>
          <w:szCs w:val="21"/>
        </w:rPr>
        <w:t>③甲方出具项目阶段验收证明。</w:t>
      </w:r>
    </w:p>
    <w:p>
      <w:pPr>
        <w:spacing w:line="360" w:lineRule="auto"/>
        <w:ind w:firstLine="420" w:firstLineChars="200"/>
        <w:rPr>
          <w:rFonts w:ascii="宋体"/>
          <w:szCs w:val="21"/>
        </w:rPr>
      </w:pPr>
      <w:r>
        <w:rPr>
          <w:rFonts w:hint="eastAsia" w:ascii="宋体"/>
          <w:szCs w:val="21"/>
        </w:rPr>
        <w:t>④甲方认为的其他资料。</w:t>
      </w:r>
    </w:p>
    <w:p>
      <w:pPr>
        <w:spacing w:line="360" w:lineRule="auto"/>
        <w:ind w:firstLine="420" w:firstLineChars="200"/>
        <w:rPr>
          <w:rFonts w:ascii="宋体"/>
          <w:szCs w:val="21"/>
        </w:rPr>
      </w:pPr>
      <w:r>
        <w:rPr>
          <w:rFonts w:hint="eastAsia" w:ascii="宋体"/>
          <w:szCs w:val="21"/>
        </w:rPr>
        <w:t>10.3乙方实施的系统实现第二阶段的业务需求内容，完成阶段性验收。甲方在收到由乙方提供的以下材料后，按合同总价的25%支付，累计支付到合同总价的70%：</w:t>
      </w:r>
    </w:p>
    <w:p>
      <w:pPr>
        <w:spacing w:line="360" w:lineRule="auto"/>
        <w:ind w:firstLine="420" w:firstLineChars="200"/>
        <w:rPr>
          <w:rFonts w:ascii="宋体"/>
          <w:szCs w:val="21"/>
        </w:rPr>
      </w:pPr>
      <w:r>
        <w:rPr>
          <w:rFonts w:hint="eastAsia" w:ascii="宋体"/>
          <w:szCs w:val="21"/>
        </w:rPr>
        <w:t>①乙方开具相应金额的增值税专用发票。</w:t>
      </w:r>
    </w:p>
    <w:p>
      <w:pPr>
        <w:spacing w:line="360" w:lineRule="auto"/>
        <w:ind w:firstLine="420" w:firstLineChars="200"/>
        <w:rPr>
          <w:rFonts w:ascii="宋体"/>
          <w:szCs w:val="21"/>
        </w:rPr>
      </w:pPr>
      <w:r>
        <w:rPr>
          <w:rFonts w:hint="eastAsia" w:ascii="宋体"/>
          <w:szCs w:val="21"/>
        </w:rPr>
        <w:t>②乙方出具的支付申请书。</w:t>
      </w:r>
    </w:p>
    <w:p>
      <w:pPr>
        <w:spacing w:line="360" w:lineRule="auto"/>
        <w:ind w:firstLine="420" w:firstLineChars="200"/>
        <w:rPr>
          <w:rFonts w:ascii="宋体"/>
          <w:szCs w:val="21"/>
        </w:rPr>
      </w:pPr>
      <w:r>
        <w:rPr>
          <w:rFonts w:hint="eastAsia" w:ascii="宋体"/>
          <w:szCs w:val="21"/>
        </w:rPr>
        <w:t>③甲方出具项目阶段验收证明。</w:t>
      </w:r>
    </w:p>
    <w:p>
      <w:pPr>
        <w:spacing w:line="360" w:lineRule="auto"/>
        <w:ind w:firstLine="420" w:firstLineChars="200"/>
        <w:rPr>
          <w:rFonts w:ascii="宋体"/>
          <w:szCs w:val="21"/>
        </w:rPr>
      </w:pPr>
      <w:r>
        <w:rPr>
          <w:rFonts w:hint="eastAsia" w:ascii="宋体"/>
          <w:szCs w:val="21"/>
        </w:rPr>
        <w:t>④甲方认为的其他资料。</w:t>
      </w:r>
    </w:p>
    <w:p>
      <w:pPr>
        <w:spacing w:line="360" w:lineRule="auto"/>
        <w:ind w:firstLine="420" w:firstLineChars="200"/>
        <w:rPr>
          <w:rFonts w:ascii="宋体"/>
          <w:szCs w:val="21"/>
        </w:rPr>
      </w:pPr>
      <w:r>
        <w:rPr>
          <w:rFonts w:hint="eastAsia" w:ascii="宋体"/>
          <w:szCs w:val="21"/>
        </w:rPr>
        <w:t>10.4项目整体验收：乙方实施的系统实现第三阶段的业务需求内容，，完成阶段性验收；其他阶段需求功能均已完成整改；各阶段均顺利通过3个月的试运行考核，完成项目整体验收及项目成果材料移交。甲方在收到乙方提供的以下材料，支付至审定价格的95%，剩下5%作为质保金：</w:t>
      </w:r>
    </w:p>
    <w:p>
      <w:pPr>
        <w:spacing w:line="360" w:lineRule="auto"/>
        <w:ind w:firstLine="420" w:firstLineChars="200"/>
        <w:rPr>
          <w:rFonts w:ascii="宋体"/>
          <w:szCs w:val="21"/>
        </w:rPr>
      </w:pPr>
      <w:r>
        <w:rPr>
          <w:rFonts w:hint="eastAsia" w:ascii="宋体"/>
          <w:szCs w:val="21"/>
        </w:rPr>
        <w:t>①乙方开具相应金额的增值税专用发票。</w:t>
      </w:r>
    </w:p>
    <w:p>
      <w:pPr>
        <w:spacing w:line="360" w:lineRule="auto"/>
        <w:ind w:firstLine="420" w:firstLineChars="200"/>
        <w:rPr>
          <w:rFonts w:ascii="宋体"/>
          <w:szCs w:val="21"/>
        </w:rPr>
      </w:pPr>
      <w:r>
        <w:rPr>
          <w:rFonts w:hint="eastAsia" w:ascii="宋体"/>
          <w:szCs w:val="21"/>
        </w:rPr>
        <w:t>②乙方出具的支付申请书。</w:t>
      </w:r>
    </w:p>
    <w:p>
      <w:pPr>
        <w:spacing w:line="360" w:lineRule="auto"/>
        <w:ind w:firstLine="420" w:firstLineChars="200"/>
        <w:rPr>
          <w:rFonts w:ascii="宋体"/>
          <w:szCs w:val="21"/>
        </w:rPr>
      </w:pPr>
      <w:r>
        <w:rPr>
          <w:rFonts w:hint="eastAsia" w:ascii="宋体"/>
          <w:szCs w:val="21"/>
        </w:rPr>
        <w:t>③双方签认完成的合同结算审定资料。</w:t>
      </w:r>
    </w:p>
    <w:p>
      <w:pPr>
        <w:spacing w:line="360" w:lineRule="auto"/>
        <w:ind w:firstLine="420" w:firstLineChars="200"/>
        <w:rPr>
          <w:rFonts w:ascii="宋体"/>
          <w:szCs w:val="21"/>
        </w:rPr>
      </w:pPr>
      <w:r>
        <w:rPr>
          <w:rFonts w:hint="eastAsia" w:ascii="宋体"/>
          <w:szCs w:val="21"/>
        </w:rPr>
        <w:t>④甲乙双方确认项目整体验收证明。</w:t>
      </w:r>
    </w:p>
    <w:p>
      <w:pPr>
        <w:spacing w:line="360" w:lineRule="auto"/>
        <w:ind w:firstLine="420" w:firstLineChars="200"/>
        <w:rPr>
          <w:rFonts w:ascii="宋体"/>
          <w:szCs w:val="21"/>
        </w:rPr>
      </w:pPr>
      <w:r>
        <w:rPr>
          <w:rFonts w:hint="eastAsia" w:ascii="宋体"/>
          <w:szCs w:val="21"/>
        </w:rPr>
        <w:t>⑤甲方认为的其他资料。</w:t>
      </w:r>
    </w:p>
    <w:p>
      <w:pPr>
        <w:spacing w:line="360" w:lineRule="auto"/>
        <w:ind w:firstLine="420" w:firstLineChars="200"/>
        <w:rPr>
          <w:rFonts w:ascii="宋体"/>
          <w:szCs w:val="21"/>
        </w:rPr>
      </w:pPr>
      <w:r>
        <w:rPr>
          <w:rFonts w:hint="eastAsia" w:ascii="宋体"/>
          <w:szCs w:val="21"/>
        </w:rPr>
        <w:t>10.5 质保期满，甲方对乙方进行履约考核后，甲方根据考核结果支付质保金，如存在违约情况，甲方可从质保金款项中直接扣除违约金。甲方在收到乙方提供的以下材料，支付合同剩余</w:t>
      </w:r>
      <w:r>
        <w:rPr>
          <w:rFonts w:ascii="宋体"/>
          <w:szCs w:val="21"/>
        </w:rPr>
        <w:t>款</w:t>
      </w:r>
      <w:r>
        <w:rPr>
          <w:rFonts w:hint="eastAsia" w:ascii="宋体"/>
          <w:szCs w:val="21"/>
        </w:rPr>
        <w:t>项（质保金）。</w:t>
      </w:r>
    </w:p>
    <w:p>
      <w:pPr>
        <w:spacing w:line="360" w:lineRule="auto"/>
        <w:ind w:firstLine="420" w:firstLineChars="200"/>
        <w:rPr>
          <w:rFonts w:ascii="宋体"/>
          <w:szCs w:val="21"/>
        </w:rPr>
      </w:pPr>
      <w:r>
        <w:rPr>
          <w:rFonts w:hint="eastAsia" w:ascii="宋体"/>
          <w:szCs w:val="21"/>
        </w:rPr>
        <w:t>①乙方开具相应金额的增值税专用发票。</w:t>
      </w:r>
    </w:p>
    <w:p>
      <w:pPr>
        <w:spacing w:line="360" w:lineRule="auto"/>
        <w:ind w:firstLine="420" w:firstLineChars="200"/>
        <w:rPr>
          <w:rFonts w:ascii="宋体"/>
          <w:szCs w:val="21"/>
        </w:rPr>
      </w:pPr>
      <w:r>
        <w:rPr>
          <w:rFonts w:hint="eastAsia" w:ascii="宋体"/>
          <w:szCs w:val="21"/>
        </w:rPr>
        <w:t>②乙方出具的支付申请书。</w:t>
      </w:r>
    </w:p>
    <w:p>
      <w:pPr>
        <w:spacing w:line="360" w:lineRule="auto"/>
        <w:ind w:firstLine="420" w:firstLineChars="200"/>
        <w:rPr>
          <w:rFonts w:ascii="宋体"/>
          <w:szCs w:val="21"/>
        </w:rPr>
      </w:pPr>
      <w:r>
        <w:rPr>
          <w:rFonts w:hint="eastAsia" w:ascii="宋体"/>
          <w:szCs w:val="21"/>
        </w:rPr>
        <w:t>③甲方签认完成的质保考核结果。</w:t>
      </w:r>
    </w:p>
    <w:p>
      <w:pPr>
        <w:spacing w:line="360" w:lineRule="auto"/>
        <w:ind w:firstLine="420" w:firstLineChars="200"/>
      </w:pPr>
      <w:r>
        <w:rPr>
          <w:rFonts w:hint="eastAsia" w:ascii="宋体"/>
          <w:szCs w:val="21"/>
        </w:rPr>
        <w:t>④甲方认为的其他资料。</w:t>
      </w:r>
    </w:p>
    <w:p>
      <w:pPr>
        <w:spacing w:line="360" w:lineRule="auto"/>
        <w:ind w:firstLine="420" w:firstLineChars="200"/>
        <w:rPr>
          <w:rFonts w:ascii="宋体"/>
          <w:szCs w:val="21"/>
        </w:rPr>
      </w:pPr>
      <w:r>
        <w:rPr>
          <w:rFonts w:hint="eastAsia" w:ascii="宋体"/>
          <w:szCs w:val="21"/>
        </w:rPr>
        <w:t>10.6支付期间乙方有违约情况，甲方可在当期的支付款项中直接扣除违约金，如当期支付款不足，则可在下期的支付款项中扣除。</w:t>
      </w:r>
    </w:p>
    <w:p>
      <w:pPr>
        <w:spacing w:line="360" w:lineRule="auto"/>
        <w:ind w:firstLine="420" w:firstLineChars="200"/>
        <w:rPr>
          <w:rFonts w:ascii="宋体"/>
          <w:szCs w:val="21"/>
        </w:rPr>
      </w:pPr>
      <w:r>
        <w:rPr>
          <w:rFonts w:hint="eastAsia" w:ascii="宋体"/>
          <w:szCs w:val="21"/>
        </w:rPr>
        <w:t>10.7支付的货币应以人民币支付，但不限于银行转账、汇票、国内信用证等支付形式。</w:t>
      </w:r>
    </w:p>
    <w:p>
      <w:pPr>
        <w:spacing w:line="360" w:lineRule="auto"/>
        <w:ind w:firstLine="420" w:firstLineChars="200"/>
        <w:rPr>
          <w:rFonts w:ascii="宋体"/>
          <w:szCs w:val="21"/>
        </w:rPr>
      </w:pPr>
      <w:r>
        <w:rPr>
          <w:rFonts w:hint="eastAsia" w:ascii="宋体"/>
          <w:szCs w:val="21"/>
        </w:rPr>
        <w:t>10.8 项目实施各阶段的业务需求内容按合同条款第12条所述。</w:t>
      </w:r>
    </w:p>
    <w:p>
      <w:pPr>
        <w:numPr>
          <w:ilvl w:val="0"/>
          <w:numId w:val="4"/>
        </w:numPr>
        <w:spacing w:line="360" w:lineRule="auto"/>
        <w:ind w:firstLine="420" w:firstLineChars="200"/>
        <w:outlineLvl w:val="2"/>
        <w:rPr>
          <w:rFonts w:ascii="宋体" w:hAnsi="宋体"/>
          <w:b/>
          <w:szCs w:val="21"/>
        </w:rPr>
      </w:pPr>
      <w:bookmarkStart w:id="458" w:name="_Toc20866"/>
      <w:bookmarkStart w:id="459" w:name="_Toc23776"/>
      <w:bookmarkStart w:id="460" w:name="_Toc25512"/>
      <w:r>
        <w:rPr>
          <w:rFonts w:hint="eastAsia" w:ascii="宋体" w:hAnsi="宋体"/>
          <w:b/>
          <w:szCs w:val="21"/>
        </w:rPr>
        <w:t>变更及变更费用的调整</w:t>
      </w:r>
      <w:bookmarkEnd w:id="458"/>
      <w:bookmarkEnd w:id="459"/>
      <w:bookmarkEnd w:id="460"/>
    </w:p>
    <w:p>
      <w:pPr>
        <w:spacing w:line="360" w:lineRule="auto"/>
        <w:ind w:firstLine="420" w:firstLineChars="200"/>
        <w:rPr>
          <w:rFonts w:ascii="宋体"/>
          <w:szCs w:val="21"/>
        </w:rPr>
      </w:pPr>
      <w:r>
        <w:rPr>
          <w:rFonts w:hint="eastAsia" w:ascii="宋体"/>
          <w:szCs w:val="21"/>
        </w:rPr>
        <w:t>11.1除非甲方与乙方双方签署书面修改书，否则不能对合同条款进行任何变更。如果合同另有约定，从其约定。</w:t>
      </w:r>
    </w:p>
    <w:p>
      <w:pPr>
        <w:spacing w:line="360" w:lineRule="auto"/>
        <w:ind w:firstLine="420" w:firstLineChars="200"/>
        <w:rPr>
          <w:rFonts w:ascii="宋体"/>
          <w:szCs w:val="21"/>
        </w:rPr>
      </w:pPr>
      <w:r>
        <w:rPr>
          <w:rFonts w:hint="eastAsia" w:ascii="宋体"/>
          <w:szCs w:val="21"/>
        </w:rPr>
        <w:t>11.2任何对合同条件的变更或修改均须根据双方协商达成的协议，以规定的标准修改书形式由双方授权代表签字盖章来完成，并作为本合同不可分割的组成部分，具有与合同本身同样的效力。</w:t>
      </w:r>
    </w:p>
    <w:p>
      <w:pPr>
        <w:spacing w:line="360" w:lineRule="auto"/>
        <w:ind w:firstLine="420" w:firstLineChars="200"/>
        <w:rPr>
          <w:rFonts w:ascii="宋体"/>
          <w:szCs w:val="21"/>
        </w:rPr>
      </w:pPr>
      <w:r>
        <w:rPr>
          <w:rFonts w:hint="eastAsia" w:ascii="宋体"/>
          <w:szCs w:val="21"/>
        </w:rPr>
        <w:t>11.3甲方在执行合同期间内的任何时间可以对合同作变更、修改、删除、增加或做其它改变，经乙方同意后，这些变更应作为合同的组成部分，任何修改将构成合同的组成部分并适用其他条款，乙方应履行这些变更并受同样条件约束。</w:t>
      </w:r>
    </w:p>
    <w:p>
      <w:pPr>
        <w:tabs>
          <w:tab w:val="left" w:pos="567"/>
        </w:tabs>
        <w:snapToGrid w:val="0"/>
        <w:spacing w:line="360" w:lineRule="auto"/>
        <w:ind w:firstLine="420" w:firstLineChars="200"/>
        <w:rPr>
          <w:rFonts w:ascii="宋体" w:hAnsi="宋体"/>
          <w:szCs w:val="21"/>
        </w:rPr>
      </w:pPr>
      <w:r>
        <w:rPr>
          <w:rFonts w:hint="eastAsia" w:ascii="宋体" w:hAnsi="宋体"/>
          <w:szCs w:val="21"/>
        </w:rPr>
        <w:t>11.4合同执行过程中，除以下情况外，合同总价均不予调整：</w:t>
      </w:r>
    </w:p>
    <w:p>
      <w:pPr>
        <w:tabs>
          <w:tab w:val="left" w:pos="567"/>
        </w:tabs>
        <w:snapToGrid w:val="0"/>
        <w:spacing w:line="360" w:lineRule="auto"/>
        <w:ind w:firstLine="420" w:firstLineChars="200"/>
        <w:rPr>
          <w:rFonts w:ascii="宋体" w:hAnsi="宋体"/>
          <w:szCs w:val="21"/>
        </w:rPr>
      </w:pPr>
      <w:r>
        <w:rPr>
          <w:rFonts w:hint="eastAsia" w:ascii="宋体" w:hAnsi="宋体"/>
          <w:szCs w:val="21"/>
        </w:rPr>
        <w:t>（1）本项目范围发生变化的（如用户需求书另有约定的除外）；</w:t>
      </w:r>
    </w:p>
    <w:p>
      <w:pPr>
        <w:tabs>
          <w:tab w:val="left" w:pos="567"/>
        </w:tabs>
        <w:snapToGrid w:val="0"/>
        <w:spacing w:line="360" w:lineRule="auto"/>
        <w:ind w:firstLine="420" w:firstLineChars="200"/>
        <w:rPr>
          <w:rFonts w:ascii="宋体" w:hAnsi="宋体"/>
          <w:szCs w:val="21"/>
        </w:rPr>
      </w:pPr>
      <w:r>
        <w:rPr>
          <w:rFonts w:hint="eastAsia" w:ascii="宋体" w:hAnsi="宋体"/>
          <w:szCs w:val="21"/>
        </w:rPr>
        <w:t>（2）本合同约定的其他予以调整的情况。</w:t>
      </w:r>
    </w:p>
    <w:p>
      <w:pPr>
        <w:tabs>
          <w:tab w:val="left" w:pos="567"/>
        </w:tabs>
        <w:snapToGrid w:val="0"/>
        <w:spacing w:line="360" w:lineRule="auto"/>
        <w:ind w:firstLine="420" w:firstLineChars="200"/>
        <w:rPr>
          <w:rFonts w:ascii="宋体" w:hAnsi="宋体"/>
          <w:szCs w:val="21"/>
        </w:rPr>
      </w:pPr>
      <w:r>
        <w:rPr>
          <w:rFonts w:hint="eastAsia" w:ascii="宋体" w:hAnsi="宋体"/>
          <w:szCs w:val="21"/>
        </w:rPr>
        <w:t>11.5项目范围发生变化的包括但不限于，主要功能模块的变更、实施的子公司数量的变更。</w:t>
      </w:r>
    </w:p>
    <w:p>
      <w:pPr>
        <w:tabs>
          <w:tab w:val="left" w:pos="567"/>
        </w:tabs>
        <w:snapToGrid w:val="0"/>
        <w:spacing w:line="360" w:lineRule="auto"/>
        <w:ind w:firstLine="420" w:firstLineChars="200"/>
        <w:rPr>
          <w:rFonts w:ascii="宋体" w:hAnsi="宋体"/>
          <w:szCs w:val="21"/>
        </w:rPr>
      </w:pPr>
      <w:r>
        <w:rPr>
          <w:rFonts w:hint="eastAsia" w:ascii="宋体" w:hAnsi="宋体"/>
          <w:szCs w:val="21"/>
        </w:rPr>
        <w:t>11.6合同价格调整原则</w:t>
      </w:r>
    </w:p>
    <w:p>
      <w:pPr>
        <w:tabs>
          <w:tab w:val="left" w:pos="567"/>
        </w:tabs>
        <w:snapToGrid w:val="0"/>
        <w:spacing w:line="360" w:lineRule="auto"/>
        <w:ind w:firstLine="420" w:firstLineChars="200"/>
        <w:rPr>
          <w:rFonts w:ascii="宋体" w:hAnsi="宋体"/>
          <w:szCs w:val="21"/>
        </w:rPr>
      </w:pPr>
      <w:r>
        <w:rPr>
          <w:rFonts w:hint="eastAsia" w:ascii="宋体" w:hAnsi="宋体"/>
          <w:szCs w:val="21"/>
        </w:rPr>
        <w:t>11.6.1主要功能模块有更新的情况下，功能模块的价格应当以市场上同类型软件功能模块价格为基础，甲乙双方共同协商定价；</w:t>
      </w:r>
    </w:p>
    <w:p>
      <w:pPr>
        <w:tabs>
          <w:tab w:val="left" w:pos="567"/>
        </w:tabs>
        <w:snapToGrid w:val="0"/>
        <w:spacing w:line="360" w:lineRule="auto"/>
        <w:ind w:firstLine="420" w:firstLineChars="200"/>
        <w:rPr>
          <w:rFonts w:ascii="宋体" w:hAnsi="宋体"/>
          <w:szCs w:val="21"/>
        </w:rPr>
      </w:pPr>
      <w:r>
        <w:rPr>
          <w:rFonts w:hint="eastAsia" w:ascii="宋体" w:hAnsi="宋体"/>
          <w:szCs w:val="21"/>
        </w:rPr>
        <w:t>11.6.2实施的子公司数量增加的情况下，实施费用应当由甲乙双方共同确认的价格为准；</w:t>
      </w:r>
    </w:p>
    <w:p>
      <w:pPr>
        <w:tabs>
          <w:tab w:val="left" w:pos="567"/>
        </w:tabs>
        <w:snapToGrid w:val="0"/>
        <w:spacing w:line="360" w:lineRule="auto"/>
        <w:ind w:firstLine="420" w:firstLineChars="200"/>
        <w:rPr>
          <w:rFonts w:ascii="宋体" w:hAnsi="宋体"/>
        </w:rPr>
      </w:pPr>
      <w:r>
        <w:rPr>
          <w:rFonts w:hint="eastAsia" w:ascii="宋体" w:hAnsi="宋体"/>
          <w:szCs w:val="21"/>
        </w:rPr>
        <w:t>11.7新增项目单价必须经双方认可后才能启用。</w:t>
      </w:r>
    </w:p>
    <w:bookmarkEnd w:id="457"/>
    <w:p>
      <w:pPr>
        <w:numPr>
          <w:ilvl w:val="0"/>
          <w:numId w:val="4"/>
        </w:numPr>
        <w:spacing w:line="360" w:lineRule="auto"/>
        <w:ind w:firstLine="420" w:firstLineChars="200"/>
        <w:outlineLvl w:val="2"/>
        <w:rPr>
          <w:rFonts w:ascii="宋体" w:hAnsi="宋体"/>
          <w:b/>
          <w:szCs w:val="21"/>
        </w:rPr>
      </w:pPr>
      <w:bookmarkStart w:id="461" w:name="_Toc31312"/>
      <w:bookmarkStart w:id="462" w:name="_Toc12681"/>
      <w:bookmarkStart w:id="463" w:name="_Toc14841"/>
      <w:bookmarkStart w:id="464" w:name="_Toc1724594"/>
      <w:bookmarkStart w:id="465" w:name="_Toc2597"/>
      <w:bookmarkStart w:id="466" w:name="_Toc4921"/>
      <w:r>
        <w:rPr>
          <w:rFonts w:hint="eastAsia" w:ascii="宋体" w:hAnsi="宋体"/>
          <w:b/>
          <w:szCs w:val="21"/>
        </w:rPr>
        <w:t>项目阶段及验收标准</w:t>
      </w:r>
      <w:bookmarkEnd w:id="461"/>
    </w:p>
    <w:p>
      <w:pPr>
        <w:tabs>
          <w:tab w:val="left" w:pos="567"/>
        </w:tabs>
        <w:snapToGrid w:val="0"/>
        <w:spacing w:line="360" w:lineRule="auto"/>
        <w:ind w:firstLine="420" w:firstLineChars="200"/>
        <w:rPr>
          <w:rFonts w:ascii="宋体" w:hAnsi="宋体"/>
          <w:szCs w:val="21"/>
        </w:rPr>
      </w:pPr>
      <w:r>
        <w:rPr>
          <w:rFonts w:hint="eastAsia" w:ascii="宋体" w:hAnsi="宋体"/>
          <w:szCs w:val="21"/>
        </w:rPr>
        <w:t>12.</w:t>
      </w:r>
      <w:r>
        <w:rPr>
          <w:rFonts w:ascii="宋体" w:hAnsi="宋体"/>
          <w:szCs w:val="21"/>
        </w:rPr>
        <w:t>1</w:t>
      </w:r>
      <w:r>
        <w:rPr>
          <w:rFonts w:hint="eastAsia" w:ascii="宋体" w:hAnsi="宋体"/>
          <w:szCs w:val="21"/>
        </w:rPr>
        <w:t xml:space="preserve">第一阶段验收：合同签订后35个日历天内完成软件安装部署完毕，双方签署《系统安装确认书》。 </w:t>
      </w:r>
    </w:p>
    <w:p>
      <w:pPr>
        <w:tabs>
          <w:tab w:val="left" w:pos="567"/>
        </w:tabs>
        <w:snapToGrid w:val="0"/>
        <w:spacing w:line="360" w:lineRule="auto"/>
        <w:ind w:firstLine="420" w:firstLineChars="200"/>
        <w:rPr>
          <w:rFonts w:ascii="宋体" w:hAnsi="宋体"/>
          <w:szCs w:val="21"/>
        </w:rPr>
      </w:pPr>
      <w:r>
        <w:rPr>
          <w:rFonts w:hint="eastAsia" w:ascii="宋体" w:hAnsi="宋体"/>
          <w:szCs w:val="21"/>
        </w:rPr>
        <w:t>12.</w:t>
      </w:r>
      <w:r>
        <w:rPr>
          <w:rFonts w:ascii="宋体" w:hAnsi="宋体"/>
          <w:szCs w:val="21"/>
        </w:rPr>
        <w:t>2</w:t>
      </w:r>
      <w:r>
        <w:rPr>
          <w:rFonts w:hint="eastAsia" w:ascii="宋体" w:hAnsi="宋体"/>
          <w:szCs w:val="21"/>
        </w:rPr>
        <w:t>第二阶段验收：合同签订后125个日历天内完成软件系统在集团及试点子公司完成操作培训及上线（不含接口及系统集成），双方签署《系统上线确认单》。</w:t>
      </w:r>
    </w:p>
    <w:p>
      <w:pPr>
        <w:tabs>
          <w:tab w:val="left" w:pos="567"/>
        </w:tabs>
        <w:snapToGrid w:val="0"/>
        <w:spacing w:line="360" w:lineRule="auto"/>
        <w:ind w:firstLine="420" w:firstLineChars="200"/>
        <w:rPr>
          <w:rFonts w:ascii="宋体" w:hAnsi="宋体"/>
          <w:szCs w:val="21"/>
        </w:rPr>
      </w:pPr>
      <w:r>
        <w:rPr>
          <w:rFonts w:hint="eastAsia" w:ascii="宋体" w:hAnsi="宋体"/>
          <w:szCs w:val="21"/>
        </w:rPr>
        <w:t>12.</w:t>
      </w:r>
      <w:r>
        <w:rPr>
          <w:rFonts w:ascii="宋体" w:hAnsi="宋体"/>
          <w:szCs w:val="21"/>
        </w:rPr>
        <w:t>3</w:t>
      </w:r>
      <w:r>
        <w:rPr>
          <w:rFonts w:hint="eastAsia" w:ascii="宋体" w:hAnsi="宋体"/>
          <w:szCs w:val="21"/>
        </w:rPr>
        <w:t>第三阶段验收：合同签订后签定后425个日历天内完成软件系统在全集团推广应用、系统集成及接口开发完成交付及项目整体验收，双方签署《项目验收报告》。</w:t>
      </w:r>
      <w:bookmarkStart w:id="852" w:name="_GoBack"/>
      <w:bookmarkEnd w:id="852"/>
    </w:p>
    <w:p>
      <w:pPr>
        <w:tabs>
          <w:tab w:val="left" w:pos="567"/>
        </w:tabs>
        <w:snapToGrid w:val="0"/>
        <w:spacing w:line="360" w:lineRule="auto"/>
        <w:ind w:firstLine="420" w:firstLineChars="200"/>
        <w:rPr>
          <w:rFonts w:ascii="宋体" w:hAnsi="宋体"/>
          <w:szCs w:val="21"/>
        </w:rPr>
      </w:pPr>
      <w:r>
        <w:rPr>
          <w:rFonts w:hint="eastAsia" w:ascii="宋体" w:hAnsi="宋体"/>
          <w:szCs w:val="21"/>
        </w:rPr>
        <w:t>12.</w:t>
      </w:r>
      <w:r>
        <w:rPr>
          <w:rFonts w:ascii="宋体" w:hAnsi="宋体"/>
          <w:szCs w:val="21"/>
        </w:rPr>
        <w:t>4</w:t>
      </w:r>
      <w:r>
        <w:rPr>
          <w:rFonts w:hint="eastAsia" w:ascii="宋体" w:hAnsi="宋体"/>
          <w:szCs w:val="21"/>
        </w:rPr>
        <w:t>各阶段同步实施对应的报表及功能平台、自助服务、系统基础管理、接口集成等需求功能，并纳入各阶段验收审查。</w:t>
      </w:r>
    </w:p>
    <w:p>
      <w:pPr>
        <w:tabs>
          <w:tab w:val="left" w:pos="567"/>
        </w:tabs>
        <w:snapToGrid w:val="0"/>
        <w:spacing w:line="360" w:lineRule="auto"/>
        <w:ind w:firstLine="420" w:firstLineChars="200"/>
        <w:rPr>
          <w:rFonts w:ascii="宋体" w:hAnsi="宋体"/>
          <w:szCs w:val="21"/>
        </w:rPr>
      </w:pPr>
      <w:r>
        <w:rPr>
          <w:rFonts w:hint="eastAsia" w:ascii="宋体" w:hAnsi="宋体"/>
          <w:szCs w:val="21"/>
        </w:rPr>
        <w:t>12.</w:t>
      </w:r>
      <w:r>
        <w:rPr>
          <w:rFonts w:ascii="宋体" w:hAnsi="宋体"/>
          <w:szCs w:val="21"/>
        </w:rPr>
        <w:t>5</w:t>
      </w:r>
      <w:r>
        <w:rPr>
          <w:rFonts w:hint="eastAsia" w:ascii="宋体" w:hAnsi="宋体"/>
          <w:szCs w:val="21"/>
        </w:rPr>
        <w:t xml:space="preserve"> 整体验收：各阶段均完成验收，且验收期间系统稳定、安全运行，保持良好状态，并完成所有知识、文档的移交以及项目各项培训工作。</w:t>
      </w:r>
    </w:p>
    <w:p>
      <w:pPr>
        <w:tabs>
          <w:tab w:val="left" w:pos="567"/>
        </w:tabs>
        <w:snapToGrid w:val="0"/>
        <w:spacing w:line="360" w:lineRule="auto"/>
        <w:ind w:firstLine="420" w:firstLineChars="200"/>
        <w:rPr>
          <w:rFonts w:ascii="宋体" w:hAnsi="宋体"/>
          <w:szCs w:val="21"/>
        </w:rPr>
      </w:pPr>
      <w:r>
        <w:rPr>
          <w:rFonts w:hint="eastAsia" w:ascii="宋体" w:hAnsi="宋体"/>
          <w:szCs w:val="21"/>
        </w:rPr>
        <w:t>12.</w:t>
      </w:r>
      <w:r>
        <w:rPr>
          <w:rFonts w:ascii="宋体" w:hAnsi="宋体"/>
          <w:szCs w:val="21"/>
        </w:rPr>
        <w:t>6</w:t>
      </w:r>
      <w:r>
        <w:rPr>
          <w:rFonts w:hint="eastAsia" w:ascii="宋体" w:hAnsi="宋体"/>
          <w:szCs w:val="21"/>
        </w:rPr>
        <w:t xml:space="preserve"> 各阶段实施的业务管理模块及对应的报表及功能平台、自助服务、系统基础管理、接口集成等需求功能应在项目设计联络会时进一步明确。</w:t>
      </w:r>
    </w:p>
    <w:p>
      <w:pPr>
        <w:tabs>
          <w:tab w:val="left" w:pos="567"/>
        </w:tabs>
        <w:snapToGrid w:val="0"/>
        <w:spacing w:line="360" w:lineRule="auto"/>
        <w:ind w:firstLine="420" w:firstLineChars="200"/>
        <w:rPr>
          <w:rFonts w:ascii="宋体" w:hAnsi="宋体"/>
          <w:szCs w:val="21"/>
        </w:rPr>
      </w:pPr>
      <w:r>
        <w:rPr>
          <w:rFonts w:hint="eastAsia" w:ascii="宋体" w:hAnsi="宋体"/>
          <w:szCs w:val="21"/>
        </w:rPr>
        <w:t>12.7 由于第三方原因造成工期延长或造成合同约定的功能和接口开发不能按期进行的，甲乙双方可以对已完成的事项进行项目验收。</w:t>
      </w:r>
    </w:p>
    <w:p>
      <w:pPr>
        <w:numPr>
          <w:ilvl w:val="0"/>
          <w:numId w:val="4"/>
        </w:numPr>
        <w:spacing w:line="360" w:lineRule="auto"/>
        <w:ind w:firstLine="420" w:firstLineChars="200"/>
        <w:outlineLvl w:val="2"/>
        <w:rPr>
          <w:rFonts w:ascii="宋体" w:hAnsi="宋体"/>
          <w:b/>
          <w:szCs w:val="21"/>
        </w:rPr>
      </w:pPr>
      <w:bookmarkStart w:id="467" w:name="_Toc14222"/>
      <w:r>
        <w:rPr>
          <w:rFonts w:hint="eastAsia" w:ascii="宋体" w:hAnsi="宋体"/>
          <w:b/>
          <w:szCs w:val="21"/>
        </w:rPr>
        <w:t>转包与分包</w:t>
      </w:r>
      <w:bookmarkEnd w:id="462"/>
      <w:bookmarkEnd w:id="463"/>
      <w:bookmarkEnd w:id="464"/>
      <w:bookmarkEnd w:id="465"/>
      <w:bookmarkEnd w:id="466"/>
      <w:bookmarkEnd w:id="467"/>
    </w:p>
    <w:p>
      <w:pPr>
        <w:tabs>
          <w:tab w:val="left" w:pos="567"/>
        </w:tabs>
        <w:snapToGrid w:val="0"/>
        <w:spacing w:line="360" w:lineRule="auto"/>
        <w:ind w:firstLine="420" w:firstLineChars="200"/>
        <w:rPr>
          <w:rFonts w:ascii="宋体" w:hAnsi="宋体"/>
          <w:szCs w:val="21"/>
        </w:rPr>
      </w:pPr>
      <w:bookmarkStart w:id="468" w:name="_Toc5659"/>
      <w:bookmarkStart w:id="469" w:name="_Toc26184"/>
      <w:bookmarkStart w:id="470" w:name="_Toc1724595"/>
      <w:r>
        <w:rPr>
          <w:rFonts w:hint="eastAsia" w:ascii="宋体" w:hAnsi="宋体"/>
          <w:szCs w:val="21"/>
        </w:rPr>
        <w:t>13.1 本项目不允许转包。</w:t>
      </w:r>
    </w:p>
    <w:p>
      <w:pPr>
        <w:tabs>
          <w:tab w:val="left" w:pos="567"/>
        </w:tabs>
        <w:snapToGrid w:val="0"/>
        <w:spacing w:line="360" w:lineRule="auto"/>
        <w:ind w:firstLine="420" w:firstLineChars="200"/>
        <w:rPr>
          <w:rFonts w:ascii="宋体" w:hAnsi="宋体"/>
          <w:szCs w:val="21"/>
        </w:rPr>
      </w:pPr>
      <w:bookmarkStart w:id="471" w:name="_Toc292559365"/>
      <w:bookmarkStart w:id="472" w:name="_Toc318581158"/>
      <w:bookmarkStart w:id="473" w:name="_Toc296944499"/>
      <w:bookmarkStart w:id="474" w:name="_Toc292559870"/>
      <w:bookmarkStart w:id="475" w:name="_Toc296891200"/>
      <w:bookmarkStart w:id="476" w:name="_Toc296503160"/>
      <w:bookmarkStart w:id="477" w:name="_Toc297216152"/>
      <w:bookmarkStart w:id="478" w:name="_Toc296890988"/>
      <w:bookmarkStart w:id="479" w:name="_Toc296346661"/>
      <w:bookmarkStart w:id="480" w:name="_Toc303539103"/>
      <w:bookmarkStart w:id="481" w:name="_Toc297048346"/>
      <w:bookmarkStart w:id="482" w:name="_Toc297123493"/>
      <w:bookmarkStart w:id="483" w:name="_Toc312677989"/>
      <w:bookmarkStart w:id="484" w:name="_Toc297120460"/>
      <w:bookmarkStart w:id="485" w:name="_Toc304295524"/>
      <w:bookmarkStart w:id="486" w:name="_Toc296347159"/>
      <w:bookmarkStart w:id="487" w:name="_Toc300934946"/>
      <w:r>
        <w:rPr>
          <w:rFonts w:hint="eastAsia" w:ascii="宋体" w:hAnsi="宋体"/>
          <w:szCs w:val="21"/>
        </w:rPr>
        <w:t>13.2 分包的一般约定：</w:t>
      </w:r>
    </w:p>
    <w:p>
      <w:pPr>
        <w:tabs>
          <w:tab w:val="left" w:pos="567"/>
        </w:tabs>
        <w:snapToGrid w:val="0"/>
        <w:spacing w:line="360" w:lineRule="auto"/>
        <w:ind w:firstLine="420" w:firstLineChars="200"/>
        <w:rPr>
          <w:rFonts w:ascii="宋体" w:hAnsi="宋体"/>
          <w:szCs w:val="21"/>
        </w:rPr>
      </w:pPr>
      <w:r>
        <w:rPr>
          <w:rFonts w:hint="eastAsia" w:ascii="宋体" w:hAnsi="宋体"/>
          <w:szCs w:val="21"/>
        </w:rPr>
        <w:t>本项目不允许分包</w:t>
      </w:r>
    </w:p>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Pr>
        <w:numPr>
          <w:ilvl w:val="0"/>
          <w:numId w:val="4"/>
        </w:numPr>
        <w:spacing w:line="360" w:lineRule="auto"/>
        <w:ind w:firstLine="420" w:firstLineChars="200"/>
        <w:outlineLvl w:val="2"/>
        <w:rPr>
          <w:rFonts w:ascii="宋体" w:hAnsi="宋体"/>
          <w:b/>
          <w:szCs w:val="21"/>
        </w:rPr>
      </w:pPr>
      <w:bookmarkStart w:id="488" w:name="_Toc1268"/>
      <w:bookmarkStart w:id="489" w:name="_Toc16472"/>
      <w:bookmarkStart w:id="490" w:name="_Toc31932"/>
      <w:r>
        <w:rPr>
          <w:rFonts w:hint="eastAsia" w:ascii="宋体" w:hAnsi="宋体"/>
          <w:b/>
          <w:szCs w:val="21"/>
        </w:rPr>
        <w:t>保险</w:t>
      </w:r>
      <w:bookmarkEnd w:id="468"/>
      <w:bookmarkEnd w:id="469"/>
      <w:bookmarkEnd w:id="470"/>
      <w:bookmarkEnd w:id="488"/>
      <w:bookmarkEnd w:id="489"/>
      <w:bookmarkEnd w:id="490"/>
    </w:p>
    <w:p>
      <w:pPr>
        <w:tabs>
          <w:tab w:val="left" w:pos="567"/>
        </w:tabs>
        <w:snapToGrid w:val="0"/>
        <w:spacing w:line="360" w:lineRule="auto"/>
        <w:ind w:firstLine="420" w:firstLineChars="200"/>
        <w:rPr>
          <w:rFonts w:ascii="宋体" w:hAnsi="宋体"/>
          <w:szCs w:val="21"/>
        </w:rPr>
      </w:pPr>
      <w:r>
        <w:rPr>
          <w:rFonts w:hint="eastAsia" w:ascii="宋体" w:hAnsi="宋体"/>
          <w:szCs w:val="21"/>
        </w:rPr>
        <w:t>14.1 乙方必须为自有人员办理意外伤害险或类似险种等与本项目相关的保险，支付保险费用。</w:t>
      </w:r>
    </w:p>
    <w:p>
      <w:pPr>
        <w:tabs>
          <w:tab w:val="left" w:pos="567"/>
        </w:tabs>
        <w:snapToGrid w:val="0"/>
        <w:spacing w:line="360" w:lineRule="auto"/>
        <w:ind w:firstLine="420" w:firstLineChars="200"/>
        <w:rPr>
          <w:rFonts w:ascii="宋体" w:hAnsi="宋体"/>
          <w:szCs w:val="21"/>
        </w:rPr>
      </w:pPr>
      <w:r>
        <w:rPr>
          <w:rFonts w:hint="eastAsia" w:ascii="宋体" w:hAnsi="宋体"/>
          <w:szCs w:val="21"/>
        </w:rPr>
        <w:t>14.2 甲方有权审查乙方办理保险的证明文件，若乙方没有按要求办理保险，视为乙方违约，并处以460元/人·次（或保险额的双倍金额）违约金。</w:t>
      </w:r>
    </w:p>
    <w:p>
      <w:pPr>
        <w:numPr>
          <w:ilvl w:val="0"/>
          <w:numId w:val="4"/>
        </w:numPr>
        <w:spacing w:line="360" w:lineRule="auto"/>
        <w:ind w:firstLine="420" w:firstLineChars="200"/>
        <w:outlineLvl w:val="2"/>
        <w:rPr>
          <w:rFonts w:ascii="宋体" w:hAnsi="宋体"/>
          <w:b/>
          <w:szCs w:val="21"/>
        </w:rPr>
      </w:pPr>
      <w:bookmarkStart w:id="491" w:name="_Toc8414"/>
      <w:r>
        <w:rPr>
          <w:rFonts w:hint="eastAsia" w:ascii="宋体" w:hAnsi="宋体"/>
          <w:b/>
          <w:szCs w:val="21"/>
        </w:rPr>
        <w:t>转让</w:t>
      </w:r>
      <w:bookmarkEnd w:id="491"/>
    </w:p>
    <w:p>
      <w:pPr>
        <w:tabs>
          <w:tab w:val="left" w:pos="567"/>
        </w:tabs>
        <w:snapToGrid w:val="0"/>
        <w:spacing w:line="360" w:lineRule="auto"/>
        <w:ind w:firstLine="420" w:firstLineChars="200"/>
        <w:rPr>
          <w:rFonts w:ascii="宋体" w:hAnsi="宋体"/>
          <w:szCs w:val="21"/>
        </w:rPr>
      </w:pPr>
      <w:r>
        <w:rPr>
          <w:rFonts w:hint="eastAsia" w:ascii="宋体" w:hAnsi="宋体"/>
          <w:szCs w:val="21"/>
        </w:rPr>
        <w:t>除甲方书面同意，乙方不得将合同权利及义务全部或部分转让给第三人。</w:t>
      </w:r>
    </w:p>
    <w:p>
      <w:pPr>
        <w:numPr>
          <w:ilvl w:val="0"/>
          <w:numId w:val="4"/>
        </w:numPr>
        <w:spacing w:line="360" w:lineRule="auto"/>
        <w:ind w:firstLine="420" w:firstLineChars="200"/>
        <w:outlineLvl w:val="2"/>
        <w:rPr>
          <w:rFonts w:ascii="宋体" w:hAnsi="宋体"/>
          <w:b/>
          <w:szCs w:val="21"/>
        </w:rPr>
      </w:pPr>
      <w:bookmarkStart w:id="492" w:name="_Toc6483"/>
      <w:bookmarkStart w:id="493" w:name="_Toc29731"/>
      <w:r>
        <w:rPr>
          <w:rFonts w:hint="eastAsia" w:ascii="宋体" w:hAnsi="宋体"/>
          <w:b/>
          <w:szCs w:val="21"/>
        </w:rPr>
        <w:t>中止</w:t>
      </w:r>
      <w:bookmarkEnd w:id="492"/>
      <w:bookmarkEnd w:id="493"/>
    </w:p>
    <w:p>
      <w:pPr>
        <w:tabs>
          <w:tab w:val="left" w:pos="567"/>
        </w:tabs>
        <w:snapToGrid w:val="0"/>
        <w:spacing w:line="360" w:lineRule="auto"/>
        <w:ind w:firstLine="420" w:firstLineChars="200"/>
        <w:rPr>
          <w:rFonts w:ascii="宋体" w:hAnsi="宋体"/>
          <w:szCs w:val="21"/>
        </w:rPr>
      </w:pPr>
      <w:r>
        <w:rPr>
          <w:rFonts w:hint="eastAsia" w:ascii="宋体" w:hAnsi="宋体"/>
          <w:szCs w:val="21"/>
        </w:rPr>
        <w:t>16.1 如乙方具有以下情形的，甲方可以中止合同履行:</w:t>
      </w:r>
    </w:p>
    <w:p>
      <w:pPr>
        <w:tabs>
          <w:tab w:val="left" w:pos="567"/>
        </w:tabs>
        <w:snapToGrid w:val="0"/>
        <w:spacing w:line="360" w:lineRule="auto"/>
        <w:ind w:firstLine="420" w:firstLineChars="200"/>
        <w:rPr>
          <w:rFonts w:ascii="宋体" w:hAnsi="宋体"/>
          <w:szCs w:val="21"/>
        </w:rPr>
      </w:pPr>
      <w:r>
        <w:rPr>
          <w:rFonts w:hint="eastAsia" w:ascii="宋体" w:hAnsi="宋体"/>
          <w:szCs w:val="21"/>
        </w:rPr>
        <w:t>(1)经营状况严重恶化；</w:t>
      </w:r>
    </w:p>
    <w:p>
      <w:pPr>
        <w:tabs>
          <w:tab w:val="left" w:pos="567"/>
        </w:tabs>
        <w:snapToGrid w:val="0"/>
        <w:spacing w:line="360" w:lineRule="auto"/>
        <w:ind w:firstLine="420" w:firstLineChars="200"/>
        <w:rPr>
          <w:rFonts w:ascii="宋体" w:hAnsi="宋体"/>
          <w:szCs w:val="21"/>
        </w:rPr>
      </w:pPr>
      <w:r>
        <w:rPr>
          <w:rFonts w:hint="eastAsia" w:ascii="宋体" w:hAnsi="宋体"/>
          <w:szCs w:val="21"/>
        </w:rPr>
        <w:t>(2)转移财产、抽逃资金以逃避债务；</w:t>
      </w:r>
    </w:p>
    <w:p>
      <w:pPr>
        <w:tabs>
          <w:tab w:val="left" w:pos="567"/>
        </w:tabs>
        <w:snapToGrid w:val="0"/>
        <w:spacing w:line="360" w:lineRule="auto"/>
        <w:ind w:firstLine="420" w:firstLineChars="200"/>
        <w:rPr>
          <w:rFonts w:ascii="宋体" w:hAnsi="宋体"/>
          <w:szCs w:val="21"/>
        </w:rPr>
      </w:pPr>
      <w:r>
        <w:rPr>
          <w:rFonts w:hint="eastAsia" w:ascii="宋体" w:hAnsi="宋体"/>
          <w:szCs w:val="21"/>
        </w:rPr>
        <w:t>(3)丧失商业信誉；</w:t>
      </w:r>
    </w:p>
    <w:p>
      <w:pPr>
        <w:tabs>
          <w:tab w:val="left" w:pos="567"/>
        </w:tabs>
        <w:snapToGrid w:val="0"/>
        <w:spacing w:line="360" w:lineRule="auto"/>
        <w:ind w:firstLine="420" w:firstLineChars="200"/>
        <w:rPr>
          <w:rFonts w:ascii="宋体" w:hAnsi="宋体"/>
          <w:szCs w:val="21"/>
        </w:rPr>
      </w:pPr>
      <w:r>
        <w:rPr>
          <w:rFonts w:hint="eastAsia" w:ascii="宋体" w:hAnsi="宋体"/>
          <w:szCs w:val="21"/>
        </w:rPr>
        <w:t>(4)有丧失或者可能丧失履行债务能力的其他情形。</w:t>
      </w:r>
    </w:p>
    <w:p>
      <w:pPr>
        <w:tabs>
          <w:tab w:val="left" w:pos="567"/>
        </w:tabs>
        <w:snapToGrid w:val="0"/>
        <w:spacing w:line="360" w:lineRule="auto"/>
        <w:ind w:firstLine="420" w:firstLineChars="200"/>
        <w:rPr>
          <w:rFonts w:ascii="宋体" w:hAnsi="宋体"/>
          <w:szCs w:val="21"/>
        </w:rPr>
      </w:pPr>
      <w:r>
        <w:rPr>
          <w:rFonts w:hint="eastAsia" w:ascii="宋体" w:hAnsi="宋体"/>
          <w:szCs w:val="21"/>
        </w:rPr>
        <w:t>16.2  甲方依据16.1条中止合同履行的，应当及时书面通知乙方。乙方提供适当担保的，合同恢复履行。中止履行后，乙方在合理期限内未恢复履行能且未提供适当担保的，视为以自己的行为表明不履行主要债务,甲方可以解除合同并要求乙方退还全部已收款项及追究乙方的违约责任。</w:t>
      </w:r>
    </w:p>
    <w:p>
      <w:pPr>
        <w:numPr>
          <w:ilvl w:val="0"/>
          <w:numId w:val="4"/>
        </w:numPr>
        <w:spacing w:line="360" w:lineRule="auto"/>
        <w:ind w:firstLine="420" w:firstLineChars="200"/>
        <w:outlineLvl w:val="2"/>
        <w:rPr>
          <w:rFonts w:ascii="宋体" w:hAnsi="宋体"/>
          <w:b/>
          <w:szCs w:val="21"/>
        </w:rPr>
      </w:pPr>
      <w:bookmarkStart w:id="494" w:name="_Toc8018"/>
      <w:bookmarkStart w:id="495" w:name="_Toc461"/>
      <w:bookmarkStart w:id="496" w:name="_Toc31160"/>
      <w:bookmarkStart w:id="497" w:name="_Toc30221"/>
      <w:bookmarkStart w:id="498" w:name="_Toc27055"/>
      <w:bookmarkStart w:id="499" w:name="_Toc1724596"/>
      <w:r>
        <w:rPr>
          <w:rFonts w:hint="eastAsia" w:ascii="宋体" w:hAnsi="宋体"/>
          <w:b/>
          <w:szCs w:val="21"/>
        </w:rPr>
        <w:t>合同解除和终止</w:t>
      </w:r>
      <w:bookmarkEnd w:id="494"/>
      <w:bookmarkEnd w:id="495"/>
    </w:p>
    <w:p>
      <w:pPr>
        <w:tabs>
          <w:tab w:val="left" w:pos="567"/>
        </w:tabs>
        <w:snapToGrid w:val="0"/>
        <w:spacing w:line="360" w:lineRule="auto"/>
        <w:ind w:firstLine="420" w:firstLineChars="200"/>
        <w:rPr>
          <w:rFonts w:ascii="宋体" w:hAnsi="宋体"/>
          <w:szCs w:val="21"/>
        </w:rPr>
      </w:pPr>
      <w:r>
        <w:rPr>
          <w:rFonts w:hint="eastAsia" w:ascii="宋体" w:hAnsi="宋体"/>
          <w:szCs w:val="21"/>
        </w:rPr>
        <w:t>17.1对合同条件所做出的任何修改、补充，须经双方协商达成一致意见后，签订书面协议。</w:t>
      </w:r>
    </w:p>
    <w:p>
      <w:pPr>
        <w:tabs>
          <w:tab w:val="left" w:pos="567"/>
        </w:tabs>
        <w:snapToGrid w:val="0"/>
        <w:spacing w:line="360" w:lineRule="auto"/>
        <w:ind w:firstLine="420" w:firstLineChars="200"/>
        <w:rPr>
          <w:rFonts w:ascii="宋体" w:hAnsi="宋体"/>
          <w:szCs w:val="21"/>
        </w:rPr>
      </w:pPr>
      <w:r>
        <w:rPr>
          <w:rFonts w:hint="eastAsia" w:ascii="宋体" w:hAnsi="宋体"/>
          <w:szCs w:val="21"/>
        </w:rPr>
        <w:t>17.2合同自然终止</w:t>
      </w:r>
    </w:p>
    <w:p>
      <w:pPr>
        <w:tabs>
          <w:tab w:val="left" w:pos="567"/>
        </w:tabs>
        <w:snapToGrid w:val="0"/>
        <w:spacing w:line="360" w:lineRule="auto"/>
        <w:ind w:firstLine="420" w:firstLineChars="200"/>
        <w:rPr>
          <w:rFonts w:ascii="宋体" w:hAnsi="宋体"/>
          <w:szCs w:val="21"/>
        </w:rPr>
      </w:pPr>
      <w:r>
        <w:rPr>
          <w:rFonts w:hint="eastAsia" w:ascii="宋体" w:hAnsi="宋体"/>
          <w:szCs w:val="21"/>
        </w:rPr>
        <w:t>甲方、乙方双方各自完成合同规定的责任和义务，合同自然终止。</w:t>
      </w:r>
    </w:p>
    <w:p>
      <w:pPr>
        <w:tabs>
          <w:tab w:val="left" w:pos="567"/>
        </w:tabs>
        <w:snapToGrid w:val="0"/>
        <w:spacing w:line="360" w:lineRule="auto"/>
        <w:ind w:firstLine="420" w:firstLineChars="200"/>
        <w:rPr>
          <w:rFonts w:ascii="宋体" w:hAnsi="宋体"/>
          <w:szCs w:val="21"/>
        </w:rPr>
      </w:pPr>
      <w:r>
        <w:rPr>
          <w:rFonts w:hint="eastAsia" w:ascii="宋体" w:hAnsi="宋体"/>
          <w:szCs w:val="21"/>
        </w:rPr>
        <w:t>17.3因乙方违约违规解除和</w:t>
      </w:r>
      <w:r>
        <w:rPr>
          <w:rFonts w:ascii="宋体" w:hAnsi="宋体"/>
          <w:szCs w:val="21"/>
        </w:rPr>
        <w:t>终止</w:t>
      </w:r>
      <w:r>
        <w:rPr>
          <w:rFonts w:hint="eastAsia" w:ascii="宋体" w:hAnsi="宋体"/>
          <w:szCs w:val="21"/>
        </w:rPr>
        <w:t>合同</w:t>
      </w:r>
    </w:p>
    <w:p>
      <w:pPr>
        <w:pStyle w:val="4"/>
        <w:spacing w:line="360" w:lineRule="auto"/>
        <w:ind w:firstLine="420" w:firstLineChars="200"/>
      </w:pPr>
      <w:r>
        <w:rPr>
          <w:rFonts w:hint="eastAsia" w:ascii="宋体" w:hAnsi="宋体"/>
          <w:szCs w:val="21"/>
        </w:rPr>
        <w:t>17.3.1合同成立后，乙方迟延履行合同交付义务的，每延期1日，甲方可按合同总金额的万分之三要求乙方支付违约金。逾期超过约定日期10个工作日不能依合同要求提供服务的，甲方可单方解除本合同，甲方无需支付尚未支付的合同款项，并要求乙方退还已支付款项，且乙方应按合同金额的20%作为违约金支付给甲方，如造成甲方损失超过违约金的，超出部分由乙方继续承担赔偿责任。</w:t>
      </w:r>
    </w:p>
    <w:p>
      <w:pPr>
        <w:tabs>
          <w:tab w:val="left" w:pos="567"/>
        </w:tabs>
        <w:snapToGrid w:val="0"/>
        <w:spacing w:line="360" w:lineRule="auto"/>
        <w:ind w:firstLine="420" w:firstLineChars="200"/>
        <w:rPr>
          <w:rFonts w:ascii="宋体" w:hAnsi="宋体"/>
          <w:szCs w:val="21"/>
        </w:rPr>
      </w:pPr>
      <w:r>
        <w:rPr>
          <w:rFonts w:hint="eastAsia" w:ascii="宋体" w:hAnsi="宋体"/>
          <w:szCs w:val="21"/>
        </w:rPr>
        <w:t>17.3.2合同成立后，若乙方不按合同履行职责导致对甲方安全运营、名誉、形象等造成影响，甲方有权解除合同。</w:t>
      </w:r>
    </w:p>
    <w:p>
      <w:pPr>
        <w:tabs>
          <w:tab w:val="left" w:pos="567"/>
        </w:tabs>
        <w:snapToGrid w:val="0"/>
        <w:spacing w:line="360" w:lineRule="auto"/>
        <w:ind w:firstLine="420" w:firstLineChars="200"/>
        <w:rPr>
          <w:rFonts w:ascii="宋体" w:hAnsi="宋体"/>
          <w:szCs w:val="21"/>
        </w:rPr>
      </w:pPr>
      <w:r>
        <w:rPr>
          <w:rFonts w:hint="eastAsia" w:ascii="宋体" w:hAnsi="宋体"/>
          <w:szCs w:val="21"/>
        </w:rPr>
        <w:t>17.3.3按照违约责任条款或技术规格书中甲方有权解除（终止）合同的情形。</w:t>
      </w:r>
    </w:p>
    <w:p>
      <w:pPr>
        <w:tabs>
          <w:tab w:val="left" w:pos="567"/>
        </w:tabs>
        <w:snapToGrid w:val="0"/>
        <w:spacing w:line="360" w:lineRule="auto"/>
        <w:ind w:firstLine="420" w:firstLineChars="200"/>
        <w:rPr>
          <w:rFonts w:ascii="宋体" w:hAnsi="宋体"/>
          <w:szCs w:val="21"/>
        </w:rPr>
      </w:pPr>
      <w:r>
        <w:rPr>
          <w:rFonts w:hint="eastAsia" w:ascii="宋体" w:hAnsi="宋体"/>
          <w:szCs w:val="21"/>
        </w:rPr>
        <w:t>17.3.4如果甲方发现以下违约情形之一后可向乙方发出书面违约通知书，提出解除部分或全部合同，自发出书面违约通知之日起发生的费用由乙方自行负责，若给甲方造成损失的，乙方还应负责赔偿：</w:t>
      </w:r>
    </w:p>
    <w:p>
      <w:pPr>
        <w:tabs>
          <w:tab w:val="left" w:pos="567"/>
        </w:tabs>
        <w:snapToGrid w:val="0"/>
        <w:spacing w:line="360" w:lineRule="auto"/>
        <w:ind w:firstLine="420" w:firstLineChars="200"/>
        <w:rPr>
          <w:rFonts w:ascii="宋体" w:hAnsi="宋体"/>
          <w:szCs w:val="21"/>
        </w:rPr>
      </w:pPr>
      <w:r>
        <w:rPr>
          <w:rFonts w:hint="eastAsia" w:ascii="宋体" w:hAnsi="宋体"/>
          <w:szCs w:val="21"/>
        </w:rPr>
        <w:t xml:space="preserve">（1）乙方不具备继续按合同要求开展维保工作的条件或维保未能按照合同规定的方式进行的； </w:t>
      </w:r>
    </w:p>
    <w:p>
      <w:pPr>
        <w:tabs>
          <w:tab w:val="left" w:pos="567"/>
        </w:tabs>
        <w:snapToGrid w:val="0"/>
        <w:spacing w:line="360" w:lineRule="auto"/>
        <w:ind w:firstLine="420" w:firstLineChars="200"/>
        <w:rPr>
          <w:rFonts w:ascii="宋体" w:hAnsi="宋体"/>
          <w:szCs w:val="21"/>
        </w:rPr>
      </w:pPr>
      <w:r>
        <w:rPr>
          <w:rFonts w:hint="eastAsia" w:ascii="宋体" w:hAnsi="宋体"/>
          <w:szCs w:val="21"/>
        </w:rPr>
        <w:t>（2）如果甲方认为乙方在本合同的竞争和实施过程中有腐败和欺诈行为的。</w:t>
      </w:r>
    </w:p>
    <w:p>
      <w:pPr>
        <w:tabs>
          <w:tab w:val="left" w:pos="567"/>
        </w:tabs>
        <w:snapToGrid w:val="0"/>
        <w:spacing w:line="360" w:lineRule="auto"/>
        <w:ind w:firstLine="420" w:firstLineChars="200"/>
        <w:rPr>
          <w:rFonts w:ascii="宋体" w:hAnsi="宋体"/>
          <w:szCs w:val="21"/>
        </w:rPr>
      </w:pPr>
      <w:r>
        <w:rPr>
          <w:rFonts w:hint="eastAsia" w:ascii="宋体" w:hAnsi="宋体"/>
          <w:szCs w:val="21"/>
        </w:rPr>
        <w:t>“腐败行为”是指提供、给予、接受或索取任何有价值的东西来影响有关人员在定标过程或合同实施过程中的行为；</w:t>
      </w:r>
    </w:p>
    <w:p>
      <w:pPr>
        <w:tabs>
          <w:tab w:val="left" w:pos="567"/>
        </w:tabs>
        <w:snapToGrid w:val="0"/>
        <w:spacing w:line="360" w:lineRule="auto"/>
        <w:ind w:firstLine="420" w:firstLineChars="200"/>
        <w:rPr>
          <w:rFonts w:ascii="宋体" w:hAnsi="宋体"/>
          <w:szCs w:val="21"/>
        </w:rPr>
      </w:pPr>
      <w:r>
        <w:rPr>
          <w:rFonts w:hint="eastAsia" w:ascii="宋体" w:hAnsi="宋体"/>
          <w:szCs w:val="21"/>
        </w:rPr>
        <w:t>“欺诈行为”是指为了影响定标过程或合同实施过程而谎报事实，损害甲方的利益，包括乙方之间串通投标（递交投标书之前和之后），人为地使各投标价丧失竞争性，剥夺甲方从自由公开竞争所获得的权益。欺诈行为还包括乙方擅自改变合同所要求的材料，或者提供伪造的检修或检测报告，刻意隐瞒故障逃避责任等，造成甲方受到相关行政部门考核或约谈的。</w:t>
      </w:r>
    </w:p>
    <w:p>
      <w:pPr>
        <w:tabs>
          <w:tab w:val="left" w:pos="567"/>
        </w:tabs>
        <w:snapToGrid w:val="0"/>
        <w:spacing w:line="360" w:lineRule="auto"/>
        <w:ind w:firstLine="420" w:firstLineChars="200"/>
        <w:rPr>
          <w:rFonts w:ascii="宋体" w:hAnsi="宋体"/>
          <w:szCs w:val="21"/>
        </w:rPr>
      </w:pPr>
      <w:r>
        <w:rPr>
          <w:rFonts w:hint="eastAsia" w:ascii="宋体" w:hAnsi="宋体"/>
          <w:szCs w:val="21"/>
        </w:rPr>
        <w:t>（3）乙方资质证明文件在合同期内到期（或失效），未能按规定取得合法有效符合本项目要求的企业资质的（不可抗力因素导致的除外）；</w:t>
      </w:r>
    </w:p>
    <w:p>
      <w:pPr>
        <w:tabs>
          <w:tab w:val="left" w:pos="567"/>
        </w:tabs>
        <w:snapToGrid w:val="0"/>
        <w:spacing w:line="360" w:lineRule="auto"/>
        <w:ind w:firstLine="420" w:firstLineChars="200"/>
        <w:rPr>
          <w:rFonts w:ascii="宋体" w:hAnsi="宋体"/>
          <w:szCs w:val="21"/>
        </w:rPr>
      </w:pPr>
      <w:r>
        <w:rPr>
          <w:rFonts w:hint="eastAsia" w:ascii="宋体" w:hAnsi="宋体"/>
          <w:szCs w:val="21"/>
        </w:rPr>
        <w:t>（4）乙方参与本项目工作人员未与乙方签订正式劳动（劳务）合同或未按时足额支付本项目员工工资的，或者乙方未按国家、省（自治区）、市相关政策为所聘用参与本项目主要人员购买社会保险的，造成甲方经济、声誉损失的。</w:t>
      </w:r>
    </w:p>
    <w:p>
      <w:pPr>
        <w:tabs>
          <w:tab w:val="left" w:pos="567"/>
        </w:tabs>
        <w:snapToGrid w:val="0"/>
        <w:spacing w:line="360" w:lineRule="auto"/>
        <w:ind w:firstLine="420" w:firstLineChars="200"/>
        <w:rPr>
          <w:rFonts w:ascii="宋体" w:hAnsi="宋体"/>
          <w:szCs w:val="21"/>
        </w:rPr>
      </w:pPr>
      <w:r>
        <w:rPr>
          <w:rFonts w:hint="eastAsia" w:ascii="宋体" w:hAnsi="宋体"/>
          <w:szCs w:val="21"/>
        </w:rPr>
        <w:t>（5）因乙方破产而不具备履行合同主体资格。</w:t>
      </w:r>
    </w:p>
    <w:p>
      <w:pPr>
        <w:tabs>
          <w:tab w:val="left" w:pos="567"/>
        </w:tabs>
        <w:snapToGrid w:val="0"/>
        <w:spacing w:line="360" w:lineRule="auto"/>
        <w:ind w:firstLine="420" w:firstLineChars="200"/>
        <w:rPr>
          <w:rFonts w:ascii="宋体" w:hAnsi="宋体"/>
          <w:szCs w:val="21"/>
        </w:rPr>
      </w:pPr>
      <w:r>
        <w:rPr>
          <w:rFonts w:hint="eastAsia" w:ascii="宋体" w:hAnsi="宋体"/>
          <w:szCs w:val="21"/>
        </w:rPr>
        <w:t>1）如果乙方破产或无清偿能力，甲方可在任何时候以书面形式通知乙方，提出终止合同而不给乙方补偿。该终止合同将不损害或影响甲方已经采取或将要采取的任何行动或补救措施的权利。</w:t>
      </w:r>
    </w:p>
    <w:p>
      <w:pPr>
        <w:tabs>
          <w:tab w:val="left" w:pos="567"/>
        </w:tabs>
        <w:snapToGrid w:val="0"/>
        <w:spacing w:line="360" w:lineRule="auto"/>
        <w:ind w:firstLine="420" w:firstLineChars="200"/>
        <w:rPr>
          <w:rFonts w:ascii="宋体" w:hAnsi="宋体"/>
          <w:szCs w:val="21"/>
        </w:rPr>
      </w:pPr>
      <w:r>
        <w:rPr>
          <w:rFonts w:hint="eastAsia" w:ascii="宋体" w:hAnsi="宋体"/>
          <w:szCs w:val="21"/>
        </w:rPr>
        <w:t xml:space="preserve"> 2）乙方有责任而且必须支付甲方超过合同金额的合理的必须的费用。该费用是甲方为了执行完成被终止了的该部分而实际发生的直接费用。</w:t>
      </w:r>
    </w:p>
    <w:p>
      <w:pPr>
        <w:tabs>
          <w:tab w:val="left" w:pos="567"/>
        </w:tabs>
        <w:snapToGrid w:val="0"/>
        <w:spacing w:line="360" w:lineRule="auto"/>
        <w:ind w:firstLine="420" w:firstLineChars="200"/>
        <w:rPr>
          <w:rFonts w:ascii="宋体" w:hAnsi="宋体"/>
          <w:szCs w:val="21"/>
        </w:rPr>
      </w:pPr>
      <w:r>
        <w:rPr>
          <w:rFonts w:hint="eastAsia" w:ascii="宋体" w:hAnsi="宋体"/>
          <w:szCs w:val="21"/>
        </w:rPr>
        <w:t>17.4根据17.3条中规定合同解除和</w:t>
      </w:r>
      <w:r>
        <w:rPr>
          <w:rFonts w:ascii="宋体" w:hAnsi="宋体"/>
          <w:szCs w:val="21"/>
        </w:rPr>
        <w:t>终止</w:t>
      </w:r>
      <w:r>
        <w:rPr>
          <w:rFonts w:hint="eastAsia" w:ascii="宋体" w:hAnsi="宋体"/>
          <w:szCs w:val="21"/>
        </w:rPr>
        <w:t>止后，甲方不再支付任何费用。</w:t>
      </w:r>
    </w:p>
    <w:p>
      <w:pPr>
        <w:tabs>
          <w:tab w:val="left" w:pos="567"/>
        </w:tabs>
        <w:snapToGrid w:val="0"/>
        <w:spacing w:line="360" w:lineRule="auto"/>
        <w:ind w:firstLine="420" w:firstLineChars="200"/>
        <w:rPr>
          <w:rFonts w:ascii="宋体" w:hAnsi="宋体"/>
          <w:szCs w:val="21"/>
        </w:rPr>
      </w:pPr>
      <w:r>
        <w:rPr>
          <w:rFonts w:hint="eastAsia" w:ascii="宋体" w:hAnsi="宋体"/>
          <w:szCs w:val="21"/>
        </w:rPr>
        <w:t>17.5因甲方违约解除和</w:t>
      </w:r>
      <w:r>
        <w:rPr>
          <w:rFonts w:ascii="宋体" w:hAnsi="宋体"/>
          <w:szCs w:val="21"/>
        </w:rPr>
        <w:t>终止</w:t>
      </w:r>
      <w:r>
        <w:rPr>
          <w:rFonts w:hint="eastAsia" w:ascii="宋体" w:hAnsi="宋体"/>
          <w:szCs w:val="21"/>
        </w:rPr>
        <w:t>合同</w:t>
      </w:r>
    </w:p>
    <w:p>
      <w:pPr>
        <w:tabs>
          <w:tab w:val="left" w:pos="567"/>
        </w:tabs>
        <w:snapToGrid w:val="0"/>
        <w:spacing w:line="360" w:lineRule="auto"/>
        <w:ind w:firstLine="420" w:firstLineChars="200"/>
        <w:rPr>
          <w:rFonts w:ascii="宋体" w:hAnsi="宋体"/>
          <w:szCs w:val="21"/>
        </w:rPr>
      </w:pPr>
      <w:r>
        <w:rPr>
          <w:rFonts w:hint="eastAsia" w:ascii="宋体" w:hAnsi="宋体"/>
          <w:szCs w:val="21"/>
        </w:rPr>
        <w:t>17.5.1甲方严重违背合同规定的责任义务而且这种违约没有任何条款允许时，则乙方有权解除合同中的一部分或全部，但前提条件是乙方应在解除合同前三个月书面通知甲方，而甲方未能在这个期限内采取合理的措施以弥补其违约。</w:t>
      </w:r>
    </w:p>
    <w:p>
      <w:pPr>
        <w:tabs>
          <w:tab w:val="left" w:pos="567"/>
        </w:tabs>
        <w:snapToGrid w:val="0"/>
        <w:spacing w:line="360" w:lineRule="auto"/>
        <w:ind w:firstLine="420" w:firstLineChars="200"/>
        <w:rPr>
          <w:rFonts w:ascii="宋体" w:hAnsi="宋体"/>
          <w:szCs w:val="21"/>
        </w:rPr>
      </w:pPr>
      <w:r>
        <w:rPr>
          <w:rFonts w:hint="eastAsia" w:ascii="宋体" w:hAnsi="宋体"/>
          <w:szCs w:val="21"/>
        </w:rPr>
        <w:t>17.5.2乙方有权要求甲方补偿其因违约而造成的任何直接损失。因涉及社会公共安全，在甲方采取有效弥补措施前，乙方不可以中止合同的履行。</w:t>
      </w:r>
    </w:p>
    <w:p>
      <w:pPr>
        <w:tabs>
          <w:tab w:val="left" w:pos="567"/>
        </w:tabs>
        <w:snapToGrid w:val="0"/>
        <w:spacing w:line="360" w:lineRule="auto"/>
        <w:ind w:firstLine="420" w:firstLineChars="200"/>
        <w:rPr>
          <w:rFonts w:ascii="宋体" w:hAnsi="宋体"/>
          <w:szCs w:val="21"/>
        </w:rPr>
      </w:pPr>
      <w:r>
        <w:rPr>
          <w:rFonts w:hint="eastAsia" w:ascii="宋体" w:hAnsi="宋体"/>
          <w:szCs w:val="21"/>
        </w:rPr>
        <w:t>17.6因不可抗力终止合同</w:t>
      </w:r>
    </w:p>
    <w:p>
      <w:pPr>
        <w:tabs>
          <w:tab w:val="left" w:pos="567"/>
        </w:tabs>
        <w:snapToGrid w:val="0"/>
        <w:spacing w:line="360" w:lineRule="auto"/>
        <w:ind w:firstLine="420" w:firstLineChars="200"/>
        <w:rPr>
          <w:rFonts w:ascii="宋体" w:hAnsi="宋体"/>
          <w:szCs w:val="21"/>
        </w:rPr>
      </w:pPr>
      <w:r>
        <w:rPr>
          <w:rFonts w:hint="eastAsia" w:ascii="宋体" w:hAnsi="宋体"/>
          <w:szCs w:val="21"/>
        </w:rPr>
        <w:t>如果不可抗力事件的影响已达120天或双方预计不可抗力事件的影响将延续120天以上（含本数）时，任何一方有权终止本合同。</w:t>
      </w:r>
    </w:p>
    <w:p>
      <w:pPr>
        <w:tabs>
          <w:tab w:val="left" w:pos="567"/>
        </w:tabs>
        <w:snapToGrid w:val="0"/>
        <w:spacing w:line="360" w:lineRule="auto"/>
        <w:ind w:firstLine="420" w:firstLineChars="200"/>
        <w:rPr>
          <w:rFonts w:ascii="宋体" w:hAnsi="宋体"/>
          <w:szCs w:val="21"/>
        </w:rPr>
      </w:pPr>
      <w:r>
        <w:rPr>
          <w:rFonts w:hint="eastAsia" w:ascii="宋体" w:hAnsi="宋体"/>
          <w:szCs w:val="21"/>
        </w:rPr>
        <w:t>17.7在合同有效期内任何一方无任何法定或合同约定的理由单方提出终止合同的，提出方应承担违约责任，违约方向对方支付违约金，违约金为合同总价的5%。</w:t>
      </w:r>
    </w:p>
    <w:p>
      <w:pPr>
        <w:tabs>
          <w:tab w:val="left" w:pos="567"/>
        </w:tabs>
        <w:snapToGrid w:val="0"/>
        <w:spacing w:line="360" w:lineRule="auto"/>
        <w:ind w:firstLine="420" w:firstLineChars="200"/>
        <w:rPr>
          <w:rFonts w:ascii="宋体" w:hAnsi="宋体"/>
          <w:szCs w:val="21"/>
        </w:rPr>
      </w:pPr>
      <w:r>
        <w:rPr>
          <w:rFonts w:hint="eastAsia" w:ascii="宋体" w:hAnsi="宋体"/>
          <w:szCs w:val="21"/>
        </w:rPr>
        <w:t>17.8合同非自然终止后，甲方可寻找合同外第三方完成本合同项目，在过渡期间（不少于6个月）甲方有权要求乙方继续履行合同，乙方应配合。</w:t>
      </w:r>
    </w:p>
    <w:p>
      <w:pPr>
        <w:tabs>
          <w:tab w:val="left" w:pos="567"/>
        </w:tabs>
        <w:snapToGrid w:val="0"/>
        <w:spacing w:line="360" w:lineRule="auto"/>
        <w:ind w:firstLine="420" w:firstLineChars="200"/>
        <w:rPr>
          <w:rFonts w:ascii="宋体" w:hAnsi="宋体"/>
          <w:szCs w:val="21"/>
        </w:rPr>
      </w:pPr>
      <w:r>
        <w:rPr>
          <w:rFonts w:hint="eastAsia" w:ascii="宋体" w:hAnsi="宋体"/>
          <w:szCs w:val="21"/>
        </w:rPr>
        <w:t>17.9出现因乙方违约终止合同的，将乙方列入甲方的承包商黑名单，禁止项目经理、投标单位五年之内参与甲方公司任何招标项目。</w:t>
      </w:r>
      <w:bookmarkEnd w:id="496"/>
      <w:bookmarkEnd w:id="497"/>
      <w:bookmarkEnd w:id="498"/>
      <w:bookmarkEnd w:id="499"/>
    </w:p>
    <w:p>
      <w:pPr>
        <w:numPr>
          <w:ilvl w:val="0"/>
          <w:numId w:val="4"/>
        </w:numPr>
        <w:spacing w:line="360" w:lineRule="auto"/>
        <w:ind w:firstLine="420" w:firstLineChars="200"/>
        <w:outlineLvl w:val="2"/>
        <w:rPr>
          <w:rFonts w:ascii="宋体" w:hAnsi="宋体"/>
          <w:b/>
          <w:szCs w:val="21"/>
        </w:rPr>
      </w:pPr>
      <w:bookmarkStart w:id="500" w:name="_Toc16556"/>
      <w:bookmarkStart w:id="501" w:name="_Toc486842412"/>
      <w:bookmarkStart w:id="502" w:name="_Toc13055"/>
      <w:bookmarkStart w:id="503" w:name="_Toc31994"/>
      <w:bookmarkStart w:id="504" w:name="_Toc846"/>
      <w:bookmarkStart w:id="505" w:name="_Toc482008348"/>
      <w:bookmarkStart w:id="506" w:name="_Toc1724597"/>
      <w:bookmarkStart w:id="507" w:name="_Toc17083"/>
      <w:r>
        <w:rPr>
          <w:rFonts w:hint="eastAsia" w:ascii="宋体" w:hAnsi="宋体"/>
          <w:b/>
          <w:szCs w:val="21"/>
        </w:rPr>
        <w:t>不可抗力</w:t>
      </w:r>
      <w:bookmarkEnd w:id="500"/>
      <w:bookmarkEnd w:id="501"/>
      <w:bookmarkEnd w:id="502"/>
      <w:bookmarkEnd w:id="503"/>
      <w:bookmarkEnd w:id="504"/>
      <w:bookmarkEnd w:id="505"/>
      <w:bookmarkEnd w:id="506"/>
      <w:bookmarkEnd w:id="507"/>
    </w:p>
    <w:p>
      <w:pPr>
        <w:tabs>
          <w:tab w:val="left" w:pos="567"/>
        </w:tabs>
        <w:snapToGrid w:val="0"/>
        <w:spacing w:line="360" w:lineRule="auto"/>
        <w:ind w:firstLine="420" w:firstLineChars="200"/>
        <w:rPr>
          <w:rFonts w:ascii="宋体" w:hAnsi="宋体"/>
          <w:szCs w:val="21"/>
        </w:rPr>
      </w:pPr>
      <w:bookmarkStart w:id="508" w:name="_Toc296346618"/>
      <w:bookmarkStart w:id="509" w:name="_Toc296503117"/>
      <w:bookmarkStart w:id="510" w:name="_Toc337558824"/>
      <w:bookmarkStart w:id="511" w:name="_Toc351203608"/>
      <w:r>
        <w:rPr>
          <w:rFonts w:hint="eastAsia" w:ascii="宋体" w:hAnsi="宋体"/>
          <w:szCs w:val="21"/>
        </w:rPr>
        <w:t>18.1本条所述的</w:t>
      </w:r>
      <w:r>
        <w:rPr>
          <w:rFonts w:ascii="宋体" w:hAnsi="宋体"/>
          <w:szCs w:val="21"/>
        </w:rPr>
        <w:t>“</w:t>
      </w:r>
      <w:r>
        <w:rPr>
          <w:rFonts w:hint="eastAsia" w:ascii="宋体" w:hAnsi="宋体"/>
          <w:szCs w:val="21"/>
        </w:rPr>
        <w:t>不可抗力</w:t>
      </w:r>
      <w:r>
        <w:rPr>
          <w:rFonts w:ascii="宋体" w:hAnsi="宋体"/>
          <w:szCs w:val="21"/>
        </w:rPr>
        <w:t>”</w:t>
      </w:r>
      <w:r>
        <w:rPr>
          <w:rFonts w:hint="eastAsia" w:ascii="宋体" w:hAnsi="宋体"/>
          <w:szCs w:val="21"/>
        </w:rPr>
        <w:t>系指那些不能预见、不能避免并不能克服的客观情况，但不包括违约或疏忽。不可抗力包括但不限于：战争、暴乱、水灾、地震、防疫限制、禁运等情况。</w:t>
      </w:r>
      <w:bookmarkEnd w:id="508"/>
      <w:bookmarkEnd w:id="509"/>
      <w:bookmarkEnd w:id="510"/>
      <w:bookmarkEnd w:id="511"/>
      <w:bookmarkStart w:id="512" w:name="_Toc10047"/>
      <w:bookmarkStart w:id="513" w:name="_Toc1724598"/>
      <w:bookmarkStart w:id="514" w:name="_Toc1845"/>
      <w:bookmarkStart w:id="515" w:name="_Toc486842413"/>
      <w:bookmarkStart w:id="516" w:name="_Toc10374"/>
      <w:bookmarkStart w:id="517" w:name="_Toc482008349"/>
    </w:p>
    <w:p>
      <w:pPr>
        <w:tabs>
          <w:tab w:val="left" w:pos="567"/>
        </w:tabs>
        <w:snapToGrid w:val="0"/>
        <w:spacing w:line="360" w:lineRule="auto"/>
        <w:ind w:firstLine="420" w:firstLineChars="200"/>
        <w:rPr>
          <w:rFonts w:ascii="宋体" w:hAnsi="宋体"/>
          <w:szCs w:val="21"/>
        </w:rPr>
      </w:pPr>
      <w:r>
        <w:rPr>
          <w:rFonts w:hint="eastAsia" w:ascii="宋体" w:hAnsi="宋体"/>
          <w:szCs w:val="21"/>
        </w:rPr>
        <w:t>18.2若不可抗力发生使合同执行受阻，则合同执行时间根据受影响的时间相应延长，但合同价格不得调整。</w:t>
      </w:r>
    </w:p>
    <w:p>
      <w:pPr>
        <w:tabs>
          <w:tab w:val="left" w:pos="567"/>
        </w:tabs>
        <w:snapToGrid w:val="0"/>
        <w:spacing w:line="360" w:lineRule="auto"/>
        <w:ind w:firstLine="420" w:firstLineChars="200"/>
        <w:rPr>
          <w:rFonts w:ascii="宋体" w:hAnsi="宋体"/>
          <w:szCs w:val="21"/>
        </w:rPr>
      </w:pPr>
      <w:r>
        <w:rPr>
          <w:rFonts w:hint="eastAsia" w:ascii="宋体" w:hAnsi="宋体"/>
          <w:szCs w:val="21"/>
        </w:rPr>
        <w:t>18.3如发生不可抗力，乙方应在十四（14）天内通知甲方并应提供有关当局（官方机构）的证明文件。除非甲方另有书面指示，乙方应继续依可行方式及其他不受不可抗力制约的替代形式履行合同义务。</w:t>
      </w:r>
    </w:p>
    <w:p>
      <w:pPr>
        <w:tabs>
          <w:tab w:val="left" w:pos="567"/>
        </w:tabs>
        <w:snapToGrid w:val="0"/>
        <w:spacing w:line="360" w:lineRule="auto"/>
        <w:ind w:firstLine="420" w:firstLineChars="200"/>
        <w:rPr>
          <w:rFonts w:ascii="宋体" w:hAnsi="宋体"/>
          <w:szCs w:val="21"/>
        </w:rPr>
      </w:pPr>
      <w:r>
        <w:rPr>
          <w:rFonts w:hint="eastAsia" w:ascii="宋体" w:hAnsi="宋体"/>
          <w:szCs w:val="21"/>
        </w:rPr>
        <w:t>18.4任何因不可抗力所导致延误履行合同或不能履行合同，受阻方将不因此而构成违约。</w:t>
      </w:r>
    </w:p>
    <w:p>
      <w:pPr>
        <w:tabs>
          <w:tab w:val="left" w:pos="567"/>
        </w:tabs>
        <w:snapToGrid w:val="0"/>
        <w:spacing w:line="360" w:lineRule="auto"/>
        <w:ind w:firstLine="420" w:firstLineChars="200"/>
        <w:rPr>
          <w:rFonts w:ascii="宋体" w:hAnsi="宋体"/>
          <w:szCs w:val="21"/>
        </w:rPr>
      </w:pPr>
      <w:r>
        <w:rPr>
          <w:rFonts w:hint="eastAsia" w:ascii="宋体" w:hAnsi="宋体"/>
          <w:szCs w:val="21"/>
        </w:rPr>
        <w:t>18.5在发生任何不可抗力的情况时，只要合理可行，甲乙双方应尽力继续履行其合同中的义务。并应通知对方准备采取的措施，包括不可抗力不能阻止的任何合理的替代履约方法。不可抗力结束后，乙方应及时履行合同，否则视为违约。</w:t>
      </w:r>
    </w:p>
    <w:p>
      <w:pPr>
        <w:tabs>
          <w:tab w:val="left" w:pos="567"/>
        </w:tabs>
        <w:snapToGrid w:val="0"/>
        <w:spacing w:line="360" w:lineRule="auto"/>
        <w:ind w:firstLine="420" w:firstLineChars="200"/>
        <w:rPr>
          <w:rFonts w:ascii="宋体" w:hAnsi="宋体"/>
          <w:szCs w:val="21"/>
        </w:rPr>
      </w:pPr>
      <w:r>
        <w:rPr>
          <w:rFonts w:hint="eastAsia" w:ascii="宋体" w:hAnsi="宋体"/>
          <w:szCs w:val="21"/>
        </w:rPr>
        <w:t>18.6如果不可抗力已发生并持续一百八十（180）天，则尽管由于此原因可能已允许乙方延长工期，双方中任何一方均有权在通知对方三十（30）天后终止合同。</w:t>
      </w:r>
    </w:p>
    <w:bookmarkEnd w:id="512"/>
    <w:bookmarkEnd w:id="513"/>
    <w:bookmarkEnd w:id="514"/>
    <w:bookmarkEnd w:id="515"/>
    <w:bookmarkEnd w:id="516"/>
    <w:bookmarkEnd w:id="517"/>
    <w:p>
      <w:pPr>
        <w:numPr>
          <w:ilvl w:val="0"/>
          <w:numId w:val="4"/>
        </w:numPr>
        <w:spacing w:line="360" w:lineRule="auto"/>
        <w:ind w:firstLine="420" w:firstLineChars="200"/>
        <w:outlineLvl w:val="2"/>
        <w:rPr>
          <w:rFonts w:ascii="宋体" w:hAnsi="宋体"/>
          <w:b/>
          <w:szCs w:val="21"/>
        </w:rPr>
      </w:pPr>
      <w:bookmarkStart w:id="518" w:name="_Toc384938647"/>
      <w:bookmarkStart w:id="519" w:name="_Toc79"/>
      <w:bookmarkStart w:id="520" w:name="_Toc32503"/>
      <w:r>
        <w:rPr>
          <w:rFonts w:hint="eastAsia" w:ascii="宋体" w:hAnsi="宋体"/>
          <w:b/>
          <w:szCs w:val="21"/>
        </w:rPr>
        <w:t>乙方履约展期</w:t>
      </w:r>
      <w:bookmarkEnd w:id="518"/>
      <w:bookmarkEnd w:id="519"/>
      <w:bookmarkEnd w:id="520"/>
    </w:p>
    <w:p>
      <w:pPr>
        <w:tabs>
          <w:tab w:val="left" w:pos="567"/>
        </w:tabs>
        <w:snapToGrid w:val="0"/>
        <w:spacing w:line="360" w:lineRule="auto"/>
        <w:ind w:firstLine="420" w:firstLineChars="200"/>
        <w:rPr>
          <w:rFonts w:ascii="宋体" w:hAnsi="宋体"/>
          <w:szCs w:val="21"/>
        </w:rPr>
      </w:pPr>
      <w:r>
        <w:rPr>
          <w:rFonts w:hint="eastAsia" w:ascii="宋体" w:hAnsi="宋体"/>
          <w:szCs w:val="21"/>
        </w:rPr>
        <w:t>19.1乙方应按合同条款中规定的或甲方通知的时间完成项目启动、需求调研、管理标准体系建设、基础设施安装部署、系统设计、开发实施与集成、系统安装部署、测试与联调、系统初始化与指导甲方历史数据录入、培训、试运行准备、试运行、初步验收、最终验收等。</w:t>
      </w:r>
    </w:p>
    <w:p>
      <w:pPr>
        <w:tabs>
          <w:tab w:val="left" w:pos="567"/>
        </w:tabs>
        <w:snapToGrid w:val="0"/>
        <w:spacing w:line="360" w:lineRule="auto"/>
        <w:ind w:firstLine="420" w:firstLineChars="200"/>
        <w:rPr>
          <w:rFonts w:ascii="宋体" w:hAnsi="宋体"/>
          <w:szCs w:val="21"/>
        </w:rPr>
      </w:pPr>
      <w:r>
        <w:rPr>
          <w:rFonts w:hint="eastAsia" w:ascii="宋体" w:hAnsi="宋体"/>
          <w:szCs w:val="21"/>
        </w:rPr>
        <w:t>19.2乙方在下列情况下可要求延期：</w:t>
      </w:r>
    </w:p>
    <w:p>
      <w:pPr>
        <w:tabs>
          <w:tab w:val="left" w:pos="567"/>
        </w:tabs>
        <w:snapToGrid w:val="0"/>
        <w:spacing w:line="360" w:lineRule="auto"/>
        <w:ind w:firstLine="420" w:firstLineChars="200"/>
        <w:rPr>
          <w:rFonts w:ascii="宋体" w:hAnsi="宋体"/>
          <w:szCs w:val="21"/>
        </w:rPr>
      </w:pPr>
      <w:r>
        <w:rPr>
          <w:rFonts w:hint="eastAsia" w:ascii="宋体" w:hAnsi="宋体"/>
          <w:szCs w:val="21"/>
        </w:rPr>
        <w:t>19.2.1合同条款第18条所述之不可抗力；</w:t>
      </w:r>
    </w:p>
    <w:p>
      <w:pPr>
        <w:tabs>
          <w:tab w:val="left" w:pos="567"/>
        </w:tabs>
        <w:snapToGrid w:val="0"/>
        <w:spacing w:line="360" w:lineRule="auto"/>
        <w:ind w:firstLine="420" w:firstLineChars="200"/>
        <w:rPr>
          <w:rFonts w:ascii="宋体" w:hAnsi="宋体"/>
          <w:szCs w:val="21"/>
        </w:rPr>
      </w:pPr>
      <w:r>
        <w:rPr>
          <w:rFonts w:hint="eastAsia" w:ascii="宋体" w:hAnsi="宋体"/>
          <w:szCs w:val="21"/>
        </w:rPr>
        <w:t>19.2.2甲方签发的延期执行合同的指令；</w:t>
      </w:r>
    </w:p>
    <w:p>
      <w:pPr>
        <w:tabs>
          <w:tab w:val="left" w:pos="567"/>
        </w:tabs>
        <w:snapToGrid w:val="0"/>
        <w:spacing w:line="360" w:lineRule="auto"/>
        <w:ind w:firstLine="420" w:firstLineChars="200"/>
        <w:rPr>
          <w:rFonts w:ascii="宋体" w:hAnsi="宋体"/>
          <w:szCs w:val="21"/>
        </w:rPr>
      </w:pPr>
      <w:r>
        <w:rPr>
          <w:rFonts w:hint="eastAsia" w:ascii="宋体" w:hAnsi="宋体"/>
          <w:szCs w:val="21"/>
        </w:rPr>
        <w:t>乙方应努力避免或克服造成延迟的原因，双方应对克服延迟的补救措施达成共识。</w:t>
      </w:r>
    </w:p>
    <w:p>
      <w:pPr>
        <w:tabs>
          <w:tab w:val="left" w:pos="567"/>
        </w:tabs>
        <w:snapToGrid w:val="0"/>
        <w:spacing w:line="360" w:lineRule="auto"/>
        <w:ind w:firstLine="420" w:firstLineChars="200"/>
        <w:rPr>
          <w:rFonts w:ascii="宋体" w:hAnsi="宋体"/>
          <w:szCs w:val="21"/>
        </w:rPr>
      </w:pPr>
      <w:r>
        <w:rPr>
          <w:rFonts w:hint="eastAsia" w:ascii="宋体" w:hAnsi="宋体"/>
          <w:szCs w:val="21"/>
        </w:rPr>
        <w:t>19.3除非乙方立即书面通知甲方因第18.2条的情况可能造成延期，乙方无权延期。</w:t>
      </w:r>
    </w:p>
    <w:p>
      <w:pPr>
        <w:numPr>
          <w:ilvl w:val="0"/>
          <w:numId w:val="4"/>
        </w:numPr>
        <w:spacing w:line="360" w:lineRule="auto"/>
        <w:ind w:firstLine="420" w:firstLineChars="200"/>
        <w:outlineLvl w:val="2"/>
        <w:rPr>
          <w:rFonts w:ascii="宋体" w:hAnsi="宋体"/>
          <w:b/>
          <w:szCs w:val="21"/>
        </w:rPr>
      </w:pPr>
      <w:bookmarkStart w:id="521" w:name="_Toc19481"/>
      <w:bookmarkStart w:id="522" w:name="_Toc24087"/>
      <w:r>
        <w:rPr>
          <w:rFonts w:hint="eastAsia" w:ascii="宋体" w:hAnsi="宋体"/>
          <w:b/>
          <w:szCs w:val="21"/>
        </w:rPr>
        <w:t>索赔与赔偿</w:t>
      </w:r>
      <w:bookmarkEnd w:id="521"/>
      <w:bookmarkEnd w:id="522"/>
    </w:p>
    <w:p>
      <w:pPr>
        <w:tabs>
          <w:tab w:val="left" w:pos="567"/>
        </w:tabs>
        <w:snapToGrid w:val="0"/>
        <w:spacing w:line="360" w:lineRule="auto"/>
        <w:ind w:firstLine="420" w:firstLineChars="200"/>
        <w:rPr>
          <w:rFonts w:ascii="宋体" w:hAnsi="宋体"/>
          <w:szCs w:val="21"/>
        </w:rPr>
      </w:pPr>
      <w:r>
        <w:rPr>
          <w:rFonts w:hint="eastAsia" w:ascii="宋体" w:hAnsi="宋体"/>
          <w:szCs w:val="21"/>
        </w:rPr>
        <w:t>20.1除按合同条款第18条所述之不可抗力以及甲方签发的延期执行合同指令外，乙方不能在合同规定的工期内提供服务，甲方在不违背其它补救措施的前提下，按合同条款中规定的比例扣除合同价款，作为损失补偿，直至合同条款中规定的最高比例。当扣款达到最高比例时，甲方有权按第17条解除或终止合同。</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2</w:t>
      </w:r>
      <w:r>
        <w:rPr>
          <w:rFonts w:hint="eastAsia" w:ascii="宋体" w:hAnsi="宋体"/>
          <w:szCs w:val="21"/>
        </w:rPr>
        <w:t>违约金与赔偿金额计算</w:t>
      </w:r>
    </w:p>
    <w:p>
      <w:pPr>
        <w:tabs>
          <w:tab w:val="left" w:pos="567"/>
        </w:tabs>
        <w:snapToGrid w:val="0"/>
        <w:spacing w:line="360" w:lineRule="auto"/>
        <w:ind w:firstLine="420" w:firstLineChars="200"/>
        <w:rPr>
          <w:rFonts w:ascii="宋体" w:hAnsi="宋体"/>
          <w:szCs w:val="21"/>
        </w:rPr>
      </w:pPr>
      <w:r>
        <w:rPr>
          <w:rFonts w:hint="eastAsia" w:ascii="宋体" w:hAnsi="宋体"/>
          <w:szCs w:val="21"/>
        </w:rPr>
        <w:t>乙方应在合同执行过程中严格遵守甲方各项管理规定、要求。如乙方未按要求执行，甲方可对乙方进行考核，并在进度款中进行扣减。甲方对乙方的考核，乙方须自行证明自身无责，否则不能免责。如有违反以下条款，由甲方填写合同违约处罚通知单，并经甲方相关部门审核后，在进度款中扣除相应金额：</w:t>
      </w:r>
    </w:p>
    <w:p>
      <w:pPr>
        <w:tabs>
          <w:tab w:val="left" w:pos="0"/>
          <w:tab w:val="left" w:pos="567"/>
        </w:tabs>
        <w:snapToGrid w:val="0"/>
        <w:spacing w:line="360" w:lineRule="auto"/>
        <w:ind w:firstLine="420" w:firstLineChars="200"/>
        <w:rPr>
          <w:rFonts w:ascii="宋体" w:hAnsi="宋体"/>
          <w:szCs w:val="21"/>
        </w:rPr>
      </w:pPr>
      <w:r>
        <w:rPr>
          <w:rFonts w:hint="eastAsia" w:ascii="宋体" w:hAnsi="宋体"/>
          <w:szCs w:val="21"/>
        </w:rPr>
        <w:t>双方签署《系统上线确认书》之日起一年期内，乙方所实施的软件产品，该产品的厂商或乙方如果有最新同类产品，甲方有权要求免费升级，如果乙方不响应甲方要求进行免费升级，甲方有权要求违约赔偿，违约赔偿金额不低于产品的报价。乙方须根据甲方要求免费提供软件的技术支持及培训服务。</w:t>
      </w:r>
    </w:p>
    <w:p>
      <w:pPr>
        <w:tabs>
          <w:tab w:val="left" w:pos="0"/>
          <w:tab w:val="left" w:pos="567"/>
        </w:tabs>
        <w:snapToGrid w:val="0"/>
        <w:spacing w:line="360" w:lineRule="auto"/>
        <w:ind w:firstLine="420" w:firstLineChars="200"/>
        <w:rPr>
          <w:rFonts w:ascii="宋体" w:hAnsi="宋体"/>
          <w:szCs w:val="21"/>
        </w:rPr>
      </w:pPr>
      <w:r>
        <w:rPr>
          <w:rFonts w:hint="eastAsia" w:ascii="宋体" w:hAnsi="宋体"/>
          <w:szCs w:val="21"/>
        </w:rPr>
        <w:t>采用产品采购方式实施的系统如发现质量问题或根据甲方业务需要须进行功能优化，乙方须提交包括解决处理时间的书面分析报告，获得甲方批准认可。如果乙方没有在约定时间内解决，甲方可对乙方进行进度款扣除，每次500元。</w:t>
      </w:r>
    </w:p>
    <w:p>
      <w:pPr>
        <w:tabs>
          <w:tab w:val="left" w:pos="0"/>
          <w:tab w:val="left" w:pos="567"/>
        </w:tabs>
        <w:snapToGrid w:val="0"/>
        <w:spacing w:line="360" w:lineRule="auto"/>
        <w:ind w:firstLine="420" w:firstLineChars="200"/>
      </w:pPr>
      <w:r>
        <w:rPr>
          <w:rFonts w:hint="eastAsia" w:ascii="宋体" w:hAnsi="宋体"/>
          <w:szCs w:val="21"/>
        </w:rPr>
        <w:t>在合同质量保证期内乙方不按要求提交系统运维记录、故障分析报告、保障方案等的，甲方可对乙方进行质保金扣除，每次500元；若出现提供虚假报告的，甲方可对乙方进行质保金扣除，每次500元。</w:t>
      </w:r>
    </w:p>
    <w:p>
      <w:pPr>
        <w:tabs>
          <w:tab w:val="left" w:pos="567"/>
        </w:tabs>
        <w:snapToGrid w:val="0"/>
        <w:spacing w:line="360" w:lineRule="auto"/>
        <w:ind w:firstLine="420" w:firstLineChars="200"/>
        <w:rPr>
          <w:rFonts w:ascii="宋体" w:hAnsi="宋体"/>
          <w:szCs w:val="21"/>
        </w:rPr>
      </w:pPr>
      <w:r>
        <w:rPr>
          <w:rFonts w:hint="eastAsia" w:ascii="宋体" w:hAnsi="宋体"/>
          <w:szCs w:val="21"/>
        </w:rPr>
        <w:t>本合同项下涉及的所有违约金和赔偿金额均依据合同的规定计算。如合同未有明确规定的，则根据国家或地方有关规定、惯例、行业规定等合理地估算。</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违约金与赔偿金的支付</w:t>
      </w:r>
    </w:p>
    <w:p>
      <w:pPr>
        <w:tabs>
          <w:tab w:val="left" w:pos="567"/>
        </w:tabs>
        <w:snapToGrid w:val="0"/>
        <w:spacing w:line="360" w:lineRule="auto"/>
        <w:ind w:firstLine="420" w:firstLineChars="200"/>
        <w:rPr>
          <w:rFonts w:ascii="宋体" w:hAnsi="宋体"/>
          <w:szCs w:val="21"/>
        </w:rPr>
      </w:pPr>
      <w:r>
        <w:rPr>
          <w:rFonts w:hint="eastAsia" w:ascii="宋体" w:hAnsi="宋体"/>
          <w:szCs w:val="21"/>
        </w:rPr>
        <w:t>对于合同中所列的违约金和赔偿金，甲方有权从从任何一笔应支付给乙方的款项中扣除，或要求乙方以电汇方式向甲方支付偿还。在后一种情况下乙方应在一（1）个月内凭甲方索赔文件以电汇方式向甲方支付所有违约金和赔偿金。</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4</w:t>
      </w:r>
      <w:r>
        <w:rPr>
          <w:rFonts w:hint="eastAsia" w:ascii="宋体" w:hAnsi="宋体"/>
          <w:szCs w:val="21"/>
        </w:rPr>
        <w:t>乙方须据合同规定，对本项目质量负完全责任。除合同中所述的损害赔偿或其他补偿外，合同双方不负责其它的任何后果性的财务或利润损失。在任何情况下，乙方在合同项下的最大赔偿责任应不超过合同条款第9条规定的合同价格的百分之一百（100%）。但是，本合同规定的责任限制不适用于因合同一方故意行为导致的损害、损失及人身伤亡，也不适用于由于重大过失、欺诈行为、故意的错误行为、第三者责任，以及甲方收到的赔偿金。</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5</w:t>
      </w:r>
      <w:r>
        <w:rPr>
          <w:rFonts w:hint="eastAsia" w:ascii="宋体" w:hAnsi="宋体"/>
          <w:szCs w:val="21"/>
        </w:rPr>
        <w:t>乙方对其产品质量引起的人身伤亡的责任受有关适用法律的制约。</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6</w:t>
      </w:r>
      <w:r>
        <w:rPr>
          <w:rFonts w:hint="eastAsia" w:ascii="宋体" w:hAnsi="宋体"/>
          <w:szCs w:val="21"/>
        </w:rPr>
        <w:t>所有违约金和赔偿金的支付不减轻乙方合同项下的任何责任和义务。如果甲方所遭受的损失超过违约金，乙方应对超出违约金部分的损失给予赔偿。</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7</w:t>
      </w:r>
      <w:r>
        <w:rPr>
          <w:rFonts w:hint="eastAsia" w:ascii="宋体" w:hAnsi="宋体"/>
          <w:szCs w:val="21"/>
        </w:rPr>
        <w:t>乙方应在收到甲方的索赔文件后三（3）天内作出答复以确认是否接受甲方的索赔要求。如乙方在收到索赔文件三（3）天内不作答复，则应视为该索赔要求已被乙方接受。乙方对违约金或赔偿的所有异议应按合同本条款规定的时间向甲方提出，甲方收到后十四（14）天内组织有关各方协商解决。如协商未果，则按照合同条款第22条执行。但异议的协商不能影响合同项下的其它工作的继续进行。</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8</w:t>
      </w:r>
      <w:r>
        <w:rPr>
          <w:rFonts w:hint="eastAsia" w:ascii="宋体" w:hAnsi="宋体"/>
          <w:szCs w:val="21"/>
        </w:rPr>
        <w:t>本合同条款规定的乙方处理服务质量问题的时间如果与合同规定的关键节点时间有冲突，应首先满足该关键节点时间。</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9</w:t>
      </w:r>
      <w:r>
        <w:rPr>
          <w:rFonts w:hint="eastAsia" w:ascii="宋体" w:hAnsi="宋体"/>
          <w:szCs w:val="21"/>
        </w:rPr>
        <w:t>甲方的违约情形及违约责任</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9</w:t>
      </w:r>
      <w:r>
        <w:rPr>
          <w:rFonts w:hint="eastAsia" w:ascii="宋体" w:hAnsi="宋体"/>
          <w:szCs w:val="21"/>
        </w:rPr>
        <w:t>.1 违反保密条款的，承担乙方因此受到的所有直接损失。</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9</w:t>
      </w:r>
      <w:r>
        <w:rPr>
          <w:rFonts w:hint="eastAsia" w:ascii="宋体" w:hAnsi="宋体"/>
          <w:szCs w:val="21"/>
        </w:rPr>
        <w:t>.2 违反合同其他约定且在乙方书面提示之后同一违约行为仍未进行改进的，应按合同总额的千分之五支付违约金；违约金处罚后同一违约行为仍未进行改进的，乙方有权单方解除合同。</w:t>
      </w:r>
    </w:p>
    <w:p>
      <w:pPr>
        <w:tabs>
          <w:tab w:val="left" w:pos="567"/>
        </w:tabs>
        <w:snapToGrid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9</w:t>
      </w:r>
      <w:r>
        <w:rPr>
          <w:rFonts w:hint="eastAsia" w:ascii="宋体" w:hAnsi="宋体"/>
          <w:szCs w:val="21"/>
        </w:rPr>
        <w:t>.3 根本性违约且导致合同不能继续履行的，乙方有权单方解除合同。</w:t>
      </w:r>
    </w:p>
    <w:p>
      <w:pPr>
        <w:tabs>
          <w:tab w:val="left" w:pos="567"/>
        </w:tabs>
        <w:snapToGrid w:val="0"/>
        <w:spacing w:line="360" w:lineRule="auto"/>
        <w:ind w:firstLine="420" w:firstLineChars="200"/>
        <w:rPr>
          <w:rFonts w:ascii="宋体" w:hAnsi="宋体"/>
          <w:szCs w:val="21"/>
        </w:rPr>
      </w:pPr>
      <w:r>
        <w:rPr>
          <w:rFonts w:hint="eastAsia" w:ascii="宋体" w:hAnsi="宋体"/>
          <w:szCs w:val="21"/>
        </w:rPr>
        <w:t>20.1</w:t>
      </w:r>
      <w:r>
        <w:rPr>
          <w:rFonts w:ascii="宋体" w:hAnsi="宋体"/>
          <w:szCs w:val="21"/>
        </w:rPr>
        <w:t>0</w:t>
      </w:r>
      <w:r>
        <w:rPr>
          <w:rFonts w:hint="eastAsia" w:ascii="宋体" w:hAnsi="宋体"/>
          <w:szCs w:val="21"/>
        </w:rPr>
        <w:t>乙方的违约情形及违约责任</w:t>
      </w:r>
    </w:p>
    <w:p>
      <w:pPr>
        <w:tabs>
          <w:tab w:val="left" w:pos="567"/>
        </w:tabs>
        <w:snapToGrid w:val="0"/>
        <w:spacing w:line="360" w:lineRule="auto"/>
        <w:ind w:firstLine="420" w:firstLineChars="200"/>
        <w:rPr>
          <w:rFonts w:ascii="宋体" w:hAnsi="宋体"/>
          <w:szCs w:val="21"/>
        </w:rPr>
      </w:pPr>
      <w:r>
        <w:rPr>
          <w:rFonts w:hint="eastAsia" w:ascii="宋体" w:hAnsi="宋体"/>
          <w:szCs w:val="21"/>
        </w:rPr>
        <w:t>20.1</w:t>
      </w:r>
      <w:r>
        <w:rPr>
          <w:rFonts w:ascii="宋体" w:hAnsi="宋体"/>
          <w:szCs w:val="21"/>
        </w:rPr>
        <w:t>0</w:t>
      </w:r>
      <w:r>
        <w:rPr>
          <w:rFonts w:hint="eastAsia" w:ascii="宋体" w:hAnsi="宋体"/>
          <w:szCs w:val="21"/>
        </w:rPr>
        <w:t>.1 交付的软件产品或服务成果存在单项模块功能瑕疵，即单项模块不具有正常使用功能或不能满足本合同目的，如因该单项模块功能导致其他多个（2个及以上）模块的功能均无法正常使用或不能满足本合同目的，甲方有权要求乙方退还已收取的款项，并要求乙方按合同总金额的10％支付违约金。</w:t>
      </w:r>
    </w:p>
    <w:p>
      <w:pPr>
        <w:tabs>
          <w:tab w:val="left" w:pos="567"/>
        </w:tabs>
        <w:snapToGrid w:val="0"/>
        <w:spacing w:line="360" w:lineRule="auto"/>
        <w:ind w:firstLine="420" w:firstLineChars="200"/>
        <w:rPr>
          <w:rFonts w:ascii="宋体" w:hAnsi="宋体"/>
          <w:szCs w:val="21"/>
        </w:rPr>
      </w:pPr>
      <w:r>
        <w:rPr>
          <w:rFonts w:hint="eastAsia" w:ascii="宋体" w:hAnsi="宋体"/>
          <w:szCs w:val="21"/>
        </w:rPr>
        <w:t>20.1</w:t>
      </w:r>
      <w:r>
        <w:rPr>
          <w:rFonts w:ascii="宋体" w:hAnsi="宋体"/>
          <w:szCs w:val="21"/>
        </w:rPr>
        <w:t>0</w:t>
      </w:r>
      <w:r>
        <w:rPr>
          <w:rFonts w:hint="eastAsia" w:ascii="宋体" w:hAnsi="宋体"/>
          <w:szCs w:val="21"/>
        </w:rPr>
        <w:t>.2未按合同约定更换项目团队人员的，人员考核规定：</w:t>
      </w:r>
    </w:p>
    <w:p>
      <w:pPr>
        <w:tabs>
          <w:tab w:val="left" w:pos="0"/>
          <w:tab w:val="left" w:pos="567"/>
        </w:tabs>
        <w:snapToGrid w:val="0"/>
        <w:spacing w:line="360" w:lineRule="auto"/>
        <w:ind w:firstLine="420" w:firstLineChars="200"/>
        <w:rPr>
          <w:rFonts w:ascii="宋体" w:hAnsi="宋体"/>
          <w:szCs w:val="21"/>
        </w:rPr>
      </w:pPr>
      <w:r>
        <w:rPr>
          <w:rFonts w:hint="eastAsia" w:ascii="宋体" w:hAnsi="宋体"/>
          <w:szCs w:val="21"/>
        </w:rPr>
        <w:t>（1）在合同履行期间，除不可抗因素外，未经甲方书面同意，乙方擅自更换以下人员的课以以下违约金：项目经理2万元/人次，其它项目组成员2000元/人次。</w:t>
      </w:r>
    </w:p>
    <w:p>
      <w:pPr>
        <w:tabs>
          <w:tab w:val="left" w:pos="0"/>
          <w:tab w:val="left" w:pos="567"/>
        </w:tabs>
        <w:snapToGrid w:val="0"/>
        <w:spacing w:line="360" w:lineRule="auto"/>
        <w:ind w:firstLine="420" w:firstLineChars="200"/>
        <w:rPr>
          <w:rFonts w:ascii="宋体" w:hAnsi="宋体"/>
          <w:szCs w:val="21"/>
        </w:rPr>
      </w:pPr>
      <w:r>
        <w:rPr>
          <w:rFonts w:hint="eastAsia" w:ascii="宋体" w:hAnsi="宋体"/>
          <w:szCs w:val="21"/>
        </w:rPr>
        <w:t>（2）在合同履行期间，乙方申请更换项目组成员须经甲方书面同意，且更换人员必须在资历（</w:t>
      </w:r>
      <w:r>
        <w:rPr>
          <w:rFonts w:ascii="宋体" w:hAnsi="宋体"/>
          <w:szCs w:val="21"/>
        </w:rPr>
        <w:t>资历是指被更换人员的学历、资格条件、职称、业绩经验</w:t>
      </w:r>
      <w:r>
        <w:rPr>
          <w:rFonts w:hint="eastAsia" w:ascii="宋体" w:hAnsi="宋体"/>
          <w:szCs w:val="21"/>
        </w:rPr>
        <w:t>）和能力等方面与前任相当或优于，不予处罚。</w:t>
      </w:r>
    </w:p>
    <w:p>
      <w:pPr>
        <w:tabs>
          <w:tab w:val="left" w:pos="0"/>
          <w:tab w:val="left" w:pos="567"/>
        </w:tabs>
        <w:snapToGrid w:val="0"/>
        <w:spacing w:line="360" w:lineRule="auto"/>
        <w:ind w:firstLine="420" w:firstLineChars="200"/>
        <w:rPr>
          <w:rFonts w:ascii="宋体" w:hAnsi="宋体"/>
          <w:szCs w:val="21"/>
        </w:rPr>
      </w:pPr>
      <w:r>
        <w:rPr>
          <w:rFonts w:hint="eastAsia" w:ascii="宋体" w:hAnsi="宋体"/>
          <w:szCs w:val="21"/>
        </w:rPr>
        <w:t>（3）甲方</w:t>
      </w:r>
      <w:r>
        <w:rPr>
          <w:rFonts w:ascii="宋体" w:hAnsi="宋体"/>
          <w:szCs w:val="21"/>
        </w:rPr>
        <w:t>要求更换</w:t>
      </w:r>
      <w:r>
        <w:rPr>
          <w:rFonts w:hint="eastAsia" w:ascii="宋体" w:hAnsi="宋体"/>
          <w:szCs w:val="21"/>
        </w:rPr>
        <w:t>乙方项目组成员</w:t>
      </w:r>
      <w:r>
        <w:rPr>
          <w:rFonts w:ascii="宋体" w:hAnsi="宋体"/>
          <w:szCs w:val="21"/>
        </w:rPr>
        <w:t>的，</w:t>
      </w:r>
      <w:r>
        <w:rPr>
          <w:rFonts w:hint="eastAsia" w:ascii="宋体" w:hAnsi="宋体"/>
          <w:szCs w:val="21"/>
        </w:rPr>
        <w:t>乙方</w:t>
      </w:r>
      <w:r>
        <w:rPr>
          <w:rFonts w:ascii="宋体" w:hAnsi="宋体"/>
          <w:szCs w:val="21"/>
        </w:rPr>
        <w:t>应按</w:t>
      </w:r>
      <w:r>
        <w:rPr>
          <w:rFonts w:hint="eastAsia" w:ascii="宋体" w:hAnsi="宋体"/>
          <w:szCs w:val="21"/>
        </w:rPr>
        <w:t>甲方</w:t>
      </w:r>
      <w:r>
        <w:rPr>
          <w:rFonts w:ascii="宋体" w:hAnsi="宋体"/>
          <w:szCs w:val="21"/>
        </w:rPr>
        <w:t>要求时限整改，时限内整改满足</w:t>
      </w:r>
      <w:r>
        <w:rPr>
          <w:rFonts w:hint="eastAsia" w:ascii="宋体" w:hAnsi="宋体"/>
          <w:szCs w:val="21"/>
        </w:rPr>
        <w:t>甲方</w:t>
      </w:r>
      <w:r>
        <w:rPr>
          <w:rFonts w:ascii="宋体" w:hAnsi="宋体"/>
          <w:szCs w:val="21"/>
        </w:rPr>
        <w:t>要求的不予处罚；超出时限仍不能满足</w:t>
      </w:r>
      <w:r>
        <w:rPr>
          <w:rFonts w:hint="eastAsia" w:ascii="宋体" w:hAnsi="宋体"/>
          <w:szCs w:val="21"/>
        </w:rPr>
        <w:t>甲方</w:t>
      </w:r>
      <w:r>
        <w:rPr>
          <w:rFonts w:ascii="宋体" w:hAnsi="宋体"/>
          <w:szCs w:val="21"/>
        </w:rPr>
        <w:t>要求的视为</w:t>
      </w:r>
      <w:r>
        <w:rPr>
          <w:rFonts w:hint="eastAsia" w:ascii="宋体" w:hAnsi="宋体"/>
          <w:szCs w:val="21"/>
        </w:rPr>
        <w:t>乙方</w:t>
      </w:r>
      <w:r>
        <w:rPr>
          <w:rFonts w:ascii="宋体" w:hAnsi="宋体"/>
          <w:szCs w:val="21"/>
        </w:rPr>
        <w:t>违约，课以</w:t>
      </w:r>
      <w:r>
        <w:rPr>
          <w:rFonts w:hint="eastAsia" w:ascii="宋体" w:hAnsi="宋体"/>
          <w:szCs w:val="21"/>
        </w:rPr>
        <w:t>2000</w:t>
      </w:r>
      <w:r>
        <w:rPr>
          <w:rFonts w:ascii="宋体" w:hAnsi="宋体"/>
          <w:szCs w:val="21"/>
        </w:rPr>
        <w:t>元/天/人次违约金。</w:t>
      </w:r>
    </w:p>
    <w:p>
      <w:pPr>
        <w:tabs>
          <w:tab w:val="left" w:pos="0"/>
          <w:tab w:val="left" w:pos="567"/>
        </w:tabs>
        <w:snapToGrid w:val="0"/>
        <w:spacing w:line="360" w:lineRule="auto"/>
        <w:ind w:firstLine="420" w:firstLineChars="200"/>
        <w:rPr>
          <w:rFonts w:ascii="宋体" w:hAnsi="宋体"/>
          <w:szCs w:val="21"/>
        </w:rPr>
      </w:pPr>
      <w:r>
        <w:rPr>
          <w:rFonts w:hint="eastAsia" w:ascii="宋体" w:hAnsi="宋体"/>
          <w:szCs w:val="21"/>
        </w:rPr>
        <w:t>（4）按照本款（2）的情形，更换的人员未按甲方要求时限到任，视为乙方违约，并课以以下违约金：项目经理5000元/天，其它项目组成员500元/天。</w:t>
      </w:r>
    </w:p>
    <w:p>
      <w:pPr>
        <w:tabs>
          <w:tab w:val="left" w:pos="0"/>
          <w:tab w:val="left" w:pos="567"/>
        </w:tabs>
        <w:snapToGrid w:val="0"/>
        <w:spacing w:line="360" w:lineRule="auto"/>
        <w:ind w:firstLine="420" w:firstLineChars="200"/>
        <w:rPr>
          <w:rFonts w:ascii="宋体" w:hAnsi="宋体"/>
          <w:szCs w:val="21"/>
        </w:rPr>
      </w:pPr>
      <w:r>
        <w:rPr>
          <w:rFonts w:hint="eastAsia" w:ascii="宋体" w:hAnsi="宋体"/>
          <w:szCs w:val="21"/>
        </w:rPr>
        <w:t>（5）在合同履行期间，乙方项目组成员主动提出离职或与乙方发生诉讼仲裁的，乙方应及时书面通知甲方，并立即更换相应人员，保障项目持续开展的，不予处罚。</w:t>
      </w:r>
    </w:p>
    <w:p>
      <w:pPr>
        <w:tabs>
          <w:tab w:val="left" w:pos="567"/>
        </w:tabs>
        <w:snapToGrid w:val="0"/>
        <w:spacing w:line="360" w:lineRule="auto"/>
        <w:ind w:firstLine="420" w:firstLineChars="200"/>
        <w:rPr>
          <w:rFonts w:ascii="宋体" w:hAnsi="宋体"/>
          <w:szCs w:val="21"/>
        </w:rPr>
      </w:pPr>
      <w:r>
        <w:rPr>
          <w:rFonts w:hint="eastAsia" w:ascii="宋体" w:hAnsi="宋体"/>
          <w:szCs w:val="21"/>
        </w:rPr>
        <w:t>20.1</w:t>
      </w:r>
      <w:r>
        <w:rPr>
          <w:rFonts w:ascii="宋体" w:hAnsi="宋体"/>
          <w:szCs w:val="21"/>
        </w:rPr>
        <w:t>0</w:t>
      </w:r>
      <w:r>
        <w:rPr>
          <w:rFonts w:hint="eastAsia" w:ascii="宋体" w:hAnsi="宋体"/>
          <w:szCs w:val="21"/>
        </w:rPr>
        <w:t>.3</w:t>
      </w:r>
      <w:r>
        <w:rPr>
          <w:rFonts w:ascii="宋体" w:hAnsi="宋体"/>
          <w:szCs w:val="21"/>
        </w:rPr>
        <w:t>当实施处罚时，</w:t>
      </w:r>
      <w:r>
        <w:rPr>
          <w:rFonts w:hint="eastAsia" w:ascii="宋体" w:hAnsi="宋体"/>
          <w:szCs w:val="21"/>
        </w:rPr>
        <w:t>甲方</w:t>
      </w:r>
      <w:r>
        <w:rPr>
          <w:rFonts w:ascii="宋体" w:hAnsi="宋体"/>
          <w:szCs w:val="21"/>
        </w:rPr>
        <w:t>有权在合同进度款中扣除相应的违约金。</w:t>
      </w:r>
      <w:r>
        <w:rPr>
          <w:rFonts w:hint="eastAsia" w:ascii="宋体" w:hAnsi="宋体"/>
          <w:szCs w:val="21"/>
        </w:rPr>
        <w:t>乙方还应按照广西区、南宁市或发包人制定的设计考核办法执行。</w:t>
      </w:r>
    </w:p>
    <w:p>
      <w:pPr>
        <w:tabs>
          <w:tab w:val="left" w:pos="567"/>
        </w:tabs>
        <w:snapToGrid w:val="0"/>
        <w:spacing w:line="360" w:lineRule="auto"/>
        <w:ind w:firstLine="420" w:firstLineChars="200"/>
        <w:rPr>
          <w:rFonts w:ascii="宋体" w:hAnsi="宋体"/>
          <w:szCs w:val="21"/>
        </w:rPr>
      </w:pPr>
      <w:r>
        <w:rPr>
          <w:rFonts w:hint="eastAsia" w:ascii="宋体" w:hAnsi="宋体"/>
          <w:szCs w:val="21"/>
        </w:rPr>
        <w:t>注：有驻场办公要求的人员未按甲方要求驻场，并且也未经甲方书面同意不在南宁市办公，也视为离岗。</w:t>
      </w:r>
    </w:p>
    <w:p>
      <w:pPr>
        <w:tabs>
          <w:tab w:val="left" w:pos="567"/>
        </w:tabs>
        <w:snapToGrid w:val="0"/>
        <w:spacing w:line="360" w:lineRule="auto"/>
        <w:ind w:firstLine="420" w:firstLineChars="200"/>
        <w:rPr>
          <w:rFonts w:ascii="宋体" w:hAnsi="宋体"/>
          <w:szCs w:val="21"/>
        </w:rPr>
      </w:pPr>
      <w:r>
        <w:rPr>
          <w:rFonts w:hint="eastAsia" w:ascii="宋体" w:hAnsi="宋体"/>
          <w:szCs w:val="21"/>
        </w:rPr>
        <w:t>20.1</w:t>
      </w:r>
      <w:r>
        <w:rPr>
          <w:rFonts w:ascii="宋体" w:hAnsi="宋体"/>
          <w:szCs w:val="21"/>
        </w:rPr>
        <w:t>0</w:t>
      </w:r>
      <w:r>
        <w:rPr>
          <w:rFonts w:hint="eastAsia" w:ascii="宋体" w:hAnsi="宋体"/>
          <w:szCs w:val="21"/>
        </w:rPr>
        <w:t>.4违反保密条款的，承担甲方因此受到的所有直接损失。</w:t>
      </w:r>
    </w:p>
    <w:p>
      <w:pPr>
        <w:tabs>
          <w:tab w:val="left" w:pos="567"/>
        </w:tabs>
        <w:snapToGrid w:val="0"/>
        <w:spacing w:line="360" w:lineRule="auto"/>
        <w:ind w:firstLine="420" w:firstLineChars="200"/>
        <w:rPr>
          <w:rFonts w:ascii="宋体" w:hAnsi="宋体"/>
          <w:szCs w:val="21"/>
        </w:rPr>
      </w:pPr>
      <w:r>
        <w:rPr>
          <w:rFonts w:hint="eastAsia" w:ascii="宋体" w:hAnsi="宋体"/>
          <w:szCs w:val="21"/>
        </w:rPr>
        <w:t>20.1</w:t>
      </w:r>
      <w:r>
        <w:rPr>
          <w:rFonts w:ascii="宋体" w:hAnsi="宋体"/>
          <w:szCs w:val="21"/>
        </w:rPr>
        <w:t>0</w:t>
      </w:r>
      <w:r>
        <w:rPr>
          <w:rFonts w:hint="eastAsia" w:ascii="宋体" w:hAnsi="宋体"/>
          <w:szCs w:val="21"/>
        </w:rPr>
        <w:t>.5违反合同其他约定且在甲方书面提示之后同一违约行为仍未进行改进的，应按合同总额的千分之五/次支付违约金；违约金处罚后同一违约行为仍未进行改进的，甲方有权单方解除合同并要求乙方退还全部已收款项。</w:t>
      </w:r>
    </w:p>
    <w:p>
      <w:pPr>
        <w:tabs>
          <w:tab w:val="left" w:pos="567"/>
        </w:tabs>
        <w:snapToGrid w:val="0"/>
        <w:spacing w:line="360" w:lineRule="auto"/>
        <w:ind w:firstLine="420" w:firstLineChars="200"/>
        <w:rPr>
          <w:rFonts w:ascii="宋体" w:hAnsi="宋体"/>
          <w:szCs w:val="21"/>
        </w:rPr>
      </w:pPr>
      <w:r>
        <w:rPr>
          <w:rFonts w:hint="eastAsia" w:ascii="宋体" w:hAnsi="宋体"/>
          <w:szCs w:val="21"/>
        </w:rPr>
        <w:t>20.1</w:t>
      </w:r>
      <w:r>
        <w:rPr>
          <w:rFonts w:ascii="宋体" w:hAnsi="宋体"/>
          <w:szCs w:val="21"/>
        </w:rPr>
        <w:t>0</w:t>
      </w:r>
      <w:r>
        <w:rPr>
          <w:rFonts w:hint="eastAsia" w:ascii="宋体" w:hAnsi="宋体"/>
          <w:szCs w:val="21"/>
        </w:rPr>
        <w:t>.6根本性违约且导致合同不能继续履行的，甲方有权单方解除合同并要求乙方退还全部已收款项。</w:t>
      </w:r>
    </w:p>
    <w:p>
      <w:pPr>
        <w:numPr>
          <w:ilvl w:val="0"/>
          <w:numId w:val="4"/>
        </w:numPr>
        <w:spacing w:line="360" w:lineRule="auto"/>
        <w:ind w:firstLine="420" w:firstLineChars="200"/>
        <w:outlineLvl w:val="2"/>
        <w:rPr>
          <w:rFonts w:ascii="宋体" w:hAnsi="宋体"/>
          <w:b/>
          <w:szCs w:val="21"/>
        </w:rPr>
      </w:pPr>
      <w:bookmarkStart w:id="523" w:name="_Toc10076"/>
      <w:bookmarkStart w:id="524" w:name="_Toc4747"/>
      <w:r>
        <w:rPr>
          <w:rFonts w:hint="eastAsia" w:ascii="宋体" w:hAnsi="宋体"/>
          <w:b/>
          <w:szCs w:val="21"/>
        </w:rPr>
        <w:t>争议解决方式</w:t>
      </w:r>
      <w:bookmarkEnd w:id="523"/>
      <w:bookmarkEnd w:id="524"/>
    </w:p>
    <w:p>
      <w:pPr>
        <w:tabs>
          <w:tab w:val="left" w:pos="567"/>
        </w:tabs>
        <w:snapToGrid w:val="0"/>
        <w:spacing w:line="360" w:lineRule="auto"/>
        <w:ind w:firstLine="420" w:firstLineChars="200"/>
        <w:rPr>
          <w:rFonts w:ascii="宋体" w:hAnsi="宋体"/>
          <w:szCs w:val="21"/>
        </w:rPr>
      </w:pPr>
      <w:r>
        <w:rPr>
          <w:rFonts w:hint="eastAsia" w:ascii="宋体" w:hAnsi="宋体"/>
          <w:szCs w:val="21"/>
        </w:rPr>
        <w:t>21.1甲乙双方履行合同中发生争议的，可以先通过友好协商解决。</w:t>
      </w:r>
    </w:p>
    <w:p>
      <w:pPr>
        <w:tabs>
          <w:tab w:val="left" w:pos="567"/>
        </w:tabs>
        <w:snapToGrid w:val="0"/>
        <w:spacing w:line="360" w:lineRule="auto"/>
        <w:ind w:firstLine="420" w:firstLineChars="200"/>
        <w:rPr>
          <w:rFonts w:ascii="宋体" w:hAnsi="宋体"/>
          <w:szCs w:val="21"/>
        </w:rPr>
      </w:pPr>
      <w:r>
        <w:rPr>
          <w:rFonts w:hint="eastAsia" w:ascii="宋体" w:hAnsi="宋体"/>
          <w:szCs w:val="21"/>
        </w:rPr>
        <w:t>21.2双方协商不成的，应当按下列第（2）种方式解决：</w:t>
      </w:r>
    </w:p>
    <w:p>
      <w:pPr>
        <w:tabs>
          <w:tab w:val="left" w:pos="567"/>
        </w:tabs>
        <w:snapToGrid w:val="0"/>
        <w:spacing w:line="360" w:lineRule="auto"/>
        <w:ind w:firstLine="420" w:firstLineChars="200"/>
        <w:rPr>
          <w:rFonts w:ascii="宋体" w:hAnsi="宋体"/>
          <w:szCs w:val="21"/>
        </w:rPr>
      </w:pPr>
      <w:r>
        <w:rPr>
          <w:rFonts w:hint="eastAsia" w:ascii="宋体" w:hAnsi="宋体"/>
          <w:szCs w:val="21"/>
        </w:rPr>
        <w:t>（1）提交南宁仲裁委员会仲裁；</w:t>
      </w:r>
    </w:p>
    <w:p>
      <w:pPr>
        <w:tabs>
          <w:tab w:val="left" w:pos="567"/>
        </w:tabs>
        <w:snapToGrid w:val="0"/>
        <w:spacing w:line="360" w:lineRule="auto"/>
        <w:ind w:firstLine="420" w:firstLineChars="200"/>
        <w:rPr>
          <w:rFonts w:ascii="宋体" w:hAnsi="宋体"/>
          <w:szCs w:val="21"/>
        </w:rPr>
      </w:pPr>
      <w:r>
        <w:rPr>
          <w:rFonts w:hint="eastAsia" w:ascii="宋体" w:hAnsi="宋体"/>
          <w:szCs w:val="21"/>
        </w:rPr>
        <w:t>（2）依法向甲方所在地人民法院起诉。</w:t>
      </w:r>
    </w:p>
    <w:p>
      <w:pPr>
        <w:tabs>
          <w:tab w:val="left" w:pos="567"/>
        </w:tabs>
        <w:snapToGrid w:val="0"/>
        <w:spacing w:line="360" w:lineRule="auto"/>
        <w:ind w:firstLine="420" w:firstLineChars="200"/>
        <w:rPr>
          <w:rFonts w:ascii="宋体" w:hAnsi="宋体"/>
          <w:szCs w:val="21"/>
        </w:rPr>
      </w:pPr>
      <w:r>
        <w:rPr>
          <w:rFonts w:hint="eastAsia" w:ascii="宋体" w:hAnsi="宋体"/>
          <w:szCs w:val="21"/>
        </w:rPr>
        <w:t>21.3发生争议后，除非出现下列情况的，双方都应继续履行合同，保持施工连续并保护好已完项目：</w:t>
      </w:r>
    </w:p>
    <w:p>
      <w:pPr>
        <w:tabs>
          <w:tab w:val="left" w:pos="567"/>
        </w:tabs>
        <w:snapToGrid w:val="0"/>
        <w:spacing w:line="360" w:lineRule="auto"/>
        <w:ind w:firstLine="420" w:firstLineChars="200"/>
        <w:rPr>
          <w:rFonts w:ascii="宋体" w:hAnsi="宋体"/>
          <w:szCs w:val="21"/>
        </w:rPr>
      </w:pPr>
      <w:r>
        <w:rPr>
          <w:rFonts w:hint="eastAsia" w:ascii="宋体" w:hAnsi="宋体"/>
          <w:szCs w:val="21"/>
        </w:rPr>
        <w:t>（1）单方违约导致合同确己无法履行，双方协议停止施工；</w:t>
      </w:r>
    </w:p>
    <w:p>
      <w:pPr>
        <w:tabs>
          <w:tab w:val="left" w:pos="567"/>
        </w:tabs>
        <w:snapToGrid w:val="0"/>
        <w:spacing w:line="360" w:lineRule="auto"/>
        <w:ind w:firstLine="420" w:firstLineChars="200"/>
        <w:rPr>
          <w:rFonts w:ascii="宋体" w:hAnsi="宋体"/>
          <w:szCs w:val="21"/>
        </w:rPr>
      </w:pPr>
      <w:r>
        <w:rPr>
          <w:rFonts w:hint="eastAsia" w:ascii="宋体" w:hAnsi="宋体"/>
          <w:szCs w:val="21"/>
        </w:rPr>
        <w:t>（2）不可抗力导致合同无法履行；</w:t>
      </w:r>
    </w:p>
    <w:p>
      <w:pPr>
        <w:tabs>
          <w:tab w:val="left" w:pos="567"/>
        </w:tabs>
        <w:snapToGrid w:val="0"/>
        <w:spacing w:line="360" w:lineRule="auto"/>
        <w:ind w:firstLine="420" w:firstLineChars="200"/>
        <w:rPr>
          <w:rFonts w:ascii="宋体" w:hAnsi="宋体"/>
          <w:szCs w:val="21"/>
        </w:rPr>
      </w:pPr>
      <w:r>
        <w:rPr>
          <w:rFonts w:hint="eastAsia" w:ascii="宋体" w:hAnsi="宋体"/>
          <w:szCs w:val="21"/>
        </w:rPr>
        <w:t>（3）调解要求停止施工，且为双方接受；</w:t>
      </w:r>
    </w:p>
    <w:p>
      <w:pPr>
        <w:tabs>
          <w:tab w:val="left" w:pos="567"/>
        </w:tabs>
        <w:snapToGrid w:val="0"/>
        <w:spacing w:line="360" w:lineRule="auto"/>
        <w:ind w:firstLine="420" w:firstLineChars="200"/>
        <w:rPr>
          <w:rFonts w:ascii="宋体" w:hAnsi="宋体"/>
          <w:szCs w:val="21"/>
        </w:rPr>
      </w:pPr>
      <w:r>
        <w:rPr>
          <w:rFonts w:hint="eastAsia" w:ascii="宋体" w:hAnsi="宋体"/>
          <w:szCs w:val="21"/>
        </w:rPr>
        <w:t>（4）仲裁机关要求停止施工；</w:t>
      </w:r>
    </w:p>
    <w:p>
      <w:pPr>
        <w:tabs>
          <w:tab w:val="left" w:pos="567"/>
        </w:tabs>
        <w:snapToGrid w:val="0"/>
        <w:spacing w:line="360" w:lineRule="auto"/>
        <w:ind w:firstLine="420" w:firstLineChars="200"/>
        <w:rPr>
          <w:rFonts w:ascii="宋体" w:hAnsi="宋体"/>
          <w:szCs w:val="21"/>
        </w:rPr>
      </w:pPr>
      <w:r>
        <w:rPr>
          <w:rFonts w:hint="eastAsia" w:ascii="宋体" w:hAnsi="宋体"/>
          <w:szCs w:val="21"/>
        </w:rPr>
        <w:t>（5）法院要求停止施工。</w:t>
      </w:r>
    </w:p>
    <w:p>
      <w:pPr>
        <w:numPr>
          <w:ilvl w:val="0"/>
          <w:numId w:val="4"/>
        </w:numPr>
        <w:spacing w:line="360" w:lineRule="auto"/>
        <w:ind w:firstLine="420" w:firstLineChars="200"/>
        <w:outlineLvl w:val="2"/>
        <w:rPr>
          <w:rFonts w:ascii="宋体" w:hAnsi="宋体"/>
          <w:b/>
          <w:szCs w:val="21"/>
        </w:rPr>
      </w:pPr>
      <w:bookmarkStart w:id="525" w:name="_Toc13601"/>
      <w:bookmarkStart w:id="526" w:name="_Toc384938653"/>
      <w:bookmarkStart w:id="527" w:name="_Toc28393"/>
      <w:r>
        <w:rPr>
          <w:rFonts w:hint="eastAsia" w:ascii="宋体" w:hAnsi="宋体"/>
          <w:b/>
          <w:szCs w:val="21"/>
        </w:rPr>
        <w:t>语言</w:t>
      </w:r>
      <w:bookmarkEnd w:id="525"/>
      <w:bookmarkEnd w:id="526"/>
      <w:bookmarkEnd w:id="527"/>
    </w:p>
    <w:p>
      <w:pPr>
        <w:tabs>
          <w:tab w:val="left" w:pos="567"/>
        </w:tabs>
        <w:snapToGrid w:val="0"/>
        <w:spacing w:line="360" w:lineRule="auto"/>
        <w:ind w:firstLine="420" w:firstLineChars="200"/>
        <w:rPr>
          <w:rFonts w:ascii="宋体" w:hAnsi="宋体"/>
          <w:szCs w:val="21"/>
        </w:rPr>
      </w:pPr>
      <w:r>
        <w:rPr>
          <w:rFonts w:hint="eastAsia" w:ascii="宋体" w:hAnsi="宋体"/>
          <w:szCs w:val="21"/>
        </w:rPr>
        <w:t>22.1本合同语言为中文。</w:t>
      </w:r>
    </w:p>
    <w:p>
      <w:pPr>
        <w:tabs>
          <w:tab w:val="left" w:pos="567"/>
        </w:tabs>
        <w:snapToGrid w:val="0"/>
        <w:spacing w:line="360" w:lineRule="auto"/>
        <w:ind w:firstLine="420" w:firstLineChars="200"/>
        <w:rPr>
          <w:rFonts w:ascii="宋体" w:hAnsi="宋体"/>
          <w:szCs w:val="21"/>
        </w:rPr>
      </w:pPr>
      <w:r>
        <w:rPr>
          <w:rFonts w:hint="eastAsia" w:ascii="宋体" w:hAnsi="宋体"/>
          <w:szCs w:val="21"/>
        </w:rPr>
        <w:t>22.2合同文本可以同时附有英文版本作为参考文本，两种文本若有矛盾之处或合同双方发生争议时，以中文文本为准。</w:t>
      </w:r>
    </w:p>
    <w:p>
      <w:pPr>
        <w:tabs>
          <w:tab w:val="left" w:pos="567"/>
        </w:tabs>
        <w:snapToGrid w:val="0"/>
        <w:spacing w:line="360" w:lineRule="auto"/>
        <w:ind w:firstLine="420" w:firstLineChars="200"/>
        <w:rPr>
          <w:rFonts w:ascii="宋体" w:hAnsi="宋体"/>
          <w:szCs w:val="21"/>
        </w:rPr>
      </w:pPr>
      <w:r>
        <w:rPr>
          <w:rFonts w:hint="eastAsia" w:ascii="宋体" w:hAnsi="宋体"/>
          <w:szCs w:val="21"/>
        </w:rPr>
        <w:t>22.3乙方应负责将非中文文件翻译成中文并负责准确性。</w:t>
      </w:r>
    </w:p>
    <w:p>
      <w:pPr>
        <w:numPr>
          <w:ilvl w:val="0"/>
          <w:numId w:val="4"/>
        </w:numPr>
        <w:spacing w:line="360" w:lineRule="auto"/>
        <w:ind w:firstLine="420" w:firstLineChars="200"/>
        <w:outlineLvl w:val="2"/>
        <w:rPr>
          <w:rFonts w:ascii="宋体" w:hAnsi="宋体"/>
          <w:b/>
          <w:szCs w:val="21"/>
        </w:rPr>
      </w:pPr>
      <w:bookmarkStart w:id="528" w:name="_Toc384938654"/>
      <w:bookmarkStart w:id="529" w:name="_Toc24338"/>
      <w:bookmarkStart w:id="530" w:name="_Toc23250"/>
      <w:r>
        <w:rPr>
          <w:rFonts w:hint="eastAsia" w:ascii="宋体" w:hAnsi="宋体"/>
          <w:b/>
          <w:szCs w:val="21"/>
        </w:rPr>
        <w:t>适用法律</w:t>
      </w:r>
      <w:bookmarkEnd w:id="528"/>
      <w:bookmarkEnd w:id="529"/>
      <w:bookmarkEnd w:id="530"/>
    </w:p>
    <w:p>
      <w:pPr>
        <w:tabs>
          <w:tab w:val="left" w:pos="567"/>
        </w:tabs>
        <w:snapToGrid w:val="0"/>
        <w:spacing w:line="360" w:lineRule="auto"/>
        <w:ind w:firstLine="420" w:firstLineChars="200"/>
        <w:rPr>
          <w:rFonts w:ascii="宋体" w:hAnsi="宋体"/>
          <w:szCs w:val="21"/>
        </w:rPr>
      </w:pPr>
      <w:r>
        <w:rPr>
          <w:rFonts w:hint="eastAsia" w:ascii="宋体" w:hAnsi="宋体"/>
          <w:szCs w:val="21"/>
        </w:rPr>
        <w:t>本合同适用中华人民共和国现行法律。</w:t>
      </w:r>
    </w:p>
    <w:p>
      <w:pPr>
        <w:numPr>
          <w:ilvl w:val="0"/>
          <w:numId w:val="4"/>
        </w:numPr>
        <w:spacing w:line="360" w:lineRule="auto"/>
        <w:ind w:firstLine="420" w:firstLineChars="200"/>
        <w:outlineLvl w:val="2"/>
        <w:rPr>
          <w:rFonts w:ascii="宋体" w:hAnsi="宋体"/>
          <w:b/>
          <w:szCs w:val="21"/>
        </w:rPr>
      </w:pPr>
      <w:bookmarkStart w:id="531" w:name="_Toc13229"/>
      <w:bookmarkStart w:id="532" w:name="_Toc26495"/>
      <w:bookmarkStart w:id="533" w:name="_Toc486842415"/>
      <w:bookmarkStart w:id="534" w:name="_Toc29651"/>
      <w:bookmarkStart w:id="535" w:name="_Toc30695"/>
      <w:bookmarkStart w:id="536" w:name="_Toc1724600"/>
      <w:bookmarkStart w:id="537" w:name="_Toc482008351"/>
      <w:bookmarkStart w:id="538" w:name="_Toc31386"/>
      <w:r>
        <w:rPr>
          <w:rFonts w:hint="eastAsia" w:ascii="宋体" w:hAnsi="宋体"/>
          <w:b/>
          <w:szCs w:val="21"/>
        </w:rPr>
        <w:t>通知与送达</w:t>
      </w:r>
      <w:bookmarkEnd w:id="531"/>
      <w:bookmarkEnd w:id="532"/>
    </w:p>
    <w:p>
      <w:pPr>
        <w:tabs>
          <w:tab w:val="left" w:pos="567"/>
        </w:tabs>
        <w:snapToGrid w:val="0"/>
        <w:spacing w:line="360" w:lineRule="auto"/>
        <w:ind w:firstLine="420" w:firstLineChars="200"/>
        <w:rPr>
          <w:rFonts w:ascii="宋体" w:hAnsi="宋体"/>
          <w:szCs w:val="21"/>
        </w:rPr>
      </w:pPr>
      <w:r>
        <w:rPr>
          <w:rFonts w:hint="eastAsia" w:ascii="宋体" w:hAnsi="宋体"/>
          <w:szCs w:val="21"/>
        </w:rPr>
        <w:t>24.1所有根据本合同作出的通知或者报告（包括违约处罚等）应以书面形式作出，并以以下任一方式送达对方，收到的一方应在5个工作日内予以回复，否则视为认同通知的内容。本合同任何一方为了本合同目的可以书面通知对方变更联系地址。任何一方的联系方式发生变更的，应当在变更之日起5个工作日内通知对方，否则对方按照原联系方式发出的通知视为有效送达。</w:t>
      </w:r>
    </w:p>
    <w:p>
      <w:pPr>
        <w:tabs>
          <w:tab w:val="left" w:pos="567"/>
        </w:tabs>
        <w:snapToGrid w:val="0"/>
        <w:spacing w:line="360" w:lineRule="auto"/>
        <w:ind w:firstLine="420" w:firstLineChars="200"/>
        <w:rPr>
          <w:rFonts w:ascii="宋体" w:hAnsi="宋体"/>
          <w:szCs w:val="21"/>
        </w:rPr>
      </w:pPr>
      <w:r>
        <w:rPr>
          <w:rFonts w:hint="eastAsia" w:ascii="宋体" w:hAnsi="宋体"/>
          <w:szCs w:val="21"/>
        </w:rPr>
        <w:t>24.2送达时间基准为：（1）直接送达以签收人签收时间为准；（2）留置送达以通知或者报告（包括违约处罚等）送达指定地点时间为准（如出现拒签情况，以通知或者报告（包括违约处罚等）送达指定地点时派送人现场照片或物流信息显示送达时间为准）；（3）电子送达以发送人发出通知或者报告（包括违约处罚等）时间为准。（</w:t>
      </w:r>
      <w:r>
        <w:rPr>
          <w:rFonts w:ascii="宋体" w:hAnsi="宋体"/>
          <w:szCs w:val="21"/>
        </w:rPr>
        <w:t>4）邮寄送达以邮寄至另一方在本合同签署页规定的地址或者另一方书面制定或通知的其他地址，以另一方签收日期视为送达，签收日期不明确</w:t>
      </w:r>
      <w:r>
        <w:rPr>
          <w:rFonts w:hint="eastAsia" w:ascii="宋体" w:hAnsi="宋体"/>
          <w:szCs w:val="21"/>
        </w:rPr>
        <w:t>或者其他原因无法有效送达，以邮件寄出后第</w:t>
      </w:r>
      <w:r>
        <w:rPr>
          <w:rFonts w:ascii="宋体" w:hAnsi="宋体"/>
          <w:szCs w:val="21"/>
        </w:rPr>
        <w:t>3日视为送达。收件人拒收的，拒收之日视为送达。</w:t>
      </w:r>
    </w:p>
    <w:p>
      <w:pPr>
        <w:pStyle w:val="4"/>
        <w:ind w:firstLine="420" w:firstLineChars="200"/>
      </w:pPr>
      <w:r>
        <w:rPr>
          <w:rFonts w:hint="eastAsia" w:ascii="宋体" w:hAnsi="宋体"/>
          <w:szCs w:val="21"/>
        </w:rPr>
        <w:t>24.3双方工作联系往来、法律文书及争议解决时人民法院/仲裁机构的法律文书送达地址，各方确认上述送达地址及送达方式适用于诉讼/仲裁的各阶段，包括但不限于一审、二审、再审、特别程序及执行程序。</w:t>
      </w:r>
    </w:p>
    <w:p>
      <w:pPr>
        <w:numPr>
          <w:ilvl w:val="0"/>
          <w:numId w:val="4"/>
        </w:numPr>
        <w:spacing w:line="360" w:lineRule="auto"/>
        <w:ind w:firstLine="420" w:firstLineChars="200"/>
        <w:outlineLvl w:val="2"/>
        <w:rPr>
          <w:rFonts w:ascii="宋体" w:hAnsi="宋体"/>
          <w:b/>
          <w:szCs w:val="21"/>
        </w:rPr>
      </w:pPr>
      <w:bookmarkStart w:id="539" w:name="_Toc1435_WPSOffice_Level2"/>
      <w:bookmarkStart w:id="540" w:name="_Toc144817723"/>
      <w:bookmarkStart w:id="541" w:name="_Toc26245"/>
      <w:bookmarkStart w:id="542" w:name="_Toc485017652"/>
      <w:bookmarkStart w:id="543" w:name="_Toc21624067"/>
      <w:bookmarkStart w:id="544" w:name="_Toc375039139"/>
      <w:bookmarkStart w:id="545" w:name="_Toc18798"/>
      <w:r>
        <w:rPr>
          <w:rFonts w:hint="eastAsia" w:ascii="宋体" w:hAnsi="宋体"/>
          <w:b/>
          <w:szCs w:val="21"/>
        </w:rPr>
        <w:t>税</w:t>
      </w:r>
      <w:bookmarkEnd w:id="539"/>
      <w:bookmarkEnd w:id="540"/>
      <w:bookmarkEnd w:id="541"/>
      <w:bookmarkEnd w:id="542"/>
      <w:bookmarkEnd w:id="543"/>
      <w:bookmarkEnd w:id="544"/>
      <w:bookmarkEnd w:id="545"/>
    </w:p>
    <w:p>
      <w:pPr>
        <w:tabs>
          <w:tab w:val="left" w:pos="567"/>
        </w:tabs>
        <w:snapToGrid w:val="0"/>
        <w:spacing w:line="360" w:lineRule="auto"/>
        <w:ind w:firstLine="420" w:firstLineChars="200"/>
        <w:rPr>
          <w:rFonts w:ascii="宋体" w:hAnsi="宋体"/>
          <w:szCs w:val="21"/>
        </w:rPr>
      </w:pPr>
      <w:r>
        <w:rPr>
          <w:rFonts w:hint="eastAsia" w:ascii="宋体" w:hAnsi="宋体"/>
          <w:szCs w:val="21"/>
        </w:rPr>
        <w:t>25.1由中国政府根据现行税法向买方征收的与合同执行有关的所有税款，应由买方承担。</w:t>
      </w:r>
    </w:p>
    <w:p>
      <w:pPr>
        <w:tabs>
          <w:tab w:val="left" w:pos="567"/>
        </w:tabs>
        <w:snapToGrid w:val="0"/>
        <w:spacing w:line="360" w:lineRule="auto"/>
        <w:ind w:firstLine="420" w:firstLineChars="200"/>
        <w:rPr>
          <w:rFonts w:ascii="宋体" w:hAnsi="宋体"/>
          <w:szCs w:val="21"/>
        </w:rPr>
      </w:pPr>
      <w:r>
        <w:rPr>
          <w:rFonts w:hint="eastAsia" w:ascii="宋体" w:hAnsi="宋体"/>
          <w:szCs w:val="21"/>
        </w:rPr>
        <w:t>25.2由中国政府根据现行税法向卖方征收的与合同执行有关的所有税款，应由卖方承担，并已包含在合同总价中。</w:t>
      </w:r>
    </w:p>
    <w:p>
      <w:pPr>
        <w:tabs>
          <w:tab w:val="left" w:pos="567"/>
        </w:tabs>
        <w:snapToGrid w:val="0"/>
        <w:spacing w:line="360" w:lineRule="auto"/>
        <w:ind w:firstLine="420" w:firstLineChars="200"/>
        <w:rPr>
          <w:rFonts w:ascii="宋体" w:hAnsi="宋体"/>
          <w:szCs w:val="21"/>
        </w:rPr>
      </w:pPr>
      <w:r>
        <w:rPr>
          <w:rFonts w:hint="eastAsia" w:ascii="宋体" w:hAnsi="宋体"/>
          <w:szCs w:val="21"/>
        </w:rPr>
        <w:t>25.3由中国政府根据现行个人所得税法向卖方征收的与合同执行有关的所有个人所得税款，应由卖方承担，并已包含在合同总价中。</w:t>
      </w:r>
    </w:p>
    <w:p>
      <w:pPr>
        <w:tabs>
          <w:tab w:val="left" w:pos="567"/>
        </w:tabs>
        <w:snapToGrid w:val="0"/>
        <w:spacing w:line="360" w:lineRule="auto"/>
        <w:ind w:firstLine="420" w:firstLineChars="200"/>
        <w:rPr>
          <w:rFonts w:ascii="宋体" w:hAnsi="宋体"/>
          <w:szCs w:val="21"/>
        </w:rPr>
      </w:pPr>
      <w:r>
        <w:rPr>
          <w:rFonts w:hint="eastAsia" w:ascii="宋体" w:hAnsi="宋体"/>
          <w:szCs w:val="21"/>
        </w:rPr>
        <w:t>25.4卖方必须保证所开具的发票符合中华人民共和国税法等相关法律法规，且由此产生的一切后果，由卖方自行承担。</w:t>
      </w:r>
    </w:p>
    <w:p>
      <w:pPr>
        <w:numPr>
          <w:ilvl w:val="0"/>
          <w:numId w:val="4"/>
        </w:numPr>
        <w:spacing w:line="360" w:lineRule="auto"/>
        <w:ind w:firstLine="420" w:firstLineChars="200"/>
        <w:outlineLvl w:val="2"/>
        <w:rPr>
          <w:rFonts w:ascii="宋体" w:hAnsi="宋体"/>
          <w:b/>
          <w:szCs w:val="21"/>
        </w:rPr>
      </w:pPr>
      <w:bookmarkStart w:id="546" w:name="_Toc24623"/>
      <w:bookmarkStart w:id="547" w:name="_Toc384938657"/>
      <w:bookmarkStart w:id="548" w:name="_Toc1076"/>
      <w:r>
        <w:rPr>
          <w:rFonts w:hint="eastAsia" w:ascii="宋体" w:hAnsi="宋体"/>
          <w:b/>
          <w:szCs w:val="21"/>
        </w:rPr>
        <w:t>合同执行进度计划</w:t>
      </w:r>
      <w:bookmarkEnd w:id="546"/>
      <w:bookmarkEnd w:id="547"/>
      <w:bookmarkEnd w:id="548"/>
    </w:p>
    <w:p>
      <w:pPr>
        <w:tabs>
          <w:tab w:val="left" w:pos="567"/>
        </w:tabs>
        <w:snapToGrid w:val="0"/>
        <w:spacing w:line="360" w:lineRule="auto"/>
        <w:ind w:firstLine="420" w:firstLineChars="200"/>
        <w:rPr>
          <w:rFonts w:ascii="宋体" w:hAnsi="宋体"/>
          <w:szCs w:val="21"/>
        </w:rPr>
      </w:pPr>
      <w:bookmarkStart w:id="549" w:name="_Toc384938659"/>
      <w:bookmarkStart w:id="550" w:name="_Toc32054"/>
      <w:r>
        <w:rPr>
          <w:rFonts w:hint="eastAsia" w:ascii="宋体" w:hAnsi="宋体"/>
          <w:szCs w:val="21"/>
        </w:rPr>
        <w:t>（根据用户需求书的进度要求，双方确定的详细执行具体计划）</w:t>
      </w:r>
    </w:p>
    <w:p>
      <w:pPr>
        <w:numPr>
          <w:ilvl w:val="0"/>
          <w:numId w:val="4"/>
        </w:numPr>
        <w:spacing w:line="360" w:lineRule="auto"/>
        <w:ind w:firstLine="420" w:firstLineChars="200"/>
        <w:outlineLvl w:val="2"/>
        <w:rPr>
          <w:rFonts w:ascii="宋体" w:hAnsi="宋体"/>
          <w:b/>
          <w:szCs w:val="21"/>
        </w:rPr>
      </w:pPr>
      <w:bookmarkStart w:id="551" w:name="_Toc7088"/>
      <w:r>
        <w:rPr>
          <w:rFonts w:hint="eastAsia" w:ascii="宋体" w:hAnsi="宋体"/>
          <w:b/>
          <w:szCs w:val="21"/>
        </w:rPr>
        <w:t>项目管理</w:t>
      </w:r>
      <w:bookmarkEnd w:id="549"/>
      <w:bookmarkEnd w:id="550"/>
      <w:bookmarkEnd w:id="551"/>
    </w:p>
    <w:p>
      <w:pPr>
        <w:tabs>
          <w:tab w:val="left" w:pos="567"/>
        </w:tabs>
        <w:snapToGrid w:val="0"/>
        <w:spacing w:line="360" w:lineRule="auto"/>
        <w:ind w:firstLine="420" w:firstLineChars="200"/>
        <w:rPr>
          <w:rFonts w:ascii="宋体" w:hAnsi="宋体"/>
          <w:szCs w:val="21"/>
        </w:rPr>
      </w:pPr>
      <w:r>
        <w:rPr>
          <w:rFonts w:hint="eastAsia" w:ascii="宋体" w:hAnsi="宋体"/>
          <w:szCs w:val="21"/>
        </w:rPr>
        <w:t>27.1为保证项目如期顺利完成，乙方必须建立一整套完整可行的项目管理体系，使项目的进行满足合同的规定。</w:t>
      </w:r>
    </w:p>
    <w:p>
      <w:pPr>
        <w:tabs>
          <w:tab w:val="left" w:pos="567"/>
        </w:tabs>
        <w:snapToGrid w:val="0"/>
        <w:spacing w:line="360" w:lineRule="auto"/>
        <w:ind w:firstLine="420" w:firstLineChars="200"/>
        <w:rPr>
          <w:rFonts w:ascii="宋体" w:hAnsi="宋体"/>
          <w:szCs w:val="21"/>
        </w:rPr>
      </w:pPr>
      <w:r>
        <w:rPr>
          <w:rFonts w:hint="eastAsia" w:ascii="宋体" w:hAnsi="宋体"/>
          <w:szCs w:val="21"/>
        </w:rPr>
        <w:t>27.2凡是甲方已颁布的与合同执行有关的管理规定，乙方都必须遵照执行。因乙方违反这些规定使甲方产生的损失，由乙方负责支付给甲方。</w:t>
      </w:r>
    </w:p>
    <w:p>
      <w:pPr>
        <w:tabs>
          <w:tab w:val="left" w:pos="567"/>
        </w:tabs>
        <w:snapToGrid w:val="0"/>
        <w:spacing w:line="360" w:lineRule="auto"/>
        <w:ind w:firstLine="420" w:firstLineChars="200"/>
        <w:rPr>
          <w:rFonts w:ascii="宋体" w:hAnsi="宋体"/>
          <w:szCs w:val="21"/>
        </w:rPr>
      </w:pPr>
      <w:r>
        <w:rPr>
          <w:rFonts w:hint="eastAsia" w:ascii="宋体" w:hAnsi="宋体"/>
          <w:szCs w:val="21"/>
        </w:rPr>
        <w:t>27.3由本条款项下规定的乙方负责完成的义务引起的费用由乙方负责，该费用已包含在合同价格中。</w:t>
      </w:r>
    </w:p>
    <w:p>
      <w:pPr>
        <w:tabs>
          <w:tab w:val="left" w:pos="567"/>
        </w:tabs>
        <w:snapToGrid w:val="0"/>
        <w:spacing w:line="360" w:lineRule="auto"/>
        <w:ind w:firstLine="420" w:firstLineChars="200"/>
        <w:rPr>
          <w:rFonts w:ascii="宋体" w:hAnsi="宋体"/>
          <w:szCs w:val="21"/>
        </w:rPr>
      </w:pPr>
      <w:r>
        <w:rPr>
          <w:rFonts w:hint="eastAsia" w:ascii="宋体" w:hAnsi="宋体"/>
          <w:szCs w:val="21"/>
        </w:rPr>
        <w:t>27.4乙方须按照用户需求书中7.10系统接口要求及接口管理的需要事先提出并参与有关项目的相关设计管理工作，乙方对软硬件设备与有关项目的系统联调成功负责。</w:t>
      </w:r>
    </w:p>
    <w:p>
      <w:pPr>
        <w:tabs>
          <w:tab w:val="left" w:pos="567"/>
        </w:tabs>
        <w:snapToGrid w:val="0"/>
        <w:spacing w:line="360" w:lineRule="auto"/>
        <w:ind w:firstLine="420" w:firstLineChars="200"/>
        <w:rPr>
          <w:rFonts w:ascii="宋体" w:hAnsi="宋体"/>
          <w:szCs w:val="21"/>
        </w:rPr>
      </w:pPr>
      <w:r>
        <w:rPr>
          <w:rFonts w:hint="eastAsia" w:ascii="宋体" w:hAnsi="宋体"/>
          <w:szCs w:val="21"/>
        </w:rPr>
        <w:t>27.5乙方的责任</w:t>
      </w:r>
    </w:p>
    <w:p>
      <w:pPr>
        <w:tabs>
          <w:tab w:val="left" w:pos="567"/>
        </w:tabs>
        <w:snapToGrid w:val="0"/>
        <w:spacing w:line="360" w:lineRule="auto"/>
        <w:ind w:firstLine="420" w:firstLineChars="200"/>
        <w:rPr>
          <w:rFonts w:ascii="宋体" w:hAnsi="宋体"/>
          <w:szCs w:val="21"/>
        </w:rPr>
      </w:pPr>
      <w:r>
        <w:rPr>
          <w:rFonts w:hint="eastAsia" w:ascii="宋体" w:hAnsi="宋体"/>
          <w:szCs w:val="21"/>
        </w:rPr>
        <w:t>27.5.1按照合同的规定，乙方应在充分了解本项目背景及目标的前提下，按照本合同及其附件的要求，按时、按质、按量完成合同约定的所有服务及提交完整的项目成果。</w:t>
      </w:r>
    </w:p>
    <w:p>
      <w:pPr>
        <w:tabs>
          <w:tab w:val="left" w:pos="567"/>
        </w:tabs>
        <w:snapToGrid w:val="0"/>
        <w:spacing w:line="360" w:lineRule="auto"/>
        <w:ind w:firstLine="420" w:firstLineChars="200"/>
        <w:rPr>
          <w:rFonts w:ascii="宋体" w:hAnsi="宋体"/>
          <w:szCs w:val="21"/>
        </w:rPr>
      </w:pPr>
      <w:r>
        <w:rPr>
          <w:rFonts w:hint="eastAsia" w:ascii="宋体" w:hAnsi="宋体"/>
          <w:szCs w:val="21"/>
        </w:rPr>
        <w:t>27.5.2乙方应遵守所供服务接受所在地区的相关法律法规。这些法律法规可能会对乙方有制约作用、对合同的实施有影响。乙方应保护甲方免遭乙方或其个人（包括他们的服务供应商或其个人）因违反了以上各方面的法律而招致了罚款、赔偿、开支和其它方面的责任和损害。但是，这与相关条款里的规定应是没有冲突的。</w:t>
      </w:r>
    </w:p>
    <w:p>
      <w:pPr>
        <w:tabs>
          <w:tab w:val="left" w:pos="567"/>
        </w:tabs>
        <w:snapToGrid w:val="0"/>
        <w:spacing w:line="360" w:lineRule="auto"/>
        <w:ind w:firstLine="420" w:firstLineChars="200"/>
        <w:rPr>
          <w:rFonts w:ascii="宋体" w:hAnsi="宋体"/>
          <w:szCs w:val="21"/>
        </w:rPr>
      </w:pPr>
      <w:r>
        <w:rPr>
          <w:rFonts w:hint="eastAsia" w:ascii="宋体" w:hAnsi="宋体"/>
          <w:szCs w:val="21"/>
        </w:rPr>
        <w:t>27.5.3乙方不得利用本合同开展质押或其他融资业务；不得就本合同项下发生应收账款业务向其他第三方机构或个人办理应收账款保理业务；不得将本合同权利义务全部或部分进行转让，甲方对发票和应收账款金额等信息的确认不具有特殊认可的效力。如乙方违反本条款约定的，应赔偿由此给甲方造成的损失，同时甲方有权解除本合同。</w:t>
      </w:r>
    </w:p>
    <w:p>
      <w:pPr>
        <w:tabs>
          <w:tab w:val="left" w:pos="567"/>
        </w:tabs>
        <w:snapToGrid w:val="0"/>
        <w:spacing w:line="360" w:lineRule="auto"/>
        <w:ind w:firstLine="420" w:firstLineChars="200"/>
        <w:rPr>
          <w:rFonts w:ascii="宋体" w:hAnsi="宋体"/>
          <w:szCs w:val="21"/>
        </w:rPr>
      </w:pPr>
      <w:r>
        <w:rPr>
          <w:rFonts w:hint="eastAsia" w:ascii="宋体" w:hAnsi="宋体"/>
          <w:szCs w:val="21"/>
        </w:rPr>
        <w:t>27.5.4系统须符合合同相关条款里所规定的来源地原则。</w:t>
      </w:r>
    </w:p>
    <w:p>
      <w:pPr>
        <w:tabs>
          <w:tab w:val="left" w:pos="567"/>
        </w:tabs>
        <w:snapToGrid w:val="0"/>
        <w:spacing w:line="360" w:lineRule="auto"/>
        <w:ind w:firstLine="420" w:firstLineChars="200"/>
        <w:rPr>
          <w:rFonts w:ascii="宋体" w:hAnsi="宋体"/>
          <w:szCs w:val="21"/>
        </w:rPr>
      </w:pPr>
      <w:r>
        <w:rPr>
          <w:rFonts w:hint="eastAsia" w:ascii="宋体" w:hAnsi="宋体"/>
          <w:szCs w:val="21"/>
        </w:rPr>
        <w:t>27.6项目计划</w:t>
      </w:r>
    </w:p>
    <w:p>
      <w:pPr>
        <w:tabs>
          <w:tab w:val="left" w:pos="567"/>
        </w:tabs>
        <w:snapToGrid w:val="0"/>
        <w:spacing w:line="360" w:lineRule="auto"/>
        <w:ind w:firstLine="420" w:firstLineChars="200"/>
        <w:rPr>
          <w:rFonts w:ascii="宋体" w:hAnsi="宋体"/>
          <w:szCs w:val="21"/>
        </w:rPr>
      </w:pPr>
      <w:r>
        <w:rPr>
          <w:rFonts w:hint="eastAsia" w:ascii="宋体" w:hAnsi="宋体"/>
          <w:szCs w:val="21"/>
        </w:rPr>
        <w:t>27.6.1乙方的组织结构</w:t>
      </w:r>
    </w:p>
    <w:p>
      <w:pPr>
        <w:tabs>
          <w:tab w:val="left" w:pos="567"/>
        </w:tabs>
        <w:snapToGrid w:val="0"/>
        <w:spacing w:line="360" w:lineRule="auto"/>
        <w:ind w:firstLine="420" w:firstLineChars="200"/>
        <w:rPr>
          <w:rFonts w:ascii="宋体" w:hAnsi="宋体"/>
          <w:szCs w:val="21"/>
        </w:rPr>
      </w:pPr>
      <w:r>
        <w:rPr>
          <w:rFonts w:hint="eastAsia" w:ascii="宋体" w:hAnsi="宋体"/>
          <w:szCs w:val="21"/>
        </w:rPr>
        <w:t>乙方将向甲方提交一份实施合同所需的项目人员结构图，项目人员须与乙方投标文件的承诺保持一致，以用于有关工作的执行。并将该图表中申明的管理人员的履历资料提交甲方。更换项目团队人员的，参照20.11.1 款人员考核规定进行违约扣款。</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27.7设计</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27.7.1用户需求书</w:t>
      </w:r>
    </w:p>
    <w:p>
      <w:pPr>
        <w:tabs>
          <w:tab w:val="left" w:pos="567"/>
        </w:tabs>
        <w:snapToGrid w:val="0"/>
        <w:spacing w:line="360" w:lineRule="auto"/>
        <w:ind w:firstLine="420" w:firstLineChars="200"/>
        <w:rPr>
          <w:rFonts w:ascii="宋体" w:hAnsi="宋体"/>
          <w:szCs w:val="21"/>
        </w:rPr>
      </w:pPr>
      <w:r>
        <w:rPr>
          <w:rFonts w:hint="eastAsia" w:ascii="宋体" w:hAnsi="宋体"/>
          <w:szCs w:val="21"/>
        </w:rPr>
        <w:t>乙方将按照合同条款及用户需求书的规定进行基本的、详细的开发设计工作。或者在没有如此规定的情况下，应按其良好的项目管理实践进行。</w:t>
      </w:r>
    </w:p>
    <w:p>
      <w:pPr>
        <w:tabs>
          <w:tab w:val="left" w:pos="567"/>
        </w:tabs>
        <w:snapToGrid w:val="0"/>
        <w:spacing w:line="360" w:lineRule="auto"/>
        <w:ind w:firstLine="420" w:firstLineChars="200"/>
        <w:rPr>
          <w:rFonts w:ascii="宋体" w:hAnsi="宋体"/>
          <w:szCs w:val="21"/>
        </w:rPr>
      </w:pPr>
      <w:r>
        <w:rPr>
          <w:rFonts w:hint="eastAsia" w:ascii="宋体" w:hAnsi="宋体"/>
          <w:szCs w:val="21"/>
        </w:rPr>
        <w:t>乙方将对其在用户需求书和别的已经准备好的技术文件中的任何差异、错误或遗漏等负责并应承担对甲方由此产生的直接和间接损失。</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27.7.2甲方对技术文件的审批</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27.7.2.1按照相关条款的要求，乙方将为甲方准备好合同的相应附录中所列出的所有文件（需要审批的文件目录），以便得到甲方的审批。</w:t>
      </w:r>
    </w:p>
    <w:p>
      <w:pPr>
        <w:tabs>
          <w:tab w:val="left" w:pos="567"/>
        </w:tabs>
        <w:snapToGrid w:val="0"/>
        <w:spacing w:line="360" w:lineRule="auto"/>
        <w:ind w:firstLine="420" w:firstLineChars="200"/>
        <w:rPr>
          <w:rFonts w:ascii="宋体" w:hAnsi="宋体"/>
          <w:szCs w:val="21"/>
        </w:rPr>
      </w:pPr>
      <w:r>
        <w:rPr>
          <w:rFonts w:hint="eastAsia" w:ascii="宋体" w:hAnsi="宋体"/>
          <w:szCs w:val="21"/>
        </w:rPr>
        <w:t>对于这些需要由甲方加以审批的文件或与之相关的有关设备的任何方面的资料文件，都只有在经甲方的认可同意之后才能加以实施。</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27.7.2.2按照相关条款的介绍，甲方在接收到要求得到批准的任何文件之后的十四（14）天之内，甲方将返回给乙方一份附有其同意批示的相关的副件；或者，以书面形式通知乙方以表达其对之加以否定的意见和理由以及甲方对之加以修改的建议。</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27.7.2.3如果甲方对某份文件加以反对，那么，乙方应对之加以修改并按照相关条款的规定重新提交给甲方以便得到其批准。</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27.7.2.4无论是否对乙方所提供的文件加以了修改，甲方的批准都不会免除或减轻乙方对本项目的责任和义务。</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27.7.2.5乙方将不会超越、脱离任何所批准的文件资料；除非乙方第一次提供给甲方的就是一份加以修改的文件，同时并得到了甲方的认可。相关条款里对之加以了介绍。</w:t>
      </w:r>
    </w:p>
    <w:p>
      <w:pPr>
        <w:tabs>
          <w:tab w:val="left" w:pos="567"/>
        </w:tabs>
        <w:snapToGrid w:val="0"/>
        <w:spacing w:line="360" w:lineRule="auto"/>
        <w:ind w:firstLine="420" w:firstLineChars="200"/>
        <w:rPr>
          <w:rFonts w:ascii="宋体" w:hAnsi="宋体"/>
          <w:szCs w:val="21"/>
        </w:rPr>
      </w:pPr>
      <w:r>
        <w:rPr>
          <w:rFonts w:hint="eastAsia" w:ascii="宋体" w:hAnsi="宋体"/>
          <w:szCs w:val="21"/>
        </w:rPr>
        <w:t>27.7.3其他要求见用户需求书。</w:t>
      </w:r>
    </w:p>
    <w:p>
      <w:pPr>
        <w:tabs>
          <w:tab w:val="left" w:pos="567"/>
        </w:tabs>
        <w:snapToGrid w:val="0"/>
        <w:spacing w:line="360" w:lineRule="auto"/>
        <w:ind w:firstLine="420" w:firstLineChars="200"/>
        <w:rPr>
          <w:rFonts w:ascii="宋体" w:hAnsi="宋体"/>
          <w:szCs w:val="21"/>
        </w:rPr>
      </w:pPr>
      <w:r>
        <w:rPr>
          <w:rFonts w:hint="eastAsia" w:ascii="宋体" w:hAnsi="宋体"/>
          <w:szCs w:val="21"/>
        </w:rPr>
        <w:t>27.8对服务完成的要求详见合同用户需求书。</w:t>
      </w:r>
    </w:p>
    <w:p>
      <w:pPr>
        <w:tabs>
          <w:tab w:val="left" w:pos="567"/>
        </w:tabs>
        <w:snapToGrid w:val="0"/>
        <w:spacing w:line="360" w:lineRule="auto"/>
        <w:ind w:firstLine="420" w:firstLineChars="200"/>
        <w:rPr>
          <w:rFonts w:ascii="宋体" w:hAnsi="宋体"/>
          <w:szCs w:val="21"/>
        </w:rPr>
      </w:pPr>
      <w:r>
        <w:rPr>
          <w:rFonts w:hint="eastAsia" w:ascii="宋体" w:hAnsi="宋体"/>
          <w:szCs w:val="21"/>
        </w:rPr>
        <w:t>27.9系统验收详见用户需求书的要求。</w:t>
      </w:r>
    </w:p>
    <w:p>
      <w:pPr>
        <w:tabs>
          <w:tab w:val="left" w:pos="567"/>
        </w:tabs>
        <w:snapToGrid w:val="0"/>
        <w:spacing w:line="360" w:lineRule="auto"/>
        <w:ind w:firstLine="420" w:firstLineChars="200"/>
        <w:rPr>
          <w:rFonts w:ascii="宋体" w:hAnsi="宋体"/>
          <w:szCs w:val="21"/>
        </w:rPr>
      </w:pPr>
      <w:r>
        <w:rPr>
          <w:rFonts w:hint="eastAsia" w:ascii="宋体" w:hAnsi="宋体"/>
          <w:szCs w:val="21"/>
        </w:rPr>
        <w:t>27.10系统验收详见用户需求书的要求。</w:t>
      </w:r>
    </w:p>
    <w:p>
      <w:pPr>
        <w:tabs>
          <w:tab w:val="left" w:pos="567"/>
        </w:tabs>
        <w:snapToGrid w:val="0"/>
        <w:spacing w:line="360" w:lineRule="auto"/>
        <w:ind w:firstLine="420" w:firstLineChars="200"/>
        <w:rPr>
          <w:rFonts w:ascii="宋体" w:hAnsi="宋体"/>
          <w:szCs w:val="21"/>
        </w:rPr>
      </w:pPr>
      <w:r>
        <w:rPr>
          <w:rFonts w:hint="eastAsia" w:ascii="宋体" w:hAnsi="宋体"/>
          <w:szCs w:val="21"/>
        </w:rPr>
        <w:t>27.11系统配备项目固定人员的数量不低于用户需求书的最低人员要求，且在项目实施期间乙方应根据招标人要求来配备满足项目工期要求的人员数量，详见用户需求书的要求。</w:t>
      </w:r>
    </w:p>
    <w:p>
      <w:pPr>
        <w:tabs>
          <w:tab w:val="left" w:pos="567"/>
        </w:tabs>
        <w:snapToGrid w:val="0"/>
        <w:spacing w:line="360" w:lineRule="auto"/>
        <w:ind w:firstLine="420" w:firstLineChars="200"/>
        <w:rPr>
          <w:rFonts w:ascii="宋体" w:hAnsi="宋体"/>
          <w:szCs w:val="21"/>
        </w:rPr>
      </w:pPr>
      <w:r>
        <w:rPr>
          <w:rFonts w:hint="eastAsia" w:ascii="宋体" w:hAnsi="宋体"/>
          <w:szCs w:val="21"/>
        </w:rPr>
        <w:t>27.12竣工时间保证</w:t>
      </w:r>
    </w:p>
    <w:p>
      <w:pPr>
        <w:tabs>
          <w:tab w:val="left" w:pos="567"/>
        </w:tabs>
        <w:snapToGrid w:val="0"/>
        <w:spacing w:line="360" w:lineRule="auto"/>
        <w:ind w:firstLine="420" w:firstLineChars="200"/>
        <w:rPr>
          <w:rFonts w:ascii="宋体" w:hAnsi="宋体"/>
          <w:szCs w:val="21"/>
        </w:rPr>
      </w:pPr>
      <w:r>
        <w:rPr>
          <w:rFonts w:hint="eastAsia" w:ascii="宋体" w:hAnsi="宋体"/>
          <w:szCs w:val="21"/>
        </w:rPr>
        <w:t>27.12.1乙方保证按照用户需求书规定的竣工时间完成竣工验收。</w:t>
      </w:r>
    </w:p>
    <w:p>
      <w:pPr>
        <w:tabs>
          <w:tab w:val="left" w:pos="567"/>
        </w:tabs>
        <w:snapToGrid w:val="0"/>
        <w:spacing w:line="360" w:lineRule="auto"/>
        <w:ind w:firstLine="420" w:firstLineChars="200"/>
        <w:rPr>
          <w:rFonts w:ascii="宋体" w:hAnsi="宋体"/>
          <w:szCs w:val="21"/>
        </w:rPr>
      </w:pPr>
      <w:r>
        <w:rPr>
          <w:rFonts w:hint="eastAsia" w:ascii="宋体" w:hAnsi="宋体"/>
          <w:szCs w:val="21"/>
        </w:rPr>
        <w:t>27.12.2乙方在相关条款的竣工时间和延期时间内未完成服务或部分服务时，乙方将按合同规定的比例金额支付给甲方损害赔偿金。但是损害赔偿金的支付不能免除乙方完成合同内其它服务的义务或合同规定的乙方的其它责任和义务。</w:t>
      </w:r>
    </w:p>
    <w:bookmarkEnd w:id="533"/>
    <w:bookmarkEnd w:id="534"/>
    <w:bookmarkEnd w:id="535"/>
    <w:bookmarkEnd w:id="536"/>
    <w:bookmarkEnd w:id="537"/>
    <w:bookmarkEnd w:id="538"/>
    <w:p>
      <w:pPr>
        <w:numPr>
          <w:ilvl w:val="0"/>
          <w:numId w:val="4"/>
        </w:numPr>
        <w:spacing w:line="360" w:lineRule="auto"/>
        <w:ind w:firstLine="420" w:firstLineChars="200"/>
        <w:outlineLvl w:val="2"/>
        <w:rPr>
          <w:rFonts w:ascii="宋体" w:hAnsi="宋体"/>
          <w:b/>
          <w:szCs w:val="21"/>
        </w:rPr>
      </w:pPr>
      <w:bookmarkStart w:id="552" w:name="_Toc2448"/>
      <w:bookmarkStart w:id="553" w:name="_Toc32242"/>
      <w:r>
        <w:rPr>
          <w:rFonts w:hint="eastAsia" w:ascii="宋体" w:hAnsi="宋体"/>
          <w:b/>
          <w:szCs w:val="21"/>
        </w:rPr>
        <w:t>质保期</w:t>
      </w:r>
      <w:bookmarkEnd w:id="552"/>
    </w:p>
    <w:p>
      <w:pPr>
        <w:tabs>
          <w:tab w:val="left" w:pos="567"/>
        </w:tabs>
        <w:snapToGrid w:val="0"/>
        <w:spacing w:line="360" w:lineRule="auto"/>
        <w:ind w:firstLine="420" w:firstLineChars="200"/>
        <w:rPr>
          <w:rFonts w:ascii="宋体" w:hAnsi="宋体"/>
          <w:szCs w:val="21"/>
        </w:rPr>
      </w:pPr>
      <w:r>
        <w:rPr>
          <w:rFonts w:hint="eastAsia" w:ascii="宋体" w:hAnsi="宋体"/>
          <w:szCs w:val="21"/>
        </w:rPr>
        <w:t>28.1项目完成操作培训及系统上线，完成整体验收，从双方签署《项目验收报告》之日起，系统进入质保期，质保期1年。乙方提供驻场运维保障服务。质保期满，乙方整理质保期的系统维护相关材料提交至甲方。甲方对乙方质保期间的履约情况考核，接收运维材料，双方确认签字，正式办理质保期结束手续。</w:t>
      </w:r>
      <w:r>
        <w:rPr>
          <w:rFonts w:hint="eastAsia" w:ascii="宋体" w:hAnsi="宋体"/>
          <w:szCs w:val="21"/>
        </w:rPr>
        <w:br w:type="textWrapping"/>
      </w:r>
      <w:r>
        <w:rPr>
          <w:rFonts w:hint="eastAsia" w:ascii="宋体" w:hAnsi="宋体"/>
          <w:szCs w:val="21"/>
        </w:rPr>
        <w:t xml:space="preserve">    28.2质保期结束后，乙方在本项目系统的使用寿命期内仍有责任对系统发生的问题给予合作，此外，乙方需承诺并确保系统后续在不升级情况下，也不会影响原来产品的使用。</w:t>
      </w:r>
    </w:p>
    <w:p>
      <w:pPr>
        <w:numPr>
          <w:ilvl w:val="0"/>
          <w:numId w:val="4"/>
        </w:numPr>
        <w:spacing w:line="360" w:lineRule="auto"/>
        <w:ind w:firstLine="420" w:firstLineChars="200"/>
        <w:outlineLvl w:val="2"/>
        <w:rPr>
          <w:rFonts w:ascii="宋体" w:hAnsi="宋体"/>
          <w:b/>
          <w:szCs w:val="21"/>
        </w:rPr>
      </w:pPr>
      <w:bookmarkStart w:id="554" w:name="_Toc16311"/>
      <w:r>
        <w:rPr>
          <w:rFonts w:hint="eastAsia" w:ascii="宋体" w:hAnsi="宋体"/>
          <w:b/>
          <w:szCs w:val="21"/>
        </w:rPr>
        <w:t>保密条款</w:t>
      </w:r>
      <w:bookmarkEnd w:id="553"/>
      <w:bookmarkEnd w:id="554"/>
    </w:p>
    <w:p>
      <w:pPr>
        <w:tabs>
          <w:tab w:val="left" w:pos="567"/>
        </w:tabs>
        <w:snapToGrid w:val="0"/>
        <w:spacing w:line="360" w:lineRule="auto"/>
        <w:ind w:firstLine="420" w:firstLineChars="200"/>
        <w:rPr>
          <w:rFonts w:ascii="宋体" w:hAnsi="宋体"/>
          <w:szCs w:val="21"/>
        </w:rPr>
      </w:pPr>
      <w:r>
        <w:rPr>
          <w:rFonts w:hint="eastAsia" w:ascii="宋体" w:hAnsi="宋体"/>
          <w:szCs w:val="21"/>
        </w:rPr>
        <w:t>乙方应严格履行保密义务。对于甲方提供给乙方的相关资料、乙方在工作过程中接触到关于甲方的相关资料或信息、履约过程中形成与甲方有关的结果资料或信息，乙方均应作为秘密信息对待，包括但不限于：各种往来文件、函件、文档、报告、报表、会议纪要、视频、图片、影音等。除非经甲方事先书面许可，或因政府部门及法律法令的强制性要求而披露，乙方应当保证保守该秘密信息，并不得将该秘密信息以任何方式泄露予第三方。若乙方涉及泄密，应赔偿甲方由此而产生的损失并承担相应的法律责任。</w:t>
      </w:r>
    </w:p>
    <w:p>
      <w:pPr>
        <w:tabs>
          <w:tab w:val="left" w:pos="567"/>
        </w:tabs>
        <w:snapToGrid w:val="0"/>
        <w:spacing w:line="360" w:lineRule="auto"/>
        <w:ind w:firstLine="420" w:firstLineChars="200"/>
        <w:rPr>
          <w:rFonts w:ascii="宋体" w:hAnsi="宋体"/>
          <w:szCs w:val="21"/>
        </w:rPr>
      </w:pPr>
      <w:bookmarkStart w:id="555" w:name="_Toc21163"/>
      <w:r>
        <w:rPr>
          <w:rFonts w:hint="eastAsia" w:ascii="宋体" w:hAnsi="宋体"/>
          <w:szCs w:val="21"/>
        </w:rPr>
        <w:t>廉洁条款特别约定</w:t>
      </w:r>
      <w:bookmarkEnd w:id="555"/>
    </w:p>
    <w:p>
      <w:pPr>
        <w:tabs>
          <w:tab w:val="left" w:pos="567"/>
        </w:tabs>
        <w:snapToGrid w:val="0"/>
        <w:spacing w:line="360" w:lineRule="auto"/>
        <w:ind w:firstLine="420" w:firstLineChars="200"/>
        <w:rPr>
          <w:rFonts w:ascii="宋体" w:hAnsi="宋体"/>
          <w:szCs w:val="21"/>
        </w:rPr>
      </w:pPr>
      <w:r>
        <w:rPr>
          <w:rFonts w:hint="eastAsia" w:ascii="宋体" w:hAnsi="宋体"/>
          <w:szCs w:val="21"/>
        </w:rPr>
        <w:t>29.1严格遵守国家有关法律法规以及廉洁条款的有关规定。</w:t>
      </w:r>
    </w:p>
    <w:p>
      <w:pPr>
        <w:tabs>
          <w:tab w:val="left" w:pos="567"/>
        </w:tabs>
        <w:snapToGrid w:val="0"/>
        <w:spacing w:line="360" w:lineRule="auto"/>
        <w:ind w:firstLine="420" w:firstLineChars="200"/>
        <w:rPr>
          <w:rFonts w:ascii="宋体" w:hAnsi="宋体"/>
          <w:szCs w:val="21"/>
        </w:rPr>
      </w:pPr>
      <w:r>
        <w:rPr>
          <w:rFonts w:hint="eastAsia" w:ascii="宋体" w:hAnsi="宋体"/>
          <w:szCs w:val="21"/>
        </w:rPr>
        <w:t>29.2严格遵守商业道德和市场规则，共同营造公平公正的商业交易环境。</w:t>
      </w:r>
    </w:p>
    <w:p>
      <w:pPr>
        <w:tabs>
          <w:tab w:val="left" w:pos="567"/>
        </w:tabs>
        <w:snapToGrid w:val="0"/>
        <w:spacing w:line="360" w:lineRule="auto"/>
        <w:ind w:firstLine="420" w:firstLineChars="200"/>
        <w:rPr>
          <w:rFonts w:ascii="宋体" w:hAnsi="宋体"/>
          <w:szCs w:val="21"/>
        </w:rPr>
      </w:pPr>
      <w:r>
        <w:rPr>
          <w:rFonts w:hint="eastAsia" w:ascii="宋体" w:hAnsi="宋体"/>
          <w:szCs w:val="21"/>
        </w:rPr>
        <w:t>29.3不向甲方及其人员提供回扣、礼金、有价证券、支付凭证、贵重物品等。</w:t>
      </w:r>
    </w:p>
    <w:p>
      <w:pPr>
        <w:tabs>
          <w:tab w:val="left" w:pos="567"/>
        </w:tabs>
        <w:snapToGrid w:val="0"/>
        <w:spacing w:line="360" w:lineRule="auto"/>
        <w:ind w:firstLine="420" w:firstLineChars="200"/>
        <w:rPr>
          <w:rFonts w:ascii="宋体" w:hAnsi="宋体"/>
          <w:szCs w:val="21"/>
        </w:rPr>
      </w:pPr>
      <w:r>
        <w:rPr>
          <w:rFonts w:hint="eastAsia" w:ascii="宋体" w:hAnsi="宋体"/>
          <w:szCs w:val="21"/>
        </w:rPr>
        <w:t>29.4不为甲方及其人员报销应由贵公司或个人支付的费用。</w:t>
      </w:r>
    </w:p>
    <w:p>
      <w:pPr>
        <w:tabs>
          <w:tab w:val="left" w:pos="567"/>
        </w:tabs>
        <w:snapToGrid w:val="0"/>
        <w:spacing w:line="360" w:lineRule="auto"/>
        <w:ind w:firstLine="420" w:firstLineChars="200"/>
        <w:rPr>
          <w:rFonts w:ascii="宋体" w:hAnsi="宋体"/>
          <w:szCs w:val="21"/>
        </w:rPr>
      </w:pPr>
      <w:r>
        <w:rPr>
          <w:rFonts w:hint="eastAsia" w:ascii="宋体" w:hAnsi="宋体"/>
          <w:szCs w:val="21"/>
        </w:rPr>
        <w:t>29.5不为甲方人员投资入股，个人借款或买卖股票、债券等提供方便。</w:t>
      </w:r>
    </w:p>
    <w:p>
      <w:pPr>
        <w:tabs>
          <w:tab w:val="left" w:pos="567"/>
        </w:tabs>
        <w:snapToGrid w:val="0"/>
        <w:spacing w:line="360" w:lineRule="auto"/>
        <w:ind w:firstLine="420" w:firstLineChars="200"/>
        <w:rPr>
          <w:rFonts w:ascii="宋体" w:hAnsi="宋体"/>
          <w:szCs w:val="21"/>
        </w:rPr>
      </w:pPr>
      <w:r>
        <w:rPr>
          <w:rFonts w:hint="eastAsia" w:ascii="宋体" w:hAnsi="宋体"/>
          <w:szCs w:val="21"/>
        </w:rPr>
        <w:t>29.6不为甲方人员购买或装修住房、婚丧嫁娶、配偶和子女上学或工作安排以及出国（境）、旅游等提供方便。</w:t>
      </w:r>
    </w:p>
    <w:p>
      <w:pPr>
        <w:tabs>
          <w:tab w:val="left" w:pos="567"/>
        </w:tabs>
        <w:snapToGrid w:val="0"/>
        <w:spacing w:line="360" w:lineRule="auto"/>
        <w:ind w:firstLine="420" w:firstLineChars="200"/>
        <w:rPr>
          <w:rFonts w:ascii="宋体" w:hAnsi="宋体"/>
          <w:szCs w:val="21"/>
        </w:rPr>
      </w:pPr>
      <w:r>
        <w:rPr>
          <w:rFonts w:hint="eastAsia" w:ascii="宋体" w:hAnsi="宋体"/>
          <w:szCs w:val="21"/>
        </w:rPr>
        <w:t>29.7不为甲方人员安排的有可能影响履行合同的宴请、健身、娱乐等活动。</w:t>
      </w:r>
    </w:p>
    <w:p>
      <w:pPr>
        <w:tabs>
          <w:tab w:val="left" w:pos="567"/>
        </w:tabs>
        <w:snapToGrid w:val="0"/>
        <w:spacing w:line="360" w:lineRule="auto"/>
        <w:ind w:firstLine="420" w:firstLineChars="200"/>
        <w:rPr>
          <w:rFonts w:ascii="宋体" w:hAnsi="宋体"/>
          <w:szCs w:val="21"/>
        </w:rPr>
      </w:pPr>
      <w:r>
        <w:rPr>
          <w:rFonts w:hint="eastAsia" w:ascii="宋体" w:hAnsi="宋体"/>
          <w:szCs w:val="21"/>
        </w:rPr>
        <w:t>29.8不为甲方及其人员购置或提供通讯工具、交通工具和高档办公用品。</w:t>
      </w:r>
    </w:p>
    <w:p>
      <w:pPr>
        <w:tabs>
          <w:tab w:val="left" w:pos="567"/>
        </w:tabs>
        <w:snapToGrid w:val="0"/>
        <w:spacing w:line="360" w:lineRule="auto"/>
        <w:ind w:firstLine="420" w:firstLineChars="200"/>
        <w:rPr>
          <w:rFonts w:ascii="宋体" w:hAnsi="宋体"/>
          <w:szCs w:val="21"/>
        </w:rPr>
      </w:pPr>
      <w:r>
        <w:rPr>
          <w:rFonts w:hint="eastAsia" w:ascii="宋体" w:hAnsi="宋体"/>
          <w:szCs w:val="21"/>
        </w:rPr>
        <w:t>29.9不为甲方人员的配偶、子女及其他人亲属谋取不正当利益提供方便。</w:t>
      </w:r>
    </w:p>
    <w:p>
      <w:pPr>
        <w:tabs>
          <w:tab w:val="left" w:pos="567"/>
        </w:tabs>
        <w:snapToGrid w:val="0"/>
        <w:spacing w:line="360" w:lineRule="auto"/>
        <w:ind w:firstLine="420" w:firstLineChars="200"/>
        <w:rPr>
          <w:rFonts w:ascii="宋体" w:hAnsi="宋体"/>
          <w:szCs w:val="21"/>
        </w:rPr>
      </w:pPr>
      <w:r>
        <w:rPr>
          <w:rFonts w:hint="eastAsia" w:ascii="宋体" w:hAnsi="宋体"/>
          <w:szCs w:val="21"/>
        </w:rPr>
        <w:t>29.10不违反规定安排甲方人员在乙方或乙方相关企业兼职和领取兼职工资及报酬；不得利用非法手段向甲方打探有关涉及贵公司的商业秘密、业务渠道等。</w:t>
      </w:r>
    </w:p>
    <w:p>
      <w:pPr>
        <w:tabs>
          <w:tab w:val="left" w:pos="567"/>
        </w:tabs>
        <w:snapToGrid w:val="0"/>
        <w:spacing w:line="360" w:lineRule="auto"/>
        <w:ind w:firstLine="420" w:firstLineChars="200"/>
        <w:rPr>
          <w:rFonts w:ascii="宋体" w:hAnsi="宋体"/>
          <w:szCs w:val="21"/>
        </w:rPr>
      </w:pPr>
      <w:r>
        <w:rPr>
          <w:rFonts w:hint="eastAsia" w:ascii="宋体" w:hAnsi="宋体"/>
          <w:szCs w:val="21"/>
        </w:rPr>
        <w:t>29.11甲方对涉嫌不廉洁的商业行为进行调查时，乙方应配合甲方提供证据、作证的义务。</w:t>
      </w:r>
    </w:p>
    <w:p>
      <w:pPr>
        <w:tabs>
          <w:tab w:val="left" w:pos="567"/>
        </w:tabs>
        <w:snapToGrid w:val="0"/>
        <w:spacing w:line="360" w:lineRule="auto"/>
        <w:ind w:firstLine="420" w:firstLineChars="200"/>
        <w:rPr>
          <w:rFonts w:ascii="宋体" w:hAnsi="宋体"/>
          <w:szCs w:val="21"/>
        </w:rPr>
      </w:pPr>
      <w:r>
        <w:rPr>
          <w:rFonts w:hint="eastAsia" w:ascii="宋体" w:hAnsi="宋体"/>
          <w:szCs w:val="21"/>
        </w:rPr>
        <w:t>29.12未经甲方书面同意，乙方不得向任何新闻媒体、第三人述及有关甲方人员廉洁从业方面的评价、信息。</w:t>
      </w:r>
    </w:p>
    <w:p>
      <w:pPr>
        <w:tabs>
          <w:tab w:val="left" w:pos="567"/>
        </w:tabs>
        <w:snapToGrid w:val="0"/>
        <w:spacing w:line="360" w:lineRule="auto"/>
        <w:ind w:firstLine="420" w:firstLineChars="200"/>
        <w:rPr>
          <w:rFonts w:ascii="宋体" w:hAnsi="宋体"/>
          <w:szCs w:val="21"/>
        </w:rPr>
      </w:pPr>
      <w:r>
        <w:rPr>
          <w:rFonts w:hint="eastAsia" w:ascii="宋体" w:hAnsi="宋体"/>
          <w:szCs w:val="21"/>
        </w:rPr>
        <w:t>29.13如有违反的，一经发现，甲方可以立即终止与乙方之间合作业务并无须承担任何经济和法律责任。</w:t>
      </w:r>
    </w:p>
    <w:p>
      <w:pPr>
        <w:numPr>
          <w:ilvl w:val="0"/>
          <w:numId w:val="4"/>
        </w:numPr>
        <w:spacing w:line="360" w:lineRule="auto"/>
        <w:ind w:firstLine="420" w:firstLineChars="200"/>
        <w:outlineLvl w:val="2"/>
        <w:rPr>
          <w:rFonts w:ascii="宋体" w:hAnsi="宋体"/>
          <w:b/>
          <w:szCs w:val="21"/>
        </w:rPr>
      </w:pPr>
      <w:bookmarkStart w:id="556" w:name="_Toc15135"/>
      <w:bookmarkStart w:id="557" w:name="_Toc384938661"/>
      <w:bookmarkStart w:id="558" w:name="_Toc16679"/>
      <w:r>
        <w:rPr>
          <w:rFonts w:hint="eastAsia" w:ascii="宋体" w:hAnsi="宋体"/>
          <w:b/>
          <w:szCs w:val="21"/>
        </w:rPr>
        <w:t>合同生效和签约地</w:t>
      </w:r>
      <w:bookmarkEnd w:id="556"/>
      <w:bookmarkEnd w:id="557"/>
      <w:bookmarkEnd w:id="558"/>
    </w:p>
    <w:p>
      <w:pPr>
        <w:tabs>
          <w:tab w:val="left" w:pos="567"/>
        </w:tabs>
        <w:snapToGrid w:val="0"/>
        <w:spacing w:line="360" w:lineRule="auto"/>
        <w:ind w:firstLine="420" w:firstLineChars="200"/>
        <w:rPr>
          <w:rFonts w:ascii="宋体" w:hAnsi="宋体"/>
          <w:szCs w:val="21"/>
        </w:rPr>
      </w:pPr>
      <w:r>
        <w:rPr>
          <w:rFonts w:hint="eastAsia" w:ascii="宋体" w:hAnsi="宋体"/>
          <w:szCs w:val="21"/>
        </w:rPr>
        <w:t>30.1本合同生效的时间以双方签署的合同协议书上的最后日期为准。</w:t>
      </w:r>
    </w:p>
    <w:p>
      <w:pPr>
        <w:tabs>
          <w:tab w:val="left" w:pos="567"/>
        </w:tabs>
        <w:snapToGrid w:val="0"/>
        <w:spacing w:line="360" w:lineRule="auto"/>
        <w:ind w:firstLine="420" w:firstLineChars="200"/>
        <w:rPr>
          <w:rFonts w:ascii="宋体" w:hAnsi="宋体"/>
          <w:szCs w:val="21"/>
        </w:rPr>
      </w:pPr>
      <w:r>
        <w:rPr>
          <w:rFonts w:hint="eastAsia" w:ascii="宋体" w:hAnsi="宋体"/>
          <w:szCs w:val="21"/>
        </w:rPr>
        <w:t>30.2本合同签约地为中华人民共和国广西壮族自治区南宁市。</w:t>
      </w:r>
    </w:p>
    <w:p>
      <w:pPr>
        <w:tabs>
          <w:tab w:val="left" w:pos="567"/>
        </w:tabs>
        <w:snapToGrid w:val="0"/>
        <w:spacing w:line="360" w:lineRule="auto"/>
        <w:ind w:firstLine="420" w:firstLineChars="200"/>
        <w:rPr>
          <w:rFonts w:ascii="宋体" w:hAnsi="宋体"/>
          <w:szCs w:val="21"/>
        </w:rPr>
      </w:pPr>
      <w:r>
        <w:rPr>
          <w:rFonts w:hint="eastAsia" w:ascii="宋体" w:hAnsi="宋体"/>
          <w:szCs w:val="21"/>
        </w:rPr>
        <w:t>30.3本合同将在各方授权代表签字方可生效。</w:t>
      </w:r>
    </w:p>
    <w:p>
      <w:pPr>
        <w:tabs>
          <w:tab w:val="left" w:pos="567"/>
        </w:tabs>
        <w:snapToGrid w:val="0"/>
        <w:spacing w:line="360" w:lineRule="auto"/>
        <w:ind w:firstLine="420" w:firstLineChars="200"/>
        <w:rPr>
          <w:rFonts w:ascii="宋体" w:hAnsi="宋体"/>
          <w:szCs w:val="21"/>
        </w:rPr>
      </w:pPr>
      <w:r>
        <w:rPr>
          <w:rFonts w:hint="eastAsia" w:ascii="宋体" w:hAnsi="宋体"/>
          <w:szCs w:val="21"/>
        </w:rPr>
        <w:t>30.4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p>
    <w:p>
      <w:pPr>
        <w:numPr>
          <w:ilvl w:val="0"/>
          <w:numId w:val="4"/>
        </w:numPr>
        <w:spacing w:line="360" w:lineRule="auto"/>
        <w:ind w:firstLine="420" w:firstLineChars="200"/>
        <w:outlineLvl w:val="2"/>
        <w:rPr>
          <w:rFonts w:ascii="宋体" w:hAnsi="宋体"/>
          <w:b/>
          <w:szCs w:val="21"/>
        </w:rPr>
      </w:pPr>
      <w:bookmarkStart w:id="559" w:name="_Toc22458"/>
      <w:bookmarkStart w:id="560" w:name="_Toc7019"/>
      <w:bookmarkStart w:id="561" w:name="_Toc384938660"/>
      <w:r>
        <w:rPr>
          <w:rFonts w:hint="eastAsia" w:ascii="宋体" w:hAnsi="宋体"/>
          <w:b/>
          <w:szCs w:val="21"/>
        </w:rPr>
        <w:t>其它</w:t>
      </w:r>
      <w:bookmarkEnd w:id="559"/>
      <w:bookmarkEnd w:id="560"/>
      <w:bookmarkEnd w:id="561"/>
    </w:p>
    <w:p>
      <w:pPr>
        <w:tabs>
          <w:tab w:val="left" w:pos="567"/>
        </w:tabs>
        <w:snapToGrid w:val="0"/>
        <w:spacing w:line="360" w:lineRule="auto"/>
        <w:ind w:firstLine="420" w:firstLineChars="200"/>
        <w:rPr>
          <w:rFonts w:ascii="宋体" w:hAnsi="宋体"/>
          <w:szCs w:val="21"/>
        </w:rPr>
      </w:pPr>
      <w:r>
        <w:rPr>
          <w:rFonts w:hint="eastAsia" w:ascii="宋体" w:hAnsi="宋体"/>
          <w:szCs w:val="21"/>
        </w:rPr>
        <w:t>31.1资料之获取</w:t>
      </w:r>
    </w:p>
    <w:p>
      <w:pPr>
        <w:tabs>
          <w:tab w:val="left" w:pos="567"/>
        </w:tabs>
        <w:snapToGrid w:val="0"/>
        <w:spacing w:line="360" w:lineRule="auto"/>
        <w:ind w:firstLine="420" w:firstLineChars="200"/>
        <w:rPr>
          <w:rFonts w:ascii="宋体" w:hAnsi="宋体"/>
          <w:szCs w:val="21"/>
        </w:rPr>
      </w:pPr>
      <w:r>
        <w:rPr>
          <w:rFonts w:hint="eastAsia" w:ascii="宋体" w:hAnsi="宋体"/>
          <w:szCs w:val="21"/>
        </w:rPr>
        <w:t>甲方或甲方授权代表在合同执行期间及最终验收证书签署之日起十五（15）年内，应能通过乙方得到合同项下提供给甲方的乙方及其附属服务供应商人员、财务及所有记录的资料，包括且不限于计算机文件和用以核实或复审数量、质量、工作计划及进度、可偿还费用、乙方要求支付的费用、合同变更的估价以及因其他合理要求需查询的资料。乙方及其附属服务供应商应在最终验收证书签署之日起十五（15）年内保存上述资料，甲方或甲方授权代表有权复制任何这些记录。</w:t>
      </w:r>
    </w:p>
    <w:p>
      <w:pPr>
        <w:tabs>
          <w:tab w:val="left" w:pos="567"/>
        </w:tabs>
        <w:snapToGrid w:val="0"/>
        <w:spacing w:line="360" w:lineRule="auto"/>
        <w:ind w:firstLine="420" w:firstLineChars="200"/>
        <w:rPr>
          <w:rFonts w:ascii="宋体" w:hAnsi="宋体"/>
          <w:szCs w:val="21"/>
        </w:rPr>
      </w:pPr>
      <w:r>
        <w:rPr>
          <w:rFonts w:hint="eastAsia" w:ascii="宋体" w:hAnsi="宋体"/>
          <w:szCs w:val="21"/>
        </w:rPr>
        <w:t>31.2资料之确认</w:t>
      </w:r>
    </w:p>
    <w:p>
      <w:pPr>
        <w:tabs>
          <w:tab w:val="left" w:pos="567"/>
        </w:tabs>
        <w:snapToGrid w:val="0"/>
        <w:spacing w:line="360" w:lineRule="auto"/>
        <w:ind w:firstLine="420" w:firstLineChars="200"/>
        <w:rPr>
          <w:rFonts w:ascii="宋体" w:hAnsi="宋体"/>
          <w:szCs w:val="21"/>
        </w:rPr>
      </w:pPr>
      <w:r>
        <w:rPr>
          <w:rFonts w:hint="eastAsia" w:ascii="宋体" w:hAnsi="宋体"/>
          <w:szCs w:val="21"/>
        </w:rPr>
        <w:t>31.2.1乙方交给甲方的文件要在发送单上列出目录。无论甲方对乙方文件是否提出意见，除非合同附件另有规定，都应在自文件接收之日起28天内将其中一份文件返回给乙方。</w:t>
      </w:r>
    </w:p>
    <w:p>
      <w:pPr>
        <w:tabs>
          <w:tab w:val="left" w:pos="567"/>
        </w:tabs>
        <w:snapToGrid w:val="0"/>
        <w:spacing w:line="360" w:lineRule="auto"/>
        <w:ind w:firstLine="420" w:firstLineChars="200"/>
        <w:rPr>
          <w:rFonts w:ascii="宋体" w:hAnsi="宋体"/>
          <w:szCs w:val="21"/>
        </w:rPr>
      </w:pPr>
      <w:r>
        <w:rPr>
          <w:rFonts w:hint="eastAsia" w:ascii="宋体" w:hAnsi="宋体"/>
          <w:szCs w:val="21"/>
        </w:rPr>
        <w:t>31.2.2 甲方对文件的确认不减轻和免除乙方的合同责任。</w:t>
      </w:r>
    </w:p>
    <w:p>
      <w:pPr>
        <w:tabs>
          <w:tab w:val="left" w:pos="567"/>
        </w:tabs>
        <w:snapToGrid w:val="0"/>
        <w:spacing w:line="360" w:lineRule="auto"/>
        <w:ind w:firstLine="420" w:firstLineChars="200"/>
        <w:rPr>
          <w:rFonts w:ascii="宋体" w:hAnsi="宋体"/>
          <w:szCs w:val="21"/>
        </w:rPr>
      </w:pPr>
      <w:r>
        <w:rPr>
          <w:rFonts w:hint="eastAsia" w:ascii="宋体" w:hAnsi="宋体"/>
          <w:szCs w:val="21"/>
        </w:rPr>
        <w:t>31.3资料之错误</w:t>
      </w:r>
    </w:p>
    <w:p>
      <w:pPr>
        <w:tabs>
          <w:tab w:val="left" w:pos="567"/>
        </w:tabs>
        <w:snapToGrid w:val="0"/>
        <w:spacing w:line="360" w:lineRule="auto"/>
        <w:ind w:firstLine="420" w:firstLineChars="200"/>
        <w:rPr>
          <w:rFonts w:ascii="宋体" w:hAnsi="宋体"/>
          <w:szCs w:val="21"/>
        </w:rPr>
      </w:pPr>
      <w:r>
        <w:rPr>
          <w:rFonts w:hint="eastAsia" w:ascii="宋体" w:hAnsi="宋体"/>
          <w:szCs w:val="21"/>
        </w:rPr>
        <w:t>31.3.1乙方应对相关的任何设计文件，以及乙方提供的合同项下的文件、资料或指导中出现的任何矛盾、错误和遗漏负完全责任，无论资料是否已被甲方认可。</w:t>
      </w:r>
    </w:p>
    <w:p>
      <w:pPr>
        <w:tabs>
          <w:tab w:val="left" w:pos="567"/>
        </w:tabs>
        <w:snapToGrid w:val="0"/>
        <w:spacing w:line="360" w:lineRule="auto"/>
        <w:ind w:firstLine="420" w:firstLineChars="200"/>
        <w:rPr>
          <w:rFonts w:ascii="宋体" w:hAnsi="宋体"/>
          <w:szCs w:val="21"/>
        </w:rPr>
      </w:pPr>
      <w:r>
        <w:rPr>
          <w:rFonts w:hint="eastAsia" w:ascii="宋体" w:hAnsi="宋体"/>
          <w:szCs w:val="21"/>
        </w:rPr>
        <w:t>31.3.2乙方应自费对此类矛盾、错误和遗漏进行必要的更改和补救工作，并应对相应的文件、资料进行修改。乙方于本条款下履行的义务并不免除其本合同项下应负的任何责任。</w:t>
      </w:r>
    </w:p>
    <w:p>
      <w:pPr>
        <w:tabs>
          <w:tab w:val="left" w:pos="567"/>
        </w:tabs>
        <w:snapToGrid w:val="0"/>
        <w:spacing w:line="360" w:lineRule="auto"/>
        <w:ind w:firstLine="420" w:firstLineChars="200"/>
        <w:rPr>
          <w:rFonts w:ascii="宋体" w:hAnsi="宋体"/>
          <w:szCs w:val="21"/>
        </w:rPr>
      </w:pPr>
      <w:r>
        <w:rPr>
          <w:rFonts w:hint="eastAsia" w:ascii="宋体" w:hAnsi="宋体"/>
          <w:szCs w:val="21"/>
        </w:rPr>
        <w:t>31.3.3甲方只应对其以书面方式提供的文档和资料负责。</w:t>
      </w:r>
    </w:p>
    <w:p>
      <w:pPr>
        <w:tabs>
          <w:tab w:val="left" w:pos="567"/>
        </w:tabs>
        <w:snapToGrid w:val="0"/>
        <w:spacing w:line="360" w:lineRule="auto"/>
        <w:ind w:firstLine="420" w:firstLineChars="200"/>
        <w:rPr>
          <w:rFonts w:ascii="宋体" w:hAnsi="宋体"/>
          <w:szCs w:val="21"/>
        </w:rPr>
      </w:pPr>
      <w:r>
        <w:rPr>
          <w:rFonts w:hint="eastAsia" w:ascii="宋体" w:hAnsi="宋体"/>
          <w:szCs w:val="21"/>
        </w:rPr>
        <w:t>31.3.4若出现书面资料（文件）与电子文件有矛盾时，以书面资料（文件）为准。</w:t>
      </w:r>
    </w:p>
    <w:p>
      <w:pPr>
        <w:tabs>
          <w:tab w:val="left" w:pos="567"/>
        </w:tabs>
        <w:snapToGrid w:val="0"/>
        <w:spacing w:line="360" w:lineRule="auto"/>
        <w:ind w:firstLine="420" w:firstLineChars="200"/>
        <w:rPr>
          <w:rFonts w:ascii="宋体" w:hAnsi="宋体"/>
          <w:szCs w:val="21"/>
        </w:rPr>
      </w:pPr>
      <w:r>
        <w:rPr>
          <w:rFonts w:hint="eastAsia" w:ascii="宋体" w:hAnsi="宋体"/>
          <w:szCs w:val="21"/>
        </w:rPr>
        <w:t>31.4资料之保存</w:t>
      </w:r>
    </w:p>
    <w:p>
      <w:pPr>
        <w:tabs>
          <w:tab w:val="left" w:pos="567"/>
        </w:tabs>
        <w:snapToGrid w:val="0"/>
        <w:spacing w:line="360" w:lineRule="auto"/>
        <w:ind w:firstLine="420" w:firstLineChars="200"/>
        <w:rPr>
          <w:rFonts w:ascii="宋体" w:hAnsi="宋体"/>
          <w:szCs w:val="21"/>
        </w:rPr>
      </w:pPr>
      <w:r>
        <w:rPr>
          <w:rFonts w:hint="eastAsia" w:ascii="宋体" w:hAnsi="宋体"/>
          <w:szCs w:val="21"/>
        </w:rPr>
        <w:t>甲方及乙方必须将招标过程及合同履约过程中所涉及的书面资料（包括文件、图纸、手册等）完整保存，以便合同执行时随时查阅。</w:t>
      </w:r>
    </w:p>
    <w:p>
      <w:pPr>
        <w:tabs>
          <w:tab w:val="left" w:pos="567"/>
        </w:tabs>
        <w:snapToGrid w:val="0"/>
        <w:spacing w:line="360" w:lineRule="auto"/>
        <w:ind w:firstLine="420" w:firstLineChars="200"/>
        <w:rPr>
          <w:rFonts w:ascii="宋体" w:hAnsi="宋体"/>
          <w:szCs w:val="21"/>
        </w:rPr>
      </w:pPr>
      <w:r>
        <w:rPr>
          <w:rFonts w:hint="eastAsia" w:ascii="宋体" w:hAnsi="宋体"/>
          <w:szCs w:val="21"/>
        </w:rPr>
        <w:t>31.5本合同书未有规定，但乙方在投标文件或其澄清修改文件中已做出实质性响应的内容和/或承诺，均作为合同组成部分。</w:t>
      </w:r>
    </w:p>
    <w:p>
      <w:pPr>
        <w:tabs>
          <w:tab w:val="left" w:pos="567"/>
        </w:tabs>
        <w:snapToGrid w:val="0"/>
        <w:spacing w:line="360" w:lineRule="auto"/>
        <w:ind w:firstLine="420" w:firstLineChars="200"/>
        <w:rPr>
          <w:rFonts w:ascii="宋体" w:hAnsi="宋体"/>
          <w:szCs w:val="21"/>
        </w:rPr>
      </w:pPr>
      <w:r>
        <w:rPr>
          <w:rFonts w:hint="eastAsia" w:ascii="宋体" w:hAnsi="宋体"/>
          <w:szCs w:val="21"/>
        </w:rPr>
        <w:t>31.6甲方授权的代表</w:t>
      </w:r>
    </w:p>
    <w:p>
      <w:pPr>
        <w:tabs>
          <w:tab w:val="left" w:pos="567"/>
        </w:tabs>
        <w:snapToGrid w:val="0"/>
        <w:spacing w:line="360" w:lineRule="auto"/>
        <w:ind w:firstLine="420" w:firstLineChars="200"/>
        <w:rPr>
          <w:rFonts w:ascii="宋体" w:hAnsi="宋体"/>
          <w:szCs w:val="21"/>
        </w:rPr>
      </w:pPr>
      <w:r>
        <w:rPr>
          <w:rFonts w:hint="eastAsia" w:ascii="宋体" w:hAnsi="宋体"/>
          <w:szCs w:val="21"/>
        </w:rPr>
        <w:t>甲方应把就本合同代表甲方的人员名单、授权范围和限制书面通知乙方。除按前述规定通知乙方的人员外，任何其他人员均无权代表甲方行事，上述甲方授权代表仅在甲方通知的授权范围内代表甲方行事。</w:t>
      </w:r>
    </w:p>
    <w:p>
      <w:pPr>
        <w:tabs>
          <w:tab w:val="left" w:pos="567"/>
        </w:tabs>
        <w:snapToGrid w:val="0"/>
        <w:spacing w:line="360" w:lineRule="auto"/>
        <w:ind w:firstLine="420" w:firstLineChars="200"/>
        <w:rPr>
          <w:rFonts w:ascii="宋体" w:hAnsi="宋体"/>
          <w:szCs w:val="21"/>
        </w:rPr>
      </w:pPr>
      <w:r>
        <w:rPr>
          <w:rFonts w:hint="eastAsia" w:ascii="宋体" w:hAnsi="宋体"/>
          <w:szCs w:val="21"/>
        </w:rPr>
        <w:t>31.7乙方人员</w:t>
      </w:r>
    </w:p>
    <w:p>
      <w:pPr>
        <w:tabs>
          <w:tab w:val="left" w:pos="567"/>
        </w:tabs>
        <w:snapToGrid w:val="0"/>
        <w:spacing w:line="360" w:lineRule="auto"/>
        <w:ind w:firstLine="420" w:firstLineChars="200"/>
        <w:rPr>
          <w:rFonts w:ascii="宋体" w:hAnsi="宋体"/>
          <w:szCs w:val="21"/>
        </w:rPr>
      </w:pPr>
      <w:r>
        <w:rPr>
          <w:rFonts w:hint="eastAsia" w:ascii="宋体" w:hAnsi="宋体"/>
          <w:szCs w:val="21"/>
        </w:rPr>
        <w:t>乙方人员都应是他们各自行业或职业内具有相应资质、技能和经验的人员。甲方可以要求乙方撤换受雇于现场的、有下列行为的任何人员：</w:t>
      </w:r>
    </w:p>
    <w:p>
      <w:pPr>
        <w:tabs>
          <w:tab w:val="left" w:pos="567"/>
        </w:tabs>
        <w:snapToGrid w:val="0"/>
        <w:spacing w:line="360" w:lineRule="auto"/>
        <w:ind w:firstLine="420" w:firstLineChars="200"/>
        <w:rPr>
          <w:rFonts w:ascii="宋体" w:hAnsi="宋体"/>
          <w:szCs w:val="21"/>
        </w:rPr>
      </w:pPr>
      <w:r>
        <w:rPr>
          <w:rFonts w:hint="eastAsia" w:ascii="宋体" w:hAnsi="宋体"/>
          <w:szCs w:val="21"/>
        </w:rPr>
        <w:t>31.7.1经常行为不当，或工作漫不经心；</w:t>
      </w:r>
    </w:p>
    <w:p>
      <w:pPr>
        <w:tabs>
          <w:tab w:val="left" w:pos="567"/>
        </w:tabs>
        <w:snapToGrid w:val="0"/>
        <w:spacing w:line="360" w:lineRule="auto"/>
        <w:ind w:firstLine="420" w:firstLineChars="200"/>
        <w:rPr>
          <w:rFonts w:ascii="宋体" w:hAnsi="宋体"/>
          <w:szCs w:val="21"/>
        </w:rPr>
      </w:pPr>
      <w:r>
        <w:rPr>
          <w:rFonts w:hint="eastAsia" w:ascii="宋体" w:hAnsi="宋体"/>
          <w:szCs w:val="21"/>
        </w:rPr>
        <w:t>31.7.2无能力履行合同义务或玩忽职守；</w:t>
      </w:r>
    </w:p>
    <w:p>
      <w:pPr>
        <w:tabs>
          <w:tab w:val="left" w:pos="567"/>
        </w:tabs>
        <w:snapToGrid w:val="0"/>
        <w:spacing w:line="360" w:lineRule="auto"/>
        <w:ind w:firstLine="420" w:firstLineChars="200"/>
        <w:rPr>
          <w:rFonts w:ascii="宋体" w:hAnsi="宋体"/>
          <w:szCs w:val="21"/>
        </w:rPr>
      </w:pPr>
      <w:r>
        <w:rPr>
          <w:rFonts w:hint="eastAsia" w:ascii="宋体" w:hAnsi="宋体"/>
          <w:szCs w:val="21"/>
        </w:rPr>
        <w:t>31.7.3不遵守合同的任何规定；</w:t>
      </w:r>
    </w:p>
    <w:p>
      <w:pPr>
        <w:tabs>
          <w:tab w:val="left" w:pos="567"/>
        </w:tabs>
        <w:snapToGrid w:val="0"/>
        <w:spacing w:line="360" w:lineRule="auto"/>
        <w:ind w:firstLine="420" w:firstLineChars="200"/>
        <w:rPr>
          <w:rFonts w:ascii="宋体" w:hAnsi="宋体"/>
          <w:szCs w:val="21"/>
        </w:rPr>
      </w:pPr>
      <w:r>
        <w:rPr>
          <w:rFonts w:hint="eastAsia" w:ascii="宋体" w:hAnsi="宋体"/>
          <w:szCs w:val="21"/>
        </w:rPr>
        <w:t>31.7.4有腐败行为，例如向甲方人员提供礼品、回扣等；或有损安全、健康，或有损环境保护的行为，且屡教不改。</w:t>
      </w:r>
    </w:p>
    <w:p>
      <w:pPr>
        <w:tabs>
          <w:tab w:val="left" w:pos="567"/>
        </w:tabs>
        <w:snapToGrid w:val="0"/>
        <w:spacing w:line="360" w:lineRule="auto"/>
        <w:ind w:firstLine="420" w:firstLineChars="200"/>
        <w:rPr>
          <w:rFonts w:ascii="宋体" w:hAnsi="宋体"/>
          <w:szCs w:val="21"/>
        </w:rPr>
      </w:pPr>
      <w:r>
        <w:rPr>
          <w:rFonts w:hint="eastAsia" w:ascii="宋体" w:hAnsi="宋体"/>
          <w:szCs w:val="21"/>
        </w:rPr>
        <w:t>31.8合同附件的规定全部都是合同条款中相关内容的补充和/或再描述。</w:t>
      </w:r>
    </w:p>
    <w:p>
      <w:pPr>
        <w:tabs>
          <w:tab w:val="left" w:pos="567"/>
        </w:tabs>
        <w:snapToGrid w:val="0"/>
        <w:spacing w:line="360" w:lineRule="auto"/>
        <w:ind w:firstLine="420" w:firstLineChars="200"/>
        <w:rPr>
          <w:rFonts w:ascii="宋体" w:hAnsi="宋体"/>
          <w:szCs w:val="21"/>
        </w:rPr>
      </w:pPr>
      <w:r>
        <w:rPr>
          <w:rFonts w:hint="eastAsia" w:ascii="宋体" w:hAnsi="宋体"/>
          <w:szCs w:val="21"/>
        </w:rPr>
        <w:t>31.9合同执行的文档管理</w:t>
      </w:r>
    </w:p>
    <w:p>
      <w:pPr>
        <w:tabs>
          <w:tab w:val="left" w:pos="567"/>
        </w:tabs>
        <w:snapToGrid w:val="0"/>
        <w:spacing w:line="360" w:lineRule="auto"/>
        <w:ind w:firstLine="420" w:firstLineChars="200"/>
        <w:rPr>
          <w:rFonts w:ascii="宋体" w:hAnsi="宋体"/>
          <w:szCs w:val="21"/>
        </w:rPr>
      </w:pPr>
      <w:r>
        <w:rPr>
          <w:rFonts w:hint="eastAsia" w:ascii="宋体" w:hAnsi="宋体"/>
          <w:szCs w:val="21"/>
        </w:rPr>
        <w:t>合同执行中买、卖双方来往的正式文档，如：合同修改书、变更建议书、验收证书、支付申请等，按甲方相关的管理办法执行。</w:t>
      </w:r>
    </w:p>
    <w:p>
      <w:pPr>
        <w:tabs>
          <w:tab w:val="left" w:pos="567"/>
        </w:tabs>
        <w:snapToGrid w:val="0"/>
        <w:spacing w:line="360" w:lineRule="auto"/>
        <w:ind w:firstLine="420" w:firstLineChars="200"/>
        <w:rPr>
          <w:rFonts w:ascii="宋体" w:hAnsi="宋体"/>
          <w:szCs w:val="21"/>
        </w:rPr>
      </w:pPr>
      <w:r>
        <w:rPr>
          <w:rFonts w:hint="eastAsia" w:ascii="宋体" w:hAnsi="宋体"/>
          <w:szCs w:val="21"/>
        </w:rPr>
        <w:t>31.10乙方确认并认知：</w:t>
      </w:r>
    </w:p>
    <w:p>
      <w:pPr>
        <w:tabs>
          <w:tab w:val="left" w:pos="567"/>
        </w:tabs>
        <w:snapToGrid w:val="0"/>
        <w:spacing w:line="360" w:lineRule="auto"/>
        <w:ind w:firstLine="420" w:firstLineChars="200"/>
        <w:rPr>
          <w:rFonts w:ascii="宋体" w:hAnsi="宋体"/>
          <w:szCs w:val="21"/>
        </w:rPr>
      </w:pPr>
      <w:r>
        <w:rPr>
          <w:rFonts w:hint="eastAsia" w:ascii="宋体" w:hAnsi="宋体"/>
          <w:szCs w:val="21"/>
        </w:rPr>
        <w:t>31.10.1其系在适当研究其所承担的风险及义务后订立合同的，为接受该等风险和义务，其已对合同价格、合同价格的任何细目所述的任何费率或金额作了充分的考虑；</w:t>
      </w:r>
    </w:p>
    <w:p>
      <w:pPr>
        <w:tabs>
          <w:tab w:val="left" w:pos="567"/>
        </w:tabs>
        <w:snapToGrid w:val="0"/>
        <w:spacing w:line="360" w:lineRule="auto"/>
        <w:ind w:firstLine="420" w:firstLineChars="200"/>
        <w:rPr>
          <w:rFonts w:ascii="宋体" w:hAnsi="宋体"/>
          <w:szCs w:val="21"/>
        </w:rPr>
      </w:pPr>
      <w:r>
        <w:rPr>
          <w:rFonts w:hint="eastAsia" w:ascii="宋体" w:hAnsi="宋体"/>
          <w:szCs w:val="21"/>
        </w:rPr>
        <w:t>31.10.2 其同意该等风险和义务，并未受到甲方方面的任何胁迫或压力；</w:t>
      </w:r>
    </w:p>
    <w:p>
      <w:pPr>
        <w:tabs>
          <w:tab w:val="left" w:pos="567"/>
        </w:tabs>
        <w:snapToGrid w:val="0"/>
        <w:spacing w:line="360" w:lineRule="auto"/>
        <w:ind w:firstLine="420" w:firstLineChars="200"/>
        <w:rPr>
          <w:rFonts w:ascii="宋体" w:hAnsi="宋体"/>
          <w:szCs w:val="21"/>
        </w:rPr>
      </w:pPr>
      <w:r>
        <w:rPr>
          <w:rFonts w:hint="eastAsia" w:ascii="宋体" w:hAnsi="宋体"/>
          <w:szCs w:val="21"/>
        </w:rPr>
        <w:t>31.10.3其接受该等风险和义务，是甲方愿意和能够按合同约定的价格订立合同的先决条件；</w:t>
      </w:r>
    </w:p>
    <w:p>
      <w:pPr>
        <w:tabs>
          <w:tab w:val="left" w:pos="567"/>
        </w:tabs>
        <w:snapToGrid w:val="0"/>
        <w:spacing w:line="360" w:lineRule="auto"/>
        <w:ind w:firstLine="420" w:firstLineChars="200"/>
        <w:rPr>
          <w:rFonts w:ascii="宋体" w:hAnsi="宋体"/>
          <w:szCs w:val="21"/>
        </w:rPr>
      </w:pPr>
      <w:r>
        <w:rPr>
          <w:rFonts w:hint="eastAsia" w:ascii="宋体" w:hAnsi="宋体"/>
          <w:szCs w:val="21"/>
        </w:rPr>
        <w:t>31.10.4考虑到本交易的所有情形，合同的条款是公平合理的，乙方之后不得以任何理由寻求对合同或其任一条款的法律效力提出异议，并放弃这样做的任何权利；</w:t>
      </w:r>
    </w:p>
    <w:p>
      <w:pPr>
        <w:tabs>
          <w:tab w:val="left" w:pos="567"/>
        </w:tabs>
        <w:snapToGrid w:val="0"/>
        <w:spacing w:line="360" w:lineRule="auto"/>
        <w:ind w:firstLine="420" w:firstLineChars="200"/>
        <w:rPr>
          <w:rFonts w:ascii="宋体" w:hAnsi="宋体"/>
          <w:szCs w:val="21"/>
        </w:rPr>
      </w:pPr>
      <w:r>
        <w:rPr>
          <w:rFonts w:hint="eastAsia" w:ascii="宋体" w:hAnsi="宋体"/>
          <w:szCs w:val="21"/>
        </w:rPr>
        <w:t>31.10.5乙方需提供本项目实施系统的有偿运维费用标准（不低于项目质保期服务标准），每年运维费用标准不应高于本合同金额的10%，且应包含配套系统软件运维期间的授权费用。乙方承诺免费质保期结束后，甲方可以此运维费用标准采购乙方的运维服务。</w:t>
      </w:r>
    </w:p>
    <w:p>
      <w:pPr>
        <w:tabs>
          <w:tab w:val="left" w:pos="567"/>
        </w:tabs>
        <w:snapToGrid w:val="0"/>
        <w:spacing w:line="360" w:lineRule="auto"/>
        <w:ind w:firstLine="420" w:firstLineChars="200"/>
        <w:rPr>
          <w:rFonts w:ascii="宋体" w:hAnsi="宋体"/>
          <w:szCs w:val="21"/>
        </w:rPr>
      </w:pPr>
      <w:r>
        <w:rPr>
          <w:rFonts w:hint="eastAsia" w:ascii="宋体" w:hAnsi="宋体"/>
          <w:szCs w:val="21"/>
        </w:rPr>
        <w:t>31.11 本合同条款未尽事宜见用户需求书。</w:t>
      </w:r>
    </w:p>
    <w:p>
      <w:pPr>
        <w:tabs>
          <w:tab w:val="left" w:pos="567"/>
        </w:tabs>
        <w:snapToGrid w:val="0"/>
        <w:spacing w:line="360" w:lineRule="auto"/>
        <w:ind w:firstLine="420" w:firstLineChars="200"/>
        <w:rPr>
          <w:rFonts w:ascii="宋体" w:hAnsi="宋体"/>
          <w:szCs w:val="21"/>
        </w:rPr>
      </w:pPr>
    </w:p>
    <w:p>
      <w:pPr>
        <w:spacing w:line="360" w:lineRule="auto"/>
        <w:ind w:firstLine="420" w:firstLineChars="200"/>
        <w:rPr>
          <w:rFonts w:ascii="宋体"/>
          <w:szCs w:val="21"/>
        </w:rPr>
      </w:pPr>
    </w:p>
    <w:p>
      <w:pPr>
        <w:keepNext/>
        <w:keepLines/>
        <w:numPr>
          <w:ilvl w:val="0"/>
          <w:numId w:val="17"/>
        </w:numPr>
        <w:spacing w:line="360" w:lineRule="auto"/>
        <w:jc w:val="center"/>
        <w:outlineLvl w:val="1"/>
        <w:rPr>
          <w:rFonts w:ascii="宋体" w:hAnsi="宋体"/>
          <w:b/>
          <w:sz w:val="28"/>
          <w:szCs w:val="28"/>
        </w:rPr>
      </w:pPr>
      <w:bookmarkStart w:id="562" w:name="_Toc6240"/>
      <w:bookmarkStart w:id="563" w:name="_Toc16678"/>
      <w:bookmarkStart w:id="564" w:name="_Toc29672"/>
      <w:bookmarkStart w:id="565" w:name="_Toc13805"/>
      <w:bookmarkStart w:id="566" w:name="_Toc24199"/>
      <w:bookmarkStart w:id="567" w:name="_Toc23095"/>
      <w:r>
        <w:rPr>
          <w:rFonts w:ascii="宋体" w:hAnsi="宋体"/>
          <w:b/>
          <w:sz w:val="28"/>
          <w:szCs w:val="28"/>
        </w:rPr>
        <w:br w:type="page"/>
      </w:r>
      <w:bookmarkStart w:id="568" w:name="_Toc20003"/>
      <w:bookmarkStart w:id="569" w:name="_Toc23589"/>
      <w:bookmarkStart w:id="570" w:name="_Toc180507114"/>
      <w:bookmarkStart w:id="571" w:name="_Toc9808"/>
      <w:r>
        <w:rPr>
          <w:rFonts w:hint="eastAsia" w:ascii="宋体" w:hAnsi="宋体"/>
          <w:b/>
          <w:sz w:val="28"/>
          <w:szCs w:val="28"/>
        </w:rPr>
        <w:t>价格组成文件</w:t>
      </w:r>
      <w:bookmarkEnd w:id="562"/>
      <w:bookmarkEnd w:id="563"/>
      <w:bookmarkEnd w:id="564"/>
      <w:bookmarkEnd w:id="565"/>
      <w:bookmarkEnd w:id="566"/>
      <w:bookmarkEnd w:id="567"/>
      <w:bookmarkEnd w:id="568"/>
      <w:bookmarkEnd w:id="569"/>
      <w:bookmarkEnd w:id="570"/>
      <w:bookmarkEnd w:id="571"/>
    </w:p>
    <w:p>
      <w:pPr>
        <w:rPr>
          <w:rFonts w:ascii="宋体" w:hAnsi="宋体"/>
          <w:bCs/>
          <w:kern w:val="0"/>
          <w:szCs w:val="21"/>
        </w:rPr>
      </w:pPr>
      <w:r>
        <w:rPr>
          <w:rFonts w:hint="eastAsia" w:ascii="宋体" w:hAnsi="宋体"/>
          <w:bCs/>
          <w:kern w:val="0"/>
          <w:szCs w:val="21"/>
        </w:rPr>
        <w:t>1、税率确认函。</w:t>
      </w:r>
    </w:p>
    <w:p>
      <w:pPr>
        <w:rPr>
          <w:rFonts w:ascii="宋体" w:hAnsi="宋体"/>
          <w:bCs/>
          <w:kern w:val="0"/>
          <w:szCs w:val="21"/>
        </w:rPr>
      </w:pPr>
      <w:r>
        <w:rPr>
          <w:rFonts w:hint="eastAsia" w:ascii="宋体" w:hAnsi="宋体"/>
          <w:bCs/>
          <w:kern w:val="0"/>
          <w:szCs w:val="21"/>
        </w:rPr>
        <w:t>2、中标文件分项报价表。</w:t>
      </w:r>
    </w:p>
    <w:p>
      <w:pPr>
        <w:rPr>
          <w:rFonts w:ascii="宋体" w:hAnsi="宋体"/>
          <w:kern w:val="0"/>
          <w:szCs w:val="21"/>
        </w:rPr>
      </w:pPr>
      <w:r>
        <w:rPr>
          <w:rFonts w:hint="eastAsia" w:ascii="宋体" w:hAnsi="宋体"/>
          <w:bCs/>
          <w:kern w:val="0"/>
          <w:szCs w:val="21"/>
        </w:rPr>
        <w:t>3、含税分项报价表。</w:t>
      </w:r>
    </w:p>
    <w:p>
      <w:pPr>
        <w:keepNext/>
        <w:keepLines/>
        <w:spacing w:line="360" w:lineRule="auto"/>
        <w:jc w:val="center"/>
        <w:outlineLvl w:val="1"/>
        <w:rPr>
          <w:rFonts w:ascii="宋体" w:hAnsi="宋体"/>
          <w:b/>
          <w:sz w:val="28"/>
          <w:szCs w:val="28"/>
        </w:rPr>
      </w:pPr>
      <w:bookmarkStart w:id="572" w:name="_Toc19231"/>
      <w:bookmarkStart w:id="573" w:name="_Toc17573"/>
      <w:bookmarkStart w:id="574" w:name="_Toc17192"/>
      <w:bookmarkStart w:id="575" w:name="_Toc27695"/>
      <w:bookmarkStart w:id="576" w:name="_Toc18289"/>
      <w:bookmarkStart w:id="577" w:name="_Toc14575"/>
      <w:r>
        <w:rPr>
          <w:rFonts w:ascii="宋体" w:hAnsi="宋体"/>
          <w:b/>
          <w:sz w:val="28"/>
          <w:szCs w:val="28"/>
        </w:rPr>
        <w:br w:type="page"/>
      </w:r>
      <w:bookmarkStart w:id="578" w:name="_Toc27685"/>
      <w:bookmarkStart w:id="579" w:name="_Toc8230"/>
      <w:bookmarkStart w:id="580" w:name="_Toc5145"/>
      <w:bookmarkStart w:id="581" w:name="_Toc180507115"/>
      <w:r>
        <w:rPr>
          <w:rFonts w:hint="eastAsia" w:ascii="宋体" w:hAnsi="宋体"/>
          <w:b/>
          <w:sz w:val="28"/>
          <w:szCs w:val="28"/>
        </w:rPr>
        <w:t>第五部分 技术规格书</w:t>
      </w:r>
      <w:bookmarkEnd w:id="572"/>
      <w:bookmarkEnd w:id="573"/>
      <w:bookmarkEnd w:id="574"/>
      <w:bookmarkEnd w:id="575"/>
      <w:bookmarkEnd w:id="576"/>
      <w:bookmarkEnd w:id="577"/>
      <w:bookmarkEnd w:id="578"/>
      <w:bookmarkEnd w:id="579"/>
      <w:bookmarkEnd w:id="580"/>
      <w:bookmarkEnd w:id="581"/>
    </w:p>
    <w:p>
      <w:pPr>
        <w:spacing w:after="120"/>
        <w:rPr>
          <w:rFonts w:ascii="宋体" w:hAnsi="宋体"/>
          <w:b/>
          <w:sz w:val="28"/>
          <w:szCs w:val="28"/>
        </w:rPr>
      </w:pPr>
    </w:p>
    <w:p>
      <w:pPr>
        <w:spacing w:after="120"/>
        <w:rPr>
          <w:rFonts w:ascii="宋体" w:hAnsi="宋体"/>
          <w:b/>
          <w:sz w:val="28"/>
          <w:szCs w:val="28"/>
        </w:rPr>
        <w:sectPr>
          <w:pgSz w:w="11906" w:h="16838"/>
          <w:pgMar w:top="1440" w:right="1417" w:bottom="1440" w:left="1440" w:header="567" w:footer="590" w:gutter="0"/>
          <w:cols w:space="720" w:num="1"/>
          <w:docGrid w:linePitch="312" w:charSpace="0"/>
        </w:sectPr>
      </w:pPr>
    </w:p>
    <w:p>
      <w:pPr>
        <w:keepNext/>
        <w:keepLines/>
        <w:spacing w:line="360" w:lineRule="auto"/>
        <w:jc w:val="center"/>
        <w:outlineLvl w:val="1"/>
        <w:rPr>
          <w:rFonts w:ascii="宋体" w:hAnsi="宋体"/>
          <w:b/>
          <w:sz w:val="28"/>
          <w:szCs w:val="28"/>
        </w:rPr>
      </w:pPr>
      <w:bookmarkStart w:id="582" w:name="_Toc180507116"/>
      <w:bookmarkStart w:id="583" w:name="_Toc11492"/>
      <w:bookmarkStart w:id="584" w:name="_Toc23285"/>
      <w:bookmarkStart w:id="585" w:name="_Toc27144"/>
      <w:bookmarkStart w:id="586" w:name="_Toc22854"/>
      <w:bookmarkStart w:id="587" w:name="_Toc27130"/>
      <w:bookmarkStart w:id="588" w:name="_Toc28619"/>
      <w:bookmarkStart w:id="589" w:name="_Toc8336"/>
      <w:bookmarkStart w:id="590" w:name="_Toc27344"/>
      <w:bookmarkStart w:id="591" w:name="_Toc13178"/>
      <w:r>
        <w:rPr>
          <w:rFonts w:hint="eastAsia" w:ascii="宋体" w:hAnsi="宋体"/>
          <w:b/>
          <w:sz w:val="28"/>
          <w:szCs w:val="28"/>
        </w:rPr>
        <w:t>第六部分 合同附件</w:t>
      </w:r>
      <w:bookmarkEnd w:id="582"/>
      <w:bookmarkEnd w:id="583"/>
      <w:bookmarkEnd w:id="584"/>
      <w:bookmarkEnd w:id="585"/>
      <w:bookmarkEnd w:id="586"/>
      <w:bookmarkEnd w:id="587"/>
      <w:bookmarkEnd w:id="588"/>
      <w:bookmarkEnd w:id="589"/>
      <w:bookmarkEnd w:id="590"/>
      <w:bookmarkEnd w:id="591"/>
    </w:p>
    <w:p>
      <w:pPr>
        <w:rPr>
          <w:rFonts w:ascii="宋体" w:hAnsi="宋体"/>
          <w:bCs/>
          <w:kern w:val="0"/>
          <w:sz w:val="24"/>
        </w:rPr>
      </w:pPr>
    </w:p>
    <w:p>
      <w:pPr>
        <w:keepNext/>
        <w:keepLines/>
        <w:numPr>
          <w:ilvl w:val="0"/>
          <w:numId w:val="18"/>
        </w:numPr>
        <w:spacing w:line="360" w:lineRule="auto"/>
        <w:jc w:val="center"/>
        <w:outlineLvl w:val="1"/>
        <w:rPr>
          <w:rFonts w:ascii="宋体" w:hAnsi="宋体"/>
          <w:b/>
          <w:sz w:val="28"/>
          <w:szCs w:val="28"/>
        </w:rPr>
      </w:pPr>
      <w:bookmarkStart w:id="592" w:name="_Toc2453"/>
      <w:bookmarkStart w:id="593" w:name="_Toc30140"/>
      <w:bookmarkStart w:id="594" w:name="_Toc10814"/>
      <w:bookmarkStart w:id="595" w:name="_Toc14156"/>
      <w:bookmarkStart w:id="596" w:name="_Toc20415"/>
      <w:bookmarkStart w:id="597" w:name="_Toc28736"/>
      <w:r>
        <w:rPr>
          <w:rFonts w:ascii="宋体" w:hAnsi="宋体"/>
          <w:b/>
          <w:sz w:val="28"/>
          <w:szCs w:val="28"/>
        </w:rPr>
        <w:br w:type="page"/>
      </w:r>
      <w:bookmarkStart w:id="598" w:name="_Toc180507117"/>
      <w:bookmarkStart w:id="599" w:name="_Toc19111"/>
      <w:bookmarkStart w:id="600" w:name="_Toc8478"/>
      <w:bookmarkStart w:id="601" w:name="_Toc24956"/>
      <w:r>
        <w:rPr>
          <w:rFonts w:hint="eastAsia" w:ascii="宋体" w:hAnsi="宋体"/>
          <w:b/>
          <w:sz w:val="28"/>
          <w:szCs w:val="28"/>
        </w:rPr>
        <w:t>招标文件（含招标文件补充文件）</w:t>
      </w:r>
      <w:bookmarkEnd w:id="592"/>
      <w:bookmarkEnd w:id="593"/>
      <w:bookmarkEnd w:id="594"/>
      <w:bookmarkEnd w:id="595"/>
      <w:bookmarkEnd w:id="596"/>
      <w:bookmarkEnd w:id="597"/>
      <w:bookmarkEnd w:id="598"/>
      <w:bookmarkEnd w:id="599"/>
      <w:bookmarkEnd w:id="600"/>
      <w:bookmarkEnd w:id="601"/>
    </w:p>
    <w:p>
      <w:pPr>
        <w:spacing w:after="120"/>
        <w:ind w:left="840" w:leftChars="400"/>
        <w:rPr>
          <w:rFonts w:ascii="Calibri" w:hAnsi="Calibri" w:eastAsia="Times New Roman"/>
          <w:kern w:val="0"/>
          <w:sz w:val="24"/>
        </w:rPr>
      </w:pPr>
    </w:p>
    <w:p>
      <w:pPr>
        <w:spacing w:line="312" w:lineRule="auto"/>
        <w:jc w:val="center"/>
        <w:rPr>
          <w:rFonts w:ascii="宋体" w:hAnsi="宋体" w:cs="宋体"/>
          <w:b/>
          <w:bCs/>
          <w:kern w:val="0"/>
          <w:sz w:val="28"/>
          <w:szCs w:val="28"/>
        </w:rPr>
        <w:sectPr>
          <w:pgSz w:w="11906" w:h="16838"/>
          <w:pgMar w:top="1440" w:right="1417" w:bottom="1440" w:left="1440" w:header="567" w:footer="590" w:gutter="0"/>
          <w:cols w:space="720" w:num="1"/>
          <w:docGrid w:linePitch="312" w:charSpace="0"/>
        </w:sectPr>
      </w:pPr>
      <w:r>
        <w:rPr>
          <w:rFonts w:hint="eastAsia" w:ascii="宋体" w:hAnsi="宋体" w:cs="宋体"/>
          <w:b/>
          <w:bCs/>
          <w:kern w:val="0"/>
          <w:sz w:val="28"/>
          <w:szCs w:val="28"/>
        </w:rPr>
        <w:t>（另册）</w:t>
      </w:r>
    </w:p>
    <w:p>
      <w:pPr>
        <w:keepNext/>
        <w:keepLines/>
        <w:numPr>
          <w:ilvl w:val="0"/>
          <w:numId w:val="18"/>
        </w:numPr>
        <w:spacing w:line="360" w:lineRule="auto"/>
        <w:jc w:val="center"/>
        <w:outlineLvl w:val="1"/>
        <w:rPr>
          <w:rFonts w:ascii="宋体" w:hAnsi="宋体"/>
          <w:b/>
          <w:sz w:val="28"/>
          <w:szCs w:val="28"/>
        </w:rPr>
      </w:pPr>
      <w:bookmarkStart w:id="602" w:name="_Toc9458"/>
      <w:bookmarkStart w:id="603" w:name="_Toc17372"/>
      <w:bookmarkStart w:id="604" w:name="_Toc28607"/>
      <w:bookmarkStart w:id="605" w:name="_Toc4079"/>
      <w:bookmarkStart w:id="606" w:name="_Toc16565"/>
      <w:bookmarkStart w:id="607" w:name="_Toc32111"/>
      <w:bookmarkStart w:id="608" w:name="_Toc180507118"/>
      <w:bookmarkStart w:id="609" w:name="_Toc19710"/>
      <w:bookmarkStart w:id="610" w:name="_Toc11745"/>
      <w:bookmarkStart w:id="611" w:name="_Toc8675"/>
      <w:r>
        <w:rPr>
          <w:rFonts w:hint="eastAsia" w:ascii="宋体" w:hAnsi="宋体"/>
          <w:b/>
          <w:sz w:val="28"/>
          <w:szCs w:val="28"/>
        </w:rPr>
        <w:t>投标文件（含投标文件补充文件）</w:t>
      </w:r>
      <w:bookmarkEnd w:id="602"/>
      <w:bookmarkEnd w:id="603"/>
      <w:bookmarkEnd w:id="604"/>
      <w:bookmarkEnd w:id="605"/>
      <w:bookmarkEnd w:id="606"/>
      <w:bookmarkEnd w:id="607"/>
      <w:bookmarkEnd w:id="608"/>
      <w:bookmarkEnd w:id="609"/>
      <w:bookmarkEnd w:id="610"/>
      <w:bookmarkEnd w:id="611"/>
    </w:p>
    <w:p>
      <w:pPr>
        <w:spacing w:after="120"/>
        <w:jc w:val="center"/>
        <w:rPr>
          <w:rFonts w:ascii="宋体" w:hAnsi="宋体" w:cs="宋体"/>
          <w:b/>
          <w:bCs/>
          <w:kern w:val="0"/>
          <w:sz w:val="28"/>
          <w:szCs w:val="28"/>
        </w:rPr>
      </w:pPr>
    </w:p>
    <w:p>
      <w:pPr>
        <w:spacing w:after="120"/>
        <w:jc w:val="center"/>
        <w:rPr>
          <w:rFonts w:ascii="宋体" w:hAnsi="宋体" w:cs="宋体"/>
          <w:b/>
          <w:bCs/>
          <w:kern w:val="0"/>
          <w:sz w:val="28"/>
          <w:szCs w:val="28"/>
        </w:rPr>
      </w:pPr>
      <w:r>
        <w:rPr>
          <w:rFonts w:hint="eastAsia" w:ascii="宋体" w:hAnsi="宋体" w:cs="宋体"/>
          <w:b/>
          <w:bCs/>
          <w:kern w:val="0"/>
          <w:sz w:val="28"/>
          <w:szCs w:val="28"/>
        </w:rPr>
        <w:t>（另册）</w:t>
      </w:r>
    </w:p>
    <w:p>
      <w:pPr>
        <w:rPr>
          <w:rFonts w:ascii="宋体" w:hAnsi="宋体"/>
          <w:bCs/>
          <w:kern w:val="0"/>
          <w:sz w:val="24"/>
        </w:rPr>
        <w:sectPr>
          <w:footerReference r:id="rId13" w:type="default"/>
          <w:footerReference r:id="rId14" w:type="even"/>
          <w:pgSz w:w="11906" w:h="16838"/>
          <w:pgMar w:top="1440" w:right="1417" w:bottom="1440" w:left="1440" w:header="567" w:footer="590" w:gutter="0"/>
          <w:cols w:space="720" w:num="1"/>
          <w:docGrid w:linePitch="312" w:charSpace="0"/>
        </w:sectPr>
      </w:pPr>
    </w:p>
    <w:p>
      <w:pPr>
        <w:spacing w:line="312" w:lineRule="auto"/>
        <w:jc w:val="center"/>
        <w:outlineLvl w:val="0"/>
        <w:rPr>
          <w:rFonts w:eastAsia="黑体"/>
          <w:b/>
          <w:bCs/>
          <w:kern w:val="0"/>
          <w:sz w:val="32"/>
          <w:szCs w:val="32"/>
        </w:rPr>
      </w:pPr>
      <w:bookmarkStart w:id="612" w:name="_Toc9555"/>
      <w:bookmarkStart w:id="613" w:name="_Toc24804"/>
      <w:bookmarkStart w:id="614" w:name="_Toc15894"/>
      <w:bookmarkStart w:id="615" w:name="_Toc180507119"/>
      <w:bookmarkStart w:id="616" w:name="_Toc8049"/>
      <w:r>
        <w:rPr>
          <w:rFonts w:hint="eastAsia" w:eastAsia="黑体"/>
          <w:b/>
          <w:bCs/>
          <w:kern w:val="0"/>
          <w:sz w:val="32"/>
          <w:szCs w:val="32"/>
        </w:rPr>
        <w:t xml:space="preserve">第五章 </w:t>
      </w:r>
      <w:bookmarkEnd w:id="371"/>
      <w:bookmarkEnd w:id="372"/>
      <w:r>
        <w:rPr>
          <w:rFonts w:hint="eastAsia" w:eastAsia="黑体"/>
          <w:b/>
          <w:bCs/>
          <w:kern w:val="0"/>
          <w:sz w:val="32"/>
          <w:szCs w:val="32"/>
        </w:rPr>
        <w:t xml:space="preserve"> </w:t>
      </w:r>
      <w:bookmarkEnd w:id="373"/>
      <w:bookmarkEnd w:id="374"/>
      <w:bookmarkEnd w:id="375"/>
      <w:bookmarkEnd w:id="376"/>
      <w:bookmarkEnd w:id="612"/>
      <w:bookmarkStart w:id="617" w:name="_6维修工艺及标准"/>
      <w:bookmarkEnd w:id="617"/>
      <w:bookmarkStart w:id="618" w:name="_7维修工艺及标准"/>
      <w:bookmarkEnd w:id="618"/>
      <w:bookmarkStart w:id="619" w:name="_5.2维修作业管理标准及技术要求"/>
      <w:bookmarkEnd w:id="619"/>
      <w:bookmarkStart w:id="620" w:name="_Toc18654"/>
      <w:bookmarkStart w:id="621" w:name="_Toc4680"/>
      <w:bookmarkStart w:id="622" w:name="_Toc530736603"/>
      <w:bookmarkStart w:id="623" w:name="_Toc7509"/>
      <w:r>
        <w:rPr>
          <w:rFonts w:hint="eastAsia" w:eastAsia="黑体"/>
          <w:b/>
          <w:bCs/>
          <w:kern w:val="0"/>
          <w:sz w:val="32"/>
          <w:szCs w:val="32"/>
        </w:rPr>
        <w:t>用户需求书</w:t>
      </w:r>
      <w:bookmarkEnd w:id="613"/>
      <w:bookmarkEnd w:id="614"/>
      <w:bookmarkEnd w:id="615"/>
      <w:bookmarkEnd w:id="616"/>
    </w:p>
    <w:p>
      <w:pPr>
        <w:spacing w:before="156" w:beforeLines="50" w:line="360" w:lineRule="auto"/>
        <w:ind w:left="709" w:right="-57" w:rightChars="-27" w:hanging="709"/>
        <w:jc w:val="center"/>
        <w:rPr>
          <w:b/>
          <w:spacing w:val="-4"/>
          <w:sz w:val="44"/>
          <w:szCs w:val="44"/>
        </w:rPr>
      </w:pPr>
    </w:p>
    <w:p>
      <w:pPr>
        <w:pStyle w:val="4"/>
      </w:pPr>
    </w:p>
    <w:p>
      <w:pPr>
        <w:pStyle w:val="4"/>
      </w:pPr>
    </w:p>
    <w:p>
      <w:pPr>
        <w:spacing w:before="156" w:beforeLines="50" w:line="360" w:lineRule="auto"/>
        <w:ind w:left="709" w:right="-57" w:rightChars="-27" w:hanging="709"/>
        <w:jc w:val="center"/>
        <w:rPr>
          <w:b/>
          <w:spacing w:val="-4"/>
          <w:sz w:val="44"/>
          <w:szCs w:val="44"/>
        </w:rPr>
      </w:pPr>
      <w:r>
        <w:rPr>
          <w:rFonts w:hint="eastAsia"/>
          <w:b/>
          <w:spacing w:val="-4"/>
          <w:sz w:val="44"/>
          <w:szCs w:val="44"/>
        </w:rPr>
        <w:t>南宁轨道数智科技有限公司资产管理系统采购项目</w:t>
      </w:r>
    </w:p>
    <w:p>
      <w:pPr>
        <w:adjustRightInd w:val="0"/>
        <w:spacing w:after="120" w:line="360" w:lineRule="auto"/>
        <w:jc w:val="center"/>
        <w:textAlignment w:val="baseline"/>
        <w:rPr>
          <w:b/>
          <w:spacing w:val="-4"/>
          <w:kern w:val="0"/>
          <w:sz w:val="44"/>
          <w:szCs w:val="44"/>
        </w:rPr>
      </w:pPr>
    </w:p>
    <w:p>
      <w:pPr>
        <w:adjustRightInd w:val="0"/>
        <w:spacing w:after="120" w:line="480" w:lineRule="auto"/>
        <w:ind w:right="-57" w:rightChars="-27"/>
        <w:textAlignment w:val="baseline"/>
        <w:rPr>
          <w:b/>
          <w:spacing w:val="-4"/>
          <w:kern w:val="0"/>
          <w:sz w:val="52"/>
          <w:szCs w:val="52"/>
          <w:u w:color="000000"/>
        </w:rPr>
      </w:pPr>
    </w:p>
    <w:p>
      <w:pPr>
        <w:adjustRightInd w:val="0"/>
        <w:spacing w:after="120" w:line="480" w:lineRule="auto"/>
        <w:ind w:right="-57" w:rightChars="-27"/>
        <w:textAlignment w:val="baseline"/>
        <w:rPr>
          <w:b/>
          <w:spacing w:val="-4"/>
          <w:kern w:val="0"/>
          <w:sz w:val="52"/>
          <w:szCs w:val="52"/>
          <w:u w:color="000000"/>
        </w:rPr>
      </w:pPr>
    </w:p>
    <w:p>
      <w:pPr>
        <w:adjustRightInd w:val="0"/>
        <w:spacing w:after="120" w:line="480" w:lineRule="auto"/>
        <w:ind w:right="-57" w:rightChars="-27"/>
        <w:jc w:val="center"/>
        <w:textAlignment w:val="baseline"/>
        <w:rPr>
          <w:b/>
          <w:spacing w:val="-4"/>
          <w:kern w:val="0"/>
          <w:sz w:val="52"/>
          <w:szCs w:val="52"/>
          <w:u w:color="000000"/>
        </w:rPr>
      </w:pPr>
      <w:r>
        <w:rPr>
          <w:rFonts w:hint="eastAsia"/>
          <w:b/>
          <w:spacing w:val="-4"/>
          <w:kern w:val="0"/>
          <w:sz w:val="52"/>
          <w:szCs w:val="52"/>
          <w:u w:color="000000"/>
        </w:rPr>
        <w:t>用户需求书</w:t>
      </w:r>
    </w:p>
    <w:p>
      <w:pPr>
        <w:adjustRightInd w:val="0"/>
        <w:spacing w:after="120" w:line="480" w:lineRule="auto"/>
        <w:ind w:right="-57" w:rightChars="-27"/>
        <w:textAlignment w:val="baseline"/>
        <w:rPr>
          <w:b/>
          <w:spacing w:val="-4"/>
          <w:kern w:val="0"/>
          <w:sz w:val="52"/>
          <w:szCs w:val="52"/>
          <w:u w:color="000000"/>
        </w:rPr>
      </w:pPr>
    </w:p>
    <w:p>
      <w:pPr>
        <w:adjustRightInd w:val="0"/>
        <w:spacing w:after="120" w:line="480" w:lineRule="auto"/>
        <w:ind w:right="-57" w:rightChars="-27"/>
        <w:textAlignment w:val="baseline"/>
        <w:rPr>
          <w:kern w:val="0"/>
          <w:szCs w:val="20"/>
        </w:rPr>
      </w:pPr>
    </w:p>
    <w:p>
      <w:pPr>
        <w:jc w:val="center"/>
        <w:rPr>
          <w:rFonts w:ascii="方正小标宋简体" w:hAnsi="方正小标宋简体" w:eastAsia="方正小标宋简体" w:cs="方正小标宋简体"/>
          <w:b/>
          <w:bCs/>
          <w:sz w:val="48"/>
          <w:szCs w:val="48"/>
        </w:rPr>
        <w:sectPr>
          <w:pgSz w:w="11906" w:h="16838"/>
          <w:pgMar w:top="1440" w:right="1066" w:bottom="1440" w:left="1800" w:header="851" w:footer="992" w:gutter="0"/>
          <w:cols w:space="720" w:num="1"/>
          <w:docGrid w:type="lines" w:linePitch="312" w:charSpace="0"/>
        </w:sectPr>
      </w:pPr>
      <w:bookmarkStart w:id="624" w:name="_Toc531937622"/>
      <w:bookmarkEnd w:id="624"/>
      <w:bookmarkStart w:id="625" w:name="_Toc531937701"/>
      <w:bookmarkEnd w:id="625"/>
      <w:bookmarkStart w:id="626" w:name="_Toc531937463"/>
      <w:bookmarkEnd w:id="626"/>
      <w:bookmarkStart w:id="627" w:name="_Toc531937503"/>
      <w:bookmarkEnd w:id="627"/>
      <w:bookmarkStart w:id="628" w:name="_Toc528133286"/>
      <w:bookmarkEnd w:id="628"/>
      <w:bookmarkStart w:id="629" w:name="_Toc531937582"/>
      <w:bookmarkEnd w:id="629"/>
    </w:p>
    <w:p>
      <w:pPr>
        <w:rPr>
          <w:rFonts w:ascii="方正小标宋简体" w:hAnsi="方正小标宋简体" w:eastAsia="方正小标宋简体" w:cs="方正小标宋简体"/>
          <w:b/>
          <w:bCs/>
          <w:sz w:val="40"/>
          <w:szCs w:val="40"/>
        </w:rPr>
      </w:pPr>
    </w:p>
    <w:p>
      <w:pPr>
        <w:keepNext/>
        <w:keepLines/>
        <w:spacing w:before="340" w:after="330" w:line="578" w:lineRule="auto"/>
        <w:outlineLvl w:val="0"/>
        <w:rPr>
          <w:rFonts w:ascii="黑体" w:hAnsi="黑体" w:eastAsia="黑体" w:cs="黑体"/>
          <w:b/>
          <w:bCs/>
          <w:kern w:val="44"/>
          <w:sz w:val="32"/>
          <w:szCs w:val="32"/>
        </w:rPr>
      </w:pPr>
      <w:bookmarkStart w:id="630" w:name="_Toc180507120"/>
      <w:bookmarkStart w:id="631" w:name="_Toc30151"/>
      <w:bookmarkStart w:id="632" w:name="_Toc26982"/>
      <w:bookmarkStart w:id="633" w:name="_Toc23666"/>
      <w:bookmarkStart w:id="634" w:name="_Toc15755"/>
      <w:r>
        <w:rPr>
          <w:rFonts w:hint="eastAsia" w:ascii="黑体" w:hAnsi="黑体" w:eastAsia="黑体" w:cs="黑体"/>
          <w:b/>
          <w:bCs/>
          <w:kern w:val="44"/>
          <w:sz w:val="32"/>
          <w:szCs w:val="32"/>
        </w:rPr>
        <w:t>项目背景</w:t>
      </w:r>
      <w:bookmarkEnd w:id="630"/>
      <w:bookmarkEnd w:id="631"/>
      <w:bookmarkEnd w:id="632"/>
      <w:bookmarkEnd w:id="633"/>
      <w:bookmarkEnd w:id="634"/>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现阶段，为了满足南宁市国资委对监管单位资产全周期的监管要求，以及对内实现集团资产统筹管理，满足资产盘清盘活、资产经营收益提升、资产安全合规管控的要求，资产管理能力提升和数字化转型势在必行。特拟制</w:t>
      </w:r>
      <w:bookmarkStart w:id="635" w:name="OLE_LINK1"/>
      <w:r>
        <w:rPr>
          <w:rFonts w:hint="eastAsia" w:ascii="仿宋" w:hAnsi="仿宋" w:eastAsia="仿宋" w:cs="仿宋"/>
          <w:kern w:val="0"/>
          <w:sz w:val="28"/>
          <w:szCs w:val="28"/>
        </w:rPr>
        <w:t>资产管理系统</w:t>
      </w:r>
      <w:bookmarkEnd w:id="635"/>
      <w:r>
        <w:rPr>
          <w:rFonts w:hint="eastAsia" w:ascii="仿宋" w:hAnsi="仿宋" w:eastAsia="仿宋" w:cs="仿宋"/>
          <w:kern w:val="0"/>
          <w:sz w:val="28"/>
          <w:szCs w:val="28"/>
        </w:rPr>
        <w:t>建设方案书，为集团建设资产管理系统提供指引。</w:t>
      </w:r>
    </w:p>
    <w:p>
      <w:pPr>
        <w:keepNext/>
        <w:keepLines/>
        <w:spacing w:before="340" w:after="330" w:line="578" w:lineRule="auto"/>
        <w:outlineLvl w:val="0"/>
        <w:rPr>
          <w:rFonts w:ascii="黑体" w:hAnsi="黑体" w:eastAsia="黑体" w:cs="黑体"/>
          <w:b/>
          <w:bCs/>
          <w:kern w:val="44"/>
          <w:sz w:val="32"/>
          <w:szCs w:val="32"/>
        </w:rPr>
      </w:pPr>
      <w:bookmarkStart w:id="636" w:name="_Toc18161"/>
      <w:bookmarkStart w:id="637" w:name="_Toc32079"/>
      <w:bookmarkStart w:id="638" w:name="_Toc8945"/>
      <w:bookmarkStart w:id="639" w:name="_Toc180507121"/>
      <w:bookmarkStart w:id="640" w:name="_Toc18824"/>
      <w:r>
        <w:rPr>
          <w:rFonts w:hint="eastAsia" w:ascii="黑体" w:hAnsi="黑体" w:eastAsia="黑体" w:cs="黑体"/>
          <w:b/>
          <w:bCs/>
          <w:kern w:val="44"/>
          <w:sz w:val="32"/>
          <w:szCs w:val="32"/>
        </w:rPr>
        <w:t>项目需求</w:t>
      </w:r>
      <w:bookmarkEnd w:id="636"/>
      <w:bookmarkEnd w:id="637"/>
      <w:bookmarkEnd w:id="638"/>
      <w:bookmarkEnd w:id="639"/>
      <w:bookmarkEnd w:id="640"/>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641" w:name="_Toc7024"/>
      <w:bookmarkStart w:id="642" w:name="_Toc180507122"/>
      <w:bookmarkStart w:id="643" w:name="_Toc30745"/>
      <w:bookmarkStart w:id="644" w:name="_Toc5644"/>
      <w:bookmarkStart w:id="645" w:name="_Toc12283"/>
      <w:r>
        <w:rPr>
          <w:rFonts w:hint="eastAsia" w:ascii="方正楷体_GB2312" w:hAnsi="方正楷体_GB2312" w:eastAsia="方正楷体_GB2312" w:cs="方正楷体_GB2312"/>
          <w:b/>
          <w:sz w:val="32"/>
        </w:rPr>
        <w:t>资产管理的需求</w:t>
      </w:r>
      <w:bookmarkEnd w:id="641"/>
      <w:bookmarkEnd w:id="642"/>
      <w:bookmarkEnd w:id="643"/>
      <w:bookmarkEnd w:id="644"/>
      <w:bookmarkEnd w:id="645"/>
    </w:p>
    <w:p>
      <w:pPr>
        <w:numPr>
          <w:ilvl w:val="0"/>
          <w:numId w:val="19"/>
        </w:numPr>
        <w:adjustRightInd w:val="0"/>
        <w:snapToGrid w:val="0"/>
        <w:spacing w:line="560" w:lineRule="exact"/>
        <w:ind w:firstLine="562" w:firstLineChars="200"/>
        <w:jc w:val="left"/>
        <w:outlineLvl w:val="2"/>
        <w:rPr>
          <w:rFonts w:ascii="仿宋" w:hAnsi="仿宋" w:eastAsia="仿宋" w:cs="仿宋"/>
          <w:b/>
          <w:bCs/>
          <w:snapToGrid w:val="0"/>
          <w:kern w:val="0"/>
          <w:sz w:val="28"/>
          <w:szCs w:val="28"/>
        </w:rPr>
      </w:pPr>
      <w:bookmarkStart w:id="646" w:name="_Toc29680"/>
      <w:r>
        <w:rPr>
          <w:rFonts w:hint="eastAsia" w:ascii="仿宋" w:hAnsi="仿宋" w:eastAsia="仿宋" w:cs="仿宋"/>
          <w:b/>
          <w:bCs/>
          <w:snapToGrid w:val="0"/>
          <w:kern w:val="0"/>
          <w:sz w:val="28"/>
          <w:szCs w:val="28"/>
        </w:rPr>
        <w:t>盘清资产家底</w:t>
      </w:r>
      <w:bookmarkEnd w:id="646"/>
    </w:p>
    <w:p>
      <w:pPr>
        <w:widowControl/>
        <w:spacing w:line="360" w:lineRule="auto"/>
        <w:ind w:firstLine="64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希望通过专业的科学的资产盘清、资产分等定级和资产管理，完成集团资产家底盘清，建立统一完整的资产档案台账，实时了解资产动态，全局掌控资产布局。</w:t>
      </w:r>
    </w:p>
    <w:p>
      <w:pPr>
        <w:numPr>
          <w:ilvl w:val="0"/>
          <w:numId w:val="19"/>
        </w:numPr>
        <w:adjustRightInd w:val="0"/>
        <w:snapToGrid w:val="0"/>
        <w:spacing w:line="560" w:lineRule="exact"/>
        <w:ind w:firstLine="562" w:firstLineChars="200"/>
        <w:jc w:val="left"/>
        <w:outlineLvl w:val="2"/>
        <w:rPr>
          <w:rFonts w:ascii="仿宋" w:hAnsi="仿宋" w:eastAsia="仿宋" w:cs="仿宋"/>
          <w:b/>
          <w:bCs/>
          <w:snapToGrid w:val="0"/>
          <w:kern w:val="0"/>
          <w:sz w:val="28"/>
          <w:szCs w:val="28"/>
        </w:rPr>
      </w:pPr>
      <w:bookmarkStart w:id="647" w:name="_Toc29353"/>
      <w:r>
        <w:rPr>
          <w:rFonts w:hint="eastAsia" w:ascii="仿宋" w:hAnsi="仿宋" w:eastAsia="仿宋" w:cs="仿宋"/>
          <w:b/>
          <w:bCs/>
          <w:snapToGrid w:val="0"/>
          <w:kern w:val="0"/>
          <w:sz w:val="28"/>
          <w:szCs w:val="28"/>
        </w:rPr>
        <w:t>资产统计分析</w:t>
      </w:r>
      <w:bookmarkEnd w:id="647"/>
    </w:p>
    <w:p>
      <w:pPr>
        <w:widowControl/>
        <w:spacing w:line="360" w:lineRule="auto"/>
        <w:ind w:firstLine="64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对资产数据进行统计分析，包括总面积数据量、账面价值、闲置面积、租金、销售、用途分析、域内域外分析等，实现资产数据清晰掌握。</w:t>
      </w:r>
    </w:p>
    <w:p>
      <w:pPr>
        <w:numPr>
          <w:ilvl w:val="0"/>
          <w:numId w:val="19"/>
        </w:numPr>
        <w:adjustRightInd w:val="0"/>
        <w:snapToGrid w:val="0"/>
        <w:spacing w:line="560" w:lineRule="exact"/>
        <w:ind w:firstLine="562" w:firstLineChars="200"/>
        <w:jc w:val="left"/>
        <w:outlineLvl w:val="2"/>
        <w:rPr>
          <w:rFonts w:ascii="仿宋" w:hAnsi="仿宋" w:eastAsia="仿宋" w:cs="仿宋"/>
          <w:b/>
          <w:bCs/>
          <w:snapToGrid w:val="0"/>
          <w:kern w:val="0"/>
          <w:sz w:val="28"/>
          <w:szCs w:val="28"/>
        </w:rPr>
      </w:pPr>
      <w:bookmarkStart w:id="648" w:name="_Toc32577"/>
      <w:r>
        <w:rPr>
          <w:rFonts w:hint="eastAsia" w:ascii="仿宋" w:hAnsi="仿宋" w:eastAsia="仿宋" w:cs="仿宋"/>
          <w:b/>
          <w:bCs/>
          <w:snapToGrid w:val="0"/>
          <w:kern w:val="0"/>
          <w:sz w:val="28"/>
          <w:szCs w:val="28"/>
        </w:rPr>
        <w:t>分类授权管理</w:t>
      </w:r>
      <w:bookmarkEnd w:id="648"/>
    </w:p>
    <w:p>
      <w:pPr>
        <w:widowControl/>
        <w:spacing w:line="360" w:lineRule="auto"/>
        <w:ind w:firstLine="64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及时掌握各单位运营绩效与经营动态，资源合理利用，科学分类授权，充分释放资产利用价值，支撑管理决策，有效面对市场变化。</w:t>
      </w:r>
    </w:p>
    <w:p>
      <w:pPr>
        <w:numPr>
          <w:ilvl w:val="0"/>
          <w:numId w:val="19"/>
        </w:numPr>
        <w:adjustRightInd w:val="0"/>
        <w:snapToGrid w:val="0"/>
        <w:spacing w:line="560" w:lineRule="exact"/>
        <w:ind w:firstLine="562" w:firstLineChars="200"/>
        <w:jc w:val="left"/>
        <w:outlineLvl w:val="2"/>
        <w:rPr>
          <w:rFonts w:ascii="仿宋" w:hAnsi="仿宋" w:eastAsia="仿宋" w:cs="仿宋"/>
          <w:b/>
          <w:bCs/>
          <w:snapToGrid w:val="0"/>
          <w:kern w:val="0"/>
          <w:sz w:val="28"/>
          <w:szCs w:val="28"/>
        </w:rPr>
      </w:pPr>
      <w:bookmarkStart w:id="649" w:name="_Toc6880"/>
      <w:r>
        <w:rPr>
          <w:rFonts w:hint="eastAsia" w:ascii="仿宋" w:hAnsi="仿宋" w:eastAsia="仿宋" w:cs="仿宋"/>
          <w:b/>
          <w:bCs/>
          <w:snapToGrid w:val="0"/>
          <w:kern w:val="0"/>
          <w:sz w:val="28"/>
          <w:szCs w:val="28"/>
        </w:rPr>
        <w:t>资产二维码管理</w:t>
      </w:r>
      <w:bookmarkEnd w:id="649"/>
    </w:p>
    <w:p>
      <w:pPr>
        <w:widowControl/>
        <w:spacing w:line="360" w:lineRule="auto"/>
        <w:ind w:firstLine="64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对接委端资管系统获取资产二维码或系统自身提供资产二维码，形成一资一码的科学管理。</w:t>
      </w:r>
    </w:p>
    <w:p>
      <w:pPr>
        <w:numPr>
          <w:ilvl w:val="0"/>
          <w:numId w:val="19"/>
        </w:numPr>
        <w:adjustRightInd w:val="0"/>
        <w:snapToGrid w:val="0"/>
        <w:spacing w:line="560" w:lineRule="exact"/>
        <w:ind w:firstLine="562" w:firstLineChars="200"/>
        <w:jc w:val="left"/>
        <w:outlineLvl w:val="2"/>
        <w:rPr>
          <w:rFonts w:ascii="仿宋" w:hAnsi="仿宋" w:eastAsia="仿宋" w:cs="仿宋"/>
          <w:b/>
          <w:bCs/>
          <w:snapToGrid w:val="0"/>
          <w:kern w:val="0"/>
          <w:sz w:val="28"/>
          <w:szCs w:val="28"/>
        </w:rPr>
      </w:pPr>
      <w:bookmarkStart w:id="650" w:name="_Toc12479"/>
      <w:r>
        <w:rPr>
          <w:rFonts w:hint="eastAsia" w:ascii="仿宋" w:hAnsi="仿宋" w:eastAsia="仿宋" w:cs="仿宋"/>
          <w:b/>
          <w:bCs/>
          <w:snapToGrid w:val="0"/>
          <w:kern w:val="0"/>
          <w:sz w:val="28"/>
          <w:szCs w:val="28"/>
        </w:rPr>
        <w:t>资产全生命周期管理（接收、变更、巡检、处置等业务）</w:t>
      </w:r>
      <w:bookmarkEnd w:id="650"/>
    </w:p>
    <w:p>
      <w:pPr>
        <w:widowControl/>
        <w:spacing w:line="360" w:lineRule="auto"/>
        <w:ind w:firstLine="64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通过业务流程在线审批，业务执行智能提醒，业务风险及时监控预警，为“资产安全”和“合规审查”提供强力抓手。</w:t>
      </w: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651" w:name="_Toc180507123"/>
      <w:bookmarkStart w:id="652" w:name="_Toc16765"/>
      <w:bookmarkStart w:id="653" w:name="_Toc28188"/>
      <w:bookmarkStart w:id="654" w:name="_Toc29"/>
      <w:bookmarkStart w:id="655" w:name="_Toc21176"/>
      <w:r>
        <w:rPr>
          <w:rFonts w:hint="eastAsia" w:ascii="方正楷体_GB2312" w:hAnsi="方正楷体_GB2312" w:eastAsia="方正楷体_GB2312" w:cs="方正楷体_GB2312"/>
          <w:b/>
          <w:sz w:val="32"/>
        </w:rPr>
        <w:t>资产经营管理的需求</w:t>
      </w:r>
      <w:bookmarkEnd w:id="651"/>
      <w:bookmarkEnd w:id="652"/>
      <w:bookmarkEnd w:id="653"/>
      <w:bookmarkEnd w:id="654"/>
      <w:bookmarkEnd w:id="655"/>
    </w:p>
    <w:p>
      <w:pPr>
        <w:numPr>
          <w:ilvl w:val="0"/>
          <w:numId w:val="20"/>
        </w:numPr>
        <w:adjustRightInd w:val="0"/>
        <w:snapToGrid w:val="0"/>
        <w:spacing w:line="560" w:lineRule="exact"/>
        <w:ind w:firstLine="562" w:firstLineChars="200"/>
        <w:outlineLvl w:val="2"/>
        <w:rPr>
          <w:rFonts w:ascii="仿宋" w:hAnsi="仿宋" w:eastAsia="仿宋" w:cs="仿宋"/>
          <w:b/>
          <w:bCs/>
          <w:snapToGrid w:val="0"/>
          <w:kern w:val="0"/>
          <w:sz w:val="28"/>
          <w:szCs w:val="28"/>
        </w:rPr>
      </w:pPr>
      <w:bookmarkStart w:id="656" w:name="_Toc19848"/>
      <w:r>
        <w:rPr>
          <w:rFonts w:hint="eastAsia" w:ascii="仿宋" w:hAnsi="仿宋" w:eastAsia="仿宋" w:cs="仿宋"/>
          <w:b/>
          <w:bCs/>
          <w:snapToGrid w:val="0"/>
          <w:kern w:val="0"/>
          <w:sz w:val="28"/>
          <w:szCs w:val="28"/>
        </w:rPr>
        <w:t>资产租赁管理</w:t>
      </w:r>
      <w:bookmarkEnd w:id="656"/>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按公开招租(进场)、公开招租(非进场)、专业化招商等不同出租方式分别对资产招租过程数据进行管理。对于公开招租信息，实现信息发布、审核，与委端资管系统对接，将公开招租信息发布至官方平台。</w:t>
      </w:r>
    </w:p>
    <w:p>
      <w:pPr>
        <w:numPr>
          <w:ilvl w:val="0"/>
          <w:numId w:val="20"/>
        </w:numPr>
        <w:adjustRightInd w:val="0"/>
        <w:snapToGrid w:val="0"/>
        <w:spacing w:line="560" w:lineRule="exact"/>
        <w:ind w:firstLine="562" w:firstLineChars="200"/>
        <w:outlineLvl w:val="2"/>
        <w:rPr>
          <w:rFonts w:ascii="仿宋" w:hAnsi="仿宋" w:eastAsia="仿宋" w:cs="仿宋"/>
          <w:b/>
          <w:bCs/>
          <w:snapToGrid w:val="0"/>
          <w:kern w:val="0"/>
          <w:sz w:val="28"/>
          <w:szCs w:val="28"/>
        </w:rPr>
      </w:pPr>
      <w:bookmarkStart w:id="657" w:name="_Toc27504"/>
      <w:r>
        <w:rPr>
          <w:rFonts w:hint="eastAsia" w:ascii="仿宋" w:hAnsi="仿宋" w:eastAsia="仿宋" w:cs="仿宋"/>
          <w:b/>
          <w:bCs/>
          <w:snapToGrid w:val="0"/>
          <w:kern w:val="0"/>
          <w:sz w:val="28"/>
          <w:szCs w:val="28"/>
        </w:rPr>
        <w:t>资产自用管理</w:t>
      </w:r>
      <w:bookmarkEnd w:id="657"/>
    </w:p>
    <w:p>
      <w:pPr>
        <w:widowControl/>
        <w:spacing w:line="360" w:lineRule="auto"/>
        <w:ind w:firstLine="640"/>
        <w:rPr>
          <w:rFonts w:ascii="Calibri" w:hAnsi="Calibri"/>
          <w:kern w:val="0"/>
        </w:rPr>
      </w:pPr>
      <w:r>
        <w:rPr>
          <w:rFonts w:hint="eastAsia" w:ascii="仿宋" w:hAnsi="仿宋" w:eastAsia="仿宋" w:cs="仿宋"/>
          <w:snapToGrid w:val="0"/>
          <w:kern w:val="0"/>
          <w:sz w:val="28"/>
          <w:szCs w:val="28"/>
        </w:rPr>
        <w:t>对资产自用情况进行管理，记录自用日期、账面价值、用途等内容，当资产状态发生变化，动态更新资产状态。</w:t>
      </w:r>
    </w:p>
    <w:p>
      <w:pPr>
        <w:numPr>
          <w:ilvl w:val="0"/>
          <w:numId w:val="20"/>
        </w:numPr>
        <w:adjustRightInd w:val="0"/>
        <w:snapToGrid w:val="0"/>
        <w:spacing w:line="560" w:lineRule="exact"/>
        <w:ind w:firstLine="562" w:firstLineChars="200"/>
        <w:outlineLvl w:val="2"/>
        <w:rPr>
          <w:rFonts w:ascii="仿宋" w:hAnsi="仿宋" w:eastAsia="仿宋" w:cs="仿宋"/>
          <w:b/>
          <w:bCs/>
          <w:snapToGrid w:val="0"/>
          <w:kern w:val="0"/>
          <w:sz w:val="28"/>
          <w:szCs w:val="28"/>
        </w:rPr>
      </w:pPr>
      <w:bookmarkStart w:id="658" w:name="_Toc5408"/>
      <w:r>
        <w:rPr>
          <w:rFonts w:hint="eastAsia" w:ascii="仿宋" w:hAnsi="仿宋" w:eastAsia="仿宋" w:cs="仿宋"/>
          <w:b/>
          <w:bCs/>
          <w:snapToGrid w:val="0"/>
          <w:kern w:val="0"/>
          <w:sz w:val="28"/>
          <w:szCs w:val="28"/>
        </w:rPr>
        <w:t>资产转让管理</w:t>
      </w:r>
      <w:bookmarkEnd w:id="658"/>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按公开转让(进场)、公开转让(非进场)等不同转让方式分别对资产转让过程数据进行管理对于公开转让信息，实现信息发布、审核，与委端资管系统对接将公开转让信息发布至官方平台。</w:t>
      </w:r>
    </w:p>
    <w:p>
      <w:pPr>
        <w:numPr>
          <w:ilvl w:val="0"/>
          <w:numId w:val="20"/>
        </w:numPr>
        <w:adjustRightInd w:val="0"/>
        <w:snapToGrid w:val="0"/>
        <w:spacing w:line="560" w:lineRule="exact"/>
        <w:ind w:firstLine="562" w:firstLineChars="200"/>
        <w:outlineLvl w:val="2"/>
        <w:rPr>
          <w:rFonts w:ascii="仿宋" w:hAnsi="仿宋" w:eastAsia="仿宋" w:cs="仿宋"/>
          <w:b/>
          <w:bCs/>
          <w:snapToGrid w:val="0"/>
          <w:kern w:val="0"/>
          <w:sz w:val="28"/>
          <w:szCs w:val="28"/>
        </w:rPr>
      </w:pPr>
      <w:bookmarkStart w:id="659" w:name="_Toc9736"/>
      <w:r>
        <w:rPr>
          <w:rFonts w:hint="eastAsia" w:ascii="仿宋" w:hAnsi="仿宋" w:eastAsia="仿宋" w:cs="仿宋"/>
          <w:b/>
          <w:bCs/>
          <w:snapToGrid w:val="0"/>
          <w:kern w:val="0"/>
          <w:sz w:val="28"/>
          <w:szCs w:val="28"/>
        </w:rPr>
        <w:t>资产占用借用管理</w:t>
      </w:r>
      <w:bookmarkEnd w:id="659"/>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对资产占用、借用情况进行管理，记录占借用日期、账面价值、原因等内容，当资产状态发生变化或盘活成功，动态更新资产状态。</w:t>
      </w:r>
    </w:p>
    <w:p>
      <w:pPr>
        <w:numPr>
          <w:ilvl w:val="0"/>
          <w:numId w:val="20"/>
        </w:numPr>
        <w:adjustRightInd w:val="0"/>
        <w:snapToGrid w:val="0"/>
        <w:spacing w:line="560" w:lineRule="exact"/>
        <w:ind w:firstLine="562" w:firstLineChars="200"/>
        <w:outlineLvl w:val="2"/>
        <w:rPr>
          <w:rFonts w:ascii="仿宋" w:hAnsi="仿宋" w:eastAsia="仿宋" w:cs="仿宋"/>
          <w:b/>
          <w:bCs/>
          <w:snapToGrid w:val="0"/>
          <w:kern w:val="0"/>
          <w:sz w:val="28"/>
          <w:szCs w:val="28"/>
        </w:rPr>
      </w:pPr>
      <w:bookmarkStart w:id="660" w:name="_Toc16601"/>
      <w:r>
        <w:rPr>
          <w:rFonts w:hint="eastAsia" w:ascii="仿宋" w:hAnsi="仿宋" w:eastAsia="仿宋" w:cs="仿宋"/>
          <w:b/>
          <w:bCs/>
          <w:snapToGrid w:val="0"/>
          <w:kern w:val="0"/>
          <w:sz w:val="28"/>
          <w:szCs w:val="28"/>
        </w:rPr>
        <w:t>资产闲置管理</w:t>
      </w:r>
      <w:bookmarkEnd w:id="660"/>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对资产闲置情况进行管理，记录闲置日期、账面价值等内容,跟进闲置资产的盘活措施落地情况，当资产状态发生变化或盘活成功，动态更新资产状态。</w:t>
      </w:r>
    </w:p>
    <w:p>
      <w:pPr>
        <w:numPr>
          <w:ilvl w:val="0"/>
          <w:numId w:val="20"/>
        </w:numPr>
        <w:adjustRightInd w:val="0"/>
        <w:snapToGrid w:val="0"/>
        <w:spacing w:line="560" w:lineRule="exact"/>
        <w:ind w:firstLine="562" w:firstLineChars="200"/>
        <w:outlineLvl w:val="2"/>
        <w:rPr>
          <w:rFonts w:ascii="仿宋" w:hAnsi="仿宋" w:eastAsia="仿宋" w:cs="仿宋"/>
          <w:b/>
          <w:bCs/>
          <w:snapToGrid w:val="0"/>
          <w:kern w:val="0"/>
          <w:sz w:val="28"/>
          <w:szCs w:val="28"/>
        </w:rPr>
      </w:pPr>
      <w:bookmarkStart w:id="661" w:name="_Toc24951"/>
      <w:r>
        <w:rPr>
          <w:rFonts w:hint="eastAsia" w:ascii="仿宋" w:hAnsi="仿宋" w:eastAsia="仿宋" w:cs="仿宋"/>
          <w:b/>
          <w:bCs/>
          <w:snapToGrid w:val="0"/>
          <w:kern w:val="0"/>
          <w:sz w:val="28"/>
          <w:szCs w:val="28"/>
        </w:rPr>
        <w:t>租售一体化管理</w:t>
      </w:r>
      <w:bookmarkEnd w:id="661"/>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对房地产销售过程数据进行管理，掌握资产盘活动态。新建资产管理平台要与已建成的轨道集团房地产销售系统（</w:t>
      </w:r>
      <w:r>
        <w:rPr>
          <w:rFonts w:hint="eastAsia" w:ascii="仿宋" w:hAnsi="仿宋" w:eastAsia="仿宋" w:cs="仿宋"/>
          <w:sz w:val="28"/>
          <w:szCs w:val="28"/>
        </w:rPr>
        <w:t>版本号：明源销售系统V4.5</w:t>
      </w:r>
      <w:r>
        <w:rPr>
          <w:rFonts w:hint="eastAsia" w:ascii="仿宋" w:hAnsi="仿宋" w:eastAsia="仿宋" w:cs="仿宋"/>
          <w:snapToGrid w:val="0"/>
          <w:kern w:val="0"/>
          <w:sz w:val="28"/>
          <w:szCs w:val="28"/>
        </w:rPr>
        <w:t>）互联互通，租售一体，实现资产统一管理。</w:t>
      </w: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662" w:name="_Toc24413"/>
      <w:bookmarkStart w:id="663" w:name="_Toc14680"/>
      <w:bookmarkStart w:id="664" w:name="_Toc180507124"/>
      <w:bookmarkStart w:id="665" w:name="_Toc15149"/>
      <w:bookmarkStart w:id="666" w:name="_Toc21016"/>
      <w:r>
        <w:rPr>
          <w:rFonts w:hint="eastAsia" w:ascii="方正楷体_GB2312" w:hAnsi="方正楷体_GB2312" w:eastAsia="方正楷体_GB2312" w:cs="方正楷体_GB2312"/>
          <w:b/>
          <w:sz w:val="32"/>
        </w:rPr>
        <w:t>满足国资委监管标准的需求</w:t>
      </w:r>
      <w:bookmarkEnd w:id="662"/>
      <w:bookmarkEnd w:id="663"/>
      <w:bookmarkEnd w:id="664"/>
      <w:bookmarkEnd w:id="665"/>
      <w:bookmarkEnd w:id="666"/>
    </w:p>
    <w:p>
      <w:pPr>
        <w:numPr>
          <w:ilvl w:val="0"/>
          <w:numId w:val="21"/>
        </w:numPr>
        <w:adjustRightInd w:val="0"/>
        <w:snapToGrid w:val="0"/>
        <w:spacing w:line="560" w:lineRule="exact"/>
        <w:ind w:firstLine="562"/>
        <w:jc w:val="left"/>
        <w:outlineLvl w:val="2"/>
        <w:rPr>
          <w:rFonts w:ascii="仿宋" w:hAnsi="仿宋" w:eastAsia="仿宋" w:cs="仿宋"/>
          <w:b/>
          <w:bCs/>
          <w:snapToGrid w:val="0"/>
          <w:kern w:val="0"/>
          <w:sz w:val="28"/>
          <w:szCs w:val="28"/>
        </w:rPr>
      </w:pPr>
      <w:bookmarkStart w:id="667" w:name="_Toc28059"/>
      <w:r>
        <w:rPr>
          <w:rFonts w:hint="eastAsia" w:ascii="仿宋" w:hAnsi="仿宋" w:eastAsia="仿宋" w:cs="仿宋"/>
          <w:b/>
          <w:bCs/>
          <w:snapToGrid w:val="0"/>
          <w:kern w:val="0"/>
          <w:sz w:val="28"/>
          <w:szCs w:val="28"/>
        </w:rPr>
        <w:t>统计上报</w:t>
      </w:r>
      <w:bookmarkEnd w:id="667"/>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系统应符合南宁市属国有企业资产监管系统总体规划及信创要求，通过统一数据采集交换平台“T+1”自动上报数据。</w:t>
      </w:r>
    </w:p>
    <w:p>
      <w:pPr>
        <w:numPr>
          <w:ilvl w:val="0"/>
          <w:numId w:val="21"/>
        </w:numPr>
        <w:adjustRightInd w:val="0"/>
        <w:snapToGrid w:val="0"/>
        <w:spacing w:line="560" w:lineRule="exact"/>
        <w:ind w:firstLine="562"/>
        <w:jc w:val="left"/>
        <w:outlineLvl w:val="2"/>
        <w:rPr>
          <w:rFonts w:ascii="仿宋" w:hAnsi="仿宋" w:eastAsia="仿宋" w:cs="仿宋"/>
          <w:b/>
          <w:bCs/>
          <w:snapToGrid w:val="0"/>
          <w:kern w:val="0"/>
          <w:sz w:val="28"/>
          <w:szCs w:val="28"/>
        </w:rPr>
      </w:pPr>
      <w:bookmarkStart w:id="668" w:name="_Toc30083"/>
      <w:r>
        <w:rPr>
          <w:rFonts w:hint="eastAsia" w:ascii="仿宋" w:hAnsi="仿宋" w:eastAsia="仿宋" w:cs="仿宋"/>
          <w:b/>
          <w:bCs/>
          <w:snapToGrid w:val="0"/>
          <w:kern w:val="0"/>
          <w:sz w:val="28"/>
          <w:szCs w:val="28"/>
        </w:rPr>
        <w:t>合规监控</w:t>
      </w:r>
      <w:bookmarkEnd w:id="668"/>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基于资产及使用记录数据，开展数据核验、预警，包含数据完整性、数据合规性核验等，通过信息化手段发现、预防合规问题。同时，对资产数据上报过程、资产管理过程、资产经营过程等业务过程合规监管。</w:t>
      </w:r>
    </w:p>
    <w:p>
      <w:pPr>
        <w:numPr>
          <w:ilvl w:val="0"/>
          <w:numId w:val="21"/>
        </w:numPr>
        <w:adjustRightInd w:val="0"/>
        <w:snapToGrid w:val="0"/>
        <w:spacing w:line="560" w:lineRule="exact"/>
        <w:ind w:firstLine="562"/>
        <w:outlineLvl w:val="2"/>
        <w:rPr>
          <w:rFonts w:ascii="仿宋" w:hAnsi="仿宋" w:eastAsia="仿宋" w:cs="仿宋"/>
          <w:b/>
          <w:bCs/>
          <w:snapToGrid w:val="0"/>
          <w:kern w:val="0"/>
          <w:sz w:val="28"/>
          <w:szCs w:val="28"/>
        </w:rPr>
      </w:pPr>
      <w:bookmarkStart w:id="669" w:name="_Toc9881"/>
      <w:r>
        <w:rPr>
          <w:rFonts w:hint="eastAsia" w:ascii="仿宋" w:hAnsi="仿宋" w:eastAsia="仿宋" w:cs="仿宋"/>
          <w:b/>
          <w:bCs/>
          <w:snapToGrid w:val="0"/>
          <w:kern w:val="0"/>
          <w:sz w:val="28"/>
          <w:szCs w:val="28"/>
        </w:rPr>
        <w:t>预警风控</w:t>
      </w:r>
      <w:bookmarkEnd w:id="669"/>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建立合规性风险监控、业务预警机制，保障业务执行过程合规，形成预警闭环管理。</w:t>
      </w:r>
    </w:p>
    <w:p>
      <w:pPr>
        <w:pStyle w:val="4"/>
      </w:pP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670" w:name="_Toc13442"/>
      <w:bookmarkStart w:id="671" w:name="_Toc22233"/>
      <w:bookmarkStart w:id="672" w:name="_Toc19411"/>
      <w:bookmarkStart w:id="673" w:name="_Toc17685"/>
      <w:bookmarkStart w:id="674" w:name="_Toc180507125"/>
      <w:r>
        <w:rPr>
          <w:rFonts w:hint="eastAsia" w:ascii="方正楷体_GB2312" w:hAnsi="方正楷体_GB2312" w:eastAsia="方正楷体_GB2312" w:cs="方正楷体_GB2312"/>
          <w:b/>
          <w:sz w:val="32"/>
        </w:rPr>
        <w:t>系统集成的需求</w:t>
      </w:r>
      <w:bookmarkEnd w:id="670"/>
      <w:bookmarkEnd w:id="671"/>
      <w:bookmarkEnd w:id="672"/>
      <w:bookmarkEnd w:id="673"/>
      <w:bookmarkEnd w:id="674"/>
    </w:p>
    <w:p>
      <w:pPr>
        <w:numPr>
          <w:ilvl w:val="0"/>
          <w:numId w:val="22"/>
        </w:numPr>
        <w:adjustRightInd w:val="0"/>
        <w:snapToGrid w:val="0"/>
        <w:spacing w:line="560" w:lineRule="exact"/>
        <w:ind w:left="0" w:firstLine="562" w:firstLineChars="200"/>
        <w:outlineLvl w:val="2"/>
        <w:rPr>
          <w:rFonts w:ascii="仿宋" w:hAnsi="仿宋" w:eastAsia="仿宋" w:cs="仿宋"/>
          <w:b/>
          <w:bCs/>
          <w:snapToGrid w:val="0"/>
          <w:kern w:val="0"/>
          <w:sz w:val="28"/>
          <w:szCs w:val="28"/>
        </w:rPr>
      </w:pPr>
      <w:bookmarkStart w:id="675" w:name="_Toc25022"/>
      <w:r>
        <w:rPr>
          <w:rFonts w:hint="eastAsia" w:ascii="仿宋" w:hAnsi="仿宋" w:eastAsia="仿宋" w:cs="仿宋"/>
          <w:b/>
          <w:bCs/>
          <w:snapToGrid w:val="0"/>
          <w:kern w:val="0"/>
          <w:sz w:val="28"/>
          <w:szCs w:val="28"/>
        </w:rPr>
        <w:t>业财一体集成</w:t>
      </w:r>
      <w:bookmarkEnd w:id="675"/>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资产大类与财务科目同步，并抓取资产相关数据，如融资、抵押、资产价值，保障业务财务数据的一致性。</w:t>
      </w:r>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收支数据与财务系统进行打通。通过表单或赁证的形式，将租赁系统中的收款、结转、退款等业务产生的财务数据，传输至财务系统，方便财务系统完成凭证等的后续业务。</w:t>
      </w:r>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业务端在线开票，财务端在线审核，避免错开多开。</w:t>
      </w:r>
    </w:p>
    <w:p>
      <w:pPr>
        <w:widowControl/>
        <w:spacing w:line="360" w:lineRule="auto"/>
        <w:ind w:firstLine="792"/>
        <w:rPr>
          <w:rFonts w:ascii="仿宋" w:hAnsi="仿宋" w:eastAsia="仿宋" w:cs="仿宋"/>
          <w:snapToGrid w:val="0"/>
          <w:kern w:val="0"/>
          <w:sz w:val="28"/>
          <w:szCs w:val="28"/>
        </w:rPr>
      </w:pPr>
      <w:r>
        <w:rPr>
          <w:rFonts w:hint="eastAsia" w:ascii="仿宋" w:hAnsi="仿宋" w:eastAsia="仿宋" w:cs="仿宋"/>
          <w:snapToGrid w:val="0"/>
          <w:kern w:val="0"/>
          <w:sz w:val="28"/>
          <w:szCs w:val="28"/>
        </w:rPr>
        <w:t>支持与流程系统消息待办集成，统一待办消息入口。</w:t>
      </w:r>
    </w:p>
    <w:p>
      <w:pPr>
        <w:numPr>
          <w:ilvl w:val="0"/>
          <w:numId w:val="22"/>
        </w:numPr>
        <w:adjustRightInd w:val="0"/>
        <w:snapToGrid w:val="0"/>
        <w:spacing w:line="560" w:lineRule="exact"/>
        <w:ind w:left="0" w:firstLine="562" w:firstLineChars="200"/>
        <w:outlineLvl w:val="2"/>
        <w:rPr>
          <w:rFonts w:ascii="仿宋" w:hAnsi="仿宋" w:eastAsia="仿宋" w:cs="仿宋"/>
          <w:b/>
          <w:bCs/>
          <w:snapToGrid w:val="0"/>
          <w:kern w:val="0"/>
          <w:sz w:val="28"/>
          <w:szCs w:val="28"/>
        </w:rPr>
      </w:pPr>
      <w:bookmarkStart w:id="676" w:name="_Toc31634"/>
      <w:r>
        <w:rPr>
          <w:rFonts w:hint="eastAsia" w:ascii="仿宋" w:hAnsi="仿宋" w:eastAsia="仿宋" w:cs="仿宋"/>
          <w:b/>
          <w:bCs/>
          <w:snapToGrid w:val="0"/>
          <w:kern w:val="0"/>
          <w:sz w:val="28"/>
          <w:szCs w:val="28"/>
        </w:rPr>
        <w:t>电子签章集成</w:t>
      </w:r>
      <w:bookmarkEnd w:id="676"/>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从规范用章出发，在允许电子单据、电子文书的场景，通过系统集成引入合法合规的电子签章平台服务。</w:t>
      </w:r>
    </w:p>
    <w:p>
      <w:pPr>
        <w:numPr>
          <w:ilvl w:val="0"/>
          <w:numId w:val="22"/>
        </w:numPr>
        <w:adjustRightInd w:val="0"/>
        <w:snapToGrid w:val="0"/>
        <w:spacing w:line="560" w:lineRule="exact"/>
        <w:ind w:left="0" w:firstLine="562" w:firstLineChars="200"/>
        <w:outlineLvl w:val="2"/>
        <w:rPr>
          <w:rFonts w:ascii="仿宋" w:hAnsi="仿宋" w:eastAsia="仿宋" w:cs="仿宋"/>
          <w:b/>
          <w:bCs/>
          <w:snapToGrid w:val="0"/>
          <w:kern w:val="0"/>
          <w:sz w:val="28"/>
          <w:szCs w:val="28"/>
        </w:rPr>
      </w:pPr>
      <w:r>
        <w:rPr>
          <w:rFonts w:hint="eastAsia" w:ascii="仿宋" w:hAnsi="仿宋" w:eastAsia="仿宋" w:cs="仿宋"/>
          <w:b/>
          <w:bCs/>
          <w:snapToGrid w:val="0"/>
          <w:kern w:val="0"/>
          <w:sz w:val="28"/>
          <w:szCs w:val="28"/>
        </w:rPr>
        <w:t>对客平台集成</w:t>
      </w:r>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在集团对客平台就租赁房源信息统一展示和客户服务统一入口。</w:t>
      </w:r>
    </w:p>
    <w:p>
      <w:pPr>
        <w:pStyle w:val="4"/>
        <w:rPr>
          <w:rFonts w:ascii="仿宋" w:hAnsi="仿宋" w:eastAsia="仿宋" w:cs="仿宋"/>
          <w:snapToGrid w:val="0"/>
          <w:kern w:val="0"/>
          <w:sz w:val="28"/>
          <w:szCs w:val="28"/>
        </w:rPr>
      </w:pP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r>
        <w:rPr>
          <w:rFonts w:hint="eastAsia" w:ascii="方正楷体_GB2312" w:hAnsi="方正楷体_GB2312" w:eastAsia="方正楷体_GB2312" w:cs="方正楷体_GB2312"/>
          <w:b/>
          <w:sz w:val="32"/>
        </w:rPr>
        <w:t>信创安全的需求</w:t>
      </w:r>
    </w:p>
    <w:p>
      <w:pPr>
        <w:ind w:firstLine="560" w:firstLineChars="200"/>
        <w:rPr>
          <w:rFonts w:ascii="仿宋" w:hAnsi="仿宋" w:eastAsia="仿宋" w:cs="仿宋"/>
          <w:sz w:val="28"/>
          <w:szCs w:val="28"/>
        </w:rPr>
      </w:pPr>
      <w:r>
        <w:rPr>
          <w:rFonts w:hint="eastAsia" w:ascii="仿宋" w:hAnsi="仿宋" w:eastAsia="仿宋" w:cs="仿宋"/>
          <w:sz w:val="28"/>
          <w:szCs w:val="28"/>
        </w:rPr>
        <w:t>强调技术国产化、自主可控，系统可稳定运行于国产基础设施之上。</w:t>
      </w:r>
    </w:p>
    <w:p>
      <w:pPr>
        <w:rPr>
          <w:rFonts w:ascii="仿宋" w:hAnsi="仿宋" w:eastAsia="仿宋" w:cs="仿宋"/>
          <w:sz w:val="28"/>
          <w:szCs w:val="28"/>
        </w:rPr>
      </w:pPr>
      <w:r>
        <w:rPr>
          <w:rFonts w:hint="eastAsia" w:ascii="仿宋" w:hAnsi="仿宋" w:eastAsia="仿宋" w:cs="仿宋"/>
          <w:sz w:val="28"/>
          <w:szCs w:val="28"/>
        </w:rPr>
        <w:t>支持与国产化、开源产品安可适配，拥有自主可控的数字化能力，例如：</w:t>
      </w:r>
    </w:p>
    <w:p>
      <w:pPr>
        <w:numPr>
          <w:ilvl w:val="0"/>
          <w:numId w:val="23"/>
        </w:numPr>
        <w:ind w:left="0" w:firstLine="640"/>
        <w:rPr>
          <w:rFonts w:ascii="仿宋" w:hAnsi="仿宋" w:eastAsia="仿宋" w:cs="仿宋"/>
          <w:sz w:val="28"/>
          <w:szCs w:val="28"/>
        </w:rPr>
      </w:pPr>
      <w:r>
        <w:rPr>
          <w:rFonts w:hint="eastAsia" w:ascii="仿宋" w:hAnsi="仿宋" w:eastAsia="仿宋" w:cs="仿宋"/>
          <w:sz w:val="28"/>
          <w:szCs w:val="28"/>
        </w:rPr>
        <w:t>处理器：飞腾、鲲鹏等</w:t>
      </w:r>
    </w:p>
    <w:p>
      <w:pPr>
        <w:numPr>
          <w:ilvl w:val="0"/>
          <w:numId w:val="23"/>
        </w:numPr>
        <w:ind w:left="0" w:firstLine="640"/>
        <w:rPr>
          <w:rFonts w:ascii="仿宋" w:hAnsi="仿宋" w:eastAsia="仿宋" w:cs="仿宋"/>
          <w:sz w:val="28"/>
          <w:szCs w:val="28"/>
        </w:rPr>
      </w:pPr>
      <w:r>
        <w:rPr>
          <w:rFonts w:hint="eastAsia" w:ascii="仿宋" w:hAnsi="仿宋" w:eastAsia="仿宋" w:cs="仿宋"/>
          <w:sz w:val="28"/>
          <w:szCs w:val="28"/>
        </w:rPr>
        <w:t>操作系统：麒麟、统信等</w:t>
      </w:r>
    </w:p>
    <w:p>
      <w:pPr>
        <w:numPr>
          <w:ilvl w:val="0"/>
          <w:numId w:val="23"/>
        </w:numPr>
        <w:ind w:left="0" w:firstLine="640"/>
        <w:rPr>
          <w:rFonts w:ascii="仿宋" w:hAnsi="仿宋" w:eastAsia="仿宋" w:cs="仿宋"/>
          <w:sz w:val="28"/>
          <w:szCs w:val="28"/>
        </w:rPr>
      </w:pPr>
      <w:r>
        <w:rPr>
          <w:rFonts w:hint="eastAsia" w:ascii="仿宋" w:hAnsi="仿宋" w:eastAsia="仿宋" w:cs="仿宋"/>
          <w:sz w:val="28"/>
          <w:szCs w:val="28"/>
        </w:rPr>
        <w:t>数据库：达梦、万里等</w:t>
      </w:r>
    </w:p>
    <w:p>
      <w:pPr>
        <w:numPr>
          <w:ilvl w:val="0"/>
          <w:numId w:val="23"/>
        </w:numPr>
        <w:ind w:left="0" w:firstLine="640"/>
        <w:rPr>
          <w:rFonts w:ascii="仿宋" w:hAnsi="仿宋" w:eastAsia="仿宋" w:cs="仿宋"/>
          <w:sz w:val="28"/>
          <w:szCs w:val="28"/>
        </w:rPr>
      </w:pPr>
      <w:r>
        <w:rPr>
          <w:rFonts w:hint="eastAsia" w:ascii="仿宋" w:hAnsi="仿宋" w:eastAsia="仿宋" w:cs="仿宋"/>
          <w:sz w:val="28"/>
          <w:szCs w:val="28"/>
        </w:rPr>
        <w:t>中间件：东方通等</w:t>
      </w: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r>
        <w:rPr>
          <w:rFonts w:hint="eastAsia" w:ascii="方正楷体_GB2312" w:hAnsi="方正楷体_GB2312" w:eastAsia="方正楷体_GB2312" w:cs="方正楷体_GB2312"/>
          <w:b/>
          <w:sz w:val="32"/>
        </w:rPr>
        <w:t>系统运行环境说明</w:t>
      </w:r>
    </w:p>
    <w:p>
      <w:pPr>
        <w:ind w:firstLine="560" w:firstLineChars="200"/>
        <w:rPr>
          <w:rFonts w:ascii="仿宋" w:hAnsi="仿宋" w:eastAsia="仿宋" w:cs="仿宋"/>
          <w:sz w:val="28"/>
          <w:szCs w:val="28"/>
        </w:rPr>
      </w:pPr>
      <w:r>
        <w:rPr>
          <w:rFonts w:hint="eastAsia" w:ascii="仿宋" w:hAnsi="仿宋" w:eastAsia="仿宋" w:cs="仿宋"/>
          <w:sz w:val="28"/>
          <w:szCs w:val="28"/>
        </w:rPr>
        <w:t>采购人负责提供服务器硬件，投标人负责配套相关满足信创安全要求的国产操作系统、数据库、中间件。本次项目的系统运行环境将由生产环境和测试环境两部分组成，规划配置6套服务器。</w:t>
      </w:r>
    </w:p>
    <w:p>
      <w:pPr>
        <w:numPr>
          <w:ilvl w:val="0"/>
          <w:numId w:val="24"/>
        </w:numPr>
        <w:adjustRightInd w:val="0"/>
        <w:snapToGrid w:val="0"/>
        <w:spacing w:line="560" w:lineRule="exact"/>
        <w:ind w:left="0" w:firstLine="562" w:firstLineChars="200"/>
        <w:outlineLvl w:val="2"/>
        <w:rPr>
          <w:rFonts w:ascii="仿宋" w:hAnsi="仿宋" w:eastAsia="仿宋" w:cs="仿宋"/>
          <w:b/>
          <w:bCs/>
          <w:snapToGrid w:val="0"/>
          <w:kern w:val="0"/>
          <w:sz w:val="28"/>
          <w:szCs w:val="28"/>
        </w:rPr>
      </w:pPr>
      <w:r>
        <w:rPr>
          <w:rFonts w:hint="eastAsia" w:ascii="仿宋" w:hAnsi="仿宋" w:eastAsia="仿宋" w:cs="仿宋"/>
          <w:b/>
          <w:bCs/>
          <w:snapToGrid w:val="0"/>
          <w:kern w:val="0"/>
          <w:sz w:val="28"/>
          <w:szCs w:val="28"/>
        </w:rPr>
        <w:t>生产环境规划</w:t>
      </w:r>
    </w:p>
    <w:tbl>
      <w:tblPr>
        <w:tblStyle w:val="51"/>
        <w:tblW w:w="9146" w:type="dxa"/>
        <w:tblInd w:w="99" w:type="dxa"/>
        <w:tblLayout w:type="fixed"/>
        <w:tblCellMar>
          <w:top w:w="0" w:type="dxa"/>
          <w:left w:w="108" w:type="dxa"/>
          <w:bottom w:w="0" w:type="dxa"/>
          <w:right w:w="108" w:type="dxa"/>
        </w:tblCellMar>
      </w:tblPr>
      <w:tblGrid>
        <w:gridCol w:w="1406"/>
        <w:gridCol w:w="2074"/>
        <w:gridCol w:w="1851"/>
        <w:gridCol w:w="3815"/>
      </w:tblGrid>
      <w:tr>
        <w:trPr>
          <w:trHeight w:val="390" w:hRule="atLeast"/>
        </w:trPr>
        <w:tc>
          <w:tcPr>
            <w:tcW w:w="1406" w:type="dxa"/>
            <w:tcBorders>
              <w:top w:val="single" w:color="000000" w:sz="4" w:space="0"/>
              <w:left w:val="single" w:color="000000" w:sz="4" w:space="0"/>
              <w:bottom w:val="single" w:color="000000" w:sz="4" w:space="0"/>
              <w:right w:val="single" w:color="000000" w:sz="4" w:space="0"/>
            </w:tcBorders>
            <w:shd w:val="clear" w:color="000000" w:fill="auto"/>
            <w:noWrap/>
            <w:vAlign w:val="center"/>
          </w:tcPr>
          <w:p>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lang w:bidi="ar"/>
              </w:rPr>
              <w:t>环境</w:t>
            </w:r>
          </w:p>
        </w:tc>
        <w:tc>
          <w:tcPr>
            <w:tcW w:w="2074" w:type="dxa"/>
            <w:tcBorders>
              <w:top w:val="single" w:color="000000" w:sz="4" w:space="0"/>
              <w:left w:val="single" w:color="000000" w:sz="4" w:space="0"/>
              <w:bottom w:val="single" w:color="000000" w:sz="4" w:space="0"/>
              <w:right w:val="single" w:color="000000" w:sz="4" w:space="0"/>
            </w:tcBorders>
            <w:shd w:val="clear" w:color="000000" w:fill="auto"/>
            <w:noWrap/>
            <w:vAlign w:val="center"/>
          </w:tcPr>
          <w:p>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lang w:bidi="ar"/>
              </w:rPr>
              <w:t>用途</w:t>
            </w:r>
          </w:p>
        </w:tc>
        <w:tc>
          <w:tcPr>
            <w:tcW w:w="1851" w:type="dxa"/>
            <w:tcBorders>
              <w:top w:val="single" w:color="000000" w:sz="4" w:space="0"/>
              <w:left w:val="single" w:color="000000" w:sz="4" w:space="0"/>
              <w:bottom w:val="single" w:color="000000" w:sz="4" w:space="0"/>
              <w:right w:val="single" w:color="000000" w:sz="4" w:space="0"/>
            </w:tcBorders>
            <w:shd w:val="clear" w:color="000000" w:fill="auto"/>
            <w:noWrap/>
            <w:vAlign w:val="center"/>
          </w:tcPr>
          <w:p>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lang w:bidi="ar"/>
              </w:rPr>
              <w:t>服务器数量</w:t>
            </w:r>
          </w:p>
        </w:tc>
        <w:tc>
          <w:tcPr>
            <w:tcW w:w="3815" w:type="dxa"/>
            <w:tcBorders>
              <w:top w:val="single" w:color="000000" w:sz="4" w:space="0"/>
              <w:left w:val="single" w:color="000000" w:sz="4" w:space="0"/>
              <w:bottom w:val="single" w:color="000000" w:sz="4" w:space="0"/>
              <w:right w:val="single" w:color="000000" w:sz="4" w:space="0"/>
            </w:tcBorders>
            <w:shd w:val="clear" w:color="000000" w:fill="auto"/>
            <w:noWrap/>
            <w:vAlign w:val="center"/>
          </w:tcPr>
          <w:p>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lang w:bidi="ar"/>
              </w:rPr>
              <w:t>备注</w:t>
            </w:r>
          </w:p>
        </w:tc>
      </w:tr>
      <w:tr>
        <w:trPr>
          <w:trHeight w:val="249" w:hRule="atLeast"/>
        </w:trPr>
        <w:tc>
          <w:tcPr>
            <w:tcW w:w="14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lang w:bidi="ar"/>
              </w:rPr>
              <w:t>生产环境</w:t>
            </w:r>
          </w:p>
        </w:tc>
        <w:tc>
          <w:tcPr>
            <w:tcW w:w="20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lang w:bidi="ar"/>
              </w:rPr>
              <w:t>业务集群管理</w:t>
            </w:r>
          </w:p>
        </w:tc>
        <w:tc>
          <w:tcPr>
            <w:tcW w:w="1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8"/>
                <w:szCs w:val="28"/>
              </w:rPr>
            </w:pPr>
            <w:r>
              <w:rPr>
                <w:rFonts w:ascii="仿宋" w:hAnsi="仿宋" w:eastAsia="仿宋" w:cs="仿宋"/>
                <w:kern w:val="0"/>
                <w:sz w:val="28"/>
                <w:szCs w:val="28"/>
                <w:lang w:bidi="ar"/>
              </w:rPr>
              <w:t>1</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8"/>
                <w:szCs w:val="28"/>
                <w:lang w:bidi="ar"/>
              </w:rPr>
            </w:pPr>
            <w:r>
              <w:rPr>
                <w:rFonts w:hint="eastAsia" w:ascii="仿宋" w:hAnsi="仿宋" w:eastAsia="仿宋" w:cs="仿宋"/>
                <w:kern w:val="0"/>
                <w:sz w:val="28"/>
                <w:szCs w:val="28"/>
                <w:lang w:bidi="ar"/>
              </w:rPr>
              <w:t>业务集群管理服务</w:t>
            </w:r>
          </w:p>
        </w:tc>
      </w:tr>
      <w:tr>
        <w:trPr>
          <w:trHeight w:val="249" w:hRule="atLeast"/>
        </w:trPr>
        <w:tc>
          <w:tcPr>
            <w:tcW w:w="14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8"/>
                <w:szCs w:val="28"/>
              </w:rPr>
            </w:pPr>
          </w:p>
        </w:tc>
        <w:tc>
          <w:tcPr>
            <w:tcW w:w="20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lang w:bidi="ar"/>
              </w:rPr>
              <w:t>业务应用节点</w:t>
            </w:r>
          </w:p>
        </w:tc>
        <w:tc>
          <w:tcPr>
            <w:tcW w:w="1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8"/>
                <w:szCs w:val="28"/>
              </w:rPr>
            </w:pPr>
            <w:r>
              <w:rPr>
                <w:rFonts w:ascii="仿宋" w:hAnsi="仿宋" w:eastAsia="仿宋" w:cs="仿宋"/>
                <w:kern w:val="0"/>
                <w:sz w:val="28"/>
                <w:szCs w:val="28"/>
                <w:lang w:bidi="ar"/>
              </w:rPr>
              <w:t>2</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8"/>
                <w:szCs w:val="28"/>
                <w:lang w:bidi="ar"/>
              </w:rPr>
            </w:pPr>
            <w:r>
              <w:rPr>
                <w:rFonts w:hint="eastAsia" w:ascii="仿宋" w:hAnsi="仿宋" w:eastAsia="仿宋" w:cs="仿宋"/>
                <w:kern w:val="0"/>
                <w:sz w:val="28"/>
                <w:szCs w:val="28"/>
                <w:lang w:bidi="ar"/>
              </w:rPr>
              <w:t>业务服务</w:t>
            </w:r>
            <w:r>
              <w:rPr>
                <w:rFonts w:ascii="仿宋" w:hAnsi="仿宋" w:eastAsia="仿宋" w:cs="仿宋"/>
                <w:kern w:val="0"/>
                <w:sz w:val="28"/>
                <w:szCs w:val="28"/>
                <w:lang w:bidi="ar"/>
              </w:rPr>
              <w:t xml:space="preserve"> + </w:t>
            </w:r>
            <w:r>
              <w:rPr>
                <w:rFonts w:hint="eastAsia" w:ascii="仿宋" w:hAnsi="仿宋" w:eastAsia="仿宋" w:cs="仿宋"/>
                <w:kern w:val="0"/>
                <w:sz w:val="28"/>
                <w:szCs w:val="28"/>
                <w:lang w:bidi="ar"/>
              </w:rPr>
              <w:t>平台服务</w:t>
            </w:r>
          </w:p>
        </w:tc>
      </w:tr>
      <w:tr>
        <w:trPr>
          <w:trHeight w:val="249" w:hRule="atLeast"/>
        </w:trPr>
        <w:tc>
          <w:tcPr>
            <w:tcW w:w="14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8"/>
                <w:szCs w:val="28"/>
              </w:rPr>
            </w:pPr>
          </w:p>
        </w:tc>
        <w:tc>
          <w:tcPr>
            <w:tcW w:w="20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lang w:bidi="ar"/>
              </w:rPr>
              <w:t>业务数据库</w:t>
            </w:r>
          </w:p>
        </w:tc>
        <w:tc>
          <w:tcPr>
            <w:tcW w:w="1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8"/>
                <w:szCs w:val="28"/>
              </w:rPr>
            </w:pPr>
            <w:r>
              <w:rPr>
                <w:rFonts w:ascii="仿宋" w:hAnsi="仿宋" w:eastAsia="仿宋" w:cs="仿宋"/>
                <w:kern w:val="0"/>
                <w:sz w:val="28"/>
                <w:szCs w:val="28"/>
                <w:lang w:bidi="ar"/>
              </w:rPr>
              <w:t>1</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8"/>
                <w:szCs w:val="28"/>
                <w:lang w:bidi="ar"/>
              </w:rPr>
            </w:pPr>
            <w:r>
              <w:rPr>
                <w:rFonts w:hint="eastAsia" w:ascii="仿宋" w:hAnsi="仿宋" w:eastAsia="仿宋" w:cs="仿宋"/>
                <w:kern w:val="0"/>
                <w:sz w:val="28"/>
                <w:szCs w:val="28"/>
                <w:lang w:bidi="ar"/>
              </w:rPr>
              <w:t>业务数据库</w:t>
            </w:r>
            <w:r>
              <w:rPr>
                <w:rFonts w:ascii="仿宋" w:hAnsi="仿宋" w:eastAsia="仿宋" w:cs="仿宋"/>
                <w:kern w:val="0"/>
                <w:sz w:val="28"/>
                <w:szCs w:val="28"/>
                <w:lang w:bidi="ar"/>
              </w:rPr>
              <w:t>+配置数据库</w:t>
            </w:r>
          </w:p>
        </w:tc>
      </w:tr>
      <w:tr>
        <w:trPr>
          <w:trHeight w:val="274" w:hRule="atLeast"/>
        </w:trPr>
        <w:tc>
          <w:tcPr>
            <w:tcW w:w="14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8"/>
                <w:szCs w:val="28"/>
              </w:rPr>
            </w:pPr>
          </w:p>
        </w:tc>
        <w:tc>
          <w:tcPr>
            <w:tcW w:w="2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lang w:bidi="ar"/>
              </w:rPr>
              <w:t>数据清洗库</w:t>
            </w:r>
          </w:p>
        </w:tc>
        <w:tc>
          <w:tcPr>
            <w:tcW w:w="1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8"/>
                <w:szCs w:val="28"/>
              </w:rPr>
            </w:pPr>
            <w:r>
              <w:rPr>
                <w:rFonts w:ascii="仿宋" w:hAnsi="仿宋" w:eastAsia="仿宋" w:cs="仿宋"/>
                <w:kern w:val="0"/>
                <w:sz w:val="28"/>
                <w:szCs w:val="28"/>
                <w:lang w:bidi="ar"/>
              </w:rPr>
              <w:t>1</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kern w:val="0"/>
                <w:sz w:val="28"/>
                <w:szCs w:val="28"/>
                <w:lang w:bidi="ar"/>
              </w:rPr>
            </w:pPr>
            <w:r>
              <w:rPr>
                <w:rFonts w:ascii="仿宋" w:hAnsi="仿宋" w:eastAsia="仿宋" w:cs="仿宋"/>
                <w:kern w:val="0"/>
                <w:sz w:val="28"/>
                <w:szCs w:val="28"/>
                <w:lang w:bidi="ar"/>
              </w:rPr>
              <w:t>宽表清洗库+</w:t>
            </w:r>
            <w:r>
              <w:rPr>
                <w:rFonts w:hint="eastAsia" w:ascii="仿宋" w:hAnsi="仿宋" w:eastAsia="仿宋" w:cs="仿宋"/>
                <w:kern w:val="0"/>
                <w:sz w:val="28"/>
                <w:szCs w:val="28"/>
                <w:lang w:bidi="ar"/>
              </w:rPr>
              <w:t>数据库</w:t>
            </w:r>
            <w:r>
              <w:rPr>
                <w:rFonts w:ascii="仿宋" w:hAnsi="仿宋" w:eastAsia="仿宋" w:cs="仿宋"/>
                <w:kern w:val="0"/>
                <w:sz w:val="28"/>
                <w:szCs w:val="28"/>
                <w:lang w:bidi="ar"/>
              </w:rPr>
              <w:t>备份</w:t>
            </w:r>
          </w:p>
        </w:tc>
      </w:tr>
    </w:tbl>
    <w:p>
      <w:pPr>
        <w:numPr>
          <w:ilvl w:val="0"/>
          <w:numId w:val="24"/>
        </w:numPr>
        <w:adjustRightInd w:val="0"/>
        <w:snapToGrid w:val="0"/>
        <w:spacing w:line="560" w:lineRule="exact"/>
        <w:ind w:left="0" w:firstLine="562" w:firstLineChars="200"/>
        <w:outlineLvl w:val="2"/>
        <w:rPr>
          <w:rFonts w:ascii="仿宋" w:hAnsi="仿宋" w:eastAsia="仿宋" w:cs="仿宋"/>
          <w:b/>
          <w:bCs/>
          <w:snapToGrid w:val="0"/>
          <w:kern w:val="0"/>
          <w:sz w:val="28"/>
          <w:szCs w:val="28"/>
        </w:rPr>
      </w:pPr>
      <w:r>
        <w:rPr>
          <w:rFonts w:hint="eastAsia" w:ascii="仿宋" w:hAnsi="仿宋" w:eastAsia="仿宋" w:cs="仿宋"/>
          <w:b/>
          <w:bCs/>
          <w:snapToGrid w:val="0"/>
          <w:kern w:val="0"/>
          <w:sz w:val="28"/>
          <w:szCs w:val="28"/>
        </w:rPr>
        <w:t>测试环境规划</w:t>
      </w:r>
    </w:p>
    <w:tbl>
      <w:tblPr>
        <w:tblStyle w:val="51"/>
        <w:tblW w:w="9008" w:type="dxa"/>
        <w:tblInd w:w="99" w:type="dxa"/>
        <w:tblLayout w:type="fixed"/>
        <w:tblCellMar>
          <w:top w:w="0" w:type="dxa"/>
          <w:left w:w="108" w:type="dxa"/>
          <w:bottom w:w="0" w:type="dxa"/>
          <w:right w:w="108" w:type="dxa"/>
        </w:tblCellMar>
      </w:tblPr>
      <w:tblGrid>
        <w:gridCol w:w="1406"/>
        <w:gridCol w:w="2074"/>
        <w:gridCol w:w="1860"/>
        <w:gridCol w:w="3668"/>
      </w:tblGrid>
      <w:tr>
        <w:trPr>
          <w:trHeight w:val="390" w:hRule="atLeast"/>
        </w:trPr>
        <w:tc>
          <w:tcPr>
            <w:tcW w:w="1406" w:type="dxa"/>
            <w:tcBorders>
              <w:top w:val="single" w:color="000000" w:sz="4" w:space="0"/>
              <w:left w:val="single" w:color="000000" w:sz="4" w:space="0"/>
              <w:bottom w:val="single" w:color="000000" w:sz="4" w:space="0"/>
              <w:right w:val="single" w:color="000000" w:sz="4" w:space="0"/>
            </w:tcBorders>
            <w:shd w:val="clear" w:color="000000" w:fill="auto"/>
            <w:noWrap/>
            <w:vAlign w:val="center"/>
          </w:tcPr>
          <w:p>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lang w:bidi="ar"/>
              </w:rPr>
              <w:t>环境</w:t>
            </w:r>
          </w:p>
        </w:tc>
        <w:tc>
          <w:tcPr>
            <w:tcW w:w="2074" w:type="dxa"/>
            <w:tcBorders>
              <w:top w:val="single" w:color="000000" w:sz="4" w:space="0"/>
              <w:left w:val="single" w:color="000000" w:sz="4" w:space="0"/>
              <w:bottom w:val="single" w:color="000000" w:sz="4" w:space="0"/>
              <w:right w:val="single" w:color="000000" w:sz="4" w:space="0"/>
            </w:tcBorders>
            <w:shd w:val="clear" w:color="000000" w:fill="auto"/>
            <w:noWrap/>
            <w:vAlign w:val="center"/>
          </w:tcPr>
          <w:p>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lang w:bidi="ar"/>
              </w:rPr>
              <w:t>用途</w:t>
            </w:r>
          </w:p>
        </w:tc>
        <w:tc>
          <w:tcPr>
            <w:tcW w:w="1860" w:type="dxa"/>
            <w:tcBorders>
              <w:top w:val="single" w:color="000000" w:sz="4" w:space="0"/>
              <w:left w:val="single" w:color="000000" w:sz="4" w:space="0"/>
              <w:bottom w:val="single" w:color="000000" w:sz="4" w:space="0"/>
              <w:right w:val="single" w:color="000000" w:sz="4" w:space="0"/>
            </w:tcBorders>
            <w:shd w:val="clear" w:color="000000" w:fill="auto"/>
            <w:noWrap/>
            <w:vAlign w:val="center"/>
          </w:tcPr>
          <w:p>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lang w:bidi="ar"/>
              </w:rPr>
              <w:t>服务器数量</w:t>
            </w:r>
          </w:p>
        </w:tc>
        <w:tc>
          <w:tcPr>
            <w:tcW w:w="3668" w:type="dxa"/>
            <w:tcBorders>
              <w:top w:val="single" w:color="000000" w:sz="4" w:space="0"/>
              <w:left w:val="single" w:color="000000" w:sz="4" w:space="0"/>
              <w:bottom w:val="single" w:color="000000" w:sz="4" w:space="0"/>
              <w:right w:val="single" w:color="000000" w:sz="4" w:space="0"/>
            </w:tcBorders>
            <w:shd w:val="clear" w:color="000000" w:fill="auto"/>
            <w:noWrap/>
            <w:vAlign w:val="center"/>
          </w:tcPr>
          <w:p>
            <w:pPr>
              <w:widowControl/>
              <w:jc w:val="center"/>
              <w:textAlignment w:val="center"/>
              <w:rPr>
                <w:rFonts w:ascii="仿宋" w:hAnsi="仿宋" w:eastAsia="仿宋" w:cs="仿宋"/>
                <w:b/>
                <w:bCs/>
                <w:sz w:val="28"/>
                <w:szCs w:val="28"/>
              </w:rPr>
            </w:pPr>
            <w:r>
              <w:rPr>
                <w:rFonts w:hint="eastAsia" w:ascii="仿宋" w:hAnsi="仿宋" w:eastAsia="仿宋" w:cs="仿宋"/>
                <w:b/>
                <w:bCs/>
                <w:kern w:val="0"/>
                <w:sz w:val="28"/>
                <w:szCs w:val="28"/>
                <w:lang w:bidi="ar"/>
              </w:rPr>
              <w:t>备注</w:t>
            </w:r>
          </w:p>
        </w:tc>
      </w:tr>
      <w:tr>
        <w:trPr>
          <w:trHeight w:val="249" w:hRule="atLeast"/>
        </w:trPr>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lang w:bidi="ar"/>
              </w:rPr>
              <w:t>测试环境</w:t>
            </w:r>
          </w:p>
        </w:tc>
        <w:tc>
          <w:tcPr>
            <w:tcW w:w="20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8"/>
                <w:szCs w:val="28"/>
              </w:rPr>
            </w:pPr>
            <w:r>
              <w:rPr>
                <w:rFonts w:hint="eastAsia" w:ascii="仿宋" w:hAnsi="仿宋" w:eastAsia="仿宋" w:cs="仿宋"/>
                <w:kern w:val="0"/>
                <w:sz w:val="28"/>
                <w:szCs w:val="28"/>
                <w:lang w:bidi="ar"/>
              </w:rPr>
              <w:t>业务+数据库</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8"/>
                <w:szCs w:val="28"/>
              </w:rPr>
            </w:pPr>
            <w:r>
              <w:rPr>
                <w:rFonts w:hint="eastAsia" w:ascii="仿宋" w:hAnsi="仿宋" w:eastAsia="仿宋" w:cs="仿宋"/>
                <w:kern w:val="0"/>
                <w:sz w:val="28"/>
                <w:szCs w:val="28"/>
                <w:lang w:bidi="ar"/>
              </w:rPr>
              <w:t>1</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8"/>
                <w:szCs w:val="28"/>
                <w:lang w:bidi="ar"/>
              </w:rPr>
            </w:pPr>
            <w:r>
              <w:rPr>
                <w:rFonts w:hint="eastAsia" w:ascii="仿宋" w:hAnsi="仿宋" w:eastAsia="仿宋" w:cs="仿宋"/>
                <w:kern w:val="0"/>
                <w:sz w:val="28"/>
                <w:szCs w:val="28"/>
                <w:lang w:bidi="ar"/>
              </w:rPr>
              <w:t>集群+应用+数所库服务</w:t>
            </w:r>
          </w:p>
        </w:tc>
      </w:tr>
    </w:tbl>
    <w:p>
      <w:pPr>
        <w:keepNext/>
        <w:keepLines/>
        <w:spacing w:before="340" w:after="330" w:line="578" w:lineRule="auto"/>
        <w:outlineLvl w:val="1"/>
        <w:rPr>
          <w:rFonts w:ascii="黑体" w:hAnsi="黑体" w:eastAsia="黑体" w:cs="黑体"/>
          <w:b/>
          <w:bCs/>
          <w:kern w:val="44"/>
          <w:sz w:val="32"/>
          <w:szCs w:val="32"/>
        </w:rPr>
      </w:pPr>
      <w:bookmarkStart w:id="677" w:name="_Toc15971"/>
      <w:bookmarkStart w:id="678" w:name="_Toc11060"/>
      <w:bookmarkStart w:id="679" w:name="_Toc180507126"/>
      <w:bookmarkStart w:id="680" w:name="_Toc16756"/>
      <w:bookmarkStart w:id="681" w:name="_Toc5694"/>
      <w:r>
        <w:rPr>
          <w:rFonts w:hint="eastAsia" w:ascii="黑体" w:hAnsi="黑体" w:eastAsia="黑体" w:cs="黑体"/>
          <w:b/>
          <w:bCs/>
          <w:kern w:val="44"/>
          <w:sz w:val="32"/>
          <w:szCs w:val="32"/>
        </w:rPr>
        <w:t>建设目标</w:t>
      </w:r>
      <w:bookmarkEnd w:id="677"/>
      <w:bookmarkEnd w:id="678"/>
      <w:bookmarkEnd w:id="679"/>
      <w:bookmarkEnd w:id="680"/>
      <w:bookmarkEnd w:id="681"/>
    </w:p>
    <w:p>
      <w:pPr>
        <w:keepNext/>
        <w:keepLines/>
        <w:numPr>
          <w:ilvl w:val="1"/>
          <w:numId w:val="0"/>
        </w:numPr>
        <w:spacing w:before="260" w:after="260" w:line="413" w:lineRule="auto"/>
        <w:outlineLvl w:val="2"/>
        <w:rPr>
          <w:rFonts w:ascii="方正楷体_GB2312" w:hAnsi="方正楷体_GB2312" w:eastAsia="方正楷体_GB2312" w:cs="方正楷体_GB2312"/>
          <w:b/>
          <w:sz w:val="32"/>
        </w:rPr>
      </w:pPr>
      <w:bookmarkStart w:id="682" w:name="_Toc7893"/>
      <w:bookmarkStart w:id="683" w:name="_Toc31179"/>
      <w:bookmarkStart w:id="684" w:name="_Toc4674"/>
      <w:bookmarkStart w:id="685" w:name="_Toc180507127"/>
      <w:bookmarkStart w:id="686" w:name="_Toc1711"/>
      <w:r>
        <w:rPr>
          <w:rFonts w:hint="eastAsia" w:ascii="方正楷体_GB2312" w:hAnsi="方正楷体_GB2312" w:eastAsia="方正楷体_GB2312" w:cs="方正楷体_GB2312"/>
          <w:b/>
          <w:sz w:val="32"/>
        </w:rPr>
        <w:t>项目建设目标</w:t>
      </w:r>
      <w:bookmarkEnd w:id="682"/>
      <w:bookmarkEnd w:id="683"/>
      <w:bookmarkEnd w:id="684"/>
      <w:bookmarkEnd w:id="685"/>
      <w:bookmarkEnd w:id="686"/>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构建科学领先的集团资产管理系统，服务资产管理数字化转型升级。主要包括以下方面：</w:t>
      </w:r>
    </w:p>
    <w:p>
      <w:pPr>
        <w:numPr>
          <w:ilvl w:val="0"/>
          <w:numId w:val="25"/>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687" w:name="_Toc18738"/>
      <w:r>
        <w:rPr>
          <w:rFonts w:hint="eastAsia" w:ascii="仿宋" w:hAnsi="仿宋" w:eastAsia="仿宋" w:cs="仿宋"/>
          <w:b/>
          <w:bCs/>
          <w:snapToGrid w:val="0"/>
          <w:kern w:val="0"/>
          <w:sz w:val="28"/>
          <w:szCs w:val="28"/>
        </w:rPr>
        <w:t>国资监管-高效的监管上报</w:t>
      </w:r>
      <w:bookmarkEnd w:id="687"/>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数据标准，自动上报：根据国资监管数据标准科学建模，自动整合数据，按时自动上报。</w:t>
      </w:r>
    </w:p>
    <w:p>
      <w:pPr>
        <w:numPr>
          <w:ilvl w:val="0"/>
          <w:numId w:val="25"/>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688" w:name="_Toc1689"/>
      <w:r>
        <w:rPr>
          <w:rFonts w:hint="eastAsia" w:ascii="仿宋" w:hAnsi="仿宋" w:eastAsia="仿宋" w:cs="仿宋"/>
          <w:b/>
          <w:bCs/>
          <w:snapToGrid w:val="0"/>
          <w:kern w:val="0"/>
          <w:sz w:val="28"/>
          <w:szCs w:val="28"/>
        </w:rPr>
        <w:t>资产管理-统一的资产管理</w:t>
      </w:r>
      <w:bookmarkEnd w:id="688"/>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资产盘清，分类授权：资产盘清家底，分类分级，多业态资产建模（统一模型、统一编码、统一维度、统一口径）配套科学的分级授权管理。</w:t>
      </w:r>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动态盘点，账实相符：现场盘点在线留痕，资产地图实时更新，业务、资管、财务三账统一，账实相符。</w:t>
      </w:r>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合规经营，安全巡检：按照资产经营要求落实资产评估、安全巡检机制，落实合规经营目标。</w:t>
      </w:r>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流程在线，业务规范：资产全生周期记录管控（接收、建档、变更、流转、规划、处置），便于结构优化。</w:t>
      </w:r>
    </w:p>
    <w:p>
      <w:pPr>
        <w:numPr>
          <w:ilvl w:val="0"/>
          <w:numId w:val="25"/>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689" w:name="_Toc15938"/>
      <w:r>
        <w:rPr>
          <w:rFonts w:hint="eastAsia" w:ascii="仿宋" w:hAnsi="仿宋" w:eastAsia="仿宋" w:cs="仿宋"/>
          <w:b/>
          <w:bCs/>
          <w:snapToGrid w:val="0"/>
          <w:kern w:val="0"/>
          <w:sz w:val="28"/>
          <w:szCs w:val="28"/>
        </w:rPr>
        <w:t>经营管理-规范的租赁运营</w:t>
      </w:r>
      <w:bookmarkEnd w:id="689"/>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智慧招租，动态跟踪：根据分级授权的资产用途规划及签约时效，强化空置、价格和招租过程的管控，防止资产流失。</w:t>
      </w:r>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业务在线，降本提效：规范合同签约、履约业务场景在线管控，增加在线化服务提升租客体验，业务赋能，管理提效。</w:t>
      </w:r>
    </w:p>
    <w:p>
      <w:pPr>
        <w:widowControl/>
        <w:spacing w:line="360" w:lineRule="auto"/>
        <w:ind w:firstLine="640"/>
        <w:rPr>
          <w:rFonts w:ascii="Calibri" w:hAnsi="Calibri"/>
          <w:kern w:val="0"/>
        </w:rPr>
      </w:pPr>
      <w:r>
        <w:rPr>
          <w:rFonts w:hint="eastAsia" w:ascii="仿宋" w:hAnsi="仿宋" w:eastAsia="仿宋" w:cs="仿宋"/>
          <w:snapToGrid w:val="0"/>
          <w:kern w:val="0"/>
          <w:sz w:val="28"/>
          <w:szCs w:val="28"/>
        </w:rPr>
        <w:t>智能算费，业财一体：规范计费模型、自动生成账单，在线跟催收集核对一体化，单据自动传输。</w:t>
      </w:r>
    </w:p>
    <w:p>
      <w:pPr>
        <w:numPr>
          <w:ilvl w:val="0"/>
          <w:numId w:val="25"/>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690" w:name="_Toc2966"/>
      <w:r>
        <w:rPr>
          <w:rFonts w:hint="eastAsia" w:ascii="仿宋" w:hAnsi="仿宋" w:eastAsia="仿宋" w:cs="仿宋"/>
          <w:b/>
          <w:bCs/>
          <w:snapToGrid w:val="0"/>
          <w:kern w:val="0"/>
          <w:sz w:val="28"/>
          <w:szCs w:val="28"/>
        </w:rPr>
        <w:t>决策分析-健全的数据分析</w:t>
      </w:r>
      <w:bookmarkEnd w:id="690"/>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多维分析，智慧决策：整合全口径业务数据，打造可视化决策平台，通过数据驱动智能决策。</w:t>
      </w:r>
    </w:p>
    <w:p>
      <w:pPr>
        <w:widowControl/>
        <w:spacing w:line="360" w:lineRule="auto"/>
        <w:ind w:firstLine="640"/>
        <w:rPr>
          <w:rFonts w:ascii="Calibri" w:hAnsi="Calibri"/>
          <w:kern w:val="0"/>
        </w:rPr>
      </w:pPr>
      <w:r>
        <w:rPr>
          <w:rFonts w:hint="eastAsia" w:ascii="仿宋" w:hAnsi="仿宋" w:eastAsia="仿宋" w:cs="仿宋"/>
          <w:snapToGrid w:val="0"/>
          <w:kern w:val="0"/>
          <w:sz w:val="28"/>
          <w:szCs w:val="28"/>
        </w:rPr>
        <w:t>业务合规，风险预警：建立合规性风险监控、预警机制，保障业务执行过程合规，形成预警闭环管理。</w:t>
      </w:r>
    </w:p>
    <w:p>
      <w:pPr>
        <w:numPr>
          <w:ilvl w:val="0"/>
          <w:numId w:val="25"/>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691" w:name="_Toc15070"/>
      <w:r>
        <w:rPr>
          <w:rFonts w:hint="eastAsia" w:ascii="仿宋" w:hAnsi="仿宋" w:eastAsia="仿宋" w:cs="仿宋"/>
          <w:b/>
          <w:bCs/>
          <w:snapToGrid w:val="0"/>
          <w:kern w:val="0"/>
          <w:sz w:val="28"/>
          <w:szCs w:val="28"/>
        </w:rPr>
        <w:t>技术要求-坚实的支术底座</w:t>
      </w:r>
      <w:bookmarkEnd w:id="691"/>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国产化，安全性：要求合作厂家及开发语言国产化，信息、数据、网络、访问安全有保障。</w:t>
      </w:r>
    </w:p>
    <w:p>
      <w:pPr>
        <w:widowControl/>
        <w:spacing w:line="360" w:lineRule="auto"/>
        <w:ind w:firstLine="640"/>
        <w:rPr>
          <w:rFonts w:ascii="仿宋" w:hAnsi="仿宋" w:eastAsia="仿宋" w:cs="仿宋"/>
          <w:snapToGrid w:val="0"/>
          <w:kern w:val="0"/>
          <w:sz w:val="28"/>
          <w:szCs w:val="28"/>
        </w:rPr>
      </w:pPr>
      <w:r>
        <w:rPr>
          <w:rFonts w:hint="eastAsia" w:ascii="仿宋" w:hAnsi="仿宋" w:eastAsia="仿宋" w:cs="仿宋"/>
          <w:snapToGrid w:val="0"/>
          <w:kern w:val="0"/>
          <w:sz w:val="28"/>
          <w:szCs w:val="28"/>
        </w:rPr>
        <w:t>高稳定性：稳定可靠、可弹性伸缩的在线数据库服务，软件具备海量数据处理能力，平台性能具备大用户量高并发要求。</w:t>
      </w:r>
    </w:p>
    <w:p>
      <w:pPr>
        <w:widowControl/>
        <w:spacing w:line="360" w:lineRule="auto"/>
        <w:ind w:firstLine="640"/>
        <w:rPr>
          <w:rFonts w:ascii="Calibri" w:hAnsi="Calibri"/>
          <w:kern w:val="0"/>
        </w:rPr>
      </w:pPr>
      <w:r>
        <w:rPr>
          <w:rFonts w:hint="eastAsia" w:ascii="仿宋" w:hAnsi="仿宋" w:eastAsia="仿宋" w:cs="仿宋"/>
          <w:snapToGrid w:val="0"/>
          <w:kern w:val="0"/>
          <w:sz w:val="28"/>
          <w:szCs w:val="28"/>
        </w:rPr>
        <w:t>可扩展性：可与内部管理系统（OA/财务/房开销售/移动门户）集成对接。</w:t>
      </w:r>
    </w:p>
    <w:p>
      <w:pPr>
        <w:keepNext/>
        <w:keepLines/>
        <w:numPr>
          <w:ilvl w:val="1"/>
          <w:numId w:val="0"/>
        </w:numPr>
        <w:spacing w:before="260" w:after="260" w:line="413" w:lineRule="auto"/>
        <w:outlineLvl w:val="2"/>
        <w:rPr>
          <w:rFonts w:ascii="方正楷体_GB2312" w:hAnsi="方正楷体_GB2312" w:eastAsia="方正楷体_GB2312" w:cs="方正楷体_GB2312"/>
          <w:b/>
          <w:sz w:val="32"/>
        </w:rPr>
      </w:pPr>
      <w:bookmarkStart w:id="692" w:name="_Toc4231"/>
      <w:bookmarkStart w:id="693" w:name="_Toc29359"/>
      <w:bookmarkStart w:id="694" w:name="_Toc19119"/>
      <w:bookmarkStart w:id="695" w:name="_Toc20875"/>
      <w:bookmarkStart w:id="696" w:name="_Toc180507128"/>
      <w:r>
        <w:rPr>
          <w:rFonts w:hint="eastAsia" w:ascii="方正楷体_GB2312" w:hAnsi="方正楷体_GB2312" w:eastAsia="方正楷体_GB2312" w:cs="方正楷体_GB2312"/>
          <w:b/>
          <w:sz w:val="32"/>
        </w:rPr>
        <w:t>项目建设原则</w:t>
      </w:r>
      <w:bookmarkEnd w:id="692"/>
      <w:bookmarkEnd w:id="693"/>
      <w:bookmarkEnd w:id="694"/>
      <w:bookmarkEnd w:id="695"/>
      <w:bookmarkEnd w:id="696"/>
    </w:p>
    <w:p>
      <w:pPr>
        <w:numPr>
          <w:ilvl w:val="0"/>
          <w:numId w:val="26"/>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697" w:name="_Toc22511"/>
      <w:r>
        <w:rPr>
          <w:rFonts w:hint="eastAsia" w:ascii="仿宋" w:hAnsi="仿宋" w:eastAsia="仿宋" w:cs="仿宋"/>
          <w:b/>
          <w:bCs/>
          <w:snapToGrid w:val="0"/>
          <w:kern w:val="0"/>
          <w:sz w:val="28"/>
          <w:szCs w:val="28"/>
        </w:rPr>
        <w:t>先进性原则</w:t>
      </w:r>
      <w:bookmarkEnd w:id="697"/>
    </w:p>
    <w:p>
      <w:pPr>
        <w:ind w:firstLine="560" w:firstLineChars="200"/>
        <w:rPr>
          <w:rFonts w:ascii="仿宋" w:hAnsi="仿宋" w:eastAsia="仿宋" w:cs="仿宋"/>
          <w:sz w:val="28"/>
          <w:szCs w:val="28"/>
        </w:rPr>
      </w:pPr>
      <w:r>
        <w:rPr>
          <w:rFonts w:hint="eastAsia" w:ascii="仿宋" w:hAnsi="仿宋" w:eastAsia="仿宋" w:cs="仿宋"/>
          <w:sz w:val="28"/>
          <w:szCs w:val="28"/>
        </w:rPr>
        <w:t>系统在设计思想、系统架构、应用技术上均采用目前最先进的技术、方法、软件、硬件设备等，确保系统有一定的先进性、前瞻性、扩充性，符合技术发展方向，延长系统的生命周期。</w:t>
      </w:r>
    </w:p>
    <w:p>
      <w:pPr>
        <w:numPr>
          <w:ilvl w:val="0"/>
          <w:numId w:val="26"/>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698" w:name="_Toc30984"/>
      <w:r>
        <w:rPr>
          <w:rFonts w:hint="eastAsia" w:ascii="仿宋" w:hAnsi="仿宋" w:eastAsia="仿宋" w:cs="仿宋"/>
          <w:b/>
          <w:bCs/>
          <w:snapToGrid w:val="0"/>
          <w:kern w:val="0"/>
          <w:sz w:val="28"/>
          <w:szCs w:val="28"/>
        </w:rPr>
        <w:t>实用性和易用性原则</w:t>
      </w:r>
      <w:bookmarkEnd w:id="698"/>
    </w:p>
    <w:p>
      <w:pPr>
        <w:ind w:firstLine="560" w:firstLineChars="200"/>
        <w:rPr>
          <w:rFonts w:ascii="仿宋" w:hAnsi="仿宋" w:eastAsia="仿宋" w:cs="仿宋"/>
          <w:sz w:val="28"/>
          <w:szCs w:val="28"/>
        </w:rPr>
      </w:pPr>
      <w:r>
        <w:rPr>
          <w:rFonts w:hint="eastAsia" w:ascii="仿宋" w:hAnsi="仿宋" w:eastAsia="仿宋" w:cs="仿宋"/>
          <w:sz w:val="28"/>
          <w:szCs w:val="28"/>
        </w:rPr>
        <w:t>系统满足当前资产和租赁管理全流程业务工作需求，适应各业务角色的工作特点，提升系统实用性。界面设计友好，智能化水平高，操作简洁，并且面向不同用户对象，进行针对性开发，为各类用户提供个性化的功能和界面，贴近用户实际应用需要，提高系统的易用性。</w:t>
      </w:r>
    </w:p>
    <w:p>
      <w:pPr>
        <w:numPr>
          <w:ilvl w:val="0"/>
          <w:numId w:val="26"/>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699" w:name="_Toc32359"/>
      <w:r>
        <w:rPr>
          <w:rFonts w:hint="eastAsia" w:ascii="仿宋" w:hAnsi="仿宋" w:eastAsia="仿宋" w:cs="仿宋"/>
          <w:b/>
          <w:bCs/>
          <w:snapToGrid w:val="0"/>
          <w:kern w:val="0"/>
          <w:sz w:val="28"/>
          <w:szCs w:val="28"/>
        </w:rPr>
        <w:t>可维护性原则</w:t>
      </w:r>
      <w:bookmarkEnd w:id="699"/>
    </w:p>
    <w:p>
      <w:pPr>
        <w:ind w:firstLine="560" w:firstLineChars="200"/>
        <w:rPr>
          <w:rFonts w:ascii="仿宋" w:hAnsi="仿宋" w:eastAsia="仿宋" w:cs="仿宋"/>
          <w:sz w:val="28"/>
          <w:szCs w:val="28"/>
        </w:rPr>
      </w:pPr>
      <w:r>
        <w:rPr>
          <w:rFonts w:hint="eastAsia" w:ascii="仿宋" w:hAnsi="仿宋" w:eastAsia="仿宋" w:cs="仿宋"/>
          <w:sz w:val="28"/>
          <w:szCs w:val="28"/>
        </w:rPr>
        <w:t>系统设计标准化、规范化，按照分层设计，软件模块化实现，具有完备的系统维护方案，并建立维护管理系统。系统建成以后的升级及调整更新自动维护，线上下载安装。</w:t>
      </w:r>
    </w:p>
    <w:p>
      <w:pPr>
        <w:numPr>
          <w:ilvl w:val="0"/>
          <w:numId w:val="26"/>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00" w:name="_Toc10936"/>
      <w:r>
        <w:rPr>
          <w:rFonts w:hint="eastAsia" w:ascii="仿宋" w:hAnsi="仿宋" w:eastAsia="仿宋" w:cs="仿宋"/>
          <w:b/>
          <w:bCs/>
          <w:snapToGrid w:val="0"/>
          <w:kern w:val="0"/>
          <w:sz w:val="28"/>
          <w:szCs w:val="28"/>
        </w:rPr>
        <w:t>经济性原则</w:t>
      </w:r>
      <w:bookmarkEnd w:id="700"/>
    </w:p>
    <w:p>
      <w:pPr>
        <w:ind w:firstLine="560" w:firstLineChars="200"/>
        <w:rPr>
          <w:rFonts w:ascii="仿宋" w:hAnsi="仿宋" w:eastAsia="仿宋" w:cs="仿宋"/>
          <w:sz w:val="28"/>
          <w:szCs w:val="28"/>
        </w:rPr>
      </w:pPr>
      <w:r>
        <w:rPr>
          <w:rFonts w:hint="eastAsia" w:ascii="仿宋" w:hAnsi="仿宋" w:eastAsia="仿宋" w:cs="仿宋"/>
          <w:sz w:val="28"/>
          <w:szCs w:val="28"/>
        </w:rPr>
        <w:t>系统的建设在保证功能、性能指标的前提下，尽可能降低成本，利用现有的资源，按计划在规定时间内实现平台的建设目标。</w:t>
      </w:r>
    </w:p>
    <w:p>
      <w:pPr>
        <w:numPr>
          <w:ilvl w:val="0"/>
          <w:numId w:val="26"/>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01" w:name="_Toc19752"/>
      <w:r>
        <w:rPr>
          <w:rFonts w:hint="eastAsia" w:ascii="仿宋" w:hAnsi="仿宋" w:eastAsia="仿宋" w:cs="仿宋"/>
          <w:b/>
          <w:bCs/>
          <w:snapToGrid w:val="0"/>
          <w:kern w:val="0"/>
          <w:sz w:val="28"/>
          <w:szCs w:val="28"/>
        </w:rPr>
        <w:t>保密及安全性原则</w:t>
      </w:r>
      <w:bookmarkEnd w:id="701"/>
    </w:p>
    <w:p>
      <w:pPr>
        <w:ind w:firstLine="560" w:firstLineChars="200"/>
        <w:rPr>
          <w:rFonts w:ascii="仿宋" w:hAnsi="仿宋" w:eastAsia="仿宋" w:cs="仿宋"/>
          <w:sz w:val="28"/>
          <w:szCs w:val="28"/>
        </w:rPr>
      </w:pPr>
      <w:r>
        <w:rPr>
          <w:rFonts w:hint="eastAsia" w:ascii="仿宋" w:hAnsi="仿宋" w:eastAsia="仿宋" w:cs="仿宋"/>
          <w:sz w:val="28"/>
          <w:szCs w:val="28"/>
        </w:rPr>
        <w:t>系统网络配置和软件系统充分考虑数据的保密和安全。对用户权限进行严格的设定，包括业务操作权限、数据查看权限、异常预警权限等，对系统的操作有详细的日志记录，确保网络安全可靠地运行。平台能通过定期自动、手工等方式进行数据备份，在保证系统用户权限合法性的同时，保证数据的准确性和平台容灾能力。平台自动对系统异常进行记录和处理，在应用服务器宕机时，不丢失业务数据，且可以对系统错误和数据异常进行明确、友好的提示。并满足国家信创的要求。</w:t>
      </w:r>
    </w:p>
    <w:p>
      <w:pPr>
        <w:numPr>
          <w:ilvl w:val="0"/>
          <w:numId w:val="26"/>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02" w:name="_Toc6563"/>
      <w:r>
        <w:rPr>
          <w:rFonts w:hint="eastAsia" w:ascii="仿宋" w:hAnsi="仿宋" w:eastAsia="仿宋" w:cs="仿宋"/>
          <w:b/>
          <w:bCs/>
          <w:snapToGrid w:val="0"/>
          <w:kern w:val="0"/>
          <w:sz w:val="28"/>
          <w:szCs w:val="28"/>
        </w:rPr>
        <w:t>标准化原则</w:t>
      </w:r>
      <w:bookmarkEnd w:id="702"/>
    </w:p>
    <w:p>
      <w:pPr>
        <w:ind w:firstLine="560" w:firstLineChars="200"/>
        <w:rPr>
          <w:rFonts w:ascii="仿宋" w:hAnsi="仿宋" w:eastAsia="仿宋" w:cs="仿宋"/>
          <w:sz w:val="28"/>
          <w:szCs w:val="28"/>
        </w:rPr>
      </w:pPr>
      <w:r>
        <w:rPr>
          <w:rFonts w:hint="eastAsia" w:ascii="仿宋" w:hAnsi="仿宋" w:eastAsia="仿宋" w:cs="仿宋"/>
          <w:sz w:val="28"/>
          <w:szCs w:val="28"/>
        </w:rPr>
        <w:t>系统建设遵从国家标准，注重数据标准化、界面规范化、设计合理化、操作人性化，保证扩展和集成。</w:t>
      </w:r>
    </w:p>
    <w:p>
      <w:pPr>
        <w:numPr>
          <w:ilvl w:val="0"/>
          <w:numId w:val="26"/>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03" w:name="_Toc23298"/>
      <w:r>
        <w:rPr>
          <w:rFonts w:hint="eastAsia" w:ascii="仿宋" w:hAnsi="仿宋" w:eastAsia="仿宋" w:cs="仿宋"/>
          <w:b/>
          <w:bCs/>
          <w:snapToGrid w:val="0"/>
          <w:kern w:val="0"/>
          <w:sz w:val="28"/>
          <w:szCs w:val="28"/>
        </w:rPr>
        <w:t>可靠性原则</w:t>
      </w:r>
      <w:bookmarkEnd w:id="703"/>
    </w:p>
    <w:p>
      <w:pPr>
        <w:ind w:firstLine="560" w:firstLineChars="200"/>
        <w:rPr>
          <w:rFonts w:ascii="仿宋" w:hAnsi="仿宋" w:eastAsia="仿宋" w:cs="仿宋"/>
          <w:sz w:val="28"/>
          <w:szCs w:val="28"/>
        </w:rPr>
      </w:pPr>
      <w:r>
        <w:rPr>
          <w:rFonts w:hint="eastAsia" w:ascii="仿宋" w:hAnsi="仿宋" w:eastAsia="仿宋" w:cs="仿宋"/>
          <w:sz w:val="28"/>
          <w:szCs w:val="28"/>
        </w:rPr>
        <w:t>系统运行稳定和可靠，软件在海量数据处理方面应该具备扩展至TB级海量数据组织与管理，在现有的网络架构、软硬件平台基础上，具备快速处理和大用户量并发能力。具有较好的健壮性，在相关软件或硬件组成部分的发生异常的情况，能保持继续正常运行。</w:t>
      </w:r>
    </w:p>
    <w:p>
      <w:pPr>
        <w:keepNext/>
        <w:keepLines/>
        <w:spacing w:before="340" w:after="330" w:line="578" w:lineRule="auto"/>
        <w:outlineLvl w:val="1"/>
        <w:rPr>
          <w:rFonts w:ascii="仿宋" w:hAnsi="仿宋" w:eastAsia="仿宋" w:cs="仿宋"/>
          <w:sz w:val="28"/>
          <w:szCs w:val="28"/>
        </w:rPr>
      </w:pPr>
      <w:bookmarkStart w:id="704" w:name="_Toc2368"/>
      <w:bookmarkStart w:id="705" w:name="_Toc7142"/>
      <w:bookmarkStart w:id="706" w:name="_Toc180507129"/>
      <w:bookmarkStart w:id="707" w:name="_Toc10944"/>
      <w:bookmarkStart w:id="708" w:name="_Toc13386"/>
      <w:r>
        <w:rPr>
          <w:rFonts w:hint="eastAsia" w:ascii="黑体" w:hAnsi="黑体" w:eastAsia="黑体" w:cs="黑体"/>
          <w:b/>
          <w:bCs/>
          <w:kern w:val="44"/>
          <w:sz w:val="32"/>
          <w:szCs w:val="32"/>
        </w:rPr>
        <w:t>功能规划</w:t>
      </w:r>
      <w:bookmarkEnd w:id="704"/>
      <w:bookmarkEnd w:id="705"/>
      <w:bookmarkEnd w:id="706"/>
      <w:bookmarkEnd w:id="707"/>
      <w:bookmarkEnd w:id="708"/>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结合集团资管及租赁整体业务现状需求、国资监管要求以及建设目标，规划集团资产管理平台整体思路，主要分成五个层面：</w:t>
      </w:r>
    </w:p>
    <w:p>
      <w:pPr>
        <w:numPr>
          <w:ilvl w:val="0"/>
          <w:numId w:val="27"/>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09" w:name="_Toc7654"/>
      <w:r>
        <w:rPr>
          <w:rFonts w:hint="eastAsia" w:ascii="仿宋" w:hAnsi="仿宋" w:eastAsia="仿宋" w:cs="仿宋"/>
          <w:b/>
          <w:bCs/>
          <w:snapToGrid w:val="0"/>
          <w:kern w:val="0"/>
          <w:sz w:val="28"/>
          <w:szCs w:val="28"/>
        </w:rPr>
        <w:t>在“国资监管”层面：</w:t>
      </w:r>
      <w:bookmarkEnd w:id="709"/>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面向“企业端国资数据自动上报监管端”的要求，根据国资监管端数据上报标准，从“动态归集数据，整理形成满足要求的数据集，通过企业端数据上报模块对接监管端数据交换接口，T+1自动上报数据”，4个方面做国资上报功能设计。</w:t>
      </w:r>
    </w:p>
    <w:p>
      <w:pPr>
        <w:numPr>
          <w:ilvl w:val="0"/>
          <w:numId w:val="27"/>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10" w:name="_Toc3791"/>
      <w:r>
        <w:rPr>
          <w:rFonts w:hint="eastAsia" w:ascii="仿宋" w:hAnsi="仿宋" w:eastAsia="仿宋" w:cs="仿宋"/>
          <w:b/>
          <w:bCs/>
          <w:snapToGrid w:val="0"/>
          <w:kern w:val="0"/>
          <w:sz w:val="28"/>
          <w:szCs w:val="28"/>
        </w:rPr>
        <w:t>在“资产管理”层面：</w:t>
      </w:r>
      <w:bookmarkEnd w:id="710"/>
    </w:p>
    <w:p>
      <w:pPr>
        <w:ind w:firstLine="638" w:firstLineChars="228"/>
        <w:rPr>
          <w:rFonts w:ascii="仿宋" w:hAnsi="仿宋" w:eastAsia="仿宋" w:cs="仿宋"/>
          <w:sz w:val="28"/>
          <w:szCs w:val="28"/>
        </w:rPr>
      </w:pPr>
      <w:r>
        <w:rPr>
          <w:rFonts w:hint="eastAsia" w:ascii="仿宋" w:hAnsi="仿宋" w:eastAsia="仿宋" w:cs="仿宋"/>
          <w:sz w:val="28"/>
          <w:szCs w:val="28"/>
        </w:rPr>
        <w:t>面向“盘清资产家底、统筹分类授权、确保经营合规”三个目标，分别在“科学建档、资产维护、分级授权、经营联动、资产巡检、合规审查”6个核心场景里做资管中心系统功能设计。</w:t>
      </w:r>
    </w:p>
    <w:p>
      <w:pPr>
        <w:numPr>
          <w:ilvl w:val="0"/>
          <w:numId w:val="27"/>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11" w:name="_Toc18566"/>
      <w:r>
        <w:rPr>
          <w:rFonts w:hint="eastAsia" w:ascii="仿宋" w:hAnsi="仿宋" w:eastAsia="仿宋" w:cs="仿宋"/>
          <w:b/>
          <w:bCs/>
          <w:snapToGrid w:val="0"/>
          <w:kern w:val="0"/>
          <w:sz w:val="28"/>
          <w:szCs w:val="28"/>
        </w:rPr>
        <w:t>在“经营管理”层面：</w:t>
      </w:r>
      <w:bookmarkEnd w:id="711"/>
    </w:p>
    <w:p>
      <w:pPr>
        <w:ind w:firstLine="638" w:firstLineChars="228"/>
        <w:rPr>
          <w:rFonts w:ascii="仿宋" w:hAnsi="仿宋" w:eastAsia="仿宋" w:cs="仿宋"/>
          <w:sz w:val="28"/>
          <w:szCs w:val="28"/>
        </w:rPr>
      </w:pPr>
      <w:r>
        <w:rPr>
          <w:rFonts w:hint="eastAsia" w:ascii="仿宋" w:hAnsi="仿宋" w:eastAsia="仿宋" w:cs="仿宋"/>
          <w:sz w:val="28"/>
          <w:szCs w:val="28"/>
        </w:rPr>
        <w:t>面向“降低房源空置、规范租约管控、提升收缴效率”三个目标，分别在“租控、招商、合同、履约、收缴、业财协同”6个核心场景，及对客门户小程序场景做功能设计。</w:t>
      </w:r>
    </w:p>
    <w:p>
      <w:pPr>
        <w:numPr>
          <w:ilvl w:val="0"/>
          <w:numId w:val="27"/>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12" w:name="_Toc14825"/>
      <w:r>
        <w:rPr>
          <w:rFonts w:hint="eastAsia" w:ascii="仿宋" w:hAnsi="仿宋" w:eastAsia="仿宋" w:cs="仿宋"/>
          <w:b/>
          <w:bCs/>
          <w:snapToGrid w:val="0"/>
          <w:kern w:val="0"/>
          <w:sz w:val="28"/>
          <w:szCs w:val="28"/>
        </w:rPr>
        <w:t>在“决策赋能”层面：</w:t>
      </w:r>
      <w:bookmarkEnd w:id="712"/>
    </w:p>
    <w:p>
      <w:pPr>
        <w:ind w:firstLine="638" w:firstLineChars="228"/>
        <w:rPr>
          <w:rFonts w:ascii="仿宋" w:hAnsi="仿宋" w:eastAsia="仿宋" w:cs="仿宋"/>
          <w:sz w:val="28"/>
          <w:szCs w:val="28"/>
        </w:rPr>
      </w:pPr>
      <w:r>
        <w:rPr>
          <w:rFonts w:hint="eastAsia" w:ascii="仿宋" w:hAnsi="仿宋" w:eastAsia="仿宋" w:cs="仿宋"/>
          <w:sz w:val="28"/>
          <w:szCs w:val="28"/>
        </w:rPr>
        <w:t>为集团及下属企业管理者提供三个决策分析抓手，分别是“资产一本账、布局一幅图和管理一张屏”，帮助管理者快速了解当前资产管理和运营的情况，辅助决策。从“三个一”做数据分析与经营可视化功能设计。</w:t>
      </w:r>
    </w:p>
    <w:p>
      <w:pPr>
        <w:numPr>
          <w:ilvl w:val="0"/>
          <w:numId w:val="27"/>
        </w:numPr>
        <w:adjustRightInd w:val="0"/>
        <w:snapToGrid w:val="0"/>
        <w:spacing w:line="560" w:lineRule="exact"/>
        <w:ind w:left="0" w:firstLine="562" w:firstLineChars="200"/>
        <w:outlineLvl w:val="3"/>
        <w:rPr>
          <w:rFonts w:ascii="仿宋" w:hAnsi="仿宋" w:eastAsia="仿宋" w:cs="仿宋"/>
          <w:b/>
          <w:bCs/>
          <w:snapToGrid w:val="0"/>
          <w:kern w:val="0"/>
          <w:sz w:val="28"/>
          <w:szCs w:val="28"/>
        </w:rPr>
      </w:pPr>
      <w:bookmarkStart w:id="713" w:name="_Toc5025"/>
      <w:r>
        <w:rPr>
          <w:rFonts w:hint="eastAsia" w:ascii="仿宋" w:hAnsi="仿宋" w:eastAsia="仿宋" w:cs="仿宋"/>
          <w:b/>
          <w:bCs/>
          <w:snapToGrid w:val="0"/>
          <w:kern w:val="0"/>
          <w:sz w:val="28"/>
          <w:szCs w:val="28"/>
        </w:rPr>
        <w:t>在“技术底座”层面：</w:t>
      </w:r>
      <w:bookmarkEnd w:id="713"/>
    </w:p>
    <w:p>
      <w:pPr>
        <w:ind w:firstLine="638" w:firstLineChars="228"/>
        <w:rPr>
          <w:rFonts w:ascii="仿宋" w:hAnsi="仿宋" w:eastAsia="仿宋" w:cs="仿宋"/>
          <w:sz w:val="28"/>
          <w:szCs w:val="28"/>
        </w:rPr>
      </w:pPr>
      <w:r>
        <w:rPr>
          <w:rFonts w:hint="eastAsia" w:ascii="仿宋" w:hAnsi="仿宋" w:eastAsia="仿宋" w:cs="仿宋"/>
          <w:sz w:val="28"/>
          <w:szCs w:val="28"/>
        </w:rPr>
        <w:t>依托国产自主可控的“技术平台”和“业务中台”，满足集团内部系统集成需求。从业财一体集成、租售一体集成等方面进行系统集成。</w:t>
      </w:r>
    </w:p>
    <w:p>
      <w:pPr>
        <w:keepNext/>
        <w:keepLines/>
        <w:numPr>
          <w:ilvl w:val="1"/>
          <w:numId w:val="0"/>
        </w:numPr>
        <w:spacing w:before="260" w:after="260" w:line="413" w:lineRule="auto"/>
        <w:outlineLvl w:val="2"/>
        <w:rPr>
          <w:rFonts w:ascii="方正楷体_GB2312" w:hAnsi="方正楷体_GB2312" w:eastAsia="方正楷体_GB2312" w:cs="方正楷体_GB2312"/>
          <w:b/>
          <w:sz w:val="32"/>
        </w:rPr>
      </w:pPr>
      <w:bookmarkStart w:id="714" w:name="_Toc14022"/>
      <w:bookmarkStart w:id="715" w:name="_Toc18730"/>
      <w:bookmarkStart w:id="716" w:name="_Toc2281"/>
      <w:bookmarkStart w:id="717" w:name="_Toc180507130"/>
      <w:bookmarkStart w:id="718" w:name="_Toc20220"/>
      <w:r>
        <w:rPr>
          <w:rFonts w:hint="eastAsia" w:ascii="方正楷体_GB2312" w:hAnsi="方正楷体_GB2312" w:eastAsia="方正楷体_GB2312" w:cs="方正楷体_GB2312"/>
          <w:b/>
          <w:sz w:val="32"/>
        </w:rPr>
        <w:t>国资监管数据上报功能</w:t>
      </w:r>
      <w:bookmarkEnd w:id="714"/>
      <w:bookmarkEnd w:id="715"/>
      <w:bookmarkEnd w:id="716"/>
      <w:bookmarkEnd w:id="717"/>
      <w:bookmarkEnd w:id="718"/>
    </w:p>
    <w:p>
      <w:pPr>
        <w:ind w:firstLine="638" w:firstLineChars="228"/>
        <w:rPr>
          <w:rFonts w:ascii="仿宋" w:hAnsi="仿宋" w:eastAsia="仿宋" w:cs="仿宋"/>
          <w:sz w:val="28"/>
          <w:szCs w:val="28"/>
        </w:rPr>
      </w:pPr>
      <w:r>
        <w:rPr>
          <w:rFonts w:hint="eastAsia" w:ascii="仿宋" w:hAnsi="仿宋" w:eastAsia="仿宋" w:cs="仿宋"/>
          <w:sz w:val="28"/>
          <w:szCs w:val="28"/>
        </w:rPr>
        <w:t>面对“企业端国资数据自动上报监管端”的要求，根据国资监管端数据上报标准，从“动态归集数据，整理形成满足要求的数据集，通过企业端数据上报模块对接监管端数据交换接口，T+1</w:t>
      </w:r>
      <w:r>
        <w:rPr>
          <w:rFonts w:ascii="仿宋" w:hAnsi="仿宋" w:eastAsia="仿宋" w:cs="仿宋"/>
          <w:sz w:val="28"/>
          <w:szCs w:val="28"/>
        </w:rPr>
        <w:t>自动上报数据”，</w:t>
      </w:r>
      <w:r>
        <w:rPr>
          <w:rFonts w:hint="eastAsia" w:ascii="仿宋" w:hAnsi="仿宋" w:eastAsia="仿宋" w:cs="仿宋"/>
          <w:sz w:val="28"/>
          <w:szCs w:val="28"/>
        </w:rPr>
        <w:t>4</w:t>
      </w:r>
      <w:r>
        <w:rPr>
          <w:rFonts w:ascii="仿宋" w:hAnsi="仿宋" w:eastAsia="仿宋" w:cs="仿宋"/>
          <w:sz w:val="28"/>
          <w:szCs w:val="28"/>
        </w:rPr>
        <w:t>个方面做国资上报功能设计。</w:t>
      </w:r>
    </w:p>
    <w:p>
      <w:pPr>
        <w:keepNext/>
        <w:keepLines/>
        <w:numPr>
          <w:ilvl w:val="1"/>
          <w:numId w:val="0"/>
        </w:numPr>
        <w:spacing w:before="260" w:after="260" w:line="413" w:lineRule="auto"/>
        <w:outlineLvl w:val="2"/>
        <w:rPr>
          <w:rFonts w:ascii="方正楷体_GB2312" w:hAnsi="方正楷体_GB2312" w:eastAsia="方正楷体_GB2312" w:cs="方正楷体_GB2312"/>
          <w:b/>
          <w:sz w:val="32"/>
        </w:rPr>
      </w:pPr>
      <w:bookmarkStart w:id="719" w:name="_Toc13918"/>
      <w:bookmarkStart w:id="720" w:name="_Toc31420"/>
      <w:bookmarkStart w:id="721" w:name="_Toc180507131"/>
      <w:bookmarkStart w:id="722" w:name="_Toc3040"/>
      <w:bookmarkStart w:id="723" w:name="_Toc7940"/>
      <w:r>
        <w:rPr>
          <w:rFonts w:hint="eastAsia" w:ascii="方正楷体_GB2312" w:hAnsi="方正楷体_GB2312" w:eastAsia="方正楷体_GB2312" w:cs="方正楷体_GB2312"/>
          <w:b/>
          <w:sz w:val="32"/>
        </w:rPr>
        <w:t>资产管理功能</w:t>
      </w:r>
      <w:bookmarkEnd w:id="719"/>
      <w:bookmarkEnd w:id="720"/>
      <w:bookmarkEnd w:id="721"/>
      <w:bookmarkEnd w:id="722"/>
      <w:bookmarkEnd w:id="723"/>
    </w:p>
    <w:p>
      <w:pPr>
        <w:widowControl/>
        <w:spacing w:line="360" w:lineRule="auto"/>
        <w:ind w:firstLine="634"/>
        <w:rPr>
          <w:rFonts w:ascii="仿宋" w:hAnsi="仿宋" w:eastAsia="仿宋" w:cs="仿宋"/>
          <w:sz w:val="28"/>
          <w:szCs w:val="28"/>
        </w:rPr>
      </w:pPr>
      <w:r>
        <w:rPr>
          <w:rFonts w:hint="eastAsia" w:ascii="仿宋" w:hAnsi="仿宋" w:eastAsia="仿宋" w:cs="仿宋"/>
          <w:sz w:val="28"/>
          <w:szCs w:val="28"/>
        </w:rPr>
        <w:t>面向“盘清资产家底、统筹分类授权、确保经营合规”三个目标，分别在“科学建档、资产维护、分级授权、经营联动、资产巡检、合规审查”6个核心场景里做资管中心系统功能设计。</w:t>
      </w:r>
    </w:p>
    <w:p>
      <w:pPr>
        <w:numPr>
          <w:ilvl w:val="0"/>
          <w:numId w:val="28"/>
        </w:numPr>
        <w:adjustRightInd w:val="0"/>
        <w:snapToGrid w:val="0"/>
        <w:spacing w:line="560" w:lineRule="exact"/>
        <w:ind w:left="0" w:firstLine="641" w:firstLineChars="228"/>
        <w:outlineLvl w:val="3"/>
        <w:rPr>
          <w:rFonts w:ascii="仿宋" w:hAnsi="仿宋" w:eastAsia="仿宋" w:cs="仿宋"/>
          <w:b/>
          <w:bCs/>
          <w:snapToGrid w:val="0"/>
          <w:kern w:val="0"/>
          <w:sz w:val="28"/>
          <w:szCs w:val="28"/>
        </w:rPr>
      </w:pPr>
      <w:bookmarkStart w:id="724" w:name="_Toc8871"/>
      <w:r>
        <w:rPr>
          <w:rFonts w:hint="eastAsia" w:ascii="仿宋" w:hAnsi="仿宋" w:eastAsia="仿宋" w:cs="仿宋"/>
          <w:b/>
          <w:bCs/>
          <w:snapToGrid w:val="0"/>
          <w:kern w:val="0"/>
          <w:sz w:val="28"/>
          <w:szCs w:val="28"/>
        </w:rPr>
        <w:t>资产盘清</w:t>
      </w:r>
      <w:bookmarkEnd w:id="724"/>
    </w:p>
    <w:p>
      <w:pPr>
        <w:numPr>
          <w:ilvl w:val="0"/>
          <w:numId w:val="29"/>
        </w:numPr>
        <w:adjustRightInd w:val="0"/>
        <w:snapToGrid w:val="0"/>
        <w:spacing w:line="560" w:lineRule="exact"/>
        <w:ind w:left="638" w:leftChars="304" w:firstLine="0"/>
        <w:outlineLvl w:val="4"/>
        <w:rPr>
          <w:rFonts w:ascii="仿宋" w:hAnsi="仿宋" w:eastAsia="仿宋" w:cs="仿宋"/>
          <w:snapToGrid w:val="0"/>
          <w:kern w:val="0"/>
          <w:sz w:val="28"/>
          <w:szCs w:val="28"/>
        </w:rPr>
      </w:pPr>
      <w:r>
        <w:rPr>
          <w:rFonts w:ascii="仿宋" w:hAnsi="仿宋" w:eastAsia="仿宋" w:cs="仿宋"/>
          <w:snapToGrid w:val="0"/>
          <w:kern w:val="0"/>
          <w:sz w:val="28"/>
          <w:szCs w:val="28"/>
        </w:rPr>
        <w:t>分类标准梳理：</w:t>
      </w:r>
    </w:p>
    <w:p>
      <w:pPr>
        <w:adjustRightInd w:val="0"/>
        <w:snapToGrid w:val="0"/>
        <w:spacing w:line="560" w:lineRule="exact"/>
        <w:ind w:left="636" w:leftChars="303" w:firstLine="621" w:firstLineChars="222"/>
        <w:rPr>
          <w:rFonts w:ascii="仿宋" w:hAnsi="仿宋" w:eastAsia="仿宋" w:cs="仿宋"/>
          <w:snapToGrid w:val="0"/>
          <w:kern w:val="0"/>
          <w:sz w:val="28"/>
          <w:szCs w:val="28"/>
        </w:rPr>
      </w:pPr>
      <w:r>
        <w:rPr>
          <w:rFonts w:ascii="仿宋" w:hAnsi="仿宋" w:eastAsia="仿宋" w:cs="仿宋"/>
          <w:snapToGrid w:val="0"/>
          <w:kern w:val="0"/>
          <w:sz w:val="28"/>
          <w:szCs w:val="28"/>
        </w:rPr>
        <w:t>首先基于国资委资产监管指标，划分资产分级分类标准，加强资产管理精细度。</w:t>
      </w:r>
    </w:p>
    <w:p>
      <w:pPr>
        <w:numPr>
          <w:ilvl w:val="0"/>
          <w:numId w:val="29"/>
        </w:numPr>
        <w:adjustRightInd w:val="0"/>
        <w:snapToGrid w:val="0"/>
        <w:spacing w:line="560" w:lineRule="exact"/>
        <w:ind w:left="638" w:leftChars="304" w:firstLine="0"/>
        <w:outlineLvl w:val="4"/>
        <w:rPr>
          <w:rFonts w:ascii="仿宋" w:hAnsi="仿宋" w:eastAsia="仿宋" w:cs="仿宋"/>
          <w:snapToGrid w:val="0"/>
          <w:kern w:val="0"/>
          <w:sz w:val="28"/>
          <w:szCs w:val="28"/>
        </w:rPr>
      </w:pPr>
      <w:r>
        <w:rPr>
          <w:rFonts w:ascii="仿宋" w:hAnsi="仿宋" w:eastAsia="仿宋" w:cs="仿宋"/>
          <w:snapToGrid w:val="0"/>
          <w:kern w:val="0"/>
          <w:sz w:val="28"/>
          <w:szCs w:val="28"/>
        </w:rPr>
        <w:t>分类盘点信息梳理：</w:t>
      </w:r>
    </w:p>
    <w:p>
      <w:pPr>
        <w:adjustRightInd w:val="0"/>
        <w:snapToGrid w:val="0"/>
        <w:spacing w:line="560" w:lineRule="exact"/>
        <w:ind w:left="636" w:leftChars="303" w:firstLine="621" w:firstLineChars="222"/>
        <w:rPr>
          <w:rFonts w:ascii="仿宋" w:hAnsi="仿宋" w:eastAsia="仿宋" w:cs="仿宋"/>
          <w:snapToGrid w:val="0"/>
          <w:kern w:val="0"/>
          <w:sz w:val="28"/>
          <w:szCs w:val="28"/>
        </w:rPr>
      </w:pPr>
      <w:r>
        <w:rPr>
          <w:rFonts w:ascii="仿宋" w:hAnsi="仿宋" w:eastAsia="仿宋" w:cs="仿宋"/>
          <w:snapToGrid w:val="0"/>
          <w:kern w:val="0"/>
          <w:sz w:val="28"/>
          <w:szCs w:val="28"/>
        </w:rPr>
        <w:t>其次，在明确资产分类的基础上，需建立对应的资产分类盘点建档维度指标。</w:t>
      </w:r>
    </w:p>
    <w:p>
      <w:pPr>
        <w:numPr>
          <w:ilvl w:val="0"/>
          <w:numId w:val="29"/>
        </w:numPr>
        <w:adjustRightInd w:val="0"/>
        <w:snapToGrid w:val="0"/>
        <w:spacing w:line="560" w:lineRule="exact"/>
        <w:ind w:left="638" w:leftChars="304" w:firstLine="0"/>
        <w:outlineLvl w:val="4"/>
        <w:rPr>
          <w:rFonts w:ascii="仿宋" w:hAnsi="仿宋" w:eastAsia="仿宋" w:cs="仿宋"/>
          <w:snapToGrid w:val="0"/>
          <w:kern w:val="0"/>
          <w:sz w:val="28"/>
          <w:szCs w:val="28"/>
        </w:rPr>
      </w:pPr>
      <w:r>
        <w:rPr>
          <w:rFonts w:ascii="仿宋" w:hAnsi="仿宋" w:eastAsia="仿宋" w:cs="仿宋"/>
          <w:snapToGrid w:val="0"/>
          <w:kern w:val="0"/>
          <w:sz w:val="28"/>
          <w:szCs w:val="28"/>
        </w:rPr>
        <w:t>分类盘点执行：</w:t>
      </w:r>
    </w:p>
    <w:p>
      <w:pPr>
        <w:adjustRightInd w:val="0"/>
        <w:snapToGrid w:val="0"/>
        <w:spacing w:line="560" w:lineRule="exact"/>
        <w:ind w:left="636" w:leftChars="303" w:firstLine="621" w:firstLineChars="222"/>
        <w:rPr>
          <w:rFonts w:ascii="仿宋" w:hAnsi="仿宋" w:eastAsia="仿宋" w:cs="仿宋"/>
          <w:snapToGrid w:val="0"/>
          <w:kern w:val="0"/>
          <w:sz w:val="28"/>
          <w:szCs w:val="28"/>
        </w:rPr>
      </w:pPr>
      <w:r>
        <w:rPr>
          <w:rFonts w:ascii="仿宋" w:hAnsi="仿宋" w:eastAsia="仿宋" w:cs="仿宋"/>
          <w:snapToGrid w:val="0"/>
          <w:kern w:val="0"/>
          <w:sz w:val="28"/>
          <w:szCs w:val="28"/>
        </w:rPr>
        <w:t>在明确资产分类盘点维度指标的基础上，形成集团各类资产的盘点表，按期、按质完成相应的资产盘点工作</w:t>
      </w:r>
    </w:p>
    <w:p>
      <w:pPr>
        <w:numPr>
          <w:ilvl w:val="0"/>
          <w:numId w:val="29"/>
        </w:numPr>
        <w:adjustRightInd w:val="0"/>
        <w:snapToGrid w:val="0"/>
        <w:spacing w:line="560" w:lineRule="exact"/>
        <w:ind w:left="638" w:leftChars="304" w:firstLine="0"/>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资产建案</w:t>
      </w:r>
    </w:p>
    <w:p>
      <w:pPr>
        <w:adjustRightInd w:val="0"/>
        <w:snapToGrid w:val="0"/>
        <w:spacing w:line="560" w:lineRule="exact"/>
        <w:ind w:left="636" w:leftChars="303" w:firstLine="621" w:firstLineChars="222"/>
        <w:rPr>
          <w:rFonts w:ascii="仿宋" w:hAnsi="仿宋" w:eastAsia="仿宋" w:cs="仿宋"/>
          <w:snapToGrid w:val="0"/>
          <w:kern w:val="0"/>
          <w:sz w:val="28"/>
          <w:szCs w:val="28"/>
        </w:rPr>
      </w:pPr>
      <w:r>
        <w:rPr>
          <w:rFonts w:ascii="仿宋" w:hAnsi="仿宋" w:eastAsia="仿宋" w:cs="仿宋"/>
          <w:snapToGrid w:val="0"/>
          <w:kern w:val="0"/>
          <w:sz w:val="28"/>
          <w:szCs w:val="28"/>
        </w:rPr>
        <w:t>基于资产档案汇总信息，每一处资产建立</w:t>
      </w:r>
      <w:r>
        <w:rPr>
          <w:rFonts w:hint="eastAsia" w:ascii="仿宋" w:hAnsi="仿宋" w:eastAsia="仿宋" w:cs="仿宋"/>
          <w:snapToGrid w:val="0"/>
          <w:kern w:val="0"/>
          <w:sz w:val="28"/>
          <w:szCs w:val="28"/>
        </w:rPr>
        <w:t>360°</w:t>
      </w:r>
      <w:r>
        <w:rPr>
          <w:rFonts w:ascii="仿宋" w:hAnsi="仿宋" w:eastAsia="仿宋" w:cs="仿宋"/>
          <w:snapToGrid w:val="0"/>
          <w:kern w:val="0"/>
          <w:sz w:val="28"/>
          <w:szCs w:val="28"/>
        </w:rPr>
        <w:t>档案并分类管理，包含但不限于：接收信息、来源情况、产权信息、办证情况、证件信息、价值信息、资产规划和经营情况、履约合同明细、处置信息、处置面积、处置明细等，支持档案手动维护信息并留痕。</w:t>
      </w:r>
    </w:p>
    <w:p>
      <w:pPr>
        <w:adjustRightInd w:val="0"/>
        <w:snapToGrid w:val="0"/>
        <w:spacing w:line="560" w:lineRule="exact"/>
        <w:ind w:left="636" w:leftChars="303" w:firstLine="621" w:firstLineChars="222"/>
        <w:rPr>
          <w:rFonts w:ascii="仿宋" w:hAnsi="仿宋" w:eastAsia="仿宋" w:cs="仿宋"/>
          <w:snapToGrid w:val="0"/>
          <w:kern w:val="0"/>
          <w:sz w:val="28"/>
          <w:szCs w:val="28"/>
        </w:rPr>
      </w:pPr>
      <w:r>
        <w:rPr>
          <w:rFonts w:ascii="仿宋" w:hAnsi="仿宋" w:eastAsia="仿宋" w:cs="仿宋"/>
          <w:snapToGrid w:val="0"/>
          <w:kern w:val="0"/>
          <w:sz w:val="28"/>
          <w:szCs w:val="28"/>
        </w:rPr>
        <w:t>通过</w:t>
      </w:r>
      <w:r>
        <w:rPr>
          <w:rFonts w:hint="eastAsia" w:ascii="仿宋" w:hAnsi="仿宋" w:eastAsia="仿宋" w:cs="仿宋"/>
          <w:snapToGrid w:val="0"/>
          <w:kern w:val="0"/>
          <w:sz w:val="28"/>
          <w:szCs w:val="28"/>
        </w:rPr>
        <w:t>多</w:t>
      </w:r>
      <w:r>
        <w:rPr>
          <w:rFonts w:ascii="仿宋" w:hAnsi="仿宋" w:eastAsia="仿宋" w:cs="仿宋"/>
          <w:snapToGrid w:val="0"/>
          <w:kern w:val="0"/>
          <w:sz w:val="28"/>
          <w:szCs w:val="28"/>
        </w:rPr>
        <w:t>维度信息构建资产全貌信息情况</w:t>
      </w:r>
      <w:r>
        <w:rPr>
          <w:rFonts w:hint="eastAsia" w:ascii="仿宋" w:hAnsi="仿宋" w:eastAsia="仿宋" w:cs="仿宋"/>
          <w:snapToGrid w:val="0"/>
          <w:kern w:val="0"/>
          <w:sz w:val="28"/>
          <w:szCs w:val="28"/>
        </w:rPr>
        <w:t>，支持根据需要自定义增加新的资产信息纬度和指标用于完善资产信息；支持</w:t>
      </w:r>
      <w:r>
        <w:rPr>
          <w:rFonts w:ascii="仿宋" w:hAnsi="仿宋" w:eastAsia="仿宋" w:cs="仿宋"/>
          <w:snapToGrid w:val="0"/>
          <w:kern w:val="0"/>
          <w:sz w:val="28"/>
          <w:szCs w:val="28"/>
        </w:rPr>
        <w:t>资产经营穿透掌握资产运营状况</w:t>
      </w:r>
      <w:r>
        <w:rPr>
          <w:rFonts w:hint="eastAsia" w:ascii="仿宋" w:hAnsi="仿宋" w:eastAsia="仿宋" w:cs="仿宋"/>
          <w:snapToGrid w:val="0"/>
          <w:kern w:val="0"/>
          <w:sz w:val="28"/>
          <w:szCs w:val="28"/>
        </w:rPr>
        <w:t>；支持</w:t>
      </w:r>
      <w:r>
        <w:rPr>
          <w:rFonts w:ascii="仿宋" w:hAnsi="仿宋" w:eastAsia="仿宋" w:cs="仿宋"/>
          <w:snapToGrid w:val="0"/>
          <w:kern w:val="0"/>
          <w:sz w:val="28"/>
          <w:szCs w:val="28"/>
        </w:rPr>
        <w:t>新增视图建立常用台账，快速获取数据；</w:t>
      </w:r>
      <w:r>
        <w:rPr>
          <w:rFonts w:hint="eastAsia" w:ascii="仿宋" w:hAnsi="仿宋" w:eastAsia="仿宋" w:cs="仿宋"/>
          <w:snapToGrid w:val="0"/>
          <w:kern w:val="0"/>
          <w:sz w:val="28"/>
          <w:szCs w:val="28"/>
        </w:rPr>
        <w:t>支持</w:t>
      </w:r>
      <w:r>
        <w:rPr>
          <w:rFonts w:ascii="仿宋" w:hAnsi="仿宋" w:eastAsia="仿宋" w:cs="仿宋"/>
          <w:snapToGrid w:val="0"/>
          <w:kern w:val="0"/>
          <w:sz w:val="28"/>
          <w:szCs w:val="28"/>
        </w:rPr>
        <w:t>自助分析</w:t>
      </w:r>
      <w:r>
        <w:rPr>
          <w:rFonts w:hint="eastAsia" w:ascii="仿宋" w:hAnsi="仿宋" w:eastAsia="仿宋" w:cs="仿宋"/>
          <w:snapToGrid w:val="0"/>
          <w:kern w:val="0"/>
          <w:sz w:val="28"/>
          <w:szCs w:val="28"/>
        </w:rPr>
        <w:t>，快速</w:t>
      </w:r>
      <w:r>
        <w:rPr>
          <w:rFonts w:ascii="仿宋" w:hAnsi="仿宋" w:eastAsia="仿宋" w:cs="仿宋"/>
          <w:snapToGrid w:val="0"/>
          <w:kern w:val="0"/>
          <w:sz w:val="28"/>
          <w:szCs w:val="28"/>
        </w:rPr>
        <w:t>获取不同维度指标的数据进行分析。</w:t>
      </w:r>
    </w:p>
    <w:p>
      <w:pPr>
        <w:numPr>
          <w:ilvl w:val="0"/>
          <w:numId w:val="28"/>
        </w:numPr>
        <w:adjustRightInd w:val="0"/>
        <w:snapToGrid w:val="0"/>
        <w:spacing w:line="560" w:lineRule="exact"/>
        <w:ind w:left="0" w:firstLine="641" w:firstLineChars="228"/>
        <w:outlineLvl w:val="3"/>
        <w:rPr>
          <w:rFonts w:ascii="仿宋" w:hAnsi="仿宋" w:eastAsia="仿宋" w:cs="仿宋"/>
          <w:b/>
          <w:bCs/>
          <w:snapToGrid w:val="0"/>
          <w:kern w:val="0"/>
          <w:sz w:val="28"/>
          <w:szCs w:val="28"/>
        </w:rPr>
      </w:pPr>
      <w:bookmarkStart w:id="725" w:name="_Toc26367"/>
      <w:r>
        <w:rPr>
          <w:rFonts w:hint="eastAsia" w:ascii="仿宋" w:hAnsi="仿宋" w:eastAsia="仿宋" w:cs="仿宋"/>
          <w:b/>
          <w:bCs/>
          <w:snapToGrid w:val="0"/>
          <w:kern w:val="0"/>
          <w:sz w:val="28"/>
          <w:szCs w:val="28"/>
        </w:rPr>
        <w:t>统计分析</w:t>
      </w:r>
      <w:bookmarkEnd w:id="725"/>
    </w:p>
    <w:p>
      <w:pPr>
        <w:ind w:firstLine="638" w:firstLineChars="228"/>
        <w:rPr>
          <w:rFonts w:ascii="仿宋" w:hAnsi="仿宋" w:eastAsia="仿宋" w:cs="仿宋"/>
          <w:sz w:val="28"/>
          <w:szCs w:val="28"/>
        </w:rPr>
      </w:pPr>
      <w:r>
        <w:rPr>
          <w:rFonts w:hint="eastAsia" w:ascii="仿宋" w:hAnsi="仿宋" w:eastAsia="仿宋" w:cs="仿宋"/>
          <w:sz w:val="28"/>
          <w:szCs w:val="28"/>
        </w:rPr>
        <w:t>建立在线资产台账，可满足土地、房屋、构筑物、无形资产、固定资产等资产的信息登记，基于不同管理视角的新增视图，构建企业常用资产台账类型，快速获取数据。</w:t>
      </w:r>
    </w:p>
    <w:p>
      <w:pPr>
        <w:ind w:firstLine="638" w:firstLineChars="228"/>
        <w:rPr>
          <w:rFonts w:ascii="仿宋" w:hAnsi="仿宋" w:eastAsia="仿宋" w:cs="仿宋"/>
          <w:sz w:val="28"/>
          <w:szCs w:val="28"/>
        </w:rPr>
      </w:pPr>
      <w:r>
        <w:rPr>
          <w:rFonts w:ascii="仿宋" w:hAnsi="仿宋" w:eastAsia="仿宋" w:cs="仿宋"/>
          <w:sz w:val="28"/>
          <w:szCs w:val="28"/>
        </w:rPr>
        <w:t>资产台账数据统计，展示当前列表展示资产的关键统计信息，包括资产总数、资产面积（统计数量）、账面原值、资产价值。穿透查看资产信息。</w:t>
      </w:r>
    </w:p>
    <w:p>
      <w:pPr>
        <w:numPr>
          <w:ilvl w:val="0"/>
          <w:numId w:val="28"/>
        </w:numPr>
        <w:adjustRightInd w:val="0"/>
        <w:snapToGrid w:val="0"/>
        <w:spacing w:line="560" w:lineRule="exact"/>
        <w:ind w:left="0" w:firstLine="641" w:firstLineChars="228"/>
        <w:outlineLvl w:val="3"/>
        <w:rPr>
          <w:rFonts w:ascii="仿宋" w:hAnsi="仿宋" w:eastAsia="仿宋" w:cs="仿宋"/>
          <w:b/>
          <w:bCs/>
          <w:snapToGrid w:val="0"/>
          <w:kern w:val="0"/>
          <w:sz w:val="28"/>
          <w:szCs w:val="28"/>
        </w:rPr>
      </w:pPr>
      <w:bookmarkStart w:id="726" w:name="_Toc24349"/>
      <w:r>
        <w:rPr>
          <w:rFonts w:hint="eastAsia" w:ascii="仿宋" w:hAnsi="仿宋" w:eastAsia="仿宋" w:cs="仿宋"/>
          <w:b/>
          <w:bCs/>
          <w:snapToGrid w:val="0"/>
          <w:kern w:val="0"/>
          <w:sz w:val="28"/>
          <w:szCs w:val="28"/>
        </w:rPr>
        <w:t>分类授权</w:t>
      </w:r>
      <w:bookmarkEnd w:id="726"/>
    </w:p>
    <w:p>
      <w:pPr>
        <w:ind w:firstLine="638" w:firstLineChars="228"/>
        <w:rPr>
          <w:rFonts w:ascii="仿宋" w:hAnsi="仿宋" w:eastAsia="仿宋" w:cs="仿宋"/>
          <w:sz w:val="28"/>
          <w:szCs w:val="28"/>
        </w:rPr>
      </w:pPr>
      <w:r>
        <w:rPr>
          <w:rFonts w:ascii="仿宋" w:hAnsi="仿宋" w:eastAsia="仿宋" w:cs="仿宋"/>
          <w:sz w:val="28"/>
          <w:szCs w:val="28"/>
        </w:rPr>
        <w:t>为便于集团与下级单位管理者快速了解当前资产的整体分类授权情况，查看不同授权方式分布占比，及时发现闲置与到期情况，提供分类授权全景多视角分别查看集团、公司和项目的情况。</w:t>
      </w:r>
    </w:p>
    <w:p>
      <w:pPr>
        <w:ind w:firstLine="638" w:firstLineChars="228"/>
        <w:rPr>
          <w:rFonts w:ascii="仿宋" w:hAnsi="仿宋" w:eastAsia="仿宋" w:cs="仿宋"/>
          <w:sz w:val="28"/>
          <w:szCs w:val="28"/>
        </w:rPr>
      </w:pPr>
      <w:r>
        <w:rPr>
          <w:rFonts w:ascii="仿宋" w:hAnsi="仿宋" w:eastAsia="仿宋" w:cs="仿宋"/>
          <w:sz w:val="28"/>
          <w:szCs w:val="28"/>
        </w:rPr>
        <w:t>支持闲置资产和到期资产规划台账查看。可以穿透至项目</w:t>
      </w:r>
      <w:r>
        <w:rPr>
          <w:rFonts w:hint="eastAsia" w:ascii="仿宋" w:hAnsi="仿宋" w:eastAsia="仿宋" w:cs="仿宋"/>
          <w:sz w:val="28"/>
          <w:szCs w:val="28"/>
        </w:rPr>
        <w:t>/</w:t>
      </w:r>
      <w:r>
        <w:rPr>
          <w:rFonts w:ascii="仿宋" w:hAnsi="仿宋" w:eastAsia="仿宋" w:cs="仿宋"/>
          <w:sz w:val="28"/>
          <w:szCs w:val="28"/>
        </w:rPr>
        <w:t>具体资产详情。</w:t>
      </w:r>
    </w:p>
    <w:p>
      <w:pPr>
        <w:ind w:firstLine="638" w:firstLineChars="228"/>
        <w:rPr>
          <w:rFonts w:ascii="仿宋" w:hAnsi="仿宋" w:eastAsia="仿宋" w:cs="仿宋"/>
          <w:sz w:val="28"/>
          <w:szCs w:val="28"/>
        </w:rPr>
      </w:pPr>
      <w:r>
        <w:rPr>
          <w:rFonts w:hint="eastAsia" w:ascii="仿宋" w:hAnsi="仿宋" w:eastAsia="仿宋" w:cs="仿宋"/>
          <w:sz w:val="28"/>
          <w:szCs w:val="28"/>
        </w:rPr>
        <w:t>支持多类资产规划、分类管理，如出租、销售、自用、借用、占用、转让、闲置等。</w:t>
      </w:r>
    </w:p>
    <w:p>
      <w:pPr>
        <w:ind w:firstLine="638" w:firstLineChars="228"/>
        <w:rPr>
          <w:rFonts w:ascii="仿宋" w:hAnsi="仿宋" w:eastAsia="仿宋" w:cs="仿宋"/>
          <w:sz w:val="28"/>
          <w:szCs w:val="28"/>
        </w:rPr>
      </w:pPr>
      <w:r>
        <w:rPr>
          <w:rFonts w:hint="eastAsia" w:ascii="仿宋" w:hAnsi="仿宋" w:eastAsia="仿宋" w:cs="仿宋"/>
          <w:sz w:val="28"/>
          <w:szCs w:val="28"/>
        </w:rPr>
        <w:t>授权过程在线记录，在线留痕</w:t>
      </w:r>
    </w:p>
    <w:p>
      <w:pPr>
        <w:numPr>
          <w:ilvl w:val="0"/>
          <w:numId w:val="28"/>
        </w:numPr>
        <w:adjustRightInd w:val="0"/>
        <w:snapToGrid w:val="0"/>
        <w:spacing w:line="560" w:lineRule="exact"/>
        <w:ind w:left="0" w:firstLine="641" w:firstLineChars="228"/>
        <w:outlineLvl w:val="3"/>
        <w:rPr>
          <w:rFonts w:ascii="仿宋" w:hAnsi="仿宋" w:eastAsia="仿宋" w:cs="仿宋"/>
          <w:b/>
          <w:bCs/>
          <w:snapToGrid w:val="0"/>
          <w:kern w:val="0"/>
          <w:sz w:val="28"/>
          <w:szCs w:val="28"/>
        </w:rPr>
      </w:pPr>
      <w:bookmarkStart w:id="727" w:name="_Toc18882"/>
      <w:r>
        <w:rPr>
          <w:rFonts w:hint="eastAsia" w:ascii="仿宋" w:hAnsi="仿宋" w:eastAsia="仿宋" w:cs="仿宋"/>
          <w:b/>
          <w:bCs/>
          <w:snapToGrid w:val="0"/>
          <w:kern w:val="0"/>
          <w:sz w:val="28"/>
          <w:szCs w:val="28"/>
        </w:rPr>
        <w:t>资产二维码</w:t>
      </w:r>
      <w:bookmarkEnd w:id="727"/>
    </w:p>
    <w:p>
      <w:pPr>
        <w:ind w:firstLine="560" w:firstLineChars="200"/>
        <w:rPr>
          <w:rFonts w:ascii="仿宋" w:hAnsi="仿宋" w:eastAsia="仿宋" w:cs="仿宋"/>
          <w:sz w:val="28"/>
          <w:szCs w:val="28"/>
        </w:rPr>
      </w:pPr>
      <w:r>
        <w:rPr>
          <w:rFonts w:hint="eastAsia" w:ascii="仿宋" w:hAnsi="仿宋" w:eastAsia="仿宋" w:cs="仿宋"/>
          <w:sz w:val="28"/>
          <w:szCs w:val="28"/>
        </w:rPr>
        <w:t>为每一处资产建立“资产二维码”身份证，现场扫码即刻了解资产详情。</w:t>
      </w:r>
    </w:p>
    <w:p>
      <w:pPr>
        <w:numPr>
          <w:ilvl w:val="0"/>
          <w:numId w:val="28"/>
        </w:numPr>
        <w:adjustRightInd w:val="0"/>
        <w:snapToGrid w:val="0"/>
        <w:spacing w:line="560" w:lineRule="exact"/>
        <w:ind w:left="0" w:firstLine="641" w:firstLineChars="228"/>
        <w:outlineLvl w:val="3"/>
        <w:rPr>
          <w:rFonts w:ascii="仿宋" w:hAnsi="仿宋" w:eastAsia="仿宋" w:cs="仿宋"/>
          <w:b/>
          <w:bCs/>
          <w:snapToGrid w:val="0"/>
          <w:kern w:val="0"/>
          <w:sz w:val="28"/>
          <w:szCs w:val="28"/>
        </w:rPr>
      </w:pPr>
      <w:bookmarkStart w:id="728" w:name="_Toc27017"/>
      <w:r>
        <w:rPr>
          <w:rFonts w:hint="eastAsia" w:ascii="仿宋" w:hAnsi="仿宋" w:eastAsia="仿宋" w:cs="仿宋"/>
          <w:b/>
          <w:bCs/>
          <w:snapToGrid w:val="0"/>
          <w:kern w:val="0"/>
          <w:sz w:val="28"/>
          <w:szCs w:val="28"/>
        </w:rPr>
        <w:t>资产全过程管理</w:t>
      </w:r>
      <w:bookmarkEnd w:id="728"/>
    </w:p>
    <w:p>
      <w:pPr>
        <w:numPr>
          <w:ilvl w:val="0"/>
          <w:numId w:val="30"/>
        </w:numPr>
        <w:adjustRightInd w:val="0"/>
        <w:snapToGrid w:val="0"/>
        <w:spacing w:line="560" w:lineRule="exact"/>
        <w:ind w:left="638" w:leftChars="304" w:firstLine="0"/>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资产接收登记</w:t>
      </w:r>
    </w:p>
    <w:p>
      <w:pPr>
        <w:ind w:firstLine="560" w:firstLineChars="200"/>
        <w:rPr>
          <w:rFonts w:ascii="仿宋" w:hAnsi="仿宋" w:eastAsia="仿宋" w:cs="仿宋"/>
          <w:sz w:val="28"/>
          <w:szCs w:val="28"/>
        </w:rPr>
      </w:pPr>
      <w:r>
        <w:rPr>
          <w:rFonts w:hint="eastAsia" w:ascii="仿宋" w:hAnsi="仿宋" w:eastAsia="仿宋" w:cs="仿宋"/>
          <w:sz w:val="28"/>
          <w:szCs w:val="28"/>
        </w:rPr>
        <w:t>支持业务部门单个或批量登记资产信息形成完善的资产档案，建立接收申请单；资管管理人员对该档案进行审核；审批通过后，资产正式纳入资产台账。</w:t>
      </w:r>
    </w:p>
    <w:p>
      <w:pPr>
        <w:ind w:firstLine="560" w:firstLineChars="200"/>
        <w:rPr>
          <w:rFonts w:ascii="仿宋" w:hAnsi="仿宋" w:eastAsia="仿宋" w:cs="仿宋"/>
          <w:sz w:val="28"/>
          <w:szCs w:val="28"/>
        </w:rPr>
      </w:pPr>
      <w:r>
        <w:rPr>
          <w:rFonts w:ascii="仿宋" w:hAnsi="仿宋" w:eastAsia="仿宋" w:cs="仿宋"/>
          <w:sz w:val="28"/>
          <w:szCs w:val="28"/>
        </w:rPr>
        <w:t>资产登记支持模板文件导入，若资产导入失败，提示相应的错误内容。</w:t>
      </w:r>
    </w:p>
    <w:p>
      <w:pPr>
        <w:numPr>
          <w:ilvl w:val="0"/>
          <w:numId w:val="30"/>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资产变更</w:t>
      </w:r>
    </w:p>
    <w:p>
      <w:pPr>
        <w:ind w:firstLine="560" w:firstLineChars="200"/>
        <w:rPr>
          <w:rFonts w:ascii="仿宋" w:hAnsi="仿宋" w:eastAsia="仿宋" w:cs="仿宋"/>
          <w:sz w:val="28"/>
          <w:szCs w:val="28"/>
        </w:rPr>
      </w:pPr>
      <w:r>
        <w:rPr>
          <w:rFonts w:ascii="仿宋" w:hAnsi="仿宋" w:eastAsia="仿宋" w:cs="仿宋"/>
          <w:sz w:val="28"/>
          <w:szCs w:val="28"/>
        </w:rPr>
        <w:t>提供对资产产权变更、面积调整、拆分合并、划拨收回等的关键场景支撑，保证资产档案数据的统一性。</w:t>
      </w:r>
    </w:p>
    <w:p>
      <w:pPr>
        <w:ind w:firstLine="560" w:firstLineChars="200"/>
        <w:rPr>
          <w:rFonts w:ascii="仿宋" w:hAnsi="仿宋" w:eastAsia="仿宋" w:cs="仿宋"/>
          <w:sz w:val="28"/>
          <w:szCs w:val="28"/>
        </w:rPr>
      </w:pPr>
      <w:r>
        <w:rPr>
          <w:rFonts w:ascii="仿宋" w:hAnsi="仿宋" w:eastAsia="仿宋" w:cs="仿宋"/>
          <w:sz w:val="28"/>
          <w:szCs w:val="28"/>
        </w:rPr>
        <w:t>支持单个资产变更、批量变更，支持变更流程审批和附件上传。</w:t>
      </w:r>
    </w:p>
    <w:p>
      <w:pPr>
        <w:numPr>
          <w:ilvl w:val="0"/>
          <w:numId w:val="30"/>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资产处置备案（资产退出）</w:t>
      </w:r>
    </w:p>
    <w:p>
      <w:pPr>
        <w:widowControl/>
        <w:ind w:firstLine="562"/>
        <w:rPr>
          <w:rFonts w:ascii="仿宋" w:hAnsi="仿宋" w:eastAsia="仿宋" w:cs="仿宋"/>
          <w:sz w:val="28"/>
          <w:szCs w:val="28"/>
        </w:rPr>
      </w:pPr>
      <w:r>
        <w:rPr>
          <w:rFonts w:ascii="仿宋" w:hAnsi="仿宋" w:eastAsia="仿宋" w:cs="仿宋"/>
          <w:sz w:val="28"/>
          <w:szCs w:val="28"/>
        </w:rPr>
        <w:t>可针对资产处置、销售、置换、转让等不同退出方式的资产进行统一出库管控。清晰记录资产处置方案、处置评估、处置合同、处置结案报告等信息，确保资产退出流程规范，记录留痕可查。</w:t>
      </w:r>
    </w:p>
    <w:p>
      <w:pPr>
        <w:numPr>
          <w:ilvl w:val="0"/>
          <w:numId w:val="30"/>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资产盘点</w:t>
      </w:r>
    </w:p>
    <w:p>
      <w:pPr>
        <w:widowControl/>
        <w:ind w:firstLine="562"/>
        <w:rPr>
          <w:rFonts w:ascii="仿宋" w:hAnsi="仿宋" w:eastAsia="仿宋" w:cs="仿宋"/>
          <w:sz w:val="28"/>
          <w:szCs w:val="28"/>
        </w:rPr>
      </w:pPr>
      <w:r>
        <w:rPr>
          <w:rFonts w:ascii="仿宋" w:hAnsi="仿宋" w:eastAsia="仿宋" w:cs="仿宋"/>
          <w:sz w:val="28"/>
          <w:szCs w:val="28"/>
        </w:rPr>
        <w:t>定期对资产管理及经营情况进行盘点、核查，包括资产实物基本信息、经营状况、手续及产权情况等。明确盘点内容和标准，制定盘点工作机制，盘点结果联动资产维护，及时更新资产信息。</w:t>
      </w:r>
    </w:p>
    <w:p>
      <w:pPr>
        <w:widowControl/>
        <w:ind w:firstLine="562"/>
        <w:rPr>
          <w:rFonts w:ascii="Calibri" w:hAnsi="Calibri"/>
          <w:kern w:val="0"/>
        </w:rPr>
      </w:pPr>
      <w:r>
        <w:rPr>
          <w:rFonts w:ascii="仿宋" w:hAnsi="仿宋" w:eastAsia="仿宋" w:cs="仿宋"/>
          <w:sz w:val="28"/>
          <w:szCs w:val="28"/>
        </w:rPr>
        <w:t>支持盘点计划、盘点执行、盘点整改、盘点报告全过程管理。</w:t>
      </w:r>
    </w:p>
    <w:p>
      <w:pPr>
        <w:numPr>
          <w:ilvl w:val="0"/>
          <w:numId w:val="30"/>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资产巡检</w:t>
      </w:r>
    </w:p>
    <w:p>
      <w:pPr>
        <w:widowControl/>
        <w:ind w:firstLine="562"/>
        <w:rPr>
          <w:rFonts w:ascii="仿宋" w:hAnsi="仿宋" w:eastAsia="仿宋" w:cs="仿宋"/>
          <w:sz w:val="28"/>
          <w:szCs w:val="28"/>
        </w:rPr>
      </w:pPr>
      <w:r>
        <w:rPr>
          <w:rFonts w:ascii="仿宋" w:hAnsi="仿宋" w:eastAsia="仿宋" w:cs="仿宋"/>
          <w:sz w:val="28"/>
          <w:szCs w:val="28"/>
        </w:rPr>
        <w:t>支持定期或临时对管理的资产进行对应的巡检，落实安全隐患可识别、有整改、能验收闭环</w:t>
      </w:r>
      <w:r>
        <w:rPr>
          <w:rFonts w:hint="eastAsia" w:ascii="仿宋" w:hAnsi="仿宋" w:eastAsia="仿宋" w:cs="仿宋"/>
          <w:sz w:val="28"/>
          <w:szCs w:val="28"/>
        </w:rPr>
        <w:t>。</w:t>
      </w:r>
    </w:p>
    <w:p>
      <w:pPr>
        <w:widowControl/>
        <w:ind w:firstLine="562"/>
        <w:rPr>
          <w:rFonts w:ascii="仿宋" w:hAnsi="仿宋" w:eastAsia="仿宋" w:cs="仿宋"/>
          <w:sz w:val="28"/>
          <w:szCs w:val="28"/>
        </w:rPr>
      </w:pPr>
      <w:r>
        <w:rPr>
          <w:rFonts w:ascii="仿宋" w:hAnsi="仿宋" w:eastAsia="仿宋" w:cs="仿宋"/>
          <w:sz w:val="28"/>
          <w:szCs w:val="28"/>
        </w:rPr>
        <w:t>可自定义巡检范围、巡检内容、巡检频次，巡检范围指什么业态类型的资产、什么经营模式的资产需要巡检</w:t>
      </w:r>
      <w:r>
        <w:rPr>
          <w:rFonts w:hint="eastAsia" w:ascii="仿宋" w:hAnsi="仿宋" w:eastAsia="仿宋" w:cs="仿宋"/>
          <w:sz w:val="28"/>
          <w:szCs w:val="28"/>
        </w:rPr>
        <w:t>。</w:t>
      </w:r>
    </w:p>
    <w:p>
      <w:pPr>
        <w:widowControl/>
        <w:ind w:firstLine="562"/>
        <w:rPr>
          <w:rFonts w:ascii="仿宋" w:hAnsi="仿宋" w:eastAsia="仿宋" w:cs="仿宋"/>
          <w:sz w:val="28"/>
          <w:szCs w:val="28"/>
        </w:rPr>
      </w:pPr>
      <w:r>
        <w:rPr>
          <w:rFonts w:ascii="仿宋" w:hAnsi="仿宋" w:eastAsia="仿宋" w:cs="仿宋"/>
          <w:sz w:val="28"/>
          <w:szCs w:val="28"/>
        </w:rPr>
        <w:t>巡检内容支持现场作业安全、消防安全、综治安全、经营行为等；</w:t>
      </w:r>
    </w:p>
    <w:p>
      <w:pPr>
        <w:widowControl/>
        <w:ind w:firstLine="562"/>
        <w:rPr>
          <w:rFonts w:ascii="仿宋" w:hAnsi="仿宋" w:eastAsia="仿宋" w:cs="仿宋"/>
          <w:sz w:val="28"/>
          <w:szCs w:val="28"/>
        </w:rPr>
      </w:pPr>
      <w:r>
        <w:rPr>
          <w:rFonts w:ascii="仿宋" w:hAnsi="仿宋" w:eastAsia="仿宋" w:cs="仿宋"/>
          <w:sz w:val="28"/>
          <w:szCs w:val="28"/>
        </w:rPr>
        <w:t>巡检频次支持周期性的、随机性抽检等</w:t>
      </w:r>
      <w:r>
        <w:rPr>
          <w:rFonts w:hint="eastAsia" w:ascii="仿宋" w:hAnsi="仿宋" w:eastAsia="仿宋" w:cs="仿宋"/>
          <w:sz w:val="28"/>
          <w:szCs w:val="28"/>
        </w:rPr>
        <w:t>。</w:t>
      </w:r>
    </w:p>
    <w:p>
      <w:pPr>
        <w:widowControl/>
        <w:ind w:firstLine="562"/>
        <w:rPr>
          <w:rFonts w:ascii="仿宋" w:hAnsi="仿宋" w:eastAsia="仿宋" w:cs="仿宋"/>
          <w:sz w:val="28"/>
          <w:szCs w:val="28"/>
        </w:rPr>
      </w:pPr>
      <w:r>
        <w:rPr>
          <w:rFonts w:hint="eastAsia" w:ascii="仿宋" w:hAnsi="仿宋" w:eastAsia="仿宋" w:cs="仿宋"/>
          <w:sz w:val="28"/>
          <w:szCs w:val="28"/>
        </w:rPr>
        <w:t>支持创建巡检计划、执行巡检任务、巡检整改验收、输出分析报告，全过程管理。</w:t>
      </w: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729" w:name="_Toc30821"/>
      <w:bookmarkStart w:id="730" w:name="_Toc442"/>
      <w:bookmarkStart w:id="731" w:name="_Toc180507132"/>
      <w:bookmarkStart w:id="732" w:name="_Toc17281"/>
      <w:bookmarkStart w:id="733" w:name="_Toc8453"/>
      <w:r>
        <w:rPr>
          <w:rFonts w:hint="eastAsia" w:ascii="方正楷体_GB2312" w:hAnsi="方正楷体_GB2312" w:eastAsia="方正楷体_GB2312" w:cs="方正楷体_GB2312"/>
          <w:b/>
          <w:sz w:val="32"/>
        </w:rPr>
        <w:t>资产经营管理功能</w:t>
      </w:r>
      <w:bookmarkEnd w:id="729"/>
      <w:bookmarkEnd w:id="730"/>
      <w:bookmarkEnd w:id="731"/>
      <w:bookmarkEnd w:id="732"/>
      <w:bookmarkEnd w:id="733"/>
    </w:p>
    <w:p>
      <w:pPr>
        <w:ind w:firstLine="560" w:firstLineChars="200"/>
        <w:rPr>
          <w:rFonts w:ascii="仿宋" w:hAnsi="仿宋" w:eastAsia="仿宋" w:cs="仿宋"/>
          <w:sz w:val="28"/>
          <w:szCs w:val="28"/>
        </w:rPr>
      </w:pPr>
      <w:r>
        <w:rPr>
          <w:rFonts w:hint="eastAsia" w:ascii="仿宋" w:hAnsi="仿宋" w:eastAsia="仿宋" w:cs="仿宋"/>
          <w:sz w:val="28"/>
          <w:szCs w:val="28"/>
        </w:rPr>
        <w:t>包括租赁管理、自用管理、转让管理、房地产销售管理、资产占用错用管理。</w:t>
      </w:r>
    </w:p>
    <w:p>
      <w:pPr>
        <w:numPr>
          <w:ilvl w:val="0"/>
          <w:numId w:val="31"/>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34" w:name="_Toc21578"/>
      <w:r>
        <w:rPr>
          <w:rFonts w:hint="eastAsia" w:ascii="仿宋" w:hAnsi="仿宋" w:eastAsia="仿宋" w:cs="仿宋"/>
          <w:b/>
          <w:bCs/>
          <w:snapToGrid w:val="0"/>
          <w:kern w:val="0"/>
          <w:sz w:val="28"/>
          <w:szCs w:val="28"/>
        </w:rPr>
        <w:t>租赁管理功能</w:t>
      </w:r>
      <w:bookmarkEnd w:id="734"/>
    </w:p>
    <w:p>
      <w:pPr>
        <w:ind w:firstLine="638" w:firstLineChars="228"/>
        <w:rPr>
          <w:rFonts w:ascii="仿宋" w:hAnsi="仿宋" w:eastAsia="仿宋" w:cs="仿宋"/>
          <w:sz w:val="28"/>
          <w:szCs w:val="28"/>
        </w:rPr>
      </w:pPr>
      <w:r>
        <w:rPr>
          <w:rFonts w:hint="eastAsia" w:ascii="仿宋" w:hAnsi="仿宋" w:eastAsia="仿宋" w:cs="仿宋"/>
          <w:sz w:val="28"/>
          <w:szCs w:val="28"/>
        </w:rPr>
        <w:t>面向“降低房源空置、规范租约管控、提升收缴效率”三个目标，分别在“租控、招商、合同、履约、收缴、业财协同”6个核心场景，及对客门户小程序场景做功能设计。</w:t>
      </w:r>
    </w:p>
    <w:p>
      <w:pPr>
        <w:numPr>
          <w:ilvl w:val="0"/>
          <w:numId w:val="32"/>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租控管理</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租赁资源管理：</w:t>
      </w:r>
    </w:p>
    <w:p>
      <w:pPr>
        <w:ind w:firstLine="560" w:firstLineChars="200"/>
        <w:rPr>
          <w:rFonts w:ascii="仿宋" w:hAnsi="仿宋" w:eastAsia="仿宋" w:cs="仿宋"/>
          <w:sz w:val="28"/>
          <w:szCs w:val="28"/>
        </w:rPr>
      </w:pPr>
      <w:r>
        <w:rPr>
          <w:rFonts w:ascii="仿宋" w:hAnsi="仿宋" w:eastAsia="仿宋" w:cs="仿宋"/>
          <w:sz w:val="28"/>
          <w:szCs w:val="28"/>
        </w:rPr>
        <w:t>支持租赁资源直接在线新增，也支持从资产管理系统通过租赁规划进行新增。</w:t>
      </w:r>
    </w:p>
    <w:p>
      <w:pPr>
        <w:ind w:firstLine="560" w:firstLineChars="200"/>
        <w:rPr>
          <w:rFonts w:ascii="仿宋" w:hAnsi="仿宋" w:eastAsia="仿宋" w:cs="仿宋"/>
          <w:sz w:val="28"/>
          <w:szCs w:val="28"/>
        </w:rPr>
      </w:pPr>
      <w:r>
        <w:rPr>
          <w:rFonts w:ascii="仿宋" w:hAnsi="仿宋" w:eastAsia="仿宋" w:cs="仿宋"/>
          <w:sz w:val="28"/>
          <w:szCs w:val="28"/>
        </w:rPr>
        <w:t>支持对租赁资源进行拆分、合并等调整，比如将空置时间长、面积大的资源拆分为面积适中的资源，匹配租户需求，提升出租率；支持系统资源调整流程审批，待审核通过后系统自动将资源拆分或合并资源。</w:t>
      </w:r>
    </w:p>
    <w:p>
      <w:pPr>
        <w:ind w:firstLine="560" w:firstLineChars="200"/>
        <w:rPr>
          <w:rFonts w:ascii="仿宋" w:hAnsi="仿宋" w:eastAsia="仿宋" w:cs="仿宋"/>
          <w:sz w:val="28"/>
          <w:szCs w:val="28"/>
        </w:rPr>
      </w:pPr>
      <w:r>
        <w:rPr>
          <w:rFonts w:ascii="仿宋" w:hAnsi="仿宋" w:eastAsia="仿宋" w:cs="仿宋"/>
          <w:sz w:val="28"/>
          <w:szCs w:val="28"/>
        </w:rPr>
        <w:t>支持对资源批量调整为占用状态，支持对资源占用单进行修改、审核、反审核等操作，准确全面地记录资源占用事实。</w:t>
      </w:r>
    </w:p>
    <w:p>
      <w:pPr>
        <w:ind w:firstLine="560" w:firstLineChars="200"/>
        <w:rPr>
          <w:rFonts w:ascii="仿宋" w:hAnsi="仿宋" w:eastAsia="仿宋" w:cs="仿宋"/>
          <w:sz w:val="28"/>
          <w:szCs w:val="28"/>
        </w:rPr>
      </w:pPr>
      <w:r>
        <w:rPr>
          <w:rFonts w:ascii="仿宋" w:hAnsi="仿宋" w:eastAsia="仿宋" w:cs="仿宋"/>
          <w:sz w:val="28"/>
          <w:szCs w:val="28"/>
        </w:rPr>
        <w:t>支持资源调整留痕，可追溯资源历史调整情况，有效防止资产流失。</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资源租控：</w:t>
      </w:r>
    </w:p>
    <w:p>
      <w:pPr>
        <w:ind w:firstLine="560" w:firstLineChars="200"/>
        <w:rPr>
          <w:rFonts w:ascii="仿宋" w:hAnsi="仿宋" w:eastAsia="仿宋" w:cs="仿宋"/>
          <w:sz w:val="28"/>
          <w:szCs w:val="28"/>
        </w:rPr>
      </w:pPr>
      <w:r>
        <w:rPr>
          <w:rFonts w:ascii="仿宋" w:hAnsi="仿宋" w:eastAsia="仿宋" w:cs="仿宋"/>
          <w:sz w:val="28"/>
          <w:szCs w:val="28"/>
        </w:rPr>
        <w:t>提供一目了然的租控情况、空置情况、到期情况等视图，支持多种方式展示资源，如按楼栋、楼层结构、剖面图等方式展示。</w:t>
      </w:r>
    </w:p>
    <w:p>
      <w:pPr>
        <w:ind w:firstLine="560" w:firstLineChars="200"/>
        <w:rPr>
          <w:rFonts w:ascii="仿宋" w:hAnsi="仿宋" w:eastAsia="仿宋" w:cs="仿宋"/>
          <w:sz w:val="28"/>
          <w:szCs w:val="28"/>
        </w:rPr>
      </w:pPr>
      <w:r>
        <w:rPr>
          <w:rFonts w:ascii="仿宋" w:hAnsi="仿宋" w:eastAsia="仿宋" w:cs="仿宋"/>
          <w:sz w:val="28"/>
          <w:szCs w:val="28"/>
        </w:rPr>
        <w:t>支持自定义配置到期、空置筛选规则</w:t>
      </w:r>
    </w:p>
    <w:p>
      <w:pPr>
        <w:ind w:firstLine="560" w:firstLineChars="200"/>
        <w:rPr>
          <w:rFonts w:ascii="仿宋" w:hAnsi="仿宋" w:eastAsia="仿宋" w:cs="仿宋"/>
          <w:sz w:val="28"/>
          <w:szCs w:val="28"/>
        </w:rPr>
      </w:pPr>
      <w:r>
        <w:rPr>
          <w:rFonts w:ascii="仿宋" w:hAnsi="仿宋" w:eastAsia="仿宋" w:cs="仿宋"/>
          <w:sz w:val="28"/>
          <w:szCs w:val="28"/>
        </w:rPr>
        <w:t>从面积、空置、到期时长等维度，并提供空置排行、到期排行直观展示出租情况，明示招租优先级。</w:t>
      </w:r>
    </w:p>
    <w:p>
      <w:pPr>
        <w:ind w:firstLine="560" w:firstLineChars="200"/>
        <w:rPr>
          <w:rFonts w:ascii="仿宋" w:hAnsi="仿宋" w:eastAsia="仿宋" w:cs="仿宋"/>
          <w:sz w:val="28"/>
          <w:szCs w:val="28"/>
        </w:rPr>
      </w:pPr>
      <w:r>
        <w:rPr>
          <w:rFonts w:ascii="仿宋" w:hAnsi="仿宋" w:eastAsia="仿宋" w:cs="仿宋"/>
          <w:sz w:val="28"/>
          <w:szCs w:val="28"/>
        </w:rPr>
        <w:t>支持动态统计当前出租率并能预测未来三个月出租率。</w:t>
      </w:r>
    </w:p>
    <w:p>
      <w:pPr>
        <w:ind w:firstLine="560" w:firstLineChars="200"/>
        <w:rPr>
          <w:rFonts w:ascii="仿宋" w:hAnsi="仿宋" w:eastAsia="仿宋" w:cs="仿宋"/>
          <w:sz w:val="28"/>
          <w:szCs w:val="28"/>
        </w:rPr>
      </w:pPr>
      <w:r>
        <w:rPr>
          <w:rFonts w:ascii="仿宋" w:hAnsi="仿宋" w:eastAsia="仿宋" w:cs="仿宋"/>
          <w:sz w:val="28"/>
          <w:szCs w:val="28"/>
        </w:rPr>
        <w:t>支持设置租控预警规则，并按照规则展示不同颜色。比如空置、到期、面积按级别分别显示不同颜色。并支持预警提醒自动触发指定人员的移动端提醒。</w:t>
      </w:r>
    </w:p>
    <w:p>
      <w:pPr>
        <w:numPr>
          <w:ilvl w:val="0"/>
          <w:numId w:val="32"/>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招商管理</w:t>
      </w:r>
    </w:p>
    <w:p>
      <w:pPr>
        <w:ind w:firstLine="560" w:firstLineChars="200"/>
        <w:rPr>
          <w:rFonts w:ascii="仿宋" w:hAnsi="仿宋" w:eastAsia="仿宋" w:cs="仿宋"/>
          <w:sz w:val="28"/>
          <w:szCs w:val="28"/>
        </w:rPr>
      </w:pPr>
      <w:r>
        <w:rPr>
          <w:rFonts w:ascii="仿宋" w:hAnsi="仿宋" w:eastAsia="仿宋" w:cs="仿宋"/>
          <w:sz w:val="28"/>
          <w:szCs w:val="28"/>
        </w:rPr>
        <w:t>招商线索统一管理，支持在线确客并分配转换商机，根据规则自动判断客户归属，避免招租过程出现撞单撞客的风险。</w:t>
      </w:r>
    </w:p>
    <w:p>
      <w:pPr>
        <w:ind w:firstLine="560" w:firstLineChars="200"/>
        <w:rPr>
          <w:rFonts w:ascii="仿宋" w:hAnsi="仿宋" w:eastAsia="仿宋" w:cs="仿宋"/>
          <w:sz w:val="28"/>
          <w:szCs w:val="28"/>
        </w:rPr>
      </w:pPr>
      <w:r>
        <w:rPr>
          <w:rFonts w:ascii="仿宋" w:hAnsi="仿宋" w:eastAsia="仿宋" w:cs="仿宋"/>
          <w:sz w:val="28"/>
          <w:szCs w:val="28"/>
        </w:rPr>
        <w:t>商机跟进全过程管理，过程中自动提醒招商人员按时进行商机跟进和汇报，支持对逾期未跟进的商机按规则自动回收和重新分配管理。</w:t>
      </w:r>
    </w:p>
    <w:p>
      <w:pPr>
        <w:ind w:firstLine="560" w:firstLineChars="200"/>
        <w:rPr>
          <w:rFonts w:ascii="仿宋" w:hAnsi="仿宋" w:eastAsia="仿宋" w:cs="仿宋"/>
          <w:sz w:val="28"/>
          <w:szCs w:val="28"/>
        </w:rPr>
      </w:pPr>
      <w:r>
        <w:rPr>
          <w:rFonts w:ascii="仿宋" w:hAnsi="仿宋" w:eastAsia="仿宋" w:cs="仿宋"/>
          <w:sz w:val="28"/>
          <w:szCs w:val="28"/>
        </w:rPr>
        <w:t>支持商机转化率分析和客商分析，为招商人员和管理人员提供多纬度分析，促进签约。</w:t>
      </w:r>
    </w:p>
    <w:p>
      <w:pPr>
        <w:numPr>
          <w:ilvl w:val="0"/>
          <w:numId w:val="32"/>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合同管理</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签约管理：</w:t>
      </w:r>
    </w:p>
    <w:p>
      <w:pPr>
        <w:ind w:firstLine="560" w:firstLineChars="200"/>
        <w:rPr>
          <w:rFonts w:ascii="仿宋" w:hAnsi="仿宋" w:eastAsia="仿宋" w:cs="仿宋"/>
          <w:sz w:val="28"/>
          <w:szCs w:val="28"/>
        </w:rPr>
      </w:pPr>
      <w:r>
        <w:rPr>
          <w:rFonts w:ascii="仿宋" w:hAnsi="仿宋" w:eastAsia="仿宋" w:cs="仿宋"/>
          <w:sz w:val="28"/>
          <w:szCs w:val="28"/>
        </w:rPr>
        <w:t>支持标准化合同信息的快速录入。包括合同封面信息、合同基本信息。</w:t>
      </w:r>
    </w:p>
    <w:p>
      <w:pPr>
        <w:ind w:firstLine="560" w:firstLineChars="200"/>
        <w:rPr>
          <w:rFonts w:ascii="仿宋" w:hAnsi="仿宋" w:eastAsia="仿宋" w:cs="仿宋"/>
          <w:sz w:val="28"/>
          <w:szCs w:val="28"/>
        </w:rPr>
      </w:pPr>
      <w:r>
        <w:rPr>
          <w:rFonts w:ascii="仿宋" w:hAnsi="仿宋" w:eastAsia="仿宋" w:cs="仿宋"/>
          <w:sz w:val="28"/>
          <w:szCs w:val="28"/>
        </w:rPr>
        <w:t>支持按合同定价信息、免租期信息、保证金信息、滞纳金信息，规范化合同费项条款拟定。</w:t>
      </w:r>
    </w:p>
    <w:p>
      <w:pPr>
        <w:ind w:firstLine="560" w:firstLineChars="200"/>
        <w:rPr>
          <w:rFonts w:ascii="仿宋" w:hAnsi="仿宋" w:eastAsia="仿宋" w:cs="仿宋"/>
          <w:sz w:val="28"/>
          <w:szCs w:val="28"/>
        </w:rPr>
      </w:pPr>
      <w:r>
        <w:rPr>
          <w:rFonts w:ascii="仿宋" w:hAnsi="仿宋" w:eastAsia="仿宋" w:cs="仿宋"/>
          <w:sz w:val="28"/>
          <w:szCs w:val="28"/>
        </w:rPr>
        <w:t xml:space="preserve">支持对多个资源一起定价，自动合并定价。 </w:t>
      </w:r>
    </w:p>
    <w:p>
      <w:pPr>
        <w:ind w:firstLine="560" w:firstLineChars="200"/>
        <w:rPr>
          <w:rFonts w:ascii="仿宋" w:hAnsi="仿宋" w:eastAsia="仿宋" w:cs="仿宋"/>
          <w:sz w:val="28"/>
          <w:szCs w:val="28"/>
        </w:rPr>
      </w:pPr>
      <w:r>
        <w:rPr>
          <w:rFonts w:ascii="仿宋" w:hAnsi="仿宋" w:eastAsia="仿宋" w:cs="仿宋"/>
          <w:sz w:val="28"/>
          <w:szCs w:val="28"/>
        </w:rPr>
        <w:t>支持对需进行减免的费项按周期进行减免。包括装修免租、政策免租等。</w:t>
      </w:r>
    </w:p>
    <w:p>
      <w:pPr>
        <w:ind w:firstLine="560" w:firstLineChars="200"/>
        <w:rPr>
          <w:rFonts w:ascii="仿宋" w:hAnsi="仿宋" w:eastAsia="仿宋" w:cs="仿宋"/>
          <w:sz w:val="28"/>
          <w:szCs w:val="28"/>
        </w:rPr>
      </w:pPr>
      <w:r>
        <w:rPr>
          <w:rFonts w:ascii="仿宋" w:hAnsi="仿宋" w:eastAsia="仿宋" w:cs="仿宋"/>
          <w:sz w:val="28"/>
          <w:szCs w:val="28"/>
        </w:rPr>
        <w:t>支持租金按照一定周期执行阶梯价设置，系统自动算费。</w:t>
      </w:r>
    </w:p>
    <w:p>
      <w:pPr>
        <w:ind w:firstLine="560" w:firstLineChars="200"/>
        <w:rPr>
          <w:rFonts w:ascii="仿宋" w:hAnsi="仿宋" w:eastAsia="仿宋" w:cs="仿宋"/>
          <w:sz w:val="28"/>
          <w:szCs w:val="28"/>
        </w:rPr>
      </w:pPr>
      <w:r>
        <w:rPr>
          <w:rFonts w:ascii="仿宋" w:hAnsi="仿宋" w:eastAsia="仿宋" w:cs="仿宋"/>
          <w:sz w:val="28"/>
          <w:szCs w:val="28"/>
        </w:rPr>
        <w:t>支持给予租客优惠时，先择一次性直接减免租金或按条件进行优惠分摊减免的租金，避免提前退租造成的优惠损失。</w:t>
      </w:r>
    </w:p>
    <w:p>
      <w:pPr>
        <w:ind w:firstLine="560" w:firstLineChars="200"/>
        <w:rPr>
          <w:rFonts w:ascii="仿宋" w:hAnsi="仿宋" w:eastAsia="仿宋" w:cs="仿宋"/>
          <w:sz w:val="28"/>
          <w:szCs w:val="28"/>
        </w:rPr>
      </w:pPr>
      <w:r>
        <w:rPr>
          <w:rFonts w:ascii="仿宋" w:hAnsi="仿宋" w:eastAsia="仿宋" w:cs="仿宋"/>
          <w:sz w:val="28"/>
          <w:szCs w:val="28"/>
        </w:rPr>
        <w:t>支持抽成类费项价格设置和水、电等用量类费项价格设置</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合同变更</w:t>
      </w:r>
    </w:p>
    <w:p>
      <w:pPr>
        <w:ind w:firstLine="560" w:firstLineChars="200"/>
        <w:rPr>
          <w:rFonts w:ascii="仿宋" w:hAnsi="仿宋" w:eastAsia="仿宋" w:cs="仿宋"/>
          <w:sz w:val="28"/>
          <w:szCs w:val="28"/>
        </w:rPr>
      </w:pPr>
      <w:r>
        <w:rPr>
          <w:rFonts w:ascii="仿宋" w:hAnsi="仿宋" w:eastAsia="仿宋" w:cs="仿宋"/>
          <w:sz w:val="28"/>
          <w:szCs w:val="28"/>
        </w:rPr>
        <w:t>支持合同变更在线，变更支持签约资源变更、租赁期限变更、费项调整等情况。</w:t>
      </w:r>
    </w:p>
    <w:p>
      <w:pPr>
        <w:ind w:firstLine="560" w:firstLineChars="200"/>
        <w:rPr>
          <w:rFonts w:ascii="仿宋" w:hAnsi="仿宋" w:eastAsia="仿宋" w:cs="仿宋"/>
          <w:sz w:val="28"/>
          <w:szCs w:val="28"/>
        </w:rPr>
      </w:pPr>
      <w:r>
        <w:rPr>
          <w:rFonts w:ascii="仿宋" w:hAnsi="仿宋" w:eastAsia="仿宋" w:cs="仿宋"/>
          <w:sz w:val="28"/>
          <w:szCs w:val="28"/>
        </w:rPr>
        <w:t>支持合同版本化，将变更前后的合同按不同版本记录合同的内容，费用、附件及补充协议文本等。变更变化的合同内容可以在线对比展示。</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合同终止</w:t>
      </w:r>
    </w:p>
    <w:p>
      <w:pPr>
        <w:ind w:firstLine="560" w:firstLineChars="200"/>
        <w:rPr>
          <w:rFonts w:ascii="仿宋" w:hAnsi="仿宋" w:eastAsia="仿宋" w:cs="仿宋"/>
          <w:sz w:val="28"/>
          <w:szCs w:val="28"/>
        </w:rPr>
      </w:pPr>
      <w:r>
        <w:rPr>
          <w:rFonts w:ascii="仿宋" w:hAnsi="仿宋" w:eastAsia="仿宋" w:cs="仿宋"/>
          <w:sz w:val="28"/>
          <w:szCs w:val="28"/>
        </w:rPr>
        <w:t>支持在线发起合同终止流程，结算合同费用。</w:t>
      </w:r>
    </w:p>
    <w:p>
      <w:pPr>
        <w:numPr>
          <w:ilvl w:val="0"/>
          <w:numId w:val="32"/>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履约管理</w:t>
      </w:r>
    </w:p>
    <w:p>
      <w:pPr>
        <w:ind w:firstLine="560" w:firstLineChars="200"/>
        <w:rPr>
          <w:rFonts w:ascii="仿宋" w:hAnsi="仿宋" w:eastAsia="仿宋" w:cs="仿宋"/>
          <w:sz w:val="28"/>
          <w:szCs w:val="28"/>
        </w:rPr>
      </w:pPr>
      <w:r>
        <w:rPr>
          <w:rFonts w:ascii="仿宋" w:hAnsi="仿宋" w:eastAsia="仿宋" w:cs="仿宋"/>
          <w:sz w:val="28"/>
          <w:szCs w:val="28"/>
        </w:rPr>
        <w:t>支持规范的管理租客入驻、退场流程管理，对抽成、用量费用能自动计费，避免事后纠纷。</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商家入驻：</w:t>
      </w:r>
    </w:p>
    <w:p>
      <w:pPr>
        <w:ind w:firstLine="560" w:firstLineChars="200"/>
        <w:rPr>
          <w:rFonts w:ascii="仿宋" w:hAnsi="仿宋" w:eastAsia="仿宋" w:cs="仿宋"/>
          <w:sz w:val="28"/>
          <w:szCs w:val="28"/>
        </w:rPr>
      </w:pPr>
      <w:r>
        <w:rPr>
          <w:rFonts w:hint="eastAsia" w:ascii="仿宋" w:hAnsi="仿宋" w:eastAsia="仿宋" w:cs="仿宋"/>
          <w:sz w:val="28"/>
          <w:szCs w:val="28"/>
        </w:rPr>
        <w:t>提供系统入驻模板，快速完成入驻办理。</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抽成管理：</w:t>
      </w:r>
    </w:p>
    <w:p>
      <w:pPr>
        <w:ind w:firstLine="560" w:firstLineChars="200"/>
        <w:rPr>
          <w:rFonts w:ascii="仿宋" w:hAnsi="仿宋" w:eastAsia="仿宋" w:cs="仿宋"/>
          <w:sz w:val="28"/>
          <w:szCs w:val="28"/>
        </w:rPr>
      </w:pPr>
      <w:r>
        <w:rPr>
          <w:rFonts w:hint="eastAsia" w:ascii="仿宋" w:hAnsi="仿宋" w:eastAsia="仿宋" w:cs="仿宋"/>
          <w:sz w:val="28"/>
          <w:szCs w:val="28"/>
        </w:rPr>
        <w:t>根据抽成条款，自动计算抽成。</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用量管理：</w:t>
      </w:r>
    </w:p>
    <w:p>
      <w:pPr>
        <w:ind w:firstLine="560" w:firstLineChars="200"/>
        <w:rPr>
          <w:rFonts w:ascii="仿宋" w:hAnsi="仿宋" w:eastAsia="仿宋" w:cs="仿宋"/>
          <w:sz w:val="28"/>
          <w:szCs w:val="28"/>
        </w:rPr>
      </w:pPr>
      <w:r>
        <w:rPr>
          <w:rFonts w:hint="eastAsia" w:ascii="仿宋" w:hAnsi="仿宋" w:eastAsia="仿宋" w:cs="仿宋"/>
          <w:sz w:val="28"/>
          <w:szCs w:val="28"/>
        </w:rPr>
        <w:t>根据用量条款，自动计算费用。</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杂费管理：</w:t>
      </w:r>
    </w:p>
    <w:p>
      <w:pPr>
        <w:ind w:firstLine="560" w:firstLineChars="200"/>
        <w:rPr>
          <w:rFonts w:ascii="仿宋" w:hAnsi="仿宋" w:eastAsia="仿宋" w:cs="仿宋"/>
          <w:sz w:val="28"/>
          <w:szCs w:val="28"/>
        </w:rPr>
      </w:pPr>
      <w:r>
        <w:rPr>
          <w:rFonts w:hint="eastAsia" w:ascii="仿宋" w:hAnsi="仿宋" w:eastAsia="仿宋" w:cs="仿宋"/>
          <w:sz w:val="28"/>
          <w:szCs w:val="28"/>
        </w:rPr>
        <w:t>支持多种类型费用，可灵活适配各类场景，如代收费用。</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退场管理：</w:t>
      </w:r>
    </w:p>
    <w:p>
      <w:pPr>
        <w:ind w:firstLine="560" w:firstLineChars="200"/>
        <w:rPr>
          <w:rFonts w:ascii="仿宋" w:hAnsi="仿宋" w:eastAsia="仿宋" w:cs="仿宋"/>
          <w:sz w:val="28"/>
          <w:szCs w:val="28"/>
        </w:rPr>
      </w:pPr>
      <w:r>
        <w:rPr>
          <w:rFonts w:hint="eastAsia" w:ascii="仿宋" w:hAnsi="仿宋" w:eastAsia="仿宋" w:cs="仿宋"/>
          <w:sz w:val="28"/>
          <w:szCs w:val="28"/>
        </w:rPr>
        <w:t>根据合收缴情况，自动进行退租结算。</w:t>
      </w:r>
    </w:p>
    <w:p>
      <w:pPr>
        <w:numPr>
          <w:ilvl w:val="0"/>
          <w:numId w:val="32"/>
        </w:numPr>
        <w:adjustRightInd w:val="0"/>
        <w:snapToGrid w:val="0"/>
        <w:spacing w:line="560" w:lineRule="exact"/>
        <w:ind w:left="638" w:leftChars="304" w:firstLine="0"/>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财务收缴管理</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费用收缴：</w:t>
      </w:r>
    </w:p>
    <w:p>
      <w:pPr>
        <w:ind w:firstLine="560" w:firstLineChars="200"/>
        <w:rPr>
          <w:rFonts w:ascii="仿宋" w:hAnsi="仿宋" w:eastAsia="仿宋" w:cs="仿宋"/>
          <w:sz w:val="28"/>
          <w:szCs w:val="28"/>
        </w:rPr>
      </w:pPr>
      <w:r>
        <w:rPr>
          <w:rFonts w:hint="eastAsia" w:ascii="仿宋" w:hAnsi="仿宋" w:eastAsia="仿宋" w:cs="仿宋"/>
          <w:sz w:val="28"/>
          <w:szCs w:val="28"/>
        </w:rPr>
        <w:t>支持自动准确的自动算费，查询和核对，针对应收、保证金、减免金、退款、滞纳金等费用，杜绝算费错误造成的少收、漏收；</w:t>
      </w:r>
    </w:p>
    <w:p>
      <w:pPr>
        <w:ind w:firstLine="560" w:firstLineChars="200"/>
        <w:rPr>
          <w:rFonts w:ascii="仿宋" w:hAnsi="仿宋" w:eastAsia="仿宋" w:cs="仿宋"/>
          <w:sz w:val="28"/>
          <w:szCs w:val="28"/>
        </w:rPr>
      </w:pPr>
      <w:r>
        <w:rPr>
          <w:rFonts w:ascii="仿宋" w:hAnsi="仿宋" w:eastAsia="仿宋" w:cs="仿宋"/>
          <w:sz w:val="28"/>
          <w:szCs w:val="28"/>
        </w:rPr>
        <w:t>支持多缴费用在线结转，如续签时保证金结转至续签后的合同，合同提前终止时保证金罚没为收入等。</w:t>
      </w:r>
    </w:p>
    <w:p>
      <w:pPr>
        <w:ind w:firstLine="560" w:firstLineChars="200"/>
        <w:rPr>
          <w:rFonts w:ascii="仿宋" w:hAnsi="仿宋" w:eastAsia="仿宋" w:cs="仿宋"/>
          <w:sz w:val="28"/>
          <w:szCs w:val="28"/>
        </w:rPr>
      </w:pPr>
      <w:r>
        <w:rPr>
          <w:rFonts w:ascii="仿宋" w:hAnsi="仿宋" w:eastAsia="仿宋" w:cs="仿宋"/>
          <w:sz w:val="28"/>
          <w:szCs w:val="28"/>
        </w:rPr>
        <w:t>支持涉费用类流程在线审批，如减免审批、退款审批、结转审批。</w:t>
      </w:r>
    </w:p>
    <w:p>
      <w:pPr>
        <w:ind w:firstLine="560" w:firstLineChars="200"/>
        <w:rPr>
          <w:rFonts w:ascii="仿宋" w:hAnsi="仿宋" w:eastAsia="仿宋" w:cs="仿宋"/>
          <w:sz w:val="28"/>
          <w:szCs w:val="28"/>
        </w:rPr>
      </w:pPr>
      <w:r>
        <w:rPr>
          <w:rFonts w:ascii="仿宋" w:hAnsi="仿宋" w:eastAsia="仿宋" w:cs="仿宋"/>
          <w:sz w:val="28"/>
          <w:szCs w:val="28"/>
        </w:rPr>
        <w:t>支持营业额录入、抽成类费用自动计算，实现营业额、抽成类费用统一管理，减少计费错误。</w:t>
      </w:r>
    </w:p>
    <w:p>
      <w:pPr>
        <w:ind w:firstLine="560" w:firstLineChars="200"/>
        <w:rPr>
          <w:rFonts w:ascii="仿宋" w:hAnsi="仿宋" w:eastAsia="仿宋" w:cs="仿宋"/>
          <w:sz w:val="28"/>
          <w:szCs w:val="28"/>
        </w:rPr>
      </w:pPr>
      <w:r>
        <w:rPr>
          <w:rFonts w:hint="eastAsia" w:ascii="仿宋" w:hAnsi="仿宋" w:eastAsia="仿宋" w:cs="仿宋"/>
          <w:sz w:val="28"/>
          <w:szCs w:val="28"/>
        </w:rPr>
        <w:t>支持用量录入和用量类费用自动计算，减少计费错误。</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账单催缴：</w:t>
      </w:r>
    </w:p>
    <w:p>
      <w:pPr>
        <w:ind w:firstLine="560" w:firstLineChars="200"/>
        <w:rPr>
          <w:rFonts w:ascii="仿宋" w:hAnsi="仿宋" w:eastAsia="仿宋" w:cs="仿宋"/>
          <w:sz w:val="28"/>
          <w:szCs w:val="28"/>
        </w:rPr>
      </w:pPr>
      <w:r>
        <w:rPr>
          <w:rFonts w:hint="eastAsia" w:ascii="仿宋" w:hAnsi="仿宋" w:eastAsia="仿宋" w:cs="仿宋"/>
          <w:sz w:val="28"/>
          <w:szCs w:val="28"/>
        </w:rPr>
        <w:t>支持一键快速出账，生成租客待缴费账单；审核后，批量快速开具并打印缴费通知单。支持电子签章和电子催费通知。</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核销管理：</w:t>
      </w:r>
    </w:p>
    <w:p>
      <w:pPr>
        <w:ind w:firstLine="560" w:firstLineChars="200"/>
        <w:rPr>
          <w:rFonts w:ascii="仿宋" w:hAnsi="仿宋" w:eastAsia="仿宋" w:cs="仿宋"/>
          <w:sz w:val="28"/>
          <w:szCs w:val="28"/>
        </w:rPr>
      </w:pPr>
      <w:r>
        <w:rPr>
          <w:rFonts w:hint="eastAsia" w:ascii="仿宋" w:hAnsi="仿宋" w:eastAsia="仿宋" w:cs="仿宋"/>
          <w:sz w:val="28"/>
          <w:szCs w:val="28"/>
        </w:rPr>
        <w:t>支持快速手工收款核销；支持导入流水进行批量匹配核销；支持预存金条件匹配自动核销。</w:t>
      </w:r>
    </w:p>
    <w:p>
      <w:pPr>
        <w:ind w:firstLine="560" w:firstLineChars="200"/>
        <w:rPr>
          <w:rFonts w:ascii="仿宋" w:hAnsi="仿宋" w:eastAsia="仿宋" w:cs="仿宋"/>
          <w:sz w:val="28"/>
          <w:szCs w:val="28"/>
        </w:rPr>
      </w:pPr>
      <w:r>
        <w:rPr>
          <w:rFonts w:ascii="仿宋" w:hAnsi="仿宋" w:eastAsia="仿宋" w:cs="仿宋"/>
          <w:sz w:val="28"/>
          <w:szCs w:val="28"/>
        </w:rPr>
        <w:t>支持通过对接资金系统、引入收款流水，进行流水认领及核销</w:t>
      </w:r>
      <w:r>
        <w:rPr>
          <w:rFonts w:hint="eastAsia" w:ascii="仿宋" w:hAnsi="仿宋" w:eastAsia="仿宋" w:cs="仿宋"/>
          <w:sz w:val="28"/>
          <w:szCs w:val="28"/>
        </w:rPr>
        <w:t>。</w:t>
      </w:r>
    </w:p>
    <w:p>
      <w:pPr>
        <w:ind w:firstLine="560" w:firstLineChars="200"/>
        <w:rPr>
          <w:rFonts w:ascii="仿宋" w:hAnsi="仿宋" w:eastAsia="仿宋" w:cs="仿宋"/>
          <w:sz w:val="28"/>
          <w:szCs w:val="28"/>
        </w:rPr>
      </w:pPr>
      <w:r>
        <w:rPr>
          <w:rFonts w:ascii="仿宋" w:hAnsi="仿宋" w:eastAsia="仿宋" w:cs="仿宋"/>
          <w:sz w:val="28"/>
          <w:szCs w:val="28"/>
        </w:rPr>
        <w:t>支持收银员收银台模式快速收款。</w:t>
      </w:r>
    </w:p>
    <w:p>
      <w:pPr>
        <w:numPr>
          <w:ilvl w:val="1"/>
          <w:numId w:val="32"/>
        </w:numPr>
        <w:adjustRightInd w:val="0"/>
        <w:snapToGrid w:val="0"/>
        <w:spacing w:line="560" w:lineRule="exact"/>
        <w:outlineLvl w:val="4"/>
        <w:rPr>
          <w:rFonts w:ascii="仿宋" w:hAnsi="仿宋" w:eastAsia="仿宋" w:cs="仿宋"/>
          <w:snapToGrid w:val="0"/>
          <w:kern w:val="0"/>
          <w:sz w:val="28"/>
          <w:szCs w:val="28"/>
        </w:rPr>
      </w:pPr>
      <w:r>
        <w:rPr>
          <w:rFonts w:hint="eastAsia" w:ascii="仿宋" w:hAnsi="仿宋" w:eastAsia="仿宋" w:cs="仿宋"/>
          <w:snapToGrid w:val="0"/>
          <w:kern w:val="0"/>
          <w:sz w:val="28"/>
          <w:szCs w:val="28"/>
        </w:rPr>
        <w:t>票据管理：</w:t>
      </w:r>
    </w:p>
    <w:p>
      <w:pPr>
        <w:ind w:firstLine="560" w:firstLineChars="200"/>
        <w:rPr>
          <w:rFonts w:ascii="仿宋" w:hAnsi="仿宋" w:eastAsia="仿宋" w:cs="仿宋"/>
          <w:sz w:val="28"/>
          <w:szCs w:val="28"/>
        </w:rPr>
      </w:pPr>
      <w:r>
        <w:rPr>
          <w:rFonts w:ascii="仿宋" w:hAnsi="仿宋" w:eastAsia="仿宋" w:cs="仿宋"/>
          <w:sz w:val="28"/>
          <w:szCs w:val="28"/>
        </w:rPr>
        <w:t>支持收据模板，根据模板自动添加收款明细或预收款明细，审核后套打收据。</w:t>
      </w:r>
    </w:p>
    <w:p>
      <w:pPr>
        <w:numPr>
          <w:ilvl w:val="0"/>
          <w:numId w:val="31"/>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35" w:name="_Toc4796"/>
      <w:r>
        <w:rPr>
          <w:rFonts w:hint="eastAsia" w:ascii="仿宋" w:hAnsi="仿宋" w:eastAsia="仿宋" w:cs="仿宋"/>
          <w:b/>
          <w:bCs/>
          <w:snapToGrid w:val="0"/>
          <w:kern w:val="0"/>
          <w:sz w:val="28"/>
          <w:szCs w:val="28"/>
        </w:rPr>
        <w:t>房地产销售与租赁一体化管理功能</w:t>
      </w:r>
      <w:bookmarkEnd w:id="735"/>
    </w:p>
    <w:p>
      <w:pPr>
        <w:widowControl/>
        <w:spacing w:line="360" w:lineRule="auto"/>
        <w:ind w:firstLine="792"/>
        <w:rPr>
          <w:rFonts w:ascii="仿宋" w:hAnsi="仿宋" w:eastAsia="仿宋" w:cs="仿宋"/>
          <w:sz w:val="28"/>
          <w:szCs w:val="28"/>
        </w:rPr>
      </w:pPr>
      <w:r>
        <w:rPr>
          <w:rFonts w:hint="eastAsia" w:ascii="仿宋" w:hAnsi="仿宋" w:eastAsia="仿宋" w:cs="仿宋"/>
          <w:sz w:val="28"/>
          <w:szCs w:val="28"/>
        </w:rPr>
        <w:t>集团自建有房地产销售系统（版本号：明源销售系统V4.5），对可售房产资源进行信息化管理，在集团全量资产管理要求下，房产类资产需要进行租售融合。</w:t>
      </w:r>
    </w:p>
    <w:p>
      <w:pPr>
        <w:widowControl/>
        <w:spacing w:line="360" w:lineRule="auto"/>
        <w:ind w:firstLine="792"/>
        <w:rPr>
          <w:rFonts w:ascii="仿宋" w:hAnsi="仿宋" w:eastAsia="仿宋" w:cs="仿宋"/>
          <w:sz w:val="28"/>
          <w:szCs w:val="28"/>
        </w:rPr>
      </w:pPr>
      <w:r>
        <w:rPr>
          <w:rFonts w:ascii="仿宋" w:hAnsi="仿宋" w:eastAsia="仿宋" w:cs="仿宋"/>
          <w:sz w:val="28"/>
          <w:szCs w:val="28"/>
        </w:rPr>
        <w:t>租售一体主要包括：资源拉通、流程拉通、业务联动、数据联动等方面，防范多头签约、数据错误、商务违约等风险。</w:t>
      </w:r>
    </w:p>
    <w:p>
      <w:pPr>
        <w:widowControl/>
        <w:spacing w:line="360" w:lineRule="auto"/>
        <w:ind w:firstLine="792"/>
        <w:rPr>
          <w:rFonts w:ascii="仿宋" w:hAnsi="仿宋" w:eastAsia="仿宋" w:cs="仿宋"/>
          <w:sz w:val="28"/>
          <w:szCs w:val="28"/>
        </w:rPr>
      </w:pPr>
      <w:r>
        <w:rPr>
          <w:rFonts w:ascii="仿宋" w:hAnsi="仿宋" w:eastAsia="仿宋" w:cs="仿宋"/>
          <w:sz w:val="28"/>
          <w:szCs w:val="28"/>
        </w:rPr>
        <w:t>资源拉通是通过资产管理系统可以对租赁系统和房产销售系统进行直接资产分类授权，资产档案同步。</w:t>
      </w:r>
    </w:p>
    <w:p>
      <w:pPr>
        <w:numPr>
          <w:ilvl w:val="0"/>
          <w:numId w:val="31"/>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36" w:name="_Toc24150"/>
      <w:r>
        <w:rPr>
          <w:rFonts w:hint="eastAsia" w:ascii="仿宋" w:hAnsi="仿宋" w:eastAsia="仿宋" w:cs="仿宋"/>
          <w:b/>
          <w:bCs/>
          <w:snapToGrid w:val="0"/>
          <w:kern w:val="0"/>
          <w:sz w:val="28"/>
          <w:szCs w:val="28"/>
        </w:rPr>
        <w:t>自用管理功能</w:t>
      </w:r>
      <w:bookmarkEnd w:id="736"/>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对资产自用情况进行管理，记录自用日期、账面价值、用途等内容，当资产状态发生变化，动态更新资产状态。</w:t>
      </w:r>
    </w:p>
    <w:p>
      <w:pPr>
        <w:numPr>
          <w:ilvl w:val="0"/>
          <w:numId w:val="31"/>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37" w:name="_Toc30632"/>
      <w:r>
        <w:rPr>
          <w:rFonts w:hint="eastAsia" w:ascii="仿宋" w:hAnsi="仿宋" w:eastAsia="仿宋" w:cs="仿宋"/>
          <w:b/>
          <w:bCs/>
          <w:snapToGrid w:val="0"/>
          <w:kern w:val="0"/>
          <w:sz w:val="28"/>
          <w:szCs w:val="28"/>
        </w:rPr>
        <w:t>转让管理功能</w:t>
      </w:r>
      <w:bookmarkEnd w:id="737"/>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按公开转让(进场)、公开转让(非进场)等不同转让方式分别对资产转让过程数据进行管理对于公开转让信息，实现信息发布、审核，与委端资管系统对接将公开转让信息发布至官方平台。</w:t>
      </w:r>
    </w:p>
    <w:p>
      <w:pPr>
        <w:numPr>
          <w:ilvl w:val="0"/>
          <w:numId w:val="31"/>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38" w:name="_Toc17534"/>
      <w:r>
        <w:rPr>
          <w:rFonts w:hint="eastAsia" w:ascii="仿宋" w:hAnsi="仿宋" w:eastAsia="仿宋" w:cs="仿宋"/>
          <w:b/>
          <w:bCs/>
          <w:snapToGrid w:val="0"/>
          <w:kern w:val="0"/>
          <w:sz w:val="28"/>
          <w:szCs w:val="28"/>
        </w:rPr>
        <w:t>占用借用管理功能</w:t>
      </w:r>
      <w:bookmarkEnd w:id="738"/>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对资产占用、借用情况进行管理，记录占借用日期、账面价值、原因等内容，当资产状态发生变化或盘活成功，动态更新资产状态。</w:t>
      </w:r>
    </w:p>
    <w:p>
      <w:pPr>
        <w:numPr>
          <w:ilvl w:val="0"/>
          <w:numId w:val="31"/>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39" w:name="_Toc11273"/>
      <w:r>
        <w:rPr>
          <w:rFonts w:hint="eastAsia" w:ascii="仿宋" w:hAnsi="仿宋" w:eastAsia="仿宋" w:cs="仿宋"/>
          <w:b/>
          <w:bCs/>
          <w:snapToGrid w:val="0"/>
          <w:kern w:val="0"/>
          <w:sz w:val="28"/>
          <w:szCs w:val="28"/>
        </w:rPr>
        <w:t>闲置管理功能</w:t>
      </w:r>
      <w:bookmarkEnd w:id="739"/>
    </w:p>
    <w:p>
      <w:pPr>
        <w:widowControl/>
        <w:spacing w:line="360" w:lineRule="auto"/>
        <w:ind w:firstLine="792"/>
        <w:rPr>
          <w:rFonts w:ascii="Calibri" w:hAnsi="Calibri"/>
          <w:kern w:val="0"/>
        </w:rPr>
      </w:pPr>
      <w:r>
        <w:rPr>
          <w:rFonts w:hint="eastAsia" w:ascii="仿宋" w:hAnsi="仿宋" w:eastAsia="仿宋" w:cs="仿宋"/>
          <w:sz w:val="28"/>
          <w:szCs w:val="28"/>
        </w:rPr>
        <w:t>对资产闲置情况进行管理，记录闲置日期、账面价值等内容,跟进闲置资产的盘活措施落地情况，当资产状态发生变化或盘活成功，动态更新资产状态。</w:t>
      </w: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740" w:name="_Toc20672"/>
      <w:bookmarkStart w:id="741" w:name="_Toc25707"/>
      <w:bookmarkStart w:id="742" w:name="_Toc180507133"/>
      <w:bookmarkStart w:id="743" w:name="_Toc495"/>
      <w:bookmarkStart w:id="744" w:name="_Toc25454"/>
      <w:r>
        <w:rPr>
          <w:rFonts w:hint="eastAsia" w:ascii="方正楷体_GB2312" w:hAnsi="方正楷体_GB2312" w:eastAsia="方正楷体_GB2312" w:cs="方正楷体_GB2312"/>
          <w:b/>
          <w:sz w:val="32"/>
        </w:rPr>
        <w:t>决策分析功能</w:t>
      </w:r>
      <w:bookmarkEnd w:id="740"/>
      <w:bookmarkEnd w:id="741"/>
      <w:bookmarkEnd w:id="742"/>
      <w:bookmarkEnd w:id="743"/>
      <w:bookmarkEnd w:id="744"/>
    </w:p>
    <w:p>
      <w:pPr>
        <w:widowControl/>
        <w:spacing w:line="360" w:lineRule="auto"/>
        <w:ind w:firstLine="792"/>
        <w:rPr>
          <w:rFonts w:ascii="仿宋" w:hAnsi="仿宋" w:eastAsia="仿宋" w:cs="仿宋"/>
          <w:sz w:val="28"/>
          <w:szCs w:val="28"/>
        </w:rPr>
      </w:pPr>
      <w:r>
        <w:rPr>
          <w:rFonts w:hint="eastAsia" w:ascii="仿宋" w:hAnsi="仿宋" w:eastAsia="仿宋" w:cs="仿宋"/>
          <w:sz w:val="28"/>
          <w:szCs w:val="28"/>
        </w:rPr>
        <w:t>结合国资监管、经营目标、审计合规等要求，梳理完善的资产监管决策指标，构建决策指标体系和决策逻辑。通过系统按特定的指标计算公式加以分析应用，并进行多维度、多方式、多形式进行数据呈现，表现形式如指标分析看板、数字大屏、数字报表、移动报表等。</w:t>
      </w:r>
    </w:p>
    <w:p>
      <w:pPr>
        <w:numPr>
          <w:ilvl w:val="0"/>
          <w:numId w:val="33"/>
        </w:numPr>
        <w:adjustRightInd w:val="0"/>
        <w:snapToGrid w:val="0"/>
        <w:spacing w:line="560" w:lineRule="exact"/>
        <w:ind w:firstLine="641"/>
        <w:jc w:val="left"/>
        <w:outlineLvl w:val="2"/>
        <w:rPr>
          <w:rFonts w:ascii="仿宋" w:hAnsi="仿宋" w:eastAsia="仿宋" w:cs="仿宋"/>
          <w:b/>
          <w:bCs/>
          <w:snapToGrid w:val="0"/>
          <w:kern w:val="0"/>
          <w:sz w:val="28"/>
          <w:szCs w:val="28"/>
        </w:rPr>
      </w:pPr>
      <w:bookmarkStart w:id="745" w:name="_Toc13977"/>
      <w:r>
        <w:rPr>
          <w:rFonts w:hint="eastAsia" w:ascii="仿宋" w:hAnsi="仿宋" w:eastAsia="仿宋" w:cs="仿宋"/>
          <w:b/>
          <w:bCs/>
          <w:snapToGrid w:val="0"/>
          <w:kern w:val="0"/>
          <w:sz w:val="28"/>
          <w:szCs w:val="28"/>
        </w:rPr>
        <w:t>决策可视化</w:t>
      </w:r>
      <w:bookmarkEnd w:id="745"/>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资产一本账：打造全面的资产账本，资产画像清晰呈现。</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布局一张图：构建资产全景地图，实现从宏观到微观的经营洞察，实时查看动态资产信息。</w:t>
      </w:r>
    </w:p>
    <w:p>
      <w:pPr>
        <w:widowControl/>
        <w:spacing w:line="360" w:lineRule="auto"/>
        <w:ind w:firstLine="641"/>
        <w:jc w:val="left"/>
        <w:rPr>
          <w:rFonts w:ascii="Calibri" w:hAnsi="Calibri"/>
        </w:rPr>
      </w:pPr>
      <w:r>
        <w:rPr>
          <w:rFonts w:hint="eastAsia" w:ascii="仿宋" w:hAnsi="仿宋" w:eastAsia="仿宋" w:cs="仿宋"/>
          <w:sz w:val="28"/>
          <w:szCs w:val="28"/>
        </w:rPr>
        <w:t>管理一张屏：数据大屏动态展示全局信息，掌控各个业态、各个项目整体运营情况，支撑管理决策</w:t>
      </w:r>
    </w:p>
    <w:p>
      <w:pPr>
        <w:numPr>
          <w:ilvl w:val="0"/>
          <w:numId w:val="33"/>
        </w:numPr>
        <w:adjustRightInd w:val="0"/>
        <w:snapToGrid w:val="0"/>
        <w:spacing w:line="560" w:lineRule="exact"/>
        <w:ind w:firstLine="641"/>
        <w:outlineLvl w:val="2"/>
        <w:rPr>
          <w:rFonts w:ascii="仿宋" w:hAnsi="仿宋" w:eastAsia="仿宋" w:cs="仿宋"/>
          <w:b/>
          <w:bCs/>
          <w:snapToGrid w:val="0"/>
          <w:kern w:val="0"/>
          <w:sz w:val="28"/>
          <w:szCs w:val="28"/>
        </w:rPr>
      </w:pPr>
      <w:bookmarkStart w:id="746" w:name="_Toc8628"/>
      <w:r>
        <w:rPr>
          <w:rFonts w:hint="eastAsia" w:ascii="仿宋" w:hAnsi="仿宋" w:eastAsia="仿宋" w:cs="仿宋"/>
          <w:b/>
          <w:bCs/>
          <w:snapToGrid w:val="0"/>
          <w:kern w:val="0"/>
          <w:sz w:val="28"/>
          <w:szCs w:val="28"/>
        </w:rPr>
        <w:t>数字报表</w:t>
      </w:r>
      <w:bookmarkEnd w:id="746"/>
    </w:p>
    <w:p>
      <w:pPr>
        <w:ind w:firstLine="560" w:firstLineChars="200"/>
        <w:rPr>
          <w:rFonts w:ascii="仿宋" w:hAnsi="仿宋" w:eastAsia="仿宋" w:cs="仿宋"/>
          <w:sz w:val="28"/>
          <w:szCs w:val="28"/>
        </w:rPr>
      </w:pPr>
      <w:r>
        <w:rPr>
          <w:rFonts w:hint="eastAsia" w:ascii="仿宋" w:hAnsi="仿宋" w:eastAsia="仿宋" w:cs="仿宋"/>
          <w:sz w:val="28"/>
          <w:szCs w:val="28"/>
        </w:rPr>
        <w:t>支持通过明细类、统计类报表提供资产规模分布、产权、规划和资产面积月度变动情况等统计表和明细表，一键获取资产数据，提高统计分析效率。</w:t>
      </w:r>
    </w:p>
    <w:p>
      <w:pPr>
        <w:ind w:firstLine="560" w:firstLineChars="200"/>
        <w:rPr>
          <w:rFonts w:ascii="仿宋" w:hAnsi="仿宋" w:eastAsia="仿宋" w:cs="仿宋"/>
          <w:sz w:val="28"/>
          <w:szCs w:val="28"/>
        </w:rPr>
      </w:pPr>
      <w:r>
        <w:rPr>
          <w:rFonts w:hint="eastAsia" w:ascii="仿宋" w:hAnsi="仿宋" w:eastAsia="仿宋" w:cs="仿宋"/>
          <w:sz w:val="28"/>
          <w:szCs w:val="28"/>
        </w:rPr>
        <w:t>支持按用途设计的资产管理指标分析、出租统计分析报表；</w:t>
      </w:r>
    </w:p>
    <w:p>
      <w:pPr>
        <w:ind w:firstLine="560" w:firstLineChars="200"/>
        <w:rPr>
          <w:rFonts w:ascii="仿宋" w:hAnsi="仿宋" w:eastAsia="仿宋" w:cs="仿宋"/>
          <w:sz w:val="28"/>
          <w:szCs w:val="28"/>
        </w:rPr>
      </w:pPr>
      <w:r>
        <w:rPr>
          <w:rFonts w:hint="eastAsia" w:ascii="仿宋" w:hAnsi="仿宋" w:eastAsia="仿宋" w:cs="仿宋"/>
          <w:sz w:val="28"/>
          <w:szCs w:val="28"/>
        </w:rPr>
        <w:t>支持按职能看数习惯设计的管理层、资产管理职能、资产运营职能、财务管理职能、审计职能等分类报表。</w:t>
      </w:r>
    </w:p>
    <w:p>
      <w:pPr>
        <w:ind w:firstLine="560" w:firstLineChars="200"/>
        <w:rPr>
          <w:rFonts w:ascii="仿宋" w:hAnsi="仿宋" w:eastAsia="仿宋" w:cs="仿宋"/>
          <w:sz w:val="28"/>
          <w:szCs w:val="28"/>
        </w:rPr>
      </w:pPr>
      <w:r>
        <w:rPr>
          <w:rFonts w:hint="eastAsia" w:ascii="仿宋" w:hAnsi="仿宋" w:eastAsia="仿宋" w:cs="仿宋"/>
          <w:sz w:val="28"/>
          <w:szCs w:val="28"/>
        </w:rPr>
        <w:t>支持不规则、带穿透的综合分析报表。</w:t>
      </w:r>
    </w:p>
    <w:p>
      <w:pPr>
        <w:ind w:firstLine="560" w:firstLineChars="200"/>
        <w:rPr>
          <w:rFonts w:ascii="仿宋" w:hAnsi="仿宋" w:eastAsia="仿宋" w:cs="仿宋"/>
          <w:sz w:val="28"/>
          <w:szCs w:val="28"/>
        </w:rPr>
      </w:pPr>
      <w:r>
        <w:rPr>
          <w:rFonts w:hint="eastAsia" w:ascii="仿宋" w:hAnsi="仿宋" w:eastAsia="仿宋" w:cs="仿宋"/>
          <w:sz w:val="28"/>
          <w:szCs w:val="28"/>
        </w:rPr>
        <w:t>支持根据业务需要定制化业务报表。</w:t>
      </w:r>
    </w:p>
    <w:p>
      <w:pPr>
        <w:numPr>
          <w:ilvl w:val="0"/>
          <w:numId w:val="33"/>
        </w:numPr>
        <w:adjustRightInd w:val="0"/>
        <w:snapToGrid w:val="0"/>
        <w:spacing w:line="560" w:lineRule="exact"/>
        <w:ind w:firstLine="641"/>
        <w:outlineLvl w:val="2"/>
        <w:rPr>
          <w:rFonts w:ascii="仿宋" w:hAnsi="仿宋" w:eastAsia="仿宋" w:cs="仿宋"/>
          <w:b/>
          <w:bCs/>
          <w:snapToGrid w:val="0"/>
          <w:kern w:val="0"/>
          <w:sz w:val="28"/>
          <w:szCs w:val="28"/>
        </w:rPr>
      </w:pPr>
      <w:bookmarkStart w:id="747" w:name="_Toc140"/>
      <w:r>
        <w:rPr>
          <w:rFonts w:hint="eastAsia" w:ascii="仿宋" w:hAnsi="仿宋" w:eastAsia="仿宋" w:cs="仿宋"/>
          <w:b/>
          <w:bCs/>
          <w:snapToGrid w:val="0"/>
          <w:kern w:val="0"/>
          <w:sz w:val="28"/>
          <w:szCs w:val="28"/>
        </w:rPr>
        <w:t>移动报表</w:t>
      </w:r>
      <w:bookmarkEnd w:id="747"/>
    </w:p>
    <w:p>
      <w:pPr>
        <w:ind w:firstLine="560" w:firstLineChars="200"/>
        <w:rPr>
          <w:rFonts w:ascii="仿宋" w:hAnsi="仿宋" w:eastAsia="仿宋" w:cs="仿宋"/>
          <w:sz w:val="28"/>
          <w:szCs w:val="28"/>
        </w:rPr>
      </w:pPr>
      <w:r>
        <w:rPr>
          <w:rFonts w:hint="eastAsia" w:ascii="仿宋" w:hAnsi="仿宋" w:eastAsia="仿宋" w:cs="仿宋"/>
          <w:sz w:val="28"/>
          <w:szCs w:val="28"/>
        </w:rPr>
        <w:t>支持手机APP实时移动化报表，为掌上决策提供支持。</w:t>
      </w: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748" w:name="_Toc180507134"/>
      <w:bookmarkStart w:id="749" w:name="_Toc4414"/>
      <w:bookmarkStart w:id="750" w:name="_Toc5992"/>
      <w:bookmarkStart w:id="751" w:name="_Toc15589"/>
      <w:bookmarkStart w:id="752" w:name="_Toc20014"/>
      <w:r>
        <w:rPr>
          <w:rFonts w:hint="eastAsia" w:ascii="方正楷体_GB2312" w:hAnsi="方正楷体_GB2312" w:eastAsia="方正楷体_GB2312" w:cs="方正楷体_GB2312"/>
          <w:b/>
          <w:sz w:val="32"/>
        </w:rPr>
        <w:t>风险预警功能</w:t>
      </w:r>
      <w:bookmarkEnd w:id="748"/>
      <w:bookmarkEnd w:id="749"/>
      <w:bookmarkEnd w:id="750"/>
      <w:bookmarkEnd w:id="751"/>
      <w:bookmarkEnd w:id="752"/>
    </w:p>
    <w:p>
      <w:pPr>
        <w:numPr>
          <w:ilvl w:val="0"/>
          <w:numId w:val="34"/>
        </w:numPr>
        <w:adjustRightInd w:val="0"/>
        <w:snapToGrid w:val="0"/>
        <w:spacing w:line="560" w:lineRule="exact"/>
        <w:ind w:firstLine="641"/>
        <w:outlineLvl w:val="2"/>
        <w:rPr>
          <w:rFonts w:ascii="仿宋" w:hAnsi="仿宋" w:eastAsia="仿宋" w:cs="仿宋"/>
          <w:b/>
          <w:bCs/>
          <w:snapToGrid w:val="0"/>
          <w:kern w:val="0"/>
          <w:sz w:val="28"/>
          <w:szCs w:val="28"/>
        </w:rPr>
      </w:pPr>
      <w:bookmarkStart w:id="753" w:name="_Toc28268"/>
      <w:r>
        <w:rPr>
          <w:rFonts w:hint="eastAsia" w:ascii="仿宋" w:hAnsi="仿宋" w:eastAsia="仿宋" w:cs="仿宋"/>
          <w:b/>
          <w:bCs/>
          <w:snapToGrid w:val="0"/>
          <w:kern w:val="0"/>
          <w:sz w:val="28"/>
          <w:szCs w:val="28"/>
        </w:rPr>
        <w:t>空置预警</w:t>
      </w:r>
      <w:bookmarkEnd w:id="753"/>
    </w:p>
    <w:p>
      <w:pPr>
        <w:spacing w:line="360" w:lineRule="auto"/>
        <w:ind w:firstLine="638" w:firstLineChars="228"/>
        <w:rPr>
          <w:rFonts w:ascii="仿宋" w:hAnsi="仿宋" w:eastAsia="仿宋" w:cs="仿宋"/>
          <w:sz w:val="28"/>
          <w:szCs w:val="28"/>
        </w:rPr>
      </w:pPr>
      <w:r>
        <w:rPr>
          <w:rFonts w:ascii="仿宋" w:hAnsi="仿宋" w:eastAsia="仿宋" w:cs="仿宋"/>
          <w:sz w:val="28"/>
          <w:szCs w:val="28"/>
        </w:rPr>
        <w:t>支持自动监控资源空置情况，根据空置时长阶段，向不同级别领导及时预警。</w:t>
      </w:r>
    </w:p>
    <w:p>
      <w:pPr>
        <w:numPr>
          <w:ilvl w:val="0"/>
          <w:numId w:val="34"/>
        </w:numPr>
        <w:adjustRightInd w:val="0"/>
        <w:snapToGrid w:val="0"/>
        <w:spacing w:line="560" w:lineRule="exact"/>
        <w:ind w:firstLine="641"/>
        <w:outlineLvl w:val="2"/>
        <w:rPr>
          <w:rFonts w:ascii="仿宋" w:hAnsi="仿宋" w:eastAsia="仿宋" w:cs="仿宋"/>
          <w:b/>
          <w:bCs/>
          <w:snapToGrid w:val="0"/>
          <w:kern w:val="0"/>
          <w:sz w:val="28"/>
          <w:szCs w:val="28"/>
        </w:rPr>
      </w:pPr>
      <w:bookmarkStart w:id="754" w:name="_Toc9281"/>
      <w:r>
        <w:rPr>
          <w:rFonts w:hint="eastAsia" w:ascii="仿宋" w:hAnsi="仿宋" w:eastAsia="仿宋" w:cs="仿宋"/>
          <w:b/>
          <w:bCs/>
          <w:snapToGrid w:val="0"/>
          <w:kern w:val="0"/>
          <w:sz w:val="28"/>
          <w:szCs w:val="28"/>
        </w:rPr>
        <w:t>到期预警</w:t>
      </w:r>
      <w:bookmarkEnd w:id="754"/>
    </w:p>
    <w:p>
      <w:pPr>
        <w:spacing w:line="360" w:lineRule="auto"/>
        <w:ind w:firstLine="638" w:firstLineChars="228"/>
        <w:rPr>
          <w:rFonts w:ascii="仿宋" w:hAnsi="仿宋" w:eastAsia="仿宋" w:cs="仿宋"/>
          <w:sz w:val="28"/>
          <w:szCs w:val="28"/>
        </w:rPr>
      </w:pPr>
      <w:r>
        <w:rPr>
          <w:rFonts w:ascii="仿宋" w:hAnsi="仿宋" w:eastAsia="仿宋" w:cs="仿宋"/>
          <w:sz w:val="28"/>
          <w:szCs w:val="28"/>
        </w:rPr>
        <w:t>支持合同即将到期提醒、合同到期提醒、合同逾期提醒，规避合同逾期、规避空置风险。</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支持对到期、逾期欠费进行预警提醒。</w:t>
      </w:r>
    </w:p>
    <w:p>
      <w:pPr>
        <w:numPr>
          <w:ilvl w:val="0"/>
          <w:numId w:val="34"/>
        </w:numPr>
        <w:adjustRightInd w:val="0"/>
        <w:snapToGrid w:val="0"/>
        <w:spacing w:line="560" w:lineRule="exact"/>
        <w:ind w:firstLine="641"/>
        <w:outlineLvl w:val="2"/>
        <w:rPr>
          <w:rFonts w:ascii="仿宋" w:hAnsi="仿宋" w:eastAsia="仿宋" w:cs="仿宋"/>
          <w:b/>
          <w:bCs/>
          <w:snapToGrid w:val="0"/>
          <w:kern w:val="0"/>
          <w:sz w:val="28"/>
          <w:szCs w:val="28"/>
        </w:rPr>
      </w:pPr>
      <w:bookmarkStart w:id="755" w:name="_Toc26897"/>
      <w:r>
        <w:rPr>
          <w:rFonts w:hint="eastAsia" w:ascii="仿宋" w:hAnsi="仿宋" w:eastAsia="仿宋" w:cs="仿宋"/>
          <w:b/>
          <w:bCs/>
          <w:snapToGrid w:val="0"/>
          <w:kern w:val="0"/>
          <w:sz w:val="28"/>
          <w:szCs w:val="28"/>
        </w:rPr>
        <w:t>预警消息提示</w:t>
      </w:r>
      <w:bookmarkEnd w:id="755"/>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支持在根据资源面积、到期空置时长，进行分级预警设置。不同级别预警主动提醒不同领导和人员。</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支持通过资产管理移动app端通知提醒。</w:t>
      </w: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756" w:name="_Toc12494"/>
      <w:bookmarkStart w:id="757" w:name="_Toc5881"/>
      <w:bookmarkStart w:id="758" w:name="_Toc180507135"/>
      <w:bookmarkStart w:id="759" w:name="_Toc7354"/>
      <w:bookmarkStart w:id="760" w:name="_Toc15465"/>
      <w:r>
        <w:rPr>
          <w:rFonts w:hint="eastAsia" w:ascii="方正楷体_GB2312" w:hAnsi="方正楷体_GB2312" w:eastAsia="方正楷体_GB2312" w:cs="方正楷体_GB2312"/>
          <w:b/>
          <w:sz w:val="32"/>
        </w:rPr>
        <w:t>移动端系统功能</w:t>
      </w:r>
      <w:bookmarkEnd w:id="756"/>
      <w:bookmarkEnd w:id="757"/>
      <w:bookmarkEnd w:id="758"/>
      <w:bookmarkEnd w:id="759"/>
      <w:bookmarkEnd w:id="760"/>
    </w:p>
    <w:p>
      <w:pPr>
        <w:numPr>
          <w:ilvl w:val="0"/>
          <w:numId w:val="35"/>
        </w:numPr>
        <w:adjustRightInd w:val="0"/>
        <w:snapToGrid w:val="0"/>
        <w:spacing w:line="560" w:lineRule="exact"/>
        <w:ind w:firstLine="641"/>
        <w:outlineLvl w:val="2"/>
        <w:rPr>
          <w:rFonts w:ascii="仿宋" w:hAnsi="仿宋" w:eastAsia="仿宋" w:cs="仿宋"/>
          <w:b/>
          <w:bCs/>
          <w:snapToGrid w:val="0"/>
          <w:kern w:val="0"/>
          <w:sz w:val="28"/>
          <w:szCs w:val="28"/>
        </w:rPr>
      </w:pPr>
      <w:bookmarkStart w:id="761" w:name="_Toc7930"/>
      <w:r>
        <w:rPr>
          <w:rFonts w:hint="eastAsia" w:ascii="仿宋" w:hAnsi="仿宋" w:eastAsia="仿宋" w:cs="仿宋"/>
          <w:b/>
          <w:bCs/>
          <w:snapToGrid w:val="0"/>
          <w:kern w:val="0"/>
          <w:sz w:val="28"/>
          <w:szCs w:val="28"/>
        </w:rPr>
        <w:t>资产管理</w:t>
      </w:r>
      <w:r>
        <w:rPr>
          <w:rFonts w:ascii="仿宋" w:hAnsi="仿宋" w:eastAsia="仿宋" w:cs="仿宋"/>
          <w:b/>
          <w:bCs/>
          <w:snapToGrid w:val="0"/>
          <w:kern w:val="0"/>
          <w:sz w:val="28"/>
          <w:szCs w:val="28"/>
        </w:rPr>
        <w:t>APP</w:t>
      </w:r>
      <w:bookmarkEnd w:id="761"/>
    </w:p>
    <w:p>
      <w:pPr>
        <w:numPr>
          <w:ilvl w:val="0"/>
          <w:numId w:val="36"/>
        </w:numPr>
        <w:adjustRightInd w:val="0"/>
        <w:snapToGrid w:val="0"/>
        <w:spacing w:line="560" w:lineRule="exact"/>
        <w:ind w:left="638" w:leftChars="304"/>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移动审批</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支持资产管理系统、租赁管理系统发起的业务电子审批单，通过手机进行移动审批，包括：消息查阅、转发、打回、退回、同意等操作。</w:t>
      </w:r>
    </w:p>
    <w:p>
      <w:pPr>
        <w:numPr>
          <w:ilvl w:val="0"/>
          <w:numId w:val="36"/>
        </w:numPr>
        <w:adjustRightInd w:val="0"/>
        <w:snapToGrid w:val="0"/>
        <w:spacing w:line="560" w:lineRule="exact"/>
        <w:ind w:left="638" w:leftChars="304"/>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移动报表</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支持在移动端构建符合手机端查看和使用习惯的资产管理、租赁管理的简讯、预警提醒和移动端报表。</w:t>
      </w:r>
    </w:p>
    <w:p>
      <w:pPr>
        <w:numPr>
          <w:ilvl w:val="0"/>
          <w:numId w:val="36"/>
        </w:numPr>
        <w:adjustRightInd w:val="0"/>
        <w:snapToGrid w:val="0"/>
        <w:spacing w:line="560" w:lineRule="exact"/>
        <w:ind w:left="638" w:leftChars="304"/>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移动业务办理</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支持资产管理系统、租赁管理系统的部分业务执行过程通过手机端移动处理。如工作待办、巡检、汇报、整改等。</w:t>
      </w:r>
    </w:p>
    <w:p>
      <w:pPr>
        <w:numPr>
          <w:ilvl w:val="0"/>
          <w:numId w:val="35"/>
        </w:numPr>
        <w:adjustRightInd w:val="0"/>
        <w:snapToGrid w:val="0"/>
        <w:spacing w:line="560" w:lineRule="exact"/>
        <w:ind w:firstLine="641"/>
        <w:outlineLvl w:val="2"/>
        <w:rPr>
          <w:rFonts w:ascii="仿宋" w:hAnsi="仿宋" w:eastAsia="仿宋" w:cs="仿宋"/>
          <w:b/>
          <w:bCs/>
          <w:snapToGrid w:val="0"/>
          <w:kern w:val="0"/>
          <w:sz w:val="28"/>
          <w:szCs w:val="28"/>
        </w:rPr>
      </w:pPr>
      <w:bookmarkStart w:id="762" w:name="_Toc23468"/>
      <w:r>
        <w:rPr>
          <w:rFonts w:hint="eastAsia" w:ascii="仿宋" w:hAnsi="仿宋" w:eastAsia="仿宋" w:cs="仿宋"/>
          <w:b/>
          <w:bCs/>
          <w:snapToGrid w:val="0"/>
          <w:kern w:val="0"/>
          <w:sz w:val="28"/>
          <w:szCs w:val="28"/>
        </w:rPr>
        <w:t>对客门户小程序</w:t>
      </w:r>
      <w:bookmarkEnd w:id="762"/>
    </w:p>
    <w:p>
      <w:pPr>
        <w:numPr>
          <w:ilvl w:val="0"/>
          <w:numId w:val="37"/>
        </w:numPr>
        <w:adjustRightInd w:val="0"/>
        <w:snapToGrid w:val="0"/>
        <w:spacing w:line="560" w:lineRule="exact"/>
        <w:ind w:left="638" w:leftChars="304"/>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招商门户</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支持在线展示租赁资源、租客在线看房、在线预约、在线留电等互动。</w:t>
      </w:r>
    </w:p>
    <w:p>
      <w:pPr>
        <w:numPr>
          <w:ilvl w:val="0"/>
          <w:numId w:val="37"/>
        </w:numPr>
        <w:adjustRightInd w:val="0"/>
        <w:snapToGrid w:val="0"/>
        <w:spacing w:line="560" w:lineRule="exact"/>
        <w:ind w:left="638" w:leftChars="304"/>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租赁门户</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支持在线签约、在线查阅合同、在线查询欠费、在线缴纳租金。</w:t>
      </w:r>
    </w:p>
    <w:p>
      <w:pPr>
        <w:numPr>
          <w:ilvl w:val="0"/>
          <w:numId w:val="37"/>
        </w:numPr>
        <w:adjustRightInd w:val="0"/>
        <w:snapToGrid w:val="0"/>
        <w:spacing w:line="560" w:lineRule="exact"/>
        <w:ind w:left="638" w:leftChars="304"/>
        <w:outlineLvl w:val="3"/>
        <w:rPr>
          <w:rFonts w:ascii="仿宋" w:hAnsi="仿宋" w:eastAsia="仿宋" w:cs="仿宋"/>
          <w:snapToGrid w:val="0"/>
          <w:kern w:val="0"/>
          <w:sz w:val="28"/>
          <w:szCs w:val="28"/>
        </w:rPr>
      </w:pPr>
      <w:r>
        <w:rPr>
          <w:rFonts w:hint="eastAsia" w:ascii="仿宋" w:hAnsi="仿宋" w:eastAsia="仿宋" w:cs="仿宋"/>
          <w:snapToGrid w:val="0"/>
          <w:kern w:val="0"/>
          <w:sz w:val="28"/>
          <w:szCs w:val="28"/>
        </w:rPr>
        <w:t>服务门户</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支持服务在线申请，工单统一调度管理，客服在线处理提高服务效率。</w:t>
      </w:r>
    </w:p>
    <w:p>
      <w:pPr>
        <w:spacing w:line="360" w:lineRule="auto"/>
        <w:ind w:firstLine="638" w:firstLineChars="228"/>
        <w:rPr>
          <w:rFonts w:ascii="仿宋" w:hAnsi="仿宋" w:eastAsia="仿宋" w:cs="仿宋"/>
          <w:sz w:val="28"/>
          <w:szCs w:val="28"/>
        </w:rPr>
      </w:pPr>
      <w:r>
        <w:rPr>
          <w:rFonts w:ascii="仿宋" w:hAnsi="仿宋" w:eastAsia="仿宋" w:cs="仿宋"/>
          <w:sz w:val="28"/>
          <w:szCs w:val="28"/>
        </w:rPr>
        <w:t>支持动态监控工单处理进度，工单逾期自动提醒，客户在线进度查询，客户在线费用确认，满意度回访。</w:t>
      </w:r>
    </w:p>
    <w:p>
      <w:pPr>
        <w:keepNext/>
        <w:keepLines/>
        <w:numPr>
          <w:ilvl w:val="1"/>
          <w:numId w:val="0"/>
        </w:numPr>
        <w:spacing w:before="260" w:after="260" w:line="413" w:lineRule="auto"/>
        <w:outlineLvl w:val="1"/>
        <w:rPr>
          <w:rFonts w:ascii="方正楷体_GB2312" w:hAnsi="方正楷体_GB2312" w:eastAsia="方正楷体_GB2312" w:cs="方正楷体_GB2312"/>
          <w:b/>
          <w:sz w:val="32"/>
        </w:rPr>
      </w:pPr>
      <w:bookmarkStart w:id="763" w:name="_Toc18902"/>
      <w:bookmarkStart w:id="764" w:name="_Toc28359"/>
      <w:bookmarkStart w:id="765" w:name="_Toc26519"/>
      <w:bookmarkStart w:id="766" w:name="_Toc180507136"/>
      <w:r>
        <w:rPr>
          <w:rFonts w:hint="eastAsia" w:ascii="方正楷体_GB2312" w:hAnsi="方正楷体_GB2312" w:eastAsia="方正楷体_GB2312" w:cs="方正楷体_GB2312"/>
          <w:b/>
          <w:sz w:val="32"/>
        </w:rPr>
        <w:t>系统集成</w:t>
      </w:r>
      <w:bookmarkEnd w:id="763"/>
      <w:bookmarkEnd w:id="764"/>
      <w:bookmarkEnd w:id="765"/>
      <w:bookmarkEnd w:id="766"/>
    </w:p>
    <w:p>
      <w:pPr>
        <w:numPr>
          <w:ilvl w:val="0"/>
          <w:numId w:val="38"/>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67" w:name="_Toc24139"/>
      <w:r>
        <w:rPr>
          <w:rFonts w:hint="eastAsia" w:ascii="仿宋" w:hAnsi="仿宋" w:eastAsia="仿宋" w:cs="仿宋"/>
          <w:b/>
          <w:bCs/>
          <w:snapToGrid w:val="0"/>
          <w:kern w:val="0"/>
          <w:sz w:val="28"/>
          <w:szCs w:val="28"/>
        </w:rPr>
        <w:t>业财一体</w:t>
      </w:r>
      <w:bookmarkEnd w:id="767"/>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支持租赁管理系统收费模块与财务系统进行打通。通过表单或赁证的形式，将租赁系统中的收款、结转、退款等业务场景产生的财务数据，以接口的方式传输至财务系统，方便财务系统完成凭证等的后续业务。</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支持资产系统资产大类与财务科目同步，并抓取资产相关数据，如融资、抵押、资产价值，保障业务财务数据的一致性。</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支持业务端在线开票，财务端在线审核，避免错开多开。</w:t>
      </w:r>
    </w:p>
    <w:p>
      <w:pPr>
        <w:numPr>
          <w:ilvl w:val="0"/>
          <w:numId w:val="38"/>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68" w:name="_Toc24836"/>
      <w:r>
        <w:rPr>
          <w:rFonts w:hint="eastAsia" w:ascii="仿宋" w:hAnsi="仿宋" w:eastAsia="仿宋" w:cs="仿宋"/>
          <w:b/>
          <w:bCs/>
          <w:snapToGrid w:val="0"/>
          <w:kern w:val="0"/>
          <w:sz w:val="28"/>
          <w:szCs w:val="28"/>
        </w:rPr>
        <w:t>租售一体</w:t>
      </w:r>
      <w:bookmarkEnd w:id="768"/>
      <w:r>
        <w:rPr>
          <w:rFonts w:hint="eastAsia" w:ascii="仿宋" w:hAnsi="仿宋" w:eastAsia="仿宋" w:cs="仿宋"/>
          <w:b/>
          <w:bCs/>
          <w:snapToGrid w:val="0"/>
          <w:kern w:val="0"/>
          <w:sz w:val="28"/>
          <w:szCs w:val="28"/>
        </w:rPr>
        <w:t>化管理</w:t>
      </w:r>
    </w:p>
    <w:p>
      <w:pPr>
        <w:widowControl/>
        <w:spacing w:line="360" w:lineRule="auto"/>
        <w:ind w:firstLine="560" w:firstLineChars="200"/>
        <w:rPr>
          <w:rFonts w:ascii="仿宋" w:hAnsi="仿宋" w:eastAsia="仿宋" w:cs="仿宋"/>
          <w:snapToGrid w:val="0"/>
          <w:kern w:val="0"/>
          <w:sz w:val="28"/>
          <w:szCs w:val="28"/>
        </w:rPr>
      </w:pPr>
      <w:r>
        <w:rPr>
          <w:rFonts w:hint="eastAsia" w:ascii="仿宋" w:hAnsi="仿宋" w:eastAsia="仿宋" w:cs="仿宋"/>
          <w:snapToGrid w:val="0"/>
          <w:kern w:val="0"/>
          <w:sz w:val="28"/>
          <w:szCs w:val="28"/>
        </w:rPr>
        <w:t>新建资产管理平台与已建成的轨道集团房地产销售系统（</w:t>
      </w:r>
      <w:r>
        <w:rPr>
          <w:rFonts w:hint="eastAsia" w:ascii="仿宋" w:hAnsi="仿宋" w:eastAsia="仿宋" w:cs="仿宋"/>
          <w:sz w:val="28"/>
          <w:szCs w:val="28"/>
        </w:rPr>
        <w:t>版本号：明源销售系统V4.5</w:t>
      </w:r>
      <w:r>
        <w:rPr>
          <w:rFonts w:hint="eastAsia" w:ascii="仿宋" w:hAnsi="仿宋" w:eastAsia="仿宋" w:cs="仿宋"/>
          <w:snapToGrid w:val="0"/>
          <w:kern w:val="0"/>
          <w:sz w:val="28"/>
          <w:szCs w:val="28"/>
        </w:rPr>
        <w:t>）互联互通，租售一体，实现资产统一管理。</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租售一体主要包括：资源拉通、流程拉通、业务联动、数据联动等方面，防范多头签约、数据错误、商务违约等风险。</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资源拉通是通过资产管理系统可以对租赁系统和房产销售系统进行直接资产分类授权，资产档案同步。</w:t>
      </w:r>
    </w:p>
    <w:p>
      <w:pPr>
        <w:numPr>
          <w:ilvl w:val="0"/>
          <w:numId w:val="38"/>
        </w:numPr>
        <w:adjustRightInd w:val="0"/>
        <w:snapToGrid w:val="0"/>
        <w:spacing w:line="560" w:lineRule="exact"/>
        <w:ind w:left="0" w:firstLine="641" w:firstLineChars="228"/>
        <w:outlineLvl w:val="2"/>
        <w:rPr>
          <w:rFonts w:ascii="仿宋" w:hAnsi="仿宋" w:eastAsia="仿宋" w:cs="仿宋"/>
          <w:b/>
          <w:bCs/>
          <w:snapToGrid w:val="0"/>
          <w:kern w:val="0"/>
          <w:sz w:val="28"/>
          <w:szCs w:val="28"/>
        </w:rPr>
      </w:pPr>
      <w:bookmarkStart w:id="769" w:name="_Toc16831"/>
      <w:r>
        <w:rPr>
          <w:rFonts w:hint="eastAsia" w:ascii="仿宋" w:hAnsi="仿宋" w:eastAsia="仿宋" w:cs="仿宋"/>
          <w:b/>
          <w:bCs/>
          <w:snapToGrid w:val="0"/>
          <w:kern w:val="0"/>
          <w:sz w:val="28"/>
          <w:szCs w:val="28"/>
        </w:rPr>
        <w:t>电子签章集成接口</w:t>
      </w:r>
      <w:bookmarkEnd w:id="769"/>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从规范用章出发，在允许电子单据、电子文书的场景，通过系统集成引入合法合规的电子签章平台服务。</w:t>
      </w:r>
    </w:p>
    <w:p>
      <w:pPr>
        <w:spacing w:line="360" w:lineRule="auto"/>
        <w:ind w:firstLine="560" w:firstLineChars="200"/>
        <w:rPr>
          <w:rFonts w:ascii="Calibri" w:hAnsi="Calibri"/>
        </w:rPr>
      </w:pPr>
      <w:r>
        <w:rPr>
          <w:rFonts w:ascii="仿宋" w:hAnsi="仿宋" w:eastAsia="仿宋" w:cs="仿宋"/>
          <w:sz w:val="28"/>
          <w:szCs w:val="28"/>
        </w:rPr>
        <w:t>如电子合同、电子协议、电子收</w:t>
      </w:r>
      <w:r>
        <w:rPr>
          <w:rFonts w:hint="eastAsia" w:ascii="仿宋" w:hAnsi="仿宋" w:eastAsia="仿宋" w:cs="仿宋"/>
          <w:sz w:val="28"/>
          <w:szCs w:val="28"/>
        </w:rPr>
        <w:t>据</w:t>
      </w:r>
      <w:r>
        <w:rPr>
          <w:rFonts w:ascii="仿宋" w:hAnsi="仿宋" w:eastAsia="仿宋" w:cs="仿宋"/>
          <w:sz w:val="28"/>
          <w:szCs w:val="28"/>
        </w:rPr>
        <w:t>、电子催费单等。</w:t>
      </w:r>
    </w:p>
    <w:p>
      <w:pPr>
        <w:numPr>
          <w:ilvl w:val="0"/>
          <w:numId w:val="38"/>
        </w:numPr>
        <w:adjustRightInd w:val="0"/>
        <w:snapToGrid w:val="0"/>
        <w:spacing w:line="560" w:lineRule="exact"/>
        <w:ind w:left="15" w:leftChars="7" w:firstLine="627" w:firstLineChars="223"/>
        <w:outlineLvl w:val="2"/>
        <w:rPr>
          <w:rFonts w:ascii="仿宋" w:hAnsi="仿宋" w:eastAsia="仿宋" w:cs="仿宋"/>
          <w:b/>
          <w:bCs/>
          <w:snapToGrid w:val="0"/>
          <w:kern w:val="0"/>
          <w:sz w:val="28"/>
          <w:szCs w:val="28"/>
        </w:rPr>
      </w:pPr>
      <w:r>
        <w:rPr>
          <w:rFonts w:hint="eastAsia" w:ascii="仿宋" w:hAnsi="仿宋" w:eastAsia="仿宋" w:cs="仿宋"/>
          <w:b/>
          <w:bCs/>
          <w:snapToGrid w:val="0"/>
          <w:kern w:val="0"/>
          <w:sz w:val="28"/>
          <w:szCs w:val="28"/>
        </w:rPr>
        <w:t>对客平台集成</w:t>
      </w:r>
    </w:p>
    <w:p>
      <w:pPr>
        <w:widowControl/>
        <w:spacing w:line="360" w:lineRule="auto"/>
        <w:ind w:firstLine="638" w:firstLineChars="228"/>
        <w:rPr>
          <w:rFonts w:ascii="仿宋" w:hAnsi="仿宋" w:eastAsia="仿宋" w:cs="仿宋"/>
          <w:snapToGrid w:val="0"/>
          <w:kern w:val="0"/>
          <w:sz w:val="28"/>
          <w:szCs w:val="28"/>
        </w:rPr>
      </w:pPr>
      <w:r>
        <w:rPr>
          <w:rFonts w:hint="eastAsia" w:ascii="仿宋" w:hAnsi="仿宋" w:eastAsia="仿宋" w:cs="仿宋"/>
          <w:snapToGrid w:val="0"/>
          <w:kern w:val="0"/>
          <w:sz w:val="28"/>
          <w:szCs w:val="28"/>
        </w:rPr>
        <w:t>支持资产管理系统与集团对客平台对接集成，就租赁房源信息统一展</w:t>
      </w:r>
    </w:p>
    <w:p>
      <w:pPr>
        <w:widowControl/>
        <w:spacing w:line="360" w:lineRule="auto"/>
        <w:rPr>
          <w:rFonts w:ascii="仿宋" w:hAnsi="仿宋" w:eastAsia="仿宋" w:cs="仿宋"/>
          <w:snapToGrid w:val="0"/>
          <w:kern w:val="0"/>
          <w:sz w:val="28"/>
          <w:szCs w:val="28"/>
        </w:rPr>
      </w:pPr>
      <w:r>
        <w:rPr>
          <w:rFonts w:hint="eastAsia" w:ascii="仿宋" w:hAnsi="仿宋" w:eastAsia="仿宋" w:cs="仿宋"/>
          <w:snapToGrid w:val="0"/>
          <w:kern w:val="0"/>
          <w:sz w:val="28"/>
          <w:szCs w:val="28"/>
        </w:rPr>
        <w:t>示和客户服务统一入口。</w:t>
      </w:r>
    </w:p>
    <w:p>
      <w:pPr>
        <w:pStyle w:val="4"/>
      </w:pPr>
    </w:p>
    <w:p>
      <w:pPr>
        <w:keepNext/>
        <w:keepLines/>
        <w:spacing w:before="340" w:after="330" w:line="578" w:lineRule="auto"/>
        <w:outlineLvl w:val="1"/>
        <w:rPr>
          <w:rFonts w:ascii="黑体" w:hAnsi="黑体" w:eastAsia="黑体" w:cs="黑体"/>
          <w:b/>
          <w:bCs/>
          <w:kern w:val="44"/>
          <w:sz w:val="32"/>
          <w:szCs w:val="32"/>
        </w:rPr>
      </w:pPr>
      <w:bookmarkStart w:id="770" w:name="_Toc18468"/>
      <w:bookmarkStart w:id="771" w:name="_Toc10481"/>
      <w:bookmarkStart w:id="772" w:name="_Toc633"/>
      <w:bookmarkStart w:id="773" w:name="_Toc180507137"/>
      <w:bookmarkStart w:id="774" w:name="_Toc8618"/>
      <w:r>
        <w:rPr>
          <w:rFonts w:hint="eastAsia" w:ascii="黑体" w:hAnsi="黑体" w:eastAsia="黑体" w:cs="黑体"/>
          <w:b/>
          <w:bCs/>
          <w:kern w:val="44"/>
          <w:sz w:val="32"/>
          <w:szCs w:val="32"/>
        </w:rPr>
        <w:t>产品规划</w:t>
      </w:r>
      <w:bookmarkEnd w:id="770"/>
      <w:bookmarkEnd w:id="771"/>
      <w:bookmarkEnd w:id="772"/>
      <w:bookmarkEnd w:id="773"/>
      <w:bookmarkEnd w:id="774"/>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本次资产管理系统规划由以下产品模块组成：</w:t>
      </w:r>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1.电脑端系统：资产管理系统+租赁管理系统</w:t>
      </w:r>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2.移动端系统：资产管理APP</w:t>
      </w:r>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3.客户端系统：线上对客小程序（对客商、对招商、对租赁服务）</w:t>
      </w:r>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4、国资上报系统：国资数据上报模块</w:t>
      </w:r>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5、“资产一本账”：集团统一资产台账</w:t>
      </w:r>
    </w:p>
    <w:p>
      <w:pPr>
        <w:widowControl/>
        <w:spacing w:line="360" w:lineRule="auto"/>
        <w:ind w:firstLine="640"/>
        <w:rPr>
          <w:rFonts w:ascii="仿宋" w:hAnsi="仿宋" w:eastAsia="仿宋" w:cs="仿宋"/>
          <w:kern w:val="0"/>
          <w:sz w:val="28"/>
          <w:szCs w:val="28"/>
        </w:rPr>
      </w:pPr>
      <w:r>
        <w:rPr>
          <w:rFonts w:hint="eastAsia" w:ascii="仿宋" w:hAnsi="仿宋" w:eastAsia="仿宋" w:cs="仿宋"/>
          <w:kern w:val="0"/>
          <w:sz w:val="28"/>
          <w:szCs w:val="28"/>
        </w:rPr>
        <w:t>6、“布局一幅图”：集团统一资产布局地图</w:t>
      </w:r>
    </w:p>
    <w:p>
      <w:pPr>
        <w:spacing w:line="360" w:lineRule="auto"/>
        <w:ind w:firstLine="638" w:firstLineChars="228"/>
        <w:rPr>
          <w:rFonts w:ascii="仿宋" w:hAnsi="仿宋" w:eastAsia="仿宋" w:cs="仿宋"/>
          <w:sz w:val="28"/>
          <w:szCs w:val="28"/>
        </w:rPr>
      </w:pPr>
      <w:r>
        <w:rPr>
          <w:rFonts w:hint="eastAsia" w:ascii="仿宋" w:hAnsi="仿宋" w:eastAsia="仿宋" w:cs="仿宋"/>
          <w:sz w:val="28"/>
          <w:szCs w:val="28"/>
        </w:rPr>
        <w:t>7、“管理一张屏”：集团统一管理数据分析大屏（整套）</w:t>
      </w:r>
    </w:p>
    <w:p>
      <w:pPr>
        <w:spacing w:line="360" w:lineRule="auto"/>
        <w:ind w:firstLine="638" w:firstLineChars="228"/>
        <w:rPr>
          <w:rFonts w:ascii="仿宋" w:hAnsi="仿宋" w:eastAsia="仿宋" w:cs="仿宋"/>
          <w:sz w:val="28"/>
          <w:szCs w:val="36"/>
        </w:rPr>
      </w:pPr>
      <w:r>
        <w:rPr>
          <w:rFonts w:hint="eastAsia" w:ascii="仿宋" w:hAnsi="仿宋" w:eastAsia="仿宋" w:cs="仿宋"/>
          <w:sz w:val="28"/>
          <w:szCs w:val="36"/>
        </w:rPr>
        <w:t>8、系统提供满足1000人在线使用的账号数量。</w:t>
      </w:r>
    </w:p>
    <w:p>
      <w:pPr>
        <w:keepNext/>
        <w:keepLines/>
        <w:spacing w:before="340" w:after="330" w:line="578" w:lineRule="auto"/>
        <w:outlineLvl w:val="1"/>
        <w:rPr>
          <w:rFonts w:ascii="黑体" w:hAnsi="黑体" w:eastAsia="黑体" w:cs="黑体"/>
          <w:b/>
          <w:bCs/>
          <w:kern w:val="44"/>
          <w:sz w:val="32"/>
          <w:szCs w:val="32"/>
        </w:rPr>
      </w:pPr>
      <w:bookmarkStart w:id="775" w:name="_Toc23447"/>
      <w:bookmarkStart w:id="776" w:name="_Toc6820"/>
      <w:bookmarkStart w:id="777" w:name="_Toc21273"/>
      <w:bookmarkStart w:id="778" w:name="_Toc180507138"/>
      <w:r>
        <w:rPr>
          <w:rFonts w:hint="eastAsia" w:ascii="黑体" w:hAnsi="黑体" w:eastAsia="黑体" w:cs="黑体"/>
          <w:b/>
          <w:bCs/>
          <w:kern w:val="44"/>
          <w:sz w:val="32"/>
          <w:szCs w:val="32"/>
        </w:rPr>
        <w:t>配套服务能力规划</w:t>
      </w:r>
      <w:bookmarkEnd w:id="775"/>
      <w:bookmarkEnd w:id="776"/>
      <w:bookmarkEnd w:id="777"/>
      <w:bookmarkEnd w:id="778"/>
    </w:p>
    <w:p>
      <w:pPr>
        <w:numPr>
          <w:ilvl w:val="0"/>
          <w:numId w:val="39"/>
        </w:numPr>
        <w:spacing w:line="360" w:lineRule="auto"/>
        <w:ind w:firstLine="638" w:firstLineChars="228"/>
        <w:rPr>
          <w:rFonts w:ascii="仿宋" w:hAnsi="仿宋" w:eastAsia="仿宋" w:cs="仿宋"/>
          <w:sz w:val="28"/>
          <w:szCs w:val="36"/>
        </w:rPr>
      </w:pPr>
      <w:r>
        <w:rPr>
          <w:rFonts w:hint="eastAsia" w:ascii="仿宋" w:hAnsi="仿宋" w:eastAsia="仿宋" w:cs="仿宋"/>
          <w:sz w:val="28"/>
          <w:szCs w:val="36"/>
        </w:rPr>
        <w:t>投标人需有资产盘清服务的专业能力和经验。</w:t>
      </w:r>
    </w:p>
    <w:p>
      <w:pPr>
        <w:numPr>
          <w:ilvl w:val="0"/>
          <w:numId w:val="39"/>
        </w:numPr>
        <w:spacing w:line="360" w:lineRule="auto"/>
        <w:ind w:firstLine="638" w:firstLineChars="228"/>
        <w:rPr>
          <w:rFonts w:ascii="仿宋" w:hAnsi="仿宋" w:eastAsia="仿宋" w:cs="仿宋"/>
          <w:sz w:val="28"/>
          <w:szCs w:val="36"/>
        </w:rPr>
      </w:pPr>
      <w:r>
        <w:rPr>
          <w:rFonts w:hint="eastAsia" w:ascii="仿宋" w:hAnsi="仿宋" w:eastAsia="仿宋" w:cs="仿宋"/>
          <w:sz w:val="28"/>
          <w:szCs w:val="36"/>
        </w:rPr>
        <w:t>投标人需有资产管理和租赁管理业务体系梳理的专业能力和经验。</w:t>
      </w:r>
    </w:p>
    <w:p>
      <w:pPr>
        <w:pStyle w:val="4"/>
        <w:rPr>
          <w:rFonts w:ascii="等线" w:hAnsi="等线" w:eastAsia="等线" w:cs="等线"/>
          <w:kern w:val="0"/>
          <w:sz w:val="20"/>
          <w:szCs w:val="20"/>
          <w:lang w:bidi="ar"/>
        </w:rPr>
      </w:pPr>
      <w:bookmarkStart w:id="779" w:name="_Toc30243"/>
      <w:bookmarkStart w:id="780" w:name="_Toc180507139"/>
      <w:bookmarkStart w:id="781" w:name="_Toc990"/>
      <w:bookmarkStart w:id="782" w:name="_Toc15968"/>
    </w:p>
    <w:p>
      <w:pPr>
        <w:keepNext/>
        <w:keepLines/>
        <w:spacing w:before="340" w:after="330" w:line="578" w:lineRule="auto"/>
        <w:outlineLvl w:val="1"/>
        <w:rPr>
          <w:rFonts w:ascii="黑体" w:hAnsi="黑体" w:eastAsia="黑体" w:cs="黑体"/>
          <w:b/>
          <w:bCs/>
          <w:kern w:val="44"/>
          <w:sz w:val="32"/>
          <w:szCs w:val="32"/>
        </w:rPr>
      </w:pPr>
      <w:r>
        <w:rPr>
          <w:rFonts w:hint="eastAsia" w:ascii="黑体" w:hAnsi="黑体" w:eastAsia="黑体" w:cs="黑体"/>
          <w:b/>
          <w:bCs/>
          <w:kern w:val="44"/>
          <w:sz w:val="32"/>
          <w:szCs w:val="32"/>
        </w:rPr>
        <w:t>系统运行环境配套规划</w:t>
      </w:r>
    </w:p>
    <w:p>
      <w:pPr>
        <w:numPr>
          <w:ilvl w:val="255"/>
          <w:numId w:val="0"/>
        </w:numPr>
        <w:spacing w:line="360" w:lineRule="auto"/>
        <w:ind w:firstLine="638" w:firstLineChars="228"/>
        <w:rPr>
          <w:rFonts w:ascii="仿宋" w:hAnsi="仿宋" w:eastAsia="仿宋" w:cs="仿宋"/>
          <w:sz w:val="28"/>
          <w:szCs w:val="36"/>
        </w:rPr>
      </w:pPr>
      <w:r>
        <w:rPr>
          <w:rFonts w:hint="eastAsia" w:ascii="仿宋" w:hAnsi="仿宋" w:eastAsia="仿宋" w:cs="仿宋"/>
          <w:sz w:val="28"/>
          <w:szCs w:val="36"/>
        </w:rPr>
        <w:t>投标人需配套提供满足系统运行环境和信创安全需求的服务器操作系统</w:t>
      </w:r>
      <w:r>
        <w:rPr>
          <w:rFonts w:ascii="仿宋" w:hAnsi="仿宋" w:eastAsia="仿宋" w:cs="仿宋"/>
          <w:sz w:val="28"/>
          <w:szCs w:val="36"/>
        </w:rPr>
        <w:t>6套、数据库3套和中间件2套。</w:t>
      </w:r>
    </w:p>
    <w:p>
      <w:pPr>
        <w:spacing w:line="360" w:lineRule="auto"/>
        <w:rPr>
          <w:rFonts w:ascii="黑体" w:hAnsi="黑体" w:eastAsia="黑体" w:cs="黑体"/>
          <w:b/>
          <w:bCs/>
          <w:kern w:val="44"/>
          <w:sz w:val="32"/>
          <w:szCs w:val="32"/>
        </w:rPr>
      </w:pPr>
    </w:p>
    <w:p>
      <w:pPr>
        <w:keepNext/>
        <w:keepLines/>
        <w:spacing w:before="340" w:after="330" w:line="578" w:lineRule="auto"/>
        <w:outlineLvl w:val="1"/>
        <w:rPr>
          <w:rFonts w:ascii="黑体" w:hAnsi="黑体" w:eastAsia="黑体" w:cs="黑体"/>
          <w:b/>
          <w:bCs/>
          <w:kern w:val="44"/>
          <w:sz w:val="32"/>
          <w:szCs w:val="32"/>
        </w:rPr>
      </w:pPr>
      <w:r>
        <w:rPr>
          <w:rFonts w:hint="eastAsia" w:ascii="黑体" w:hAnsi="黑体" w:eastAsia="黑体" w:cs="黑体"/>
          <w:b/>
          <w:bCs/>
          <w:kern w:val="44"/>
          <w:sz w:val="32"/>
          <w:szCs w:val="32"/>
        </w:rPr>
        <w:t>里程碑节点</w:t>
      </w:r>
      <w:r>
        <w:rPr>
          <w:rFonts w:ascii="黑体" w:hAnsi="黑体" w:eastAsia="黑体" w:cs="黑体"/>
          <w:b/>
          <w:bCs/>
          <w:kern w:val="44"/>
          <w:sz w:val="32"/>
          <w:szCs w:val="32"/>
        </w:rPr>
        <w:t>：</w:t>
      </w:r>
      <w:bookmarkEnd w:id="779"/>
      <w:bookmarkEnd w:id="780"/>
      <w:bookmarkEnd w:id="781"/>
      <w:bookmarkEnd w:id="782"/>
    </w:p>
    <w:p>
      <w:pPr>
        <w:spacing w:line="360" w:lineRule="auto"/>
        <w:ind w:firstLine="638" w:firstLineChars="228"/>
        <w:rPr>
          <w:rFonts w:ascii="仿宋" w:hAnsi="仿宋" w:eastAsia="仿宋" w:cs="仿宋"/>
          <w:sz w:val="28"/>
          <w:szCs w:val="36"/>
        </w:rPr>
      </w:pPr>
      <w:r>
        <w:rPr>
          <w:rFonts w:hint="eastAsia" w:ascii="仿宋" w:hAnsi="仿宋" w:eastAsia="仿宋" w:cs="仿宋"/>
          <w:sz w:val="28"/>
          <w:szCs w:val="36"/>
        </w:rPr>
        <w:t>1、合定签定后35个日历天内完成软件系统安装部署。</w:t>
      </w:r>
    </w:p>
    <w:p>
      <w:pPr>
        <w:spacing w:line="360" w:lineRule="auto"/>
        <w:ind w:firstLine="700" w:firstLineChars="250"/>
        <w:rPr>
          <w:rFonts w:ascii="仿宋" w:hAnsi="仿宋" w:eastAsia="仿宋" w:cs="仿宋"/>
          <w:sz w:val="28"/>
          <w:szCs w:val="36"/>
        </w:rPr>
      </w:pPr>
      <w:r>
        <w:rPr>
          <w:rFonts w:ascii="仿宋" w:hAnsi="仿宋" w:eastAsia="仿宋" w:cs="仿宋"/>
          <w:sz w:val="28"/>
          <w:szCs w:val="36"/>
        </w:rPr>
        <w:t>2</w:t>
      </w:r>
      <w:r>
        <w:rPr>
          <w:rFonts w:hint="eastAsia" w:ascii="仿宋" w:hAnsi="仿宋" w:eastAsia="仿宋" w:cs="仿宋"/>
          <w:sz w:val="28"/>
          <w:szCs w:val="36"/>
        </w:rPr>
        <w:t>、合定签定后125个日历天内达到软件系统上线条件。</w:t>
      </w:r>
    </w:p>
    <w:p>
      <w:pPr>
        <w:pStyle w:val="4"/>
        <w:ind w:firstLine="700" w:firstLineChars="250"/>
        <w:rPr>
          <w:rFonts w:ascii="仿宋" w:hAnsi="仿宋" w:eastAsia="仿宋" w:cs="仿宋"/>
          <w:sz w:val="28"/>
          <w:szCs w:val="36"/>
        </w:rPr>
      </w:pPr>
      <w:r>
        <w:rPr>
          <w:rFonts w:hint="eastAsia" w:ascii="仿宋" w:hAnsi="仿宋" w:eastAsia="仿宋" w:cs="仿宋"/>
          <w:sz w:val="28"/>
          <w:szCs w:val="36"/>
        </w:rPr>
        <w:t>3、合定签定后425个日历天内完成软件系统验收。</w:t>
      </w: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keepNext/>
        <w:keepLines/>
        <w:spacing w:before="340" w:after="330" w:line="578" w:lineRule="auto"/>
        <w:outlineLvl w:val="1"/>
        <w:rPr>
          <w:rFonts w:ascii="黑体" w:hAnsi="黑体" w:eastAsia="黑体" w:cs="黑体"/>
          <w:b/>
          <w:bCs/>
          <w:kern w:val="44"/>
          <w:sz w:val="32"/>
          <w:szCs w:val="32"/>
        </w:rPr>
      </w:pPr>
      <w:r>
        <w:rPr>
          <w:rFonts w:hint="eastAsia" w:ascii="黑体" w:hAnsi="黑体" w:eastAsia="黑体" w:cs="黑体"/>
          <w:b/>
          <w:bCs/>
          <w:kern w:val="44"/>
          <w:sz w:val="32"/>
          <w:szCs w:val="32"/>
        </w:rPr>
        <w:t>招标控制价</w:t>
      </w:r>
      <w:r>
        <w:rPr>
          <w:rFonts w:ascii="黑体" w:hAnsi="黑体" w:eastAsia="黑体" w:cs="黑体"/>
          <w:b/>
          <w:bCs/>
          <w:kern w:val="44"/>
          <w:sz w:val="32"/>
          <w:szCs w:val="32"/>
        </w:rPr>
        <w:t>：</w:t>
      </w:r>
    </w:p>
    <w:tbl>
      <w:tblPr>
        <w:tblStyle w:val="51"/>
        <w:tblW w:w="9578" w:type="dxa"/>
        <w:jc w:val="center"/>
        <w:tblLayout w:type="autofit"/>
        <w:tblCellMar>
          <w:top w:w="0" w:type="dxa"/>
          <w:left w:w="108" w:type="dxa"/>
          <w:bottom w:w="0" w:type="dxa"/>
          <w:right w:w="108" w:type="dxa"/>
        </w:tblCellMar>
      </w:tblPr>
      <w:tblGrid>
        <w:gridCol w:w="1258"/>
        <w:gridCol w:w="2693"/>
        <w:gridCol w:w="4111"/>
        <w:gridCol w:w="1516"/>
      </w:tblGrid>
      <w:tr>
        <w:trPr>
          <w:trHeight w:val="720" w:hRule="atLeast"/>
          <w:jc w:val="center"/>
        </w:trPr>
        <w:tc>
          <w:tcPr>
            <w:tcW w:w="9578" w:type="dxa"/>
            <w:gridSpan w:val="4"/>
            <w:tcBorders>
              <w:top w:val="nil"/>
              <w:left w:val="nil"/>
              <w:bottom w:val="nil"/>
              <w:right w:val="nil"/>
            </w:tcBorders>
            <w:shd w:val="clear" w:color="auto" w:fill="auto"/>
            <w:noWrap/>
            <w:vAlign w:val="center"/>
          </w:tcPr>
          <w:p>
            <w:pPr>
              <w:widowControl/>
              <w:jc w:val="center"/>
              <w:rPr>
                <w:rFonts w:ascii="宋体" w:hAnsi="宋体" w:cs="宋体"/>
                <w:b/>
                <w:bCs/>
                <w:kern w:val="0"/>
                <w:sz w:val="28"/>
                <w:szCs w:val="28"/>
              </w:rPr>
            </w:pPr>
            <w:bookmarkStart w:id="783" w:name="RANGE!A1:D6"/>
            <w:r>
              <w:rPr>
                <w:rFonts w:hint="eastAsia" w:ascii="宋体" w:hAnsi="宋体" w:cs="宋体"/>
                <w:b/>
                <w:bCs/>
                <w:kern w:val="0"/>
                <w:sz w:val="28"/>
                <w:szCs w:val="28"/>
              </w:rPr>
              <w:t>南宁轨道数智科技有限公司资产管理系统采购项目-控制价汇总表</w:t>
            </w:r>
            <w:bookmarkEnd w:id="783"/>
          </w:p>
        </w:tc>
      </w:tr>
      <w:tr>
        <w:trPr>
          <w:trHeight w:val="799"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序号</w:t>
            </w:r>
          </w:p>
        </w:tc>
        <w:tc>
          <w:tcPr>
            <w:tcW w:w="26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项目名称</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金额</w:t>
            </w:r>
            <w:r>
              <w:rPr>
                <w:rFonts w:hint="eastAsia" w:ascii="宋体" w:hAnsi="宋体" w:cs="宋体"/>
                <w:kern w:val="0"/>
                <w:sz w:val="28"/>
                <w:szCs w:val="28"/>
              </w:rPr>
              <w:br w:type="textWrapping"/>
            </w:r>
            <w:r>
              <w:rPr>
                <w:rFonts w:hint="eastAsia" w:ascii="宋体" w:hAnsi="宋体" w:cs="宋体"/>
                <w:kern w:val="0"/>
                <w:sz w:val="28"/>
                <w:szCs w:val="28"/>
              </w:rPr>
              <w:t>（万元）</w:t>
            </w:r>
          </w:p>
        </w:tc>
        <w:tc>
          <w:tcPr>
            <w:tcW w:w="15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备注</w:t>
            </w:r>
          </w:p>
        </w:tc>
      </w:tr>
      <w:tr>
        <w:trPr>
          <w:trHeight w:val="799" w:hRule="atLeast"/>
          <w:jc w:val="center"/>
        </w:trPr>
        <w:tc>
          <w:tcPr>
            <w:tcW w:w="12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1</w:t>
            </w:r>
          </w:p>
        </w:tc>
        <w:tc>
          <w:tcPr>
            <w:tcW w:w="26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8"/>
                <w:szCs w:val="28"/>
              </w:rPr>
            </w:pPr>
            <w:r>
              <w:rPr>
                <w:rFonts w:hint="eastAsia" w:ascii="宋体" w:hAnsi="宋体" w:cs="宋体"/>
                <w:kern w:val="0"/>
                <w:sz w:val="28"/>
                <w:szCs w:val="28"/>
              </w:rPr>
              <w:t>软件产品</w:t>
            </w:r>
          </w:p>
        </w:tc>
        <w:tc>
          <w:tcPr>
            <w:tcW w:w="41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123.73 </w:t>
            </w:r>
          </w:p>
        </w:tc>
        <w:tc>
          <w:tcPr>
            <w:tcW w:w="15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税率13%</w:t>
            </w:r>
          </w:p>
        </w:tc>
      </w:tr>
      <w:tr>
        <w:trPr>
          <w:trHeight w:val="799" w:hRule="atLeast"/>
          <w:jc w:val="center"/>
        </w:trPr>
        <w:tc>
          <w:tcPr>
            <w:tcW w:w="12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2</w:t>
            </w:r>
          </w:p>
        </w:tc>
        <w:tc>
          <w:tcPr>
            <w:tcW w:w="26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8"/>
                <w:szCs w:val="28"/>
              </w:rPr>
            </w:pPr>
            <w:r>
              <w:rPr>
                <w:rFonts w:hint="eastAsia" w:ascii="宋体" w:hAnsi="宋体" w:cs="宋体"/>
                <w:kern w:val="0"/>
                <w:sz w:val="28"/>
                <w:szCs w:val="28"/>
              </w:rPr>
              <w:t>软件服务</w:t>
            </w:r>
          </w:p>
        </w:tc>
        <w:tc>
          <w:tcPr>
            <w:tcW w:w="41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225.27 </w:t>
            </w:r>
          </w:p>
        </w:tc>
        <w:tc>
          <w:tcPr>
            <w:tcW w:w="15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税率6%</w:t>
            </w:r>
          </w:p>
        </w:tc>
      </w:tr>
      <w:tr>
        <w:trPr>
          <w:trHeight w:val="799" w:hRule="atLeast"/>
          <w:jc w:val="center"/>
        </w:trPr>
        <w:tc>
          <w:tcPr>
            <w:tcW w:w="39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8"/>
                <w:szCs w:val="28"/>
              </w:rPr>
            </w:pPr>
            <w:r>
              <w:rPr>
                <w:rFonts w:hint="eastAsia" w:ascii="宋体" w:hAnsi="宋体" w:cs="宋体"/>
                <w:b/>
                <w:bCs/>
                <w:kern w:val="0"/>
                <w:sz w:val="28"/>
                <w:szCs w:val="28"/>
              </w:rPr>
              <w:t>控制价（不含税）</w:t>
            </w:r>
          </w:p>
        </w:tc>
        <w:tc>
          <w:tcPr>
            <w:tcW w:w="41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322.01 </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　</w:t>
            </w:r>
          </w:p>
        </w:tc>
      </w:tr>
      <w:tr>
        <w:trPr>
          <w:trHeight w:val="799" w:hRule="atLeast"/>
          <w:jc w:val="center"/>
        </w:trPr>
        <w:tc>
          <w:tcPr>
            <w:tcW w:w="39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8"/>
                <w:szCs w:val="28"/>
              </w:rPr>
            </w:pPr>
            <w:r>
              <w:rPr>
                <w:rFonts w:hint="eastAsia" w:ascii="宋体" w:hAnsi="宋体" w:cs="宋体"/>
                <w:b/>
                <w:bCs/>
                <w:kern w:val="0"/>
                <w:sz w:val="28"/>
                <w:szCs w:val="28"/>
              </w:rPr>
              <w:t>控制价（含税）</w:t>
            </w:r>
          </w:p>
        </w:tc>
        <w:tc>
          <w:tcPr>
            <w:tcW w:w="41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349.00 </w:t>
            </w:r>
          </w:p>
        </w:tc>
        <w:tc>
          <w:tcPr>
            <w:tcW w:w="15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税率：产品13%，服务6%</w:t>
            </w:r>
          </w:p>
        </w:tc>
      </w:tr>
    </w:tbl>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r>
        <w:rPr>
          <w:rFonts w:ascii="仿宋" w:hAnsi="仿宋" w:eastAsia="仿宋" w:cs="仿宋"/>
          <w:sz w:val="28"/>
          <w:szCs w:val="36"/>
        </w:rPr>
        <w:br w:type="page"/>
      </w:r>
    </w:p>
    <w:tbl>
      <w:tblPr>
        <w:tblStyle w:val="51"/>
        <w:tblW w:w="8505" w:type="dxa"/>
        <w:jc w:val="center"/>
        <w:tblLayout w:type="autofit"/>
        <w:tblCellMar>
          <w:top w:w="0" w:type="dxa"/>
          <w:left w:w="108" w:type="dxa"/>
          <w:bottom w:w="0" w:type="dxa"/>
          <w:right w:w="108" w:type="dxa"/>
        </w:tblCellMar>
      </w:tblPr>
      <w:tblGrid>
        <w:gridCol w:w="851"/>
        <w:gridCol w:w="2693"/>
        <w:gridCol w:w="1985"/>
        <w:gridCol w:w="1842"/>
        <w:gridCol w:w="1134"/>
      </w:tblGrid>
      <w:tr>
        <w:trPr>
          <w:trHeight w:val="619" w:hRule="atLeast"/>
          <w:jc w:val="center"/>
        </w:trPr>
        <w:tc>
          <w:tcPr>
            <w:tcW w:w="7371" w:type="dxa"/>
            <w:gridSpan w:val="4"/>
            <w:tcBorders>
              <w:top w:val="nil"/>
              <w:left w:val="nil"/>
              <w:bottom w:val="nil"/>
              <w:right w:val="nil"/>
            </w:tcBorders>
            <w:shd w:val="clear" w:color="auto" w:fill="auto"/>
            <w:noWrap/>
            <w:vAlign w:val="center"/>
          </w:tcPr>
          <w:p>
            <w:pPr>
              <w:widowControl/>
              <w:jc w:val="center"/>
              <w:rPr>
                <w:rFonts w:ascii="宋体" w:hAnsi="宋体" w:cs="宋体"/>
                <w:b/>
                <w:bCs/>
                <w:kern w:val="0"/>
                <w:sz w:val="28"/>
                <w:szCs w:val="28"/>
              </w:rPr>
            </w:pPr>
            <w:r>
              <w:rPr>
                <w:rFonts w:hint="eastAsia" w:ascii="宋体" w:hAnsi="宋体" w:cs="宋体"/>
                <w:b/>
                <w:bCs/>
                <w:kern w:val="0"/>
                <w:sz w:val="28"/>
                <w:szCs w:val="28"/>
              </w:rPr>
              <w:t>南宁轨道数智科技有限公司资产管理系统采购项目-控制价明细表</w:t>
            </w:r>
          </w:p>
        </w:tc>
        <w:tc>
          <w:tcPr>
            <w:tcW w:w="1134" w:type="dxa"/>
            <w:tcBorders>
              <w:top w:val="nil"/>
              <w:left w:val="nil"/>
              <w:bottom w:val="nil"/>
              <w:right w:val="nil"/>
            </w:tcBorders>
            <w:shd w:val="clear" w:color="auto" w:fill="auto"/>
            <w:noWrap/>
            <w:vAlign w:val="center"/>
          </w:tcPr>
          <w:p>
            <w:pPr>
              <w:widowControl/>
              <w:jc w:val="center"/>
              <w:rPr>
                <w:rFonts w:ascii="宋体" w:hAnsi="宋体" w:cs="宋体"/>
                <w:b/>
                <w:bCs/>
                <w:kern w:val="0"/>
                <w:sz w:val="28"/>
                <w:szCs w:val="28"/>
              </w:rPr>
            </w:pPr>
          </w:p>
        </w:tc>
      </w:tr>
      <w:tr>
        <w:trPr>
          <w:trHeight w:val="702" w:hRule="atLeast"/>
          <w:jc w:val="center"/>
        </w:trPr>
        <w:tc>
          <w:tcPr>
            <w:tcW w:w="85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序号</w:t>
            </w:r>
          </w:p>
        </w:tc>
        <w:tc>
          <w:tcPr>
            <w:tcW w:w="26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服务及建设内容</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不含税控制价</w:t>
            </w:r>
            <w:r>
              <w:rPr>
                <w:rFonts w:hint="eastAsia" w:ascii="宋体" w:hAnsi="宋体" w:cs="宋体"/>
                <w:kern w:val="0"/>
                <w:sz w:val="28"/>
                <w:szCs w:val="28"/>
              </w:rPr>
              <w:br w:type="textWrapping"/>
            </w:r>
            <w:r>
              <w:rPr>
                <w:rFonts w:hint="eastAsia" w:ascii="宋体" w:hAnsi="宋体" w:cs="宋体"/>
                <w:kern w:val="0"/>
                <w:sz w:val="28"/>
                <w:szCs w:val="28"/>
              </w:rPr>
              <w:t>（万元）</w:t>
            </w:r>
          </w:p>
        </w:tc>
        <w:tc>
          <w:tcPr>
            <w:tcW w:w="18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含税控制价</w:t>
            </w:r>
            <w:r>
              <w:rPr>
                <w:rFonts w:hint="eastAsia" w:ascii="宋体" w:hAnsi="宋体" w:cs="宋体"/>
                <w:kern w:val="0"/>
                <w:sz w:val="28"/>
                <w:szCs w:val="28"/>
              </w:rPr>
              <w:br w:type="textWrapping"/>
            </w:r>
            <w:r>
              <w:rPr>
                <w:rFonts w:hint="eastAsia" w:ascii="宋体" w:hAnsi="宋体" w:cs="宋体"/>
                <w:kern w:val="0"/>
                <w:sz w:val="28"/>
                <w:szCs w:val="28"/>
              </w:rPr>
              <w:t>（万元）</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税率</w:t>
            </w:r>
          </w:p>
        </w:tc>
      </w:tr>
      <w:tr>
        <w:trPr>
          <w:trHeight w:val="702"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c>
          <w:tcPr>
            <w:tcW w:w="26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r>
      <w:tr>
        <w:trPr>
          <w:trHeight w:val="363"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c>
          <w:tcPr>
            <w:tcW w:w="26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8"/>
                <w:szCs w:val="28"/>
              </w:rPr>
            </w:pPr>
          </w:p>
        </w:tc>
      </w:tr>
      <w:tr>
        <w:trPr>
          <w:trHeight w:val="702" w:hRule="atLeast"/>
          <w:jc w:val="center"/>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1</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资产管理系统</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29.79 </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33.67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13%</w:t>
            </w:r>
          </w:p>
        </w:tc>
      </w:tr>
      <w:tr>
        <w:trPr>
          <w:trHeight w:val="702" w:hRule="atLeast"/>
          <w:jc w:val="center"/>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2</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租赁管理系统</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41.59 </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47.00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13%</w:t>
            </w:r>
          </w:p>
        </w:tc>
      </w:tr>
      <w:tr>
        <w:trPr>
          <w:trHeight w:val="702" w:hRule="atLeast"/>
          <w:jc w:val="center"/>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3</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国资上报模块开发服务</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39.31 </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41.67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6%</w:t>
            </w:r>
          </w:p>
        </w:tc>
      </w:tr>
      <w:tr>
        <w:trPr>
          <w:trHeight w:val="702" w:hRule="atLeast"/>
          <w:jc w:val="center"/>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4</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项目建设服务</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77.30 </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81.93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6%</w:t>
            </w:r>
          </w:p>
        </w:tc>
      </w:tr>
      <w:tr>
        <w:trPr>
          <w:trHeight w:val="702" w:hRule="atLeast"/>
          <w:jc w:val="center"/>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5</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系统集成服务</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95.91 </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101.67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6%</w:t>
            </w:r>
          </w:p>
        </w:tc>
      </w:tr>
      <w:tr>
        <w:trPr>
          <w:trHeight w:val="702" w:hRule="atLeast"/>
          <w:jc w:val="center"/>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6</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信创软件</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38.11 </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43.07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13%</w:t>
            </w:r>
          </w:p>
        </w:tc>
      </w:tr>
      <w:tr>
        <w:trPr>
          <w:trHeight w:val="702" w:hRule="atLeast"/>
          <w:jc w:val="center"/>
        </w:trPr>
        <w:tc>
          <w:tcPr>
            <w:tcW w:w="35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合计</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322.01 </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8"/>
                <w:szCs w:val="28"/>
              </w:rPr>
            </w:pPr>
            <w:r>
              <w:rPr>
                <w:rFonts w:hint="eastAsia" w:ascii="宋体" w:hAnsi="宋体" w:cs="宋体"/>
                <w:kern w:val="0"/>
                <w:sz w:val="28"/>
                <w:szCs w:val="28"/>
              </w:rPr>
              <w:t xml:space="preserve">349.00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w:t>
            </w:r>
          </w:p>
        </w:tc>
      </w:tr>
    </w:tbl>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pStyle w:val="4"/>
        <w:ind w:firstLine="700" w:firstLineChars="250"/>
        <w:rPr>
          <w:rFonts w:ascii="仿宋" w:hAnsi="仿宋" w:eastAsia="仿宋" w:cs="仿宋"/>
          <w:sz w:val="28"/>
          <w:szCs w:val="36"/>
        </w:rPr>
      </w:pPr>
    </w:p>
    <w:p>
      <w:pPr>
        <w:jc w:val="center"/>
        <w:outlineLvl w:val="0"/>
        <w:rPr>
          <w:rFonts w:eastAsia="黑体"/>
          <w:b/>
          <w:bCs/>
          <w:kern w:val="0"/>
          <w:sz w:val="32"/>
          <w:szCs w:val="32"/>
        </w:rPr>
      </w:pPr>
      <w:bookmarkStart w:id="784" w:name="_Toc24142"/>
      <w:bookmarkStart w:id="785" w:name="_Toc180507140"/>
      <w:bookmarkStart w:id="786" w:name="_Toc30044"/>
      <w:bookmarkStart w:id="787" w:name="_Toc18760"/>
      <w:bookmarkStart w:id="788" w:name="_Toc9236"/>
      <w:r>
        <w:rPr>
          <w:rFonts w:hint="eastAsia" w:eastAsia="黑体"/>
          <w:b/>
          <w:bCs/>
          <w:kern w:val="0"/>
          <w:sz w:val="32"/>
          <w:szCs w:val="32"/>
        </w:rPr>
        <w:t>第六章  投标文件格式</w:t>
      </w:r>
      <w:bookmarkEnd w:id="620"/>
      <w:bookmarkEnd w:id="621"/>
      <w:bookmarkEnd w:id="622"/>
      <w:bookmarkEnd w:id="623"/>
      <w:bookmarkEnd w:id="784"/>
      <w:bookmarkEnd w:id="785"/>
      <w:bookmarkEnd w:id="786"/>
      <w:bookmarkEnd w:id="787"/>
      <w:bookmarkEnd w:id="788"/>
      <w:bookmarkStart w:id="789" w:name="_Toc29786942"/>
      <w:bookmarkStart w:id="790" w:name="_Toc14853"/>
      <w:bookmarkStart w:id="791" w:name="_Toc9891"/>
      <w:bookmarkStart w:id="792" w:name="_Toc7361"/>
      <w:bookmarkStart w:id="793" w:name="_Toc469486622"/>
      <w:bookmarkStart w:id="794" w:name="_Toc318213162"/>
      <w:bookmarkStart w:id="795" w:name="_Toc530736604"/>
      <w:bookmarkStart w:id="796" w:name="_Toc392941002"/>
      <w:bookmarkStart w:id="797" w:name="_Toc28464"/>
      <w:bookmarkStart w:id="798" w:name="_Toc395312598"/>
    </w:p>
    <w:p>
      <w:pPr>
        <w:keepNext/>
        <w:keepLines/>
        <w:spacing w:before="60" w:after="60" w:line="413" w:lineRule="auto"/>
        <w:rPr>
          <w:rFonts w:ascii="宋体" w:hAnsi="宋体"/>
          <w:b/>
          <w:bCs/>
          <w:sz w:val="24"/>
        </w:rPr>
      </w:pPr>
    </w:p>
    <w:p>
      <w:pPr>
        <w:keepNext/>
        <w:keepLines/>
        <w:spacing w:before="60" w:after="60" w:line="413" w:lineRule="auto"/>
        <w:outlineLvl w:val="1"/>
        <w:rPr>
          <w:rFonts w:ascii="宋体" w:hAnsi="宋体"/>
          <w:b/>
          <w:bCs/>
          <w:sz w:val="28"/>
          <w:szCs w:val="28"/>
        </w:rPr>
      </w:pPr>
      <w:bookmarkStart w:id="799" w:name="_Toc21938"/>
      <w:bookmarkStart w:id="800" w:name="_Toc20617"/>
      <w:bookmarkStart w:id="801" w:name="_Toc180507141"/>
      <w:bookmarkStart w:id="802" w:name="_Toc17102"/>
      <w:bookmarkStart w:id="803" w:name="_Toc30095"/>
      <w:r>
        <mc:AlternateContent>
          <mc:Choice Requires="wps">
            <w:drawing>
              <wp:anchor distT="0" distB="0" distL="114300" distR="114300" simplePos="0" relativeHeight="251660288" behindDoc="0" locked="0" layoutInCell="1" allowOverlap="1">
                <wp:simplePos x="0" y="0"/>
                <wp:positionH relativeFrom="column">
                  <wp:posOffset>4576445</wp:posOffset>
                </wp:positionH>
                <wp:positionV relativeFrom="paragraph">
                  <wp:posOffset>106680</wp:posOffset>
                </wp:positionV>
                <wp:extent cx="1003300" cy="406400"/>
                <wp:effectExtent l="6350" t="6350" r="6350" b="19050"/>
                <wp:wrapNone/>
                <wp:docPr id="12" name="矩形 12"/>
                <wp:cNvGraphicFramePr/>
                <a:graphic xmlns:a="http://schemas.openxmlformats.org/drawingml/2006/main">
                  <a:graphicData uri="http://schemas.microsoft.com/office/word/2010/wordprocessingShape">
                    <wps:wsp>
                      <wps:cNvSpPr>
                        <a:spLocks noChangeArrowheads="1"/>
                      </wps:cNvSpPr>
                      <wps:spPr bwMode="auto">
                        <a:xfrm>
                          <a:off x="0" y="0"/>
                          <a:ext cx="1003300" cy="406400"/>
                        </a:xfrm>
                        <a:prstGeom prst="rect">
                          <a:avLst/>
                        </a:prstGeom>
                        <a:solidFill>
                          <a:srgbClr val="FFFFFF"/>
                        </a:solidFill>
                        <a:ln w="9525">
                          <a:solidFill>
                            <a:srgbClr val="000000"/>
                          </a:solidFill>
                          <a:miter lim="800000"/>
                        </a:ln>
                        <a:effectLst/>
                      </wps:spPr>
                      <wps:txbx>
                        <w:txbxContent>
                          <w:p>
                            <w:pPr>
                              <w:rPr>
                                <w:sz w:val="28"/>
                                <w:szCs w:val="28"/>
                              </w:rPr>
                            </w:pPr>
                            <w:r>
                              <w:rPr>
                                <w:rFonts w:hint="eastAsia" w:ascii="宋体" w:hAnsi="宋体" w:cs="宋体"/>
                                <w:sz w:val="28"/>
                                <w:szCs w:val="28"/>
                              </w:rPr>
                              <w:t>正本</w:t>
                            </w:r>
                            <w:r>
                              <w:rPr>
                                <w:rFonts w:ascii="宋体" w:hAnsi="宋体" w:cs="宋体"/>
                                <w:sz w:val="28"/>
                                <w:szCs w:val="28"/>
                              </w:rPr>
                              <w:t>/副本</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0.35pt;margin-top:8.4pt;height:32pt;width:79pt;z-index:251660288;mso-width-relative:page;mso-height-relative:page;" fillcolor="#FFFFFF" filled="t" stroked="t" coordsize="21600,21600" o:gfxdata="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dTqLi1gAAAAkBAAAP&#10;AAAAAAAAAAEAIAAAADgAAABkcnMvZG93bnJldi54bWxQSwECFAAUAAAACACHTuJAmr6wuT0CAACK&#10;BAAADgAAAAAAAAABACAAAAA7AQAAZHJzL2Uyb0RvYy54bWxQSwUGAAAAAAYABgBZAQAA6gUAAAAA&#10;">
                <v:fill on="t" focussize="0,0"/>
                <v:stroke color="#000000" miterlimit="8" joinstyle="miter"/>
                <v:imagedata o:title=""/>
                <o:lock v:ext="edit" aspectratio="f"/>
                <v:textbox>
                  <w:txbxContent>
                    <w:p>
                      <w:pPr>
                        <w:rPr>
                          <w:sz w:val="28"/>
                          <w:szCs w:val="28"/>
                        </w:rPr>
                      </w:pPr>
                      <w:r>
                        <w:rPr>
                          <w:rFonts w:hint="eastAsia" w:ascii="宋体" w:hAnsi="宋体" w:cs="宋体"/>
                          <w:sz w:val="28"/>
                          <w:szCs w:val="28"/>
                        </w:rPr>
                        <w:t>正本</w:t>
                      </w:r>
                      <w:r>
                        <w:rPr>
                          <w:rFonts w:ascii="宋体" w:hAnsi="宋体" w:cs="宋体"/>
                          <w:sz w:val="28"/>
                          <w:szCs w:val="28"/>
                        </w:rPr>
                        <w:t>/副本</w:t>
                      </w:r>
                    </w:p>
                  </w:txbxContent>
                </v:textbox>
              </v:rect>
            </w:pict>
          </mc:Fallback>
        </mc:AlternateContent>
      </w:r>
      <w:r>
        <w:rPr>
          <w:rFonts w:hint="eastAsia" w:ascii="宋体" w:hAnsi="宋体"/>
          <w:b/>
          <w:bCs/>
          <w:sz w:val="24"/>
        </w:rPr>
        <w:t>一、资格审查文件格式</w:t>
      </w:r>
      <w:bookmarkEnd w:id="789"/>
      <w:bookmarkEnd w:id="790"/>
      <w:bookmarkEnd w:id="799"/>
      <w:bookmarkEnd w:id="800"/>
      <w:bookmarkEnd w:id="801"/>
      <w:bookmarkEnd w:id="802"/>
      <w:bookmarkEnd w:id="803"/>
    </w:p>
    <w:p>
      <w:pPr>
        <w:spacing w:line="360" w:lineRule="auto"/>
        <w:jc w:val="left"/>
        <w:rPr>
          <w:rFonts w:ascii="宋体" w:hAnsi="宋体"/>
          <w:kern w:val="0"/>
          <w:szCs w:val="21"/>
        </w:rPr>
      </w:pPr>
      <w:r>
        <w:rPr>
          <w:rFonts w:hint="eastAsia" w:ascii="宋体" w:hAnsi="宋体"/>
          <w:kern w:val="0"/>
          <w:szCs w:val="21"/>
        </w:rPr>
        <w:t>（一）封面格式</w:t>
      </w:r>
    </w:p>
    <w:p>
      <w:pPr>
        <w:jc w:val="left"/>
        <w:rPr>
          <w:rFonts w:ascii="宋体" w:hAnsi="宋体"/>
          <w:kern w:val="0"/>
          <w:szCs w:val="21"/>
        </w:rPr>
      </w:pPr>
    </w:p>
    <w:p>
      <w:pPr>
        <w:ind w:right="840"/>
        <w:rPr>
          <w:rFonts w:ascii="宋体" w:hAnsi="宋体"/>
          <w:kern w:val="0"/>
          <w:szCs w:val="21"/>
        </w:rPr>
      </w:pPr>
    </w:p>
    <w:p>
      <w:pPr>
        <w:ind w:right="840"/>
        <w:rPr>
          <w:rFonts w:ascii="宋体" w:hAnsi="宋体"/>
          <w:kern w:val="0"/>
          <w:szCs w:val="21"/>
        </w:rPr>
      </w:pPr>
    </w:p>
    <w:p>
      <w:pPr>
        <w:jc w:val="center"/>
        <w:rPr>
          <w:rFonts w:ascii="宋体" w:hAnsi="宋体"/>
          <w:kern w:val="0"/>
          <w:sz w:val="32"/>
          <w:szCs w:val="32"/>
        </w:rPr>
      </w:pPr>
    </w:p>
    <w:p>
      <w:pPr>
        <w:jc w:val="center"/>
        <w:rPr>
          <w:rFonts w:ascii="宋体" w:hAnsi="宋体"/>
          <w:kern w:val="0"/>
          <w:sz w:val="28"/>
          <w:szCs w:val="28"/>
        </w:rPr>
      </w:pPr>
      <w:r>
        <w:rPr>
          <w:rFonts w:ascii="宋体" w:hAnsi="宋体"/>
          <w:kern w:val="0"/>
          <w:sz w:val="28"/>
          <w:szCs w:val="28"/>
          <w:u w:val="single"/>
        </w:rPr>
        <w:t>（项目名称）</w:t>
      </w:r>
      <w:r>
        <w:rPr>
          <w:rFonts w:hint="eastAsia" w:ascii="宋体" w:hAnsi="宋体"/>
          <w:kern w:val="0"/>
          <w:sz w:val="28"/>
          <w:szCs w:val="28"/>
          <w:u w:val="single"/>
        </w:rPr>
        <w:t>项目</w:t>
      </w: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spacing w:before="240" w:beforeLines="100" w:line="360" w:lineRule="auto"/>
        <w:jc w:val="center"/>
        <w:rPr>
          <w:rFonts w:ascii="宋体" w:hAnsi="宋体"/>
          <w:kern w:val="0"/>
          <w:sz w:val="56"/>
          <w:szCs w:val="56"/>
        </w:rPr>
      </w:pPr>
      <w:r>
        <w:rPr>
          <w:rFonts w:ascii="宋体" w:hAnsi="宋体"/>
          <w:kern w:val="0"/>
          <w:sz w:val="56"/>
          <w:szCs w:val="56"/>
        </w:rPr>
        <w:t>投  标  文  件</w:t>
      </w:r>
    </w:p>
    <w:p>
      <w:pPr>
        <w:spacing w:line="360" w:lineRule="auto"/>
        <w:jc w:val="center"/>
        <w:rPr>
          <w:rFonts w:ascii="宋体" w:hAnsi="宋体"/>
          <w:kern w:val="0"/>
          <w:sz w:val="36"/>
          <w:szCs w:val="36"/>
          <w:u w:val="single"/>
        </w:rPr>
      </w:pPr>
      <w:r>
        <w:rPr>
          <w:rFonts w:hint="eastAsia" w:ascii="宋体" w:hAnsi="宋体"/>
          <w:kern w:val="0"/>
          <w:sz w:val="36"/>
          <w:szCs w:val="36"/>
          <w:u w:val="single"/>
        </w:rPr>
        <w:t>资格审查文件</w:t>
      </w:r>
    </w:p>
    <w:p>
      <w:pPr>
        <w:spacing w:line="360" w:lineRule="auto"/>
        <w:jc w:val="center"/>
        <w:rPr>
          <w:rFonts w:ascii="宋体" w:hAnsi="宋体"/>
          <w:kern w:val="0"/>
          <w:sz w:val="32"/>
          <w:szCs w:val="32"/>
          <w:u w:val="single"/>
        </w:rPr>
      </w:pPr>
      <w:r>
        <w:rPr>
          <w:rFonts w:hint="eastAsia" w:ascii="宋体" w:hAnsi="宋体"/>
          <w:kern w:val="0"/>
          <w:sz w:val="32"/>
          <w:szCs w:val="32"/>
          <w:u w:val="single"/>
        </w:rPr>
        <w:t>第   册（如有分册）</w:t>
      </w:r>
    </w:p>
    <w:p>
      <w:pPr>
        <w:rPr>
          <w:rFonts w:ascii="宋体" w:hAnsi="宋体"/>
          <w:kern w:val="0"/>
          <w:sz w:val="32"/>
          <w:szCs w:val="32"/>
        </w:rPr>
      </w:pPr>
    </w:p>
    <w:p>
      <w:pPr>
        <w:spacing w:line="360" w:lineRule="auto"/>
        <w:ind w:firstLine="2380" w:firstLineChars="850"/>
        <w:rPr>
          <w:rFonts w:ascii="宋体" w:hAnsi="宋体"/>
          <w:kern w:val="0"/>
          <w:sz w:val="28"/>
          <w:szCs w:val="28"/>
          <w:u w:val="single"/>
        </w:rPr>
      </w:pPr>
      <w:r>
        <w:rPr>
          <w:rFonts w:ascii="宋体" w:hAnsi="宋体"/>
          <w:kern w:val="0"/>
          <w:sz w:val="28"/>
          <w:szCs w:val="28"/>
        </w:rPr>
        <w:t>项目编号：</w:t>
      </w:r>
    </w:p>
    <w:p>
      <w:pPr>
        <w:jc w:val="center"/>
        <w:rPr>
          <w:rFonts w:ascii="宋体" w:hAnsi="宋体"/>
          <w:kern w:val="0"/>
          <w:sz w:val="32"/>
          <w:szCs w:val="32"/>
        </w:rPr>
      </w:pPr>
    </w:p>
    <w:p>
      <w:pPr>
        <w:jc w:val="center"/>
        <w:rPr>
          <w:rFonts w:ascii="宋体" w:hAnsi="宋体"/>
          <w:kern w:val="0"/>
          <w:sz w:val="32"/>
          <w:szCs w:val="32"/>
        </w:rPr>
      </w:pPr>
    </w:p>
    <w:p>
      <w:pP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spacing w:line="360" w:lineRule="auto"/>
        <w:ind w:firstLine="1400" w:firstLineChars="500"/>
        <w:rPr>
          <w:rFonts w:ascii="宋体" w:hAnsi="宋体"/>
          <w:kern w:val="0"/>
          <w:sz w:val="28"/>
          <w:szCs w:val="28"/>
        </w:rPr>
      </w:pPr>
      <w:r>
        <w:rPr>
          <w:rFonts w:ascii="宋体" w:hAnsi="宋体"/>
          <w:kern w:val="0"/>
          <w:sz w:val="28"/>
          <w:szCs w:val="28"/>
        </w:rPr>
        <w:t>投标人：（盖单位</w:t>
      </w:r>
      <w:r>
        <w:rPr>
          <w:rFonts w:hint="eastAsia" w:ascii="宋体" w:hAnsi="宋体"/>
          <w:kern w:val="0"/>
          <w:sz w:val="28"/>
          <w:szCs w:val="28"/>
        </w:rPr>
        <w:t>公</w:t>
      </w:r>
      <w:r>
        <w:rPr>
          <w:rFonts w:ascii="宋体" w:hAnsi="宋体"/>
          <w:kern w:val="0"/>
          <w:sz w:val="28"/>
          <w:szCs w:val="28"/>
        </w:rPr>
        <w:t>章）</w:t>
      </w:r>
    </w:p>
    <w:p>
      <w:pPr>
        <w:spacing w:line="360" w:lineRule="auto"/>
        <w:ind w:firstLine="1400" w:firstLineChars="500"/>
        <w:rPr>
          <w:rFonts w:ascii="宋体" w:hAnsi="宋体"/>
          <w:kern w:val="0"/>
          <w:sz w:val="28"/>
          <w:szCs w:val="28"/>
        </w:rPr>
      </w:pPr>
      <w:r>
        <w:rPr>
          <w:rFonts w:hint="eastAsia" w:ascii="宋体" w:hAnsi="宋体"/>
          <w:kern w:val="0"/>
          <w:sz w:val="28"/>
          <w:szCs w:val="28"/>
        </w:rPr>
        <w:t>法定代表人或其委托代理人</w:t>
      </w:r>
      <w:r>
        <w:rPr>
          <w:rFonts w:ascii="宋体" w:hAnsi="宋体"/>
          <w:kern w:val="0"/>
          <w:sz w:val="28"/>
          <w:szCs w:val="28"/>
        </w:rPr>
        <w:t>：（签字</w:t>
      </w:r>
      <w:r>
        <w:rPr>
          <w:rFonts w:hint="eastAsia" w:ascii="宋体" w:hAnsi="宋体"/>
          <w:kern w:val="0"/>
          <w:sz w:val="28"/>
          <w:szCs w:val="28"/>
        </w:rPr>
        <w:t>或盖章</w:t>
      </w:r>
      <w:r>
        <w:rPr>
          <w:rFonts w:ascii="宋体" w:hAnsi="宋体"/>
          <w:kern w:val="0"/>
          <w:sz w:val="28"/>
          <w:szCs w:val="28"/>
        </w:rPr>
        <w:t>）</w:t>
      </w:r>
    </w:p>
    <w:p>
      <w:pPr>
        <w:rPr>
          <w:rFonts w:ascii="宋体" w:hAnsi="宋体"/>
          <w:kern w:val="0"/>
          <w:sz w:val="28"/>
          <w:szCs w:val="28"/>
        </w:rPr>
      </w:pPr>
    </w:p>
    <w:p>
      <w:pPr>
        <w:jc w:val="center"/>
        <w:rPr>
          <w:rFonts w:ascii="宋体" w:hAnsi="宋体"/>
          <w:kern w:val="0"/>
          <w:sz w:val="28"/>
          <w:szCs w:val="28"/>
        </w:rPr>
      </w:pPr>
      <w:r>
        <w:rPr>
          <w:rFonts w:ascii="宋体" w:hAnsi="宋体"/>
          <w:kern w:val="0"/>
          <w:sz w:val="28"/>
          <w:szCs w:val="28"/>
        </w:rPr>
        <w:t>年</w:t>
      </w: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 xml:space="preserve"> </w:t>
      </w:r>
      <w:r>
        <w:rPr>
          <w:rFonts w:ascii="宋体" w:hAnsi="宋体"/>
          <w:kern w:val="0"/>
          <w:sz w:val="28"/>
          <w:szCs w:val="28"/>
        </w:rPr>
        <w:t>月</w:t>
      </w:r>
    </w:p>
    <w:p>
      <w:pPr>
        <w:spacing w:line="360" w:lineRule="auto"/>
        <w:jc w:val="left"/>
        <w:rPr>
          <w:rFonts w:ascii="宋体" w:hAnsi="宋体"/>
          <w:kern w:val="0"/>
          <w:szCs w:val="21"/>
        </w:rPr>
      </w:pPr>
      <w:r>
        <w:rPr>
          <w:rFonts w:ascii="宋体" w:hAnsi="宋体"/>
          <w:kern w:val="0"/>
          <w:sz w:val="28"/>
          <w:szCs w:val="28"/>
        </w:rPr>
        <w:br w:type="page"/>
      </w:r>
      <w:r>
        <w:rPr>
          <w:rFonts w:ascii="宋体" w:hAnsi="宋体"/>
          <w:kern w:val="0"/>
          <w:szCs w:val="21"/>
        </w:rPr>
        <w:t xml:space="preserve"> </w:t>
      </w:r>
      <w:r>
        <w:rPr>
          <w:rFonts w:hint="eastAsia" w:ascii="宋体" w:hAnsi="宋体"/>
          <w:kern w:val="0"/>
          <w:szCs w:val="21"/>
        </w:rPr>
        <w:t>（二）资格审查文件内容格式</w:t>
      </w:r>
    </w:p>
    <w:p>
      <w:pPr>
        <w:spacing w:line="360" w:lineRule="auto"/>
        <w:ind w:firstLine="420" w:firstLineChars="200"/>
        <w:jc w:val="left"/>
        <w:rPr>
          <w:rFonts w:ascii="宋体" w:hAnsi="宋体"/>
          <w:kern w:val="0"/>
          <w:szCs w:val="21"/>
        </w:rPr>
      </w:pPr>
      <w:r>
        <w:rPr>
          <w:rFonts w:hint="eastAsia" w:ascii="宋体" w:hAnsi="宋体"/>
          <w:kern w:val="0"/>
          <w:szCs w:val="21"/>
        </w:rPr>
        <w:t>投标人可根据以下内容和顺序编排投标文件：</w:t>
      </w:r>
    </w:p>
    <w:p>
      <w:pPr>
        <w:spacing w:line="360" w:lineRule="auto"/>
        <w:ind w:firstLine="420" w:firstLineChars="200"/>
        <w:jc w:val="left"/>
        <w:rPr>
          <w:rFonts w:ascii="宋体" w:hAnsi="宋体"/>
          <w:bCs/>
          <w:kern w:val="0"/>
          <w:szCs w:val="21"/>
        </w:rPr>
      </w:pPr>
      <w:r>
        <w:rPr>
          <w:rFonts w:hint="eastAsia" w:ascii="宋体" w:hAnsi="宋体"/>
          <w:bCs/>
          <w:kern w:val="0"/>
          <w:szCs w:val="21"/>
        </w:rPr>
        <w:t>1、法定代表人资格证明书（详见格式A1）及法定代表人授权委托书（详见格式A</w:t>
      </w:r>
      <w:r>
        <w:rPr>
          <w:rFonts w:ascii="宋体" w:hAnsi="宋体"/>
          <w:bCs/>
          <w:kern w:val="0"/>
          <w:szCs w:val="21"/>
        </w:rPr>
        <w:t>2</w:t>
      </w:r>
      <w:r>
        <w:rPr>
          <w:rFonts w:hint="eastAsia" w:ascii="宋体" w:hAnsi="宋体"/>
          <w:bCs/>
          <w:kern w:val="0"/>
          <w:szCs w:val="21"/>
        </w:rPr>
        <w:t>）（如无授权时，只需提供法定代表人资格证明书），法定代表人及被授权人身份证正反面复印件；</w:t>
      </w:r>
    </w:p>
    <w:p>
      <w:pPr>
        <w:spacing w:line="360" w:lineRule="auto"/>
        <w:ind w:firstLine="420" w:firstLineChars="200"/>
        <w:jc w:val="left"/>
        <w:rPr>
          <w:rFonts w:ascii="宋体" w:hAnsi="宋体"/>
          <w:kern w:val="0"/>
          <w:szCs w:val="21"/>
        </w:rPr>
      </w:pPr>
      <w:r>
        <w:rPr>
          <w:rFonts w:hint="eastAsia" w:ascii="宋体" w:hAnsi="宋体"/>
          <w:bCs/>
          <w:kern w:val="0"/>
          <w:szCs w:val="21"/>
        </w:rPr>
        <w:t>2、</w:t>
      </w:r>
      <w:r>
        <w:rPr>
          <w:rFonts w:hint="eastAsia"/>
        </w:rPr>
        <w:t>投标人有效的</w:t>
      </w:r>
      <w:r>
        <w:rPr>
          <w:rFonts w:hint="eastAsia" w:ascii="宋体" w:hAnsi="宋体"/>
        </w:rPr>
        <w:t>营业执照副本或事业单位法人证书等证明文件复印件</w:t>
      </w:r>
      <w:r>
        <w:rPr>
          <w:rFonts w:hint="eastAsia" w:ascii="宋体" w:hAnsi="宋体"/>
          <w:kern w:val="0"/>
          <w:szCs w:val="21"/>
        </w:rPr>
        <w:t>；</w:t>
      </w:r>
    </w:p>
    <w:p>
      <w:pPr>
        <w:spacing w:line="360" w:lineRule="exact"/>
        <w:textAlignment w:val="baseline"/>
        <w:rPr>
          <w:rFonts w:ascii="宋体" w:hAnsi="宋体"/>
          <w:szCs w:val="21"/>
        </w:rPr>
      </w:pPr>
      <w:r>
        <w:rPr>
          <w:rFonts w:hint="eastAsia" w:ascii="宋体" w:hAnsi="宋体"/>
          <w:bCs/>
          <w:kern w:val="0"/>
          <w:szCs w:val="21"/>
        </w:rPr>
        <w:t>3、投标人类似项目业绩表（详见格式A</w:t>
      </w:r>
      <w:r>
        <w:rPr>
          <w:rFonts w:ascii="宋体" w:hAnsi="宋体"/>
          <w:bCs/>
          <w:kern w:val="0"/>
          <w:szCs w:val="21"/>
        </w:rPr>
        <w:t>3</w:t>
      </w:r>
      <w:r>
        <w:rPr>
          <w:rFonts w:hint="eastAsia" w:ascii="宋体" w:hAnsi="宋体"/>
          <w:bCs/>
          <w:kern w:val="0"/>
          <w:szCs w:val="21"/>
        </w:rPr>
        <w:t>）</w:t>
      </w:r>
      <w:r>
        <w:rPr>
          <w:rFonts w:hint="eastAsia" w:ascii="宋体" w:hAnsi="宋体"/>
          <w:kern w:val="0"/>
          <w:szCs w:val="21"/>
        </w:rPr>
        <w:t>，同时投标人须提供业绩证明文件：项目合同，证明文件中须体现合同甲乙方、合同签订时间、合同标的内容等信息，否则视为无效证明文件；</w:t>
      </w:r>
      <w:r>
        <w:rPr>
          <w:rFonts w:hint="eastAsia" w:ascii="宋体" w:hAnsi="宋体"/>
          <w:szCs w:val="21"/>
        </w:rPr>
        <w:t>分包</w:t>
      </w:r>
      <w:r>
        <w:rPr>
          <w:rFonts w:ascii="宋体" w:hAnsi="宋体"/>
          <w:szCs w:val="21"/>
        </w:rPr>
        <w:t>合同不予认可。</w:t>
      </w:r>
    </w:p>
    <w:p>
      <w:pPr>
        <w:spacing w:line="360" w:lineRule="auto"/>
        <w:ind w:firstLine="420" w:firstLineChars="200"/>
        <w:jc w:val="left"/>
        <w:rPr>
          <w:rFonts w:ascii="宋体" w:hAnsi="宋体"/>
          <w:kern w:val="0"/>
          <w:szCs w:val="21"/>
        </w:rPr>
      </w:pPr>
      <w:r>
        <w:rPr>
          <w:rFonts w:hint="eastAsia" w:ascii="宋体" w:hAnsi="宋体"/>
          <w:kern w:val="0"/>
          <w:szCs w:val="21"/>
        </w:rPr>
        <w:t>4、</w:t>
      </w:r>
      <w:r>
        <w:rPr>
          <w:rFonts w:hint="eastAsia" w:ascii="宋体" w:hAnsi="宋体"/>
          <w:bCs/>
          <w:kern w:val="0"/>
          <w:szCs w:val="21"/>
        </w:rPr>
        <w:t>承诺书（详见格式A</w:t>
      </w:r>
      <w:r>
        <w:rPr>
          <w:rFonts w:ascii="宋体" w:hAnsi="宋体"/>
          <w:bCs/>
          <w:kern w:val="0"/>
          <w:szCs w:val="21"/>
        </w:rPr>
        <w:t>4</w:t>
      </w:r>
      <w:r>
        <w:rPr>
          <w:rFonts w:hint="eastAsia" w:ascii="宋体" w:hAnsi="宋体"/>
          <w:bCs/>
          <w:kern w:val="0"/>
          <w:szCs w:val="21"/>
        </w:rPr>
        <w:t>）</w:t>
      </w:r>
      <w:r>
        <w:rPr>
          <w:rFonts w:hint="eastAsia" w:ascii="宋体" w:hAnsi="宋体"/>
          <w:kern w:val="0"/>
          <w:szCs w:val="21"/>
        </w:rPr>
        <w:t>；</w:t>
      </w:r>
    </w:p>
    <w:p>
      <w:pPr>
        <w:spacing w:line="360" w:lineRule="auto"/>
        <w:ind w:firstLine="420" w:firstLineChars="200"/>
        <w:jc w:val="left"/>
        <w:rPr>
          <w:rFonts w:ascii="宋体" w:hAnsi="宋体"/>
          <w:kern w:val="0"/>
          <w:szCs w:val="21"/>
        </w:rPr>
      </w:pPr>
      <w:r>
        <w:rPr>
          <w:rFonts w:hint="eastAsia" w:ascii="宋体" w:hAnsi="宋体"/>
          <w:kern w:val="0"/>
          <w:szCs w:val="21"/>
        </w:rPr>
        <w:t>5、投标人认为需要提交的其他资料。</w:t>
      </w:r>
    </w:p>
    <w:p>
      <w:pPr>
        <w:keepNext/>
        <w:keepLines/>
        <w:spacing w:line="360" w:lineRule="auto"/>
        <w:outlineLvl w:val="3"/>
        <w:rPr>
          <w:rFonts w:ascii="宋体" w:hAnsi="宋体"/>
          <w:bCs/>
          <w:szCs w:val="28"/>
        </w:rPr>
      </w:pPr>
      <w:r>
        <w:rPr>
          <w:rFonts w:ascii="宋体" w:hAnsi="宋体"/>
          <w:b/>
          <w:szCs w:val="28"/>
        </w:rPr>
        <w:br w:type="page"/>
      </w:r>
      <w:r>
        <w:rPr>
          <w:rFonts w:hint="eastAsia" w:ascii="宋体" w:hAnsi="宋体"/>
          <w:b/>
          <w:szCs w:val="28"/>
        </w:rPr>
        <w:t>格式A1：</w:t>
      </w:r>
      <w:bookmarkStart w:id="804" w:name="_Toc349555831"/>
      <w:bookmarkStart w:id="805" w:name="_Toc251051976"/>
      <w:bookmarkStart w:id="806" w:name="_Toc349215544"/>
      <w:bookmarkStart w:id="807" w:name="_Toc158458008"/>
      <w:bookmarkStart w:id="808" w:name="_Toc173558684"/>
      <w:bookmarkStart w:id="809" w:name="_Toc163270989"/>
      <w:r>
        <w:rPr>
          <w:rFonts w:hint="eastAsia" w:ascii="宋体" w:hAnsi="宋体"/>
          <w:b/>
          <w:szCs w:val="28"/>
        </w:rPr>
        <w:t>法定代表人资格证明书</w:t>
      </w:r>
      <w:bookmarkEnd w:id="804"/>
      <w:bookmarkEnd w:id="805"/>
      <w:bookmarkEnd w:id="806"/>
      <w:r>
        <w:rPr>
          <w:rFonts w:hint="eastAsia" w:ascii="宋体" w:hAnsi="宋体"/>
          <w:b/>
          <w:szCs w:val="28"/>
        </w:rPr>
        <w:t>格式</w:t>
      </w:r>
    </w:p>
    <w:p>
      <w:pPr>
        <w:spacing w:before="240" w:beforeLines="100" w:after="240" w:afterLines="100" w:line="360" w:lineRule="auto"/>
        <w:jc w:val="center"/>
        <w:rPr>
          <w:rFonts w:ascii="宋体" w:hAnsi="宋体"/>
          <w:kern w:val="0"/>
          <w:sz w:val="24"/>
        </w:rPr>
      </w:pPr>
      <w:bookmarkStart w:id="810" w:name="_Toc18209295"/>
      <w:r>
        <w:rPr>
          <w:rFonts w:hint="eastAsia" w:ascii="宋体" w:hAnsi="宋体"/>
          <w:b/>
          <w:kern w:val="0"/>
          <w:sz w:val="28"/>
          <w:szCs w:val="28"/>
        </w:rPr>
        <w:t>法定代表人资格证明</w:t>
      </w:r>
      <w:r>
        <w:rPr>
          <w:rFonts w:ascii="宋体" w:hAnsi="宋体"/>
          <w:b/>
          <w:kern w:val="0"/>
          <w:sz w:val="28"/>
          <w:szCs w:val="28"/>
        </w:rPr>
        <w:t>书</w:t>
      </w:r>
      <w:bookmarkEnd w:id="810"/>
    </w:p>
    <w:p>
      <w:pPr>
        <w:spacing w:line="360" w:lineRule="auto"/>
        <w:ind w:left="709" w:right="-57" w:rightChars="-27" w:firstLine="420" w:firstLineChars="200"/>
        <w:rPr>
          <w:szCs w:val="21"/>
        </w:rPr>
      </w:pPr>
      <w:r>
        <w:rPr>
          <w:szCs w:val="21"/>
        </w:rPr>
        <w:t>单位名称：</w:t>
      </w:r>
      <w:r>
        <w:rPr>
          <w:szCs w:val="21"/>
          <w:u w:val="single"/>
        </w:rPr>
        <w:t xml:space="preserve">                        </w:t>
      </w:r>
    </w:p>
    <w:p>
      <w:pPr>
        <w:spacing w:line="360" w:lineRule="auto"/>
        <w:ind w:left="709" w:right="-57" w:rightChars="-27" w:firstLine="420" w:firstLineChars="200"/>
        <w:rPr>
          <w:szCs w:val="21"/>
        </w:rPr>
      </w:pPr>
    </w:p>
    <w:p>
      <w:pPr>
        <w:spacing w:line="360" w:lineRule="auto"/>
        <w:ind w:left="709" w:right="-57" w:rightChars="-27" w:firstLine="420" w:firstLineChars="200"/>
        <w:rPr>
          <w:szCs w:val="21"/>
        </w:rPr>
      </w:pPr>
      <w:r>
        <w:rPr>
          <w:szCs w:val="21"/>
        </w:rPr>
        <w:t>地址：</w:t>
      </w:r>
      <w:r>
        <w:rPr>
          <w:szCs w:val="21"/>
          <w:u w:val="single"/>
        </w:rPr>
        <w:t xml:space="preserve">                         </w:t>
      </w:r>
    </w:p>
    <w:p>
      <w:pPr>
        <w:spacing w:line="360" w:lineRule="auto"/>
        <w:ind w:left="709" w:right="-57" w:rightChars="-27" w:firstLine="420" w:firstLineChars="200"/>
        <w:rPr>
          <w:szCs w:val="21"/>
        </w:rPr>
      </w:pPr>
    </w:p>
    <w:p>
      <w:pPr>
        <w:spacing w:line="360" w:lineRule="auto"/>
        <w:ind w:left="709" w:right="-57" w:rightChars="-27" w:firstLine="420" w:firstLineChars="200"/>
        <w:rPr>
          <w:szCs w:val="21"/>
        </w:rPr>
      </w:pPr>
      <w:r>
        <w:rPr>
          <w:szCs w:val="21"/>
        </w:rPr>
        <w:t>姓名：</w:t>
      </w:r>
      <w:r>
        <w:rPr>
          <w:szCs w:val="21"/>
          <w:u w:val="single"/>
        </w:rPr>
        <w:t xml:space="preserve">           </w:t>
      </w:r>
      <w:r>
        <w:rPr>
          <w:szCs w:val="21"/>
        </w:rPr>
        <w:t xml:space="preserve"> 性别：</w:t>
      </w:r>
      <w:r>
        <w:rPr>
          <w:szCs w:val="21"/>
          <w:u w:val="single"/>
        </w:rPr>
        <w:t xml:space="preserve">           </w:t>
      </w:r>
      <w:r>
        <w:rPr>
          <w:szCs w:val="21"/>
        </w:rPr>
        <w:t xml:space="preserve"> 年龄：</w:t>
      </w:r>
      <w:r>
        <w:rPr>
          <w:szCs w:val="21"/>
          <w:u w:val="single"/>
        </w:rPr>
        <w:t xml:space="preserve">            </w:t>
      </w:r>
      <w:r>
        <w:rPr>
          <w:szCs w:val="21"/>
        </w:rPr>
        <w:t>职务：</w:t>
      </w:r>
      <w:r>
        <w:rPr>
          <w:szCs w:val="21"/>
          <w:u w:val="single"/>
        </w:rPr>
        <w:t xml:space="preserve">        </w:t>
      </w:r>
    </w:p>
    <w:p>
      <w:pPr>
        <w:spacing w:line="360" w:lineRule="auto"/>
        <w:ind w:left="709" w:right="-57" w:rightChars="-27" w:firstLine="420" w:firstLineChars="200"/>
        <w:rPr>
          <w:szCs w:val="21"/>
        </w:rPr>
      </w:pPr>
    </w:p>
    <w:p>
      <w:pPr>
        <w:spacing w:line="360" w:lineRule="auto"/>
        <w:ind w:left="709" w:right="-57" w:rightChars="-27" w:firstLine="420" w:firstLineChars="200"/>
        <w:rPr>
          <w:szCs w:val="21"/>
        </w:rPr>
      </w:pPr>
      <w:r>
        <w:rPr>
          <w:szCs w:val="21"/>
        </w:rPr>
        <w:t>系</w:t>
      </w:r>
      <w:r>
        <w:rPr>
          <w:szCs w:val="21"/>
          <w:u w:val="single"/>
        </w:rPr>
        <w:t xml:space="preserve">                            </w:t>
      </w:r>
      <w:r>
        <w:rPr>
          <w:szCs w:val="21"/>
        </w:rPr>
        <w:t>的法定代表人。</w:t>
      </w:r>
    </w:p>
    <w:p>
      <w:pPr>
        <w:spacing w:line="360" w:lineRule="auto"/>
        <w:ind w:left="709" w:right="-57" w:rightChars="-27" w:firstLine="420" w:firstLineChars="200"/>
        <w:rPr>
          <w:szCs w:val="21"/>
        </w:rPr>
      </w:pPr>
    </w:p>
    <w:p>
      <w:pPr>
        <w:spacing w:line="360" w:lineRule="auto"/>
        <w:ind w:left="709" w:right="-57" w:rightChars="-27" w:firstLine="420" w:firstLineChars="200"/>
        <w:rPr>
          <w:szCs w:val="21"/>
        </w:rPr>
      </w:pPr>
      <w:r>
        <w:rPr>
          <w:szCs w:val="21"/>
        </w:rPr>
        <w:t>特此证明。</w:t>
      </w:r>
    </w:p>
    <w:p>
      <w:pPr>
        <w:spacing w:line="360" w:lineRule="auto"/>
        <w:ind w:left="709" w:right="-57" w:rightChars="-27" w:firstLine="420" w:firstLineChars="200"/>
        <w:rPr>
          <w:szCs w:val="21"/>
        </w:rPr>
      </w:pPr>
    </w:p>
    <w:p>
      <w:pPr>
        <w:spacing w:line="360" w:lineRule="auto"/>
        <w:ind w:left="709" w:right="-57" w:rightChars="-27" w:firstLine="420" w:firstLineChars="200"/>
        <w:rPr>
          <w:szCs w:val="21"/>
        </w:rPr>
      </w:pPr>
      <w:r>
        <w:rPr>
          <w:szCs w:val="21"/>
        </w:rPr>
        <w:t>投标人：（</w:t>
      </w:r>
      <w:r>
        <w:rPr>
          <w:rFonts w:hint="eastAsia"/>
          <w:szCs w:val="21"/>
        </w:rPr>
        <w:t>公</w:t>
      </w:r>
      <w:r>
        <w:rPr>
          <w:szCs w:val="21"/>
        </w:rPr>
        <w:t xml:space="preserve">章）                          </w:t>
      </w:r>
    </w:p>
    <w:p>
      <w:pPr>
        <w:spacing w:line="360" w:lineRule="auto"/>
        <w:ind w:left="709" w:right="-57" w:rightChars="-27" w:firstLine="420" w:firstLineChars="200"/>
        <w:rPr>
          <w:szCs w:val="21"/>
        </w:rPr>
      </w:pPr>
    </w:p>
    <w:p>
      <w:pPr>
        <w:spacing w:line="360" w:lineRule="auto"/>
        <w:ind w:firstLine="1155" w:firstLineChars="550"/>
        <w:jc w:val="left"/>
        <w:rPr>
          <w:szCs w:val="21"/>
        </w:rPr>
      </w:pPr>
      <w:r>
        <w:rPr>
          <w:szCs w:val="21"/>
        </w:rPr>
        <w:t>日</w:t>
      </w:r>
      <w:r>
        <w:rPr>
          <w:rFonts w:hint="eastAsia"/>
          <w:szCs w:val="21"/>
        </w:rPr>
        <w:t xml:space="preserve">  </w:t>
      </w:r>
      <w:r>
        <w:rPr>
          <w:szCs w:val="21"/>
        </w:rPr>
        <w:t xml:space="preserve">期：   年   月   日   </w:t>
      </w:r>
    </w:p>
    <w:p>
      <w:pPr>
        <w:spacing w:line="360" w:lineRule="auto"/>
        <w:ind w:firstLine="1050" w:firstLineChars="500"/>
        <w:jc w:val="left"/>
        <w:rPr>
          <w:rFonts w:ascii="宋体" w:hAnsi="宋体"/>
          <w:kern w:val="0"/>
          <w:szCs w:val="21"/>
        </w:rPr>
      </w:pPr>
      <w:r>
        <w:rPr>
          <w:szCs w:val="21"/>
        </w:rPr>
        <w:t xml:space="preserve">  </w:t>
      </w:r>
    </w:p>
    <w:p>
      <w:pPr>
        <w:spacing w:line="360" w:lineRule="auto"/>
        <w:jc w:val="left"/>
        <w:rPr>
          <w:kern w:val="0"/>
          <w:sz w:val="24"/>
        </w:rPr>
      </w:pPr>
      <w:r>
        <w:rPr>
          <w:rFonts w:ascii="宋体" w:hAnsi="宋体"/>
          <w:kern w:val="0"/>
          <w:szCs w:val="21"/>
        </w:rPr>
        <w:t>注：</w:t>
      </w:r>
      <w:r>
        <w:rPr>
          <w:rFonts w:hint="eastAsia" w:ascii="宋体" w:hAnsi="宋体"/>
          <w:kern w:val="0"/>
          <w:szCs w:val="21"/>
        </w:rPr>
        <w:t xml:space="preserve"> 法定代表人身份证正反面复印件应加盖单位公章附后。</w:t>
      </w:r>
    </w:p>
    <w:p>
      <w:pPr>
        <w:keepNext/>
        <w:keepLines/>
        <w:spacing w:line="360" w:lineRule="auto"/>
        <w:outlineLvl w:val="3"/>
        <w:rPr>
          <w:rFonts w:ascii="宋体" w:hAnsi="宋体"/>
          <w:b/>
          <w:bCs/>
          <w:szCs w:val="28"/>
        </w:rPr>
      </w:pPr>
      <w:r>
        <w:rPr>
          <w:rFonts w:ascii="宋体" w:hAnsi="宋体"/>
          <w:b/>
          <w:szCs w:val="28"/>
        </w:rPr>
        <w:br w:type="page"/>
      </w:r>
      <w:r>
        <w:rPr>
          <w:rFonts w:ascii="宋体" w:hAnsi="宋体"/>
          <w:b/>
          <w:szCs w:val="28"/>
        </w:rPr>
        <w:t>格式A2：法定代表人授权委托书格式</w:t>
      </w:r>
    </w:p>
    <w:p>
      <w:pPr>
        <w:spacing w:before="240" w:beforeLines="100" w:after="240" w:afterLines="100" w:line="360" w:lineRule="auto"/>
        <w:jc w:val="center"/>
        <w:rPr>
          <w:rFonts w:ascii="宋体" w:hAnsi="宋体"/>
          <w:b/>
          <w:kern w:val="0"/>
          <w:sz w:val="28"/>
          <w:szCs w:val="28"/>
        </w:rPr>
      </w:pPr>
      <w:r>
        <w:rPr>
          <w:rFonts w:hint="eastAsia" w:ascii="宋体" w:hAnsi="宋体"/>
          <w:b/>
          <w:kern w:val="0"/>
          <w:sz w:val="28"/>
          <w:szCs w:val="28"/>
        </w:rPr>
        <w:t>法定代表人</w:t>
      </w:r>
      <w:r>
        <w:rPr>
          <w:rFonts w:ascii="宋体" w:hAnsi="宋体"/>
          <w:b/>
          <w:kern w:val="0"/>
          <w:sz w:val="28"/>
          <w:szCs w:val="28"/>
        </w:rPr>
        <w:t>授权委托书</w:t>
      </w:r>
    </w:p>
    <w:p>
      <w:pPr>
        <w:spacing w:line="360" w:lineRule="auto"/>
        <w:rPr>
          <w:rFonts w:ascii="宋体" w:hAnsi="宋体"/>
          <w:kern w:val="0"/>
          <w:szCs w:val="21"/>
        </w:rPr>
      </w:pPr>
      <w:r>
        <w:rPr>
          <w:rFonts w:ascii="宋体" w:hAnsi="宋体"/>
          <w:kern w:val="0"/>
          <w:szCs w:val="21"/>
        </w:rPr>
        <w:t>致：</w:t>
      </w:r>
      <w:r>
        <w:rPr>
          <w:rFonts w:hint="eastAsia" w:ascii="宋体" w:hAnsi="宋体"/>
          <w:kern w:val="0"/>
          <w:szCs w:val="21"/>
          <w:u w:val="single"/>
        </w:rPr>
        <w:t>南宁轨道数智科技有限公司</w:t>
      </w:r>
      <w:r>
        <w:rPr>
          <w:rFonts w:ascii="宋体" w:hAnsi="宋体"/>
          <w:kern w:val="0"/>
          <w:szCs w:val="21"/>
          <w:u w:val="single"/>
        </w:rPr>
        <w:t>　</w:t>
      </w:r>
    </w:p>
    <w:p>
      <w:pPr>
        <w:tabs>
          <w:tab w:val="left" w:pos="8364"/>
        </w:tabs>
        <w:snapToGrid w:val="0"/>
        <w:spacing w:line="360" w:lineRule="auto"/>
        <w:ind w:firstLine="420" w:firstLineChars="200"/>
        <w:rPr>
          <w:rFonts w:ascii="宋体" w:hAnsi="宋体"/>
          <w:szCs w:val="21"/>
        </w:rPr>
      </w:pPr>
      <w:r>
        <w:rPr>
          <w:rFonts w:ascii="宋体" w:hAnsi="宋体"/>
          <w:szCs w:val="21"/>
        </w:rPr>
        <w:t>本授权书声明：注册于</w:t>
      </w:r>
      <w:r>
        <w:rPr>
          <w:rFonts w:ascii="宋体" w:hAnsi="宋体"/>
          <w:szCs w:val="21"/>
          <w:u w:val="single"/>
        </w:rPr>
        <w:t xml:space="preserve">           </w:t>
      </w:r>
      <w:r>
        <w:rPr>
          <w:rFonts w:ascii="宋体" w:hAnsi="宋体"/>
          <w:szCs w:val="21"/>
        </w:rPr>
        <w:t>(国家或地区)的</w:t>
      </w:r>
      <w:r>
        <w:rPr>
          <w:rFonts w:ascii="宋体" w:hAnsi="宋体"/>
          <w:szCs w:val="21"/>
          <w:u w:val="single"/>
        </w:rPr>
        <w:t xml:space="preserve">             </w:t>
      </w:r>
      <w:r>
        <w:rPr>
          <w:rFonts w:ascii="宋体" w:hAnsi="宋体"/>
          <w:szCs w:val="21"/>
        </w:rPr>
        <w:t>（投标人名称）在下面签字的</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（法定代表人姓名、职务）</w:t>
      </w:r>
      <w:r>
        <w:rPr>
          <w:rFonts w:ascii="宋体" w:hAnsi="宋体"/>
          <w:szCs w:val="21"/>
        </w:rPr>
        <w:t>代表本公司授权在下面签字的</w:t>
      </w:r>
      <w:r>
        <w:rPr>
          <w:rFonts w:ascii="宋体" w:hAnsi="宋体"/>
          <w:szCs w:val="21"/>
          <w:u w:val="single"/>
        </w:rPr>
        <w:t xml:space="preserve">      </w:t>
      </w:r>
      <w:r>
        <w:rPr>
          <w:rFonts w:hint="eastAsia" w:ascii="宋体" w:hAnsi="宋体"/>
          <w:szCs w:val="21"/>
          <w:u w:val="single"/>
        </w:rPr>
        <w:t>（被授权人的姓名、职务）</w:t>
      </w:r>
      <w:r>
        <w:rPr>
          <w:rFonts w:ascii="宋体" w:hAnsi="宋体"/>
          <w:szCs w:val="21"/>
        </w:rPr>
        <w:t>为本公司的合法代理人，就项目编号为</w:t>
      </w:r>
      <w:r>
        <w:rPr>
          <w:rFonts w:ascii="宋体" w:hAnsi="宋体"/>
          <w:szCs w:val="21"/>
          <w:u w:val="single"/>
        </w:rPr>
        <w:t xml:space="preserve">         </w:t>
      </w:r>
      <w:r>
        <w:rPr>
          <w:rFonts w:ascii="宋体" w:hAnsi="宋体"/>
          <w:szCs w:val="21"/>
        </w:rPr>
        <w:t>的</w:t>
      </w:r>
      <w:r>
        <w:rPr>
          <w:rFonts w:ascii="宋体" w:hAnsi="宋体"/>
          <w:szCs w:val="21"/>
          <w:u w:val="single"/>
        </w:rPr>
        <w:t xml:space="preserve">   </w:t>
      </w:r>
      <w:r>
        <w:rPr>
          <w:rFonts w:hint="eastAsia" w:ascii="宋体" w:hAnsi="宋体"/>
          <w:szCs w:val="21"/>
          <w:u w:val="single"/>
        </w:rPr>
        <w:t>（项目名称）</w:t>
      </w:r>
      <w:r>
        <w:rPr>
          <w:rFonts w:ascii="宋体" w:hAnsi="宋体"/>
          <w:szCs w:val="21"/>
          <w:u w:val="single"/>
        </w:rPr>
        <w:t xml:space="preserve">    </w:t>
      </w:r>
      <w:r>
        <w:rPr>
          <w:rFonts w:ascii="宋体" w:hAnsi="宋体"/>
          <w:szCs w:val="21"/>
        </w:rPr>
        <w:t>的投标和合同执行，作为投标人代表以本公司的名义处理一切与之有关的事宜。</w:t>
      </w:r>
    </w:p>
    <w:p>
      <w:pPr>
        <w:tabs>
          <w:tab w:val="left" w:pos="8364"/>
        </w:tabs>
        <w:snapToGrid w:val="0"/>
        <w:spacing w:line="360" w:lineRule="auto"/>
        <w:ind w:firstLine="420" w:firstLineChars="200"/>
        <w:rPr>
          <w:rFonts w:ascii="宋体" w:hAnsi="宋体"/>
          <w:szCs w:val="21"/>
        </w:rPr>
      </w:pPr>
      <w:r>
        <w:rPr>
          <w:rFonts w:ascii="宋体" w:hAnsi="宋体"/>
          <w:szCs w:val="21"/>
        </w:rPr>
        <w:t>本授权书于</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ascii="宋体" w:hAnsi="宋体"/>
          <w:szCs w:val="21"/>
        </w:rPr>
        <w:t>日签字生效，特此声明。</w:t>
      </w:r>
    </w:p>
    <w:p>
      <w:pPr>
        <w:tabs>
          <w:tab w:val="left" w:pos="8364"/>
        </w:tabs>
        <w:snapToGrid w:val="0"/>
        <w:spacing w:line="360" w:lineRule="auto"/>
        <w:ind w:left="709" w:right="-57" w:rightChars="-27" w:firstLine="420" w:firstLineChars="200"/>
        <w:rPr>
          <w:rFonts w:ascii="宋体" w:hAnsi="宋体"/>
          <w:szCs w:val="21"/>
        </w:rPr>
      </w:pPr>
    </w:p>
    <w:p>
      <w:pPr>
        <w:tabs>
          <w:tab w:val="left" w:pos="8364"/>
        </w:tabs>
        <w:snapToGrid w:val="0"/>
        <w:spacing w:line="360" w:lineRule="auto"/>
        <w:ind w:left="709" w:right="-57" w:rightChars="-27" w:firstLine="420" w:firstLineChars="200"/>
        <w:rPr>
          <w:rFonts w:ascii="宋体" w:hAnsi="宋体"/>
          <w:szCs w:val="21"/>
        </w:rPr>
      </w:pPr>
    </w:p>
    <w:p>
      <w:pPr>
        <w:tabs>
          <w:tab w:val="left" w:pos="8364"/>
        </w:tabs>
        <w:snapToGrid w:val="0"/>
        <w:spacing w:line="720" w:lineRule="auto"/>
        <w:ind w:firstLine="1050" w:firstLineChars="500"/>
        <w:jc w:val="left"/>
        <w:rPr>
          <w:rFonts w:ascii="宋体" w:hAnsi="宋体"/>
          <w:szCs w:val="21"/>
          <w:u w:val="single"/>
        </w:rPr>
      </w:pPr>
      <w:r>
        <w:rPr>
          <w:rFonts w:ascii="宋体" w:hAnsi="宋体"/>
          <w:szCs w:val="21"/>
        </w:rPr>
        <w:t>法定代表人签字或盖章：</w:t>
      </w:r>
      <w:r>
        <w:rPr>
          <w:rFonts w:ascii="宋体" w:hAnsi="宋体"/>
          <w:szCs w:val="21"/>
          <w:u w:val="single"/>
        </w:rPr>
        <w:t xml:space="preserve">               </w:t>
      </w:r>
    </w:p>
    <w:p>
      <w:pPr>
        <w:tabs>
          <w:tab w:val="left" w:pos="8364"/>
        </w:tabs>
        <w:snapToGrid w:val="0"/>
        <w:spacing w:line="720" w:lineRule="auto"/>
        <w:ind w:firstLine="1050" w:firstLineChars="500"/>
        <w:jc w:val="left"/>
        <w:rPr>
          <w:rFonts w:ascii="宋体" w:hAnsi="宋体"/>
          <w:szCs w:val="21"/>
        </w:rPr>
      </w:pPr>
      <w:r>
        <w:rPr>
          <w:rFonts w:ascii="宋体" w:hAnsi="宋体"/>
          <w:szCs w:val="21"/>
        </w:rPr>
        <w:t>投标人代表（</w:t>
      </w:r>
      <w:r>
        <w:rPr>
          <w:rFonts w:hint="eastAsia" w:ascii="宋体" w:hAnsi="宋体"/>
          <w:szCs w:val="21"/>
        </w:rPr>
        <w:t>委托代理人</w:t>
      </w:r>
      <w:r>
        <w:rPr>
          <w:rFonts w:ascii="宋体" w:hAnsi="宋体"/>
          <w:szCs w:val="21"/>
        </w:rPr>
        <w:t>）签字或盖章：</w:t>
      </w:r>
    </w:p>
    <w:p>
      <w:pPr>
        <w:tabs>
          <w:tab w:val="left" w:pos="8364"/>
        </w:tabs>
        <w:snapToGrid w:val="0"/>
        <w:spacing w:line="720" w:lineRule="auto"/>
        <w:ind w:firstLine="1050" w:firstLineChars="500"/>
        <w:jc w:val="left"/>
        <w:rPr>
          <w:rFonts w:ascii="宋体" w:hAnsi="宋体"/>
          <w:szCs w:val="21"/>
        </w:rPr>
      </w:pPr>
      <w:r>
        <w:rPr>
          <w:rFonts w:hint="eastAsia" w:ascii="宋体" w:hAnsi="宋体"/>
          <w:szCs w:val="21"/>
        </w:rPr>
        <w:t>投标人</w:t>
      </w:r>
      <w:r>
        <w:rPr>
          <w:rFonts w:ascii="宋体" w:hAnsi="宋体"/>
          <w:szCs w:val="21"/>
        </w:rPr>
        <w:t>：</w:t>
      </w:r>
      <w:r>
        <w:rPr>
          <w:rFonts w:ascii="宋体" w:hAnsi="宋体"/>
          <w:szCs w:val="21"/>
          <w:u w:val="single"/>
        </w:rPr>
        <w:t xml:space="preserve">               （公章）     </w:t>
      </w:r>
    </w:p>
    <w:p>
      <w:pPr>
        <w:spacing w:line="360" w:lineRule="auto"/>
        <w:jc w:val="left"/>
        <w:rPr>
          <w:rFonts w:ascii="宋体" w:hAnsi="宋体"/>
          <w:kern w:val="0"/>
          <w:szCs w:val="21"/>
        </w:rPr>
      </w:pPr>
    </w:p>
    <w:p>
      <w:pPr>
        <w:spacing w:line="360" w:lineRule="auto"/>
        <w:jc w:val="left"/>
        <w:rPr>
          <w:rFonts w:ascii="宋体" w:hAnsi="宋体"/>
          <w:kern w:val="0"/>
          <w:szCs w:val="21"/>
        </w:rPr>
      </w:pPr>
    </w:p>
    <w:p>
      <w:pPr>
        <w:spacing w:line="360" w:lineRule="auto"/>
        <w:jc w:val="left"/>
        <w:rPr>
          <w:rFonts w:ascii="宋体" w:hAnsi="宋体"/>
          <w:kern w:val="0"/>
          <w:szCs w:val="21"/>
        </w:rPr>
      </w:pPr>
      <w:r>
        <w:rPr>
          <w:rFonts w:ascii="宋体" w:hAnsi="宋体"/>
          <w:kern w:val="0"/>
          <w:szCs w:val="21"/>
        </w:rPr>
        <w:t>注：</w:t>
      </w:r>
      <w:r>
        <w:rPr>
          <w:rFonts w:hint="eastAsia" w:ascii="宋体" w:hAnsi="宋体"/>
          <w:kern w:val="0"/>
          <w:szCs w:val="21"/>
        </w:rPr>
        <w:t>授权代理人身份证正反面复印件应加盖单位公章附后。</w:t>
      </w:r>
    </w:p>
    <w:p>
      <w:pPr>
        <w:keepNext/>
        <w:keepLines/>
        <w:spacing w:line="480" w:lineRule="auto"/>
        <w:outlineLvl w:val="3"/>
        <w:rPr>
          <w:rFonts w:ascii="宋体" w:hAnsi="宋体"/>
          <w:bCs/>
          <w:szCs w:val="21"/>
        </w:rPr>
      </w:pPr>
      <w:r>
        <w:rPr>
          <w:rFonts w:ascii="宋体" w:hAnsi="宋体"/>
          <w:b/>
          <w:szCs w:val="21"/>
        </w:rPr>
        <w:br w:type="page"/>
      </w:r>
      <w:r>
        <w:rPr>
          <w:rFonts w:ascii="宋体" w:hAnsi="宋体"/>
          <w:b/>
          <w:szCs w:val="21"/>
        </w:rPr>
        <w:t>格式A3：投标人类似项目业绩表</w:t>
      </w:r>
    </w:p>
    <w:bookmarkEnd w:id="807"/>
    <w:bookmarkEnd w:id="808"/>
    <w:bookmarkEnd w:id="809"/>
    <w:p>
      <w:pPr>
        <w:spacing w:before="240" w:beforeLines="100" w:after="240" w:afterLines="100" w:line="360" w:lineRule="auto"/>
        <w:jc w:val="center"/>
        <w:rPr>
          <w:rFonts w:ascii="宋体" w:hAnsi="宋体"/>
          <w:b/>
          <w:kern w:val="0"/>
          <w:sz w:val="28"/>
          <w:szCs w:val="28"/>
        </w:rPr>
      </w:pPr>
      <w:r>
        <w:rPr>
          <w:rFonts w:hint="eastAsia" w:ascii="宋体" w:hAnsi="宋体"/>
          <w:b/>
          <w:kern w:val="0"/>
          <w:sz w:val="28"/>
          <w:szCs w:val="28"/>
        </w:rPr>
        <w:t>投标人类似项目业绩表</w:t>
      </w:r>
    </w:p>
    <w:tbl>
      <w:tblPr>
        <w:tblStyle w:val="5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565"/>
        <w:gridCol w:w="1405"/>
        <w:gridCol w:w="1788"/>
        <w:gridCol w:w="1188"/>
        <w:gridCol w:w="1022"/>
        <w:gridCol w:w="1436"/>
      </w:tblGrid>
      <w:tr>
        <w:trPr>
          <w:trHeight w:val="575" w:hRule="atLeast"/>
          <w:jc w:val="center"/>
        </w:trPr>
        <w:tc>
          <w:tcPr>
            <w:tcW w:w="453" w:type="pct"/>
            <w:vAlign w:val="center"/>
          </w:tcPr>
          <w:p>
            <w:pPr>
              <w:spacing w:before="120" w:beforeLines="50"/>
              <w:rPr>
                <w:rFonts w:eastAsia="Times New Roman"/>
                <w:kern w:val="0"/>
                <w:szCs w:val="21"/>
              </w:rPr>
            </w:pPr>
            <w:r>
              <w:rPr>
                <w:rFonts w:hint="eastAsia" w:cs="宋体"/>
                <w:szCs w:val="21"/>
                <w:lang w:bidi="ar"/>
              </w:rPr>
              <w:t>序号</w:t>
            </w:r>
          </w:p>
        </w:tc>
        <w:tc>
          <w:tcPr>
            <w:tcW w:w="830" w:type="pct"/>
            <w:vAlign w:val="center"/>
          </w:tcPr>
          <w:p>
            <w:pPr>
              <w:spacing w:before="120" w:beforeLines="50"/>
              <w:rPr>
                <w:rFonts w:eastAsia="Times New Roman"/>
                <w:kern w:val="0"/>
                <w:szCs w:val="21"/>
              </w:rPr>
            </w:pPr>
            <w:r>
              <w:rPr>
                <w:rFonts w:hint="eastAsia" w:cs="宋体"/>
                <w:szCs w:val="21"/>
                <w:lang w:bidi="ar"/>
              </w:rPr>
              <w:t>项目名称</w:t>
            </w:r>
          </w:p>
        </w:tc>
        <w:tc>
          <w:tcPr>
            <w:tcW w:w="745" w:type="pct"/>
            <w:vAlign w:val="center"/>
          </w:tcPr>
          <w:p>
            <w:pPr>
              <w:spacing w:before="120" w:beforeLines="50"/>
              <w:jc w:val="center"/>
              <w:rPr>
                <w:rFonts w:eastAsia="Times New Roman"/>
                <w:kern w:val="0"/>
                <w:szCs w:val="21"/>
              </w:rPr>
            </w:pPr>
            <w:r>
              <w:rPr>
                <w:rFonts w:hint="eastAsia" w:cs="宋体"/>
                <w:szCs w:val="21"/>
                <w:lang w:bidi="ar"/>
              </w:rPr>
              <w:t>合同金额</w:t>
            </w:r>
          </w:p>
        </w:tc>
        <w:tc>
          <w:tcPr>
            <w:tcW w:w="948" w:type="pct"/>
            <w:vAlign w:val="center"/>
          </w:tcPr>
          <w:p>
            <w:pPr>
              <w:spacing w:before="120" w:beforeLines="50"/>
              <w:jc w:val="center"/>
              <w:rPr>
                <w:kern w:val="0"/>
                <w:szCs w:val="21"/>
              </w:rPr>
            </w:pPr>
            <w:r>
              <w:rPr>
                <w:rFonts w:hint="eastAsia"/>
                <w:kern w:val="0"/>
                <w:szCs w:val="21"/>
              </w:rPr>
              <w:t>合同服务时间</w:t>
            </w:r>
          </w:p>
        </w:tc>
        <w:tc>
          <w:tcPr>
            <w:tcW w:w="630" w:type="pct"/>
            <w:vAlign w:val="center"/>
          </w:tcPr>
          <w:p>
            <w:pPr>
              <w:spacing w:before="120" w:beforeLines="50"/>
              <w:jc w:val="center"/>
              <w:rPr>
                <w:rFonts w:eastAsia="Times New Roman"/>
                <w:kern w:val="0"/>
                <w:szCs w:val="21"/>
              </w:rPr>
            </w:pPr>
            <w:r>
              <w:rPr>
                <w:rFonts w:hint="eastAsia" w:cs="宋体"/>
                <w:szCs w:val="21"/>
                <w:lang w:bidi="ar"/>
              </w:rPr>
              <w:t>招标人</w:t>
            </w:r>
          </w:p>
        </w:tc>
        <w:tc>
          <w:tcPr>
            <w:tcW w:w="542" w:type="pct"/>
            <w:vAlign w:val="center"/>
          </w:tcPr>
          <w:p>
            <w:pPr>
              <w:spacing w:before="120" w:beforeLines="50"/>
              <w:jc w:val="center"/>
              <w:rPr>
                <w:rFonts w:cs="宋体"/>
                <w:szCs w:val="21"/>
                <w:lang w:bidi="ar"/>
              </w:rPr>
            </w:pPr>
            <w:r>
              <w:rPr>
                <w:rFonts w:hint="eastAsia" w:cs="宋体"/>
                <w:szCs w:val="21"/>
                <w:lang w:bidi="ar"/>
              </w:rPr>
              <w:t>联系人</w:t>
            </w:r>
          </w:p>
        </w:tc>
        <w:tc>
          <w:tcPr>
            <w:tcW w:w="761" w:type="pct"/>
            <w:vAlign w:val="center"/>
          </w:tcPr>
          <w:p>
            <w:pPr>
              <w:spacing w:before="120" w:beforeLines="50"/>
              <w:jc w:val="center"/>
              <w:rPr>
                <w:rFonts w:cs="宋体"/>
                <w:szCs w:val="21"/>
                <w:lang w:bidi="ar"/>
              </w:rPr>
            </w:pPr>
            <w:r>
              <w:rPr>
                <w:rFonts w:hint="eastAsia" w:cs="宋体"/>
                <w:szCs w:val="21"/>
                <w:lang w:bidi="ar"/>
              </w:rPr>
              <w:t>联系电话</w:t>
            </w:r>
          </w:p>
        </w:tc>
      </w:tr>
      <w:tr>
        <w:trPr>
          <w:trHeight w:val="375" w:hRule="atLeast"/>
          <w:jc w:val="center"/>
        </w:trPr>
        <w:tc>
          <w:tcPr>
            <w:tcW w:w="453" w:type="pct"/>
          </w:tcPr>
          <w:p>
            <w:pPr>
              <w:spacing w:before="120" w:beforeLines="50"/>
              <w:jc w:val="center"/>
              <w:rPr>
                <w:rFonts w:eastAsia="Times New Roman"/>
                <w:kern w:val="0"/>
                <w:sz w:val="24"/>
                <w:szCs w:val="21"/>
              </w:rPr>
            </w:pPr>
          </w:p>
        </w:tc>
        <w:tc>
          <w:tcPr>
            <w:tcW w:w="830" w:type="pct"/>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tcPr>
          <w:p>
            <w:pPr>
              <w:spacing w:before="120" w:beforeLines="50"/>
              <w:jc w:val="center"/>
              <w:rPr>
                <w:rFonts w:eastAsia="Times New Roman"/>
                <w:kern w:val="0"/>
                <w:sz w:val="24"/>
                <w:szCs w:val="21"/>
              </w:rPr>
            </w:pPr>
          </w:p>
        </w:tc>
        <w:tc>
          <w:tcPr>
            <w:tcW w:w="630" w:type="pct"/>
          </w:tcPr>
          <w:p>
            <w:pPr>
              <w:spacing w:before="120" w:beforeLines="50"/>
              <w:jc w:val="center"/>
              <w:rPr>
                <w:rFonts w:eastAsia="Times New Roman"/>
                <w:kern w:val="0"/>
                <w:sz w:val="24"/>
                <w:szCs w:val="21"/>
              </w:rPr>
            </w:pPr>
          </w:p>
        </w:tc>
        <w:tc>
          <w:tcPr>
            <w:tcW w:w="542" w:type="pct"/>
          </w:tcPr>
          <w:p>
            <w:pPr>
              <w:spacing w:before="120" w:beforeLines="50"/>
              <w:jc w:val="center"/>
              <w:rPr>
                <w:rFonts w:eastAsia="Times New Roman"/>
                <w:kern w:val="0"/>
                <w:sz w:val="24"/>
                <w:szCs w:val="21"/>
              </w:rPr>
            </w:pPr>
          </w:p>
        </w:tc>
        <w:tc>
          <w:tcPr>
            <w:tcW w:w="761" w:type="pct"/>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bl>
    <w:p>
      <w:pPr>
        <w:spacing w:before="120" w:beforeLines="50" w:line="360" w:lineRule="auto"/>
        <w:ind w:left="705" w:leftChars="202" w:right="-57" w:rightChars="-27" w:hanging="281" w:hangingChars="134"/>
        <w:jc w:val="left"/>
        <w:rPr>
          <w:rFonts w:eastAsia="Times New Roman"/>
          <w:kern w:val="0"/>
          <w:sz w:val="24"/>
          <w:szCs w:val="21"/>
        </w:rPr>
      </w:pPr>
      <w:r>
        <w:rPr>
          <w:rFonts w:hint="eastAsia" w:cs="宋体"/>
          <w:szCs w:val="18"/>
          <w:lang w:bidi="ar"/>
        </w:rPr>
        <w:t>注：</w:t>
      </w:r>
    </w:p>
    <w:p>
      <w:pPr>
        <w:spacing w:before="120" w:beforeLines="50" w:line="360" w:lineRule="auto"/>
        <w:ind w:left="705" w:leftChars="202" w:right="-57" w:rightChars="-27" w:hanging="281" w:hangingChars="134"/>
        <w:jc w:val="left"/>
        <w:rPr>
          <w:rFonts w:ascii="宋体" w:hAnsi="宋体"/>
          <w:kern w:val="0"/>
          <w:sz w:val="24"/>
          <w:szCs w:val="21"/>
        </w:rPr>
      </w:pPr>
      <w:r>
        <w:rPr>
          <w:rFonts w:ascii="宋体" w:hAnsi="宋体"/>
          <w:szCs w:val="21"/>
          <w:lang w:bidi="ar"/>
        </w:rPr>
        <w:t xml:space="preserve">1. </w:t>
      </w:r>
      <w:r>
        <w:rPr>
          <w:rFonts w:hint="eastAsia" w:ascii="宋体" w:hAnsi="宋体" w:cs="宋体"/>
          <w:szCs w:val="21"/>
          <w:lang w:bidi="ar"/>
        </w:rPr>
        <w:t>项目按照时间顺序排列。</w:t>
      </w:r>
    </w:p>
    <w:p>
      <w:pPr>
        <w:spacing w:before="120" w:beforeLines="50" w:line="360" w:lineRule="auto"/>
        <w:ind w:left="705" w:leftChars="202" w:right="-57" w:rightChars="-27" w:hanging="281" w:hangingChars="134"/>
        <w:jc w:val="left"/>
        <w:rPr>
          <w:rFonts w:ascii="宋体" w:hAnsi="宋体"/>
          <w:kern w:val="0"/>
          <w:sz w:val="24"/>
          <w:szCs w:val="21"/>
        </w:rPr>
      </w:pPr>
      <w:r>
        <w:rPr>
          <w:rFonts w:ascii="宋体" w:hAnsi="宋体"/>
          <w:szCs w:val="21"/>
          <w:lang w:bidi="ar"/>
        </w:rPr>
        <w:t xml:space="preserve">2. </w:t>
      </w:r>
      <w:r>
        <w:rPr>
          <w:rFonts w:hint="eastAsia" w:ascii="宋体" w:hAnsi="宋体" w:cs="宋体"/>
          <w:szCs w:val="21"/>
          <w:lang w:bidi="ar"/>
        </w:rPr>
        <w:t>投标人须按招标文件要求提供相应的</w:t>
      </w:r>
      <w:r>
        <w:rPr>
          <w:rFonts w:hint="eastAsia" w:ascii="宋体" w:hAnsi="宋体" w:cs="宋体"/>
          <w:lang w:bidi="ar"/>
        </w:rPr>
        <w:t>业绩证明材料</w:t>
      </w:r>
      <w:r>
        <w:rPr>
          <w:rFonts w:hint="eastAsia" w:ascii="宋体" w:hAnsi="宋体" w:cs="宋体"/>
          <w:szCs w:val="21"/>
          <w:lang w:bidi="ar"/>
        </w:rPr>
        <w:t>。</w:t>
      </w:r>
    </w:p>
    <w:p>
      <w:pPr>
        <w:spacing w:before="120" w:beforeLines="50" w:line="360" w:lineRule="auto"/>
        <w:ind w:right="-57" w:rightChars="-27"/>
        <w:rPr>
          <w:rFonts w:ascii="宋体" w:hAnsi="宋体"/>
          <w:kern w:val="0"/>
          <w:sz w:val="24"/>
        </w:rPr>
      </w:pPr>
    </w:p>
    <w:p>
      <w:pPr>
        <w:spacing w:before="120" w:beforeLines="50" w:line="360" w:lineRule="auto"/>
        <w:ind w:left="479" w:leftChars="220" w:right="-57" w:rightChars="-27" w:hanging="17"/>
        <w:rPr>
          <w:rFonts w:ascii="宋体" w:hAnsi="宋体"/>
          <w:kern w:val="0"/>
          <w:sz w:val="24"/>
        </w:rPr>
      </w:pPr>
      <w:r>
        <w:rPr>
          <w:rFonts w:hint="eastAsia" w:ascii="宋体" w:hAnsi="宋体" w:cs="宋体"/>
          <w:lang w:bidi="ar"/>
        </w:rPr>
        <w:t>投标人：（公章）</w:t>
      </w:r>
      <w:r>
        <w:rPr>
          <w:rFonts w:ascii="宋体" w:hAnsi="宋体"/>
          <w:lang w:bidi="ar"/>
        </w:rPr>
        <w:t xml:space="preserve"> </w:t>
      </w:r>
    </w:p>
    <w:p>
      <w:pPr>
        <w:spacing w:before="120" w:beforeLines="50" w:line="360" w:lineRule="auto"/>
        <w:ind w:left="478" w:leftChars="227" w:right="-57" w:rightChars="-27" w:hanging="1"/>
        <w:rPr>
          <w:rFonts w:ascii="宋体" w:hAnsi="宋体"/>
          <w:kern w:val="0"/>
          <w:sz w:val="24"/>
        </w:rPr>
      </w:pPr>
      <w:r>
        <w:rPr>
          <w:rFonts w:hint="eastAsia" w:ascii="宋体" w:hAnsi="宋体" w:cs="宋体"/>
          <w:lang w:bidi="ar"/>
        </w:rPr>
        <w:t>法定代表人或其委托代理人：（签字或盖章）</w:t>
      </w:r>
    </w:p>
    <w:p>
      <w:pPr>
        <w:spacing w:before="120" w:beforeLines="50" w:line="360" w:lineRule="auto"/>
        <w:ind w:left="463" w:leftChars="220" w:right="-57" w:rightChars="-27" w:hanging="1"/>
        <w:rPr>
          <w:rFonts w:ascii="宋体" w:hAnsi="宋体"/>
          <w:kern w:val="0"/>
          <w:sz w:val="24"/>
        </w:rPr>
      </w:pPr>
      <w:r>
        <w:rPr>
          <w:rFonts w:hint="eastAsia" w:ascii="宋体" w:hAnsi="宋体" w:cs="宋体"/>
          <w:lang w:bidi="ar"/>
        </w:rPr>
        <w:t>日</w:t>
      </w:r>
      <w:r>
        <w:rPr>
          <w:rFonts w:ascii="宋体" w:hAnsi="宋体"/>
          <w:lang w:bidi="ar"/>
        </w:rPr>
        <w:t xml:space="preserve">    </w:t>
      </w:r>
      <w:r>
        <w:rPr>
          <w:rFonts w:hint="eastAsia" w:ascii="宋体" w:hAnsi="宋体" w:cs="宋体"/>
          <w:lang w:bidi="ar"/>
        </w:rPr>
        <w:t>期：</w:t>
      </w:r>
    </w:p>
    <w:p>
      <w:pPr>
        <w:keepNext/>
        <w:keepLines/>
        <w:spacing w:line="480" w:lineRule="auto"/>
        <w:outlineLvl w:val="3"/>
        <w:rPr>
          <w:rFonts w:ascii="宋体" w:hAnsi="宋体"/>
          <w:b/>
          <w:szCs w:val="21"/>
        </w:rPr>
      </w:pPr>
      <w:r>
        <w:rPr>
          <w:rFonts w:ascii="宋体" w:hAnsi="宋体"/>
          <w:b/>
          <w:bCs/>
          <w:sz w:val="28"/>
          <w:szCs w:val="28"/>
        </w:rPr>
        <w:br w:type="page"/>
      </w:r>
      <w:r>
        <w:rPr>
          <w:rFonts w:hint="eastAsia" w:ascii="宋体" w:hAnsi="宋体"/>
          <w:b/>
          <w:szCs w:val="21"/>
        </w:rPr>
        <w:t>格式A4：</w:t>
      </w:r>
      <w:r>
        <w:rPr>
          <w:rFonts w:ascii="宋体" w:hAnsi="宋体"/>
          <w:b/>
          <w:szCs w:val="21"/>
        </w:rPr>
        <w:t>承诺书</w:t>
      </w:r>
    </w:p>
    <w:p>
      <w:pPr>
        <w:spacing w:before="240" w:beforeLines="100" w:after="240" w:afterLines="100" w:line="360" w:lineRule="auto"/>
        <w:jc w:val="center"/>
        <w:rPr>
          <w:rFonts w:ascii="宋体" w:hAnsi="宋体"/>
          <w:b/>
          <w:kern w:val="0"/>
          <w:sz w:val="28"/>
          <w:szCs w:val="28"/>
        </w:rPr>
      </w:pPr>
      <w:r>
        <w:rPr>
          <w:rFonts w:hint="eastAsia" w:ascii="宋体" w:hAnsi="宋体"/>
          <w:b/>
          <w:kern w:val="0"/>
          <w:sz w:val="28"/>
          <w:szCs w:val="28"/>
        </w:rPr>
        <w:t>承诺书</w:t>
      </w:r>
    </w:p>
    <w:p>
      <w:pPr>
        <w:spacing w:line="360" w:lineRule="auto"/>
        <w:jc w:val="left"/>
        <w:rPr>
          <w:rFonts w:ascii="宋体" w:hAnsi="宋体"/>
          <w:kern w:val="0"/>
          <w:szCs w:val="21"/>
        </w:rPr>
      </w:pPr>
      <w:r>
        <w:rPr>
          <w:rFonts w:ascii="宋体" w:hAnsi="宋体"/>
          <w:kern w:val="0"/>
          <w:szCs w:val="21"/>
        </w:rPr>
        <w:t>致：</w:t>
      </w:r>
      <w:r>
        <w:rPr>
          <w:rFonts w:hint="eastAsia" w:ascii="宋体" w:hAnsi="宋体"/>
          <w:kern w:val="0"/>
          <w:szCs w:val="21"/>
        </w:rPr>
        <w:t>南宁轨道数智科技有限公司</w:t>
      </w:r>
    </w:p>
    <w:p>
      <w:pPr>
        <w:spacing w:line="360" w:lineRule="auto"/>
        <w:ind w:firstLine="420" w:firstLineChars="200"/>
        <w:jc w:val="left"/>
      </w:pPr>
      <w:r>
        <w:rPr>
          <w:rFonts w:hint="eastAsia" w:ascii="宋体" w:hAnsi="宋体"/>
          <w:kern w:val="0"/>
          <w:szCs w:val="21"/>
        </w:rPr>
        <w:t>我司</w:t>
      </w:r>
      <w:r>
        <w:rPr>
          <w:rFonts w:ascii="宋体" w:hAnsi="宋体"/>
          <w:kern w:val="0"/>
          <w:szCs w:val="21"/>
        </w:rPr>
        <w:t>郑重承诺：</w:t>
      </w:r>
      <w:r>
        <w:rPr>
          <w:rFonts w:ascii="宋体" w:hAnsi="宋体"/>
          <w:b/>
          <w:kern w:val="0"/>
          <w:szCs w:val="21"/>
        </w:rPr>
        <w:t>我公司</w:t>
      </w:r>
      <w:r>
        <w:rPr>
          <w:rFonts w:hint="eastAsia" w:ascii="宋体" w:hAnsi="宋体"/>
          <w:b/>
          <w:kern w:val="0"/>
          <w:szCs w:val="21"/>
        </w:rPr>
        <w:t>没有处于被责令停业，或投标资格被行政主管部门取消，或财产被接管、冻结、破产状态，在投标截止前3年内没有骗取中标、严重违约或重大安全质量事故</w:t>
      </w:r>
      <w:r>
        <w:rPr>
          <w:rFonts w:hint="eastAsia" w:ascii="宋体" w:hAnsi="宋体"/>
          <w:b/>
          <w:spacing w:val="1"/>
          <w:kern w:val="0"/>
          <w:position w:val="-2"/>
          <w:szCs w:val="21"/>
        </w:rPr>
        <w:t>；</w:t>
      </w:r>
      <w:r>
        <w:rPr>
          <w:rFonts w:ascii="宋体" w:hAnsi="宋体"/>
          <w:b/>
          <w:spacing w:val="1"/>
          <w:kern w:val="0"/>
          <w:position w:val="-2"/>
          <w:szCs w:val="21"/>
        </w:rPr>
        <w:t>我</w:t>
      </w:r>
      <w:r>
        <w:rPr>
          <w:rFonts w:hint="eastAsia" w:ascii="宋体" w:hAnsi="宋体"/>
          <w:b/>
          <w:spacing w:val="1"/>
          <w:kern w:val="0"/>
          <w:position w:val="-2"/>
          <w:szCs w:val="21"/>
        </w:rPr>
        <w:t>方</w:t>
      </w:r>
      <w:r>
        <w:rPr>
          <w:rFonts w:ascii="宋体" w:hAnsi="宋体"/>
          <w:b/>
          <w:spacing w:val="1"/>
          <w:kern w:val="0"/>
          <w:position w:val="-2"/>
          <w:szCs w:val="21"/>
        </w:rPr>
        <w:t>与其他投标人之间不存在单位负责人为同一人或者控股、管理关系的情况</w:t>
      </w:r>
      <w:r>
        <w:rPr>
          <w:rFonts w:hint="eastAsia" w:ascii="宋体" w:hAnsi="宋体"/>
          <w:b/>
          <w:spacing w:val="1"/>
          <w:kern w:val="0"/>
          <w:position w:val="-2"/>
          <w:szCs w:val="21"/>
        </w:rPr>
        <w:t>；</w:t>
      </w:r>
      <w:r>
        <w:rPr>
          <w:rFonts w:hint="eastAsia"/>
          <w:b/>
          <w:spacing w:val="1"/>
          <w:kern w:val="0"/>
          <w:position w:val="-2"/>
          <w:szCs w:val="21"/>
        </w:rPr>
        <w:t>我方未列入招标人不良信用名单。</w:t>
      </w:r>
    </w:p>
    <w:p>
      <w:pPr>
        <w:spacing w:line="360" w:lineRule="auto"/>
        <w:ind w:firstLine="420" w:firstLineChars="200"/>
        <w:jc w:val="left"/>
        <w:rPr>
          <w:rFonts w:ascii="宋体" w:hAnsi="宋体"/>
          <w:kern w:val="0"/>
          <w:szCs w:val="21"/>
        </w:rPr>
      </w:pPr>
      <w:r>
        <w:rPr>
          <w:rFonts w:ascii="宋体" w:hAnsi="宋体"/>
          <w:kern w:val="0"/>
          <w:szCs w:val="21"/>
        </w:rPr>
        <w:t>如果在该项目投标过程中或者在中标后，招标人或者有管辖权的招标投标行政监管机构发现并查实我公司在所填报的该项目</w:t>
      </w:r>
      <w:r>
        <w:rPr>
          <w:rFonts w:hint="eastAsia" w:ascii="宋体" w:hAnsi="宋体"/>
          <w:kern w:val="0"/>
          <w:szCs w:val="21"/>
        </w:rPr>
        <w:t>投标文件</w:t>
      </w:r>
      <w:r>
        <w:rPr>
          <w:rFonts w:ascii="宋体" w:hAnsi="宋体"/>
          <w:kern w:val="0"/>
          <w:szCs w:val="21"/>
        </w:rPr>
        <w:t>中存在提供虚假或不真实的信息或者伪造数据、资料或证书等情况，不管招标人或有管辖权的招标投标监管机构是否有合法的处罚依据，我公司将无条件地自动放弃该</w:t>
      </w:r>
      <w:r>
        <w:rPr>
          <w:rFonts w:hint="eastAsia" w:ascii="宋体" w:hAnsi="宋体"/>
          <w:kern w:val="0"/>
          <w:szCs w:val="21"/>
        </w:rPr>
        <w:t>项目</w:t>
      </w:r>
      <w:r>
        <w:rPr>
          <w:rFonts w:ascii="宋体" w:hAnsi="宋体"/>
          <w:kern w:val="0"/>
          <w:szCs w:val="21"/>
        </w:rPr>
        <w:t>的中标资格；如果我公司已经收到中标通知书，我公司无条件地承认，我公司所收到的该</w:t>
      </w:r>
      <w:r>
        <w:rPr>
          <w:rFonts w:hint="eastAsia" w:ascii="宋体" w:hAnsi="宋体"/>
          <w:kern w:val="0"/>
          <w:szCs w:val="21"/>
        </w:rPr>
        <w:t>项目</w:t>
      </w:r>
      <w:r>
        <w:rPr>
          <w:rFonts w:ascii="宋体" w:hAnsi="宋体"/>
          <w:kern w:val="0"/>
          <w:szCs w:val="21"/>
        </w:rPr>
        <w:t>中标通知书为无效文件，对招标人不具任何法律约束力；由此造成的任何后果和损失均由我公司承担。本段承诺既是我公司投标文件的有效组成内容，也是我公司真实意思的表示，对我公司在与该项目有关的任何行为中始终具有优先的法律约束力。</w:t>
      </w:r>
    </w:p>
    <w:p>
      <w:pPr>
        <w:spacing w:line="360" w:lineRule="auto"/>
        <w:ind w:firstLine="420" w:firstLineChars="200"/>
        <w:jc w:val="left"/>
        <w:rPr>
          <w:rFonts w:ascii="宋体" w:hAnsi="宋体"/>
          <w:kern w:val="0"/>
          <w:szCs w:val="21"/>
        </w:rPr>
      </w:pPr>
      <w:r>
        <w:rPr>
          <w:rFonts w:hint="eastAsia" w:ascii="宋体" w:hAnsi="宋体"/>
          <w:kern w:val="0"/>
          <w:szCs w:val="21"/>
        </w:rPr>
        <w:t>我司郑重承诺:</w:t>
      </w:r>
      <w:r>
        <w:rPr>
          <w:rFonts w:hint="eastAsia" w:ascii="宋体" w:hAnsi="宋体"/>
          <w:b/>
          <w:spacing w:val="1"/>
          <w:kern w:val="0"/>
          <w:position w:val="-2"/>
          <w:szCs w:val="21"/>
        </w:rPr>
        <w:t>在中标后，向本项目的招标代理机构支付代理费用。我司已知悉代理的相关费用已包含在投标报价中，不需要招标人另行支付。若我司拒绝支付代理费用，视为我公司自动放弃该项目的中标资格。</w:t>
      </w:r>
    </w:p>
    <w:p>
      <w:pPr>
        <w:spacing w:line="360" w:lineRule="auto"/>
        <w:ind w:firstLine="420" w:firstLineChars="200"/>
        <w:jc w:val="left"/>
        <w:rPr>
          <w:rFonts w:ascii="宋体" w:hAnsi="宋体"/>
          <w:kern w:val="0"/>
          <w:szCs w:val="21"/>
        </w:rPr>
      </w:pPr>
    </w:p>
    <w:p>
      <w:pPr>
        <w:spacing w:line="360" w:lineRule="auto"/>
        <w:ind w:firstLine="420" w:firstLineChars="200"/>
        <w:jc w:val="left"/>
        <w:rPr>
          <w:rFonts w:ascii="宋体" w:hAnsi="宋体"/>
          <w:kern w:val="0"/>
          <w:szCs w:val="21"/>
        </w:rPr>
      </w:pPr>
      <w:r>
        <w:rPr>
          <w:rFonts w:ascii="宋体" w:hAnsi="宋体"/>
          <w:kern w:val="0"/>
          <w:szCs w:val="21"/>
        </w:rPr>
        <w:t xml:space="preserve">投标人：（公章）  </w:t>
      </w:r>
    </w:p>
    <w:p>
      <w:pPr>
        <w:spacing w:line="360" w:lineRule="auto"/>
        <w:ind w:firstLine="420" w:firstLineChars="200"/>
        <w:jc w:val="left"/>
        <w:rPr>
          <w:rFonts w:ascii="宋体" w:hAnsi="宋体"/>
          <w:kern w:val="0"/>
          <w:szCs w:val="21"/>
        </w:rPr>
      </w:pPr>
      <w:r>
        <w:rPr>
          <w:rFonts w:hint="eastAsia" w:ascii="宋体" w:hAnsi="宋体"/>
          <w:kern w:val="0"/>
          <w:szCs w:val="21"/>
        </w:rPr>
        <w:t>法定代表人或其委托代理人</w:t>
      </w:r>
      <w:r>
        <w:rPr>
          <w:rFonts w:ascii="宋体" w:hAnsi="宋体"/>
          <w:kern w:val="0"/>
          <w:szCs w:val="21"/>
        </w:rPr>
        <w:t>：（签字或盖章）</w:t>
      </w:r>
    </w:p>
    <w:p>
      <w:pPr>
        <w:spacing w:line="360" w:lineRule="auto"/>
        <w:ind w:firstLine="399" w:firstLineChars="190"/>
        <w:jc w:val="left"/>
        <w:rPr>
          <w:rFonts w:ascii="宋体" w:hAnsi="宋体"/>
          <w:sz w:val="28"/>
          <w:szCs w:val="28"/>
        </w:rPr>
      </w:pPr>
      <w:bookmarkStart w:id="811" w:name="_Toc23321"/>
      <w:r>
        <w:rPr>
          <w:rFonts w:ascii="宋体" w:hAnsi="宋体"/>
          <w:bCs/>
          <w:kern w:val="0"/>
          <w:szCs w:val="21"/>
        </w:rPr>
        <w:t>日期：</w:t>
      </w:r>
      <w:r>
        <w:rPr>
          <w:rFonts w:ascii="宋体" w:hAnsi="宋体"/>
          <w:kern w:val="0"/>
          <w:szCs w:val="21"/>
        </w:rPr>
        <w:t xml:space="preserve"> </w:t>
      </w:r>
      <w:bookmarkEnd w:id="791"/>
      <w:bookmarkEnd w:id="792"/>
      <w:bookmarkEnd w:id="793"/>
      <w:bookmarkEnd w:id="794"/>
      <w:bookmarkEnd w:id="795"/>
      <w:bookmarkEnd w:id="796"/>
      <w:bookmarkEnd w:id="797"/>
      <w:bookmarkEnd w:id="798"/>
      <w:bookmarkEnd w:id="811"/>
    </w:p>
    <w:p>
      <w:pPr>
        <w:spacing w:line="360" w:lineRule="auto"/>
        <w:jc w:val="center"/>
        <w:rPr>
          <w:rFonts w:ascii="宋体" w:hAnsi="宋体"/>
          <w:sz w:val="28"/>
          <w:szCs w:val="28"/>
        </w:rPr>
      </w:pPr>
    </w:p>
    <w:p>
      <w:pPr>
        <w:keepNext/>
        <w:keepLines/>
        <w:pageBreakBefore/>
        <w:spacing w:before="60" w:after="60" w:line="413" w:lineRule="auto"/>
        <w:jc w:val="left"/>
        <w:outlineLvl w:val="1"/>
        <w:rPr>
          <w:rFonts w:ascii="宋体" w:hAnsi="宋体"/>
          <w:b/>
          <w:bCs/>
          <w:sz w:val="28"/>
          <w:szCs w:val="28"/>
        </w:rPr>
      </w:pPr>
      <w:bookmarkStart w:id="812" w:name="_Toc27029"/>
      <w:bookmarkStart w:id="813" w:name="_Toc180507142"/>
      <w:bookmarkStart w:id="814" w:name="_Toc29786943"/>
      <w:bookmarkStart w:id="815" w:name="_Toc26440"/>
      <w:bookmarkStart w:id="816" w:name="_Toc22743"/>
      <w:bookmarkStart w:id="817" w:name="_Toc19897"/>
      <w:bookmarkStart w:id="818" w:name="_Toc5186"/>
      <w:r>
        <mc:AlternateContent>
          <mc:Choice Requires="wps">
            <w:drawing>
              <wp:anchor distT="0" distB="0" distL="114300" distR="114300" simplePos="0" relativeHeight="251664384" behindDoc="0" locked="0" layoutInCell="1" allowOverlap="1">
                <wp:simplePos x="0" y="0"/>
                <wp:positionH relativeFrom="column">
                  <wp:posOffset>4528820</wp:posOffset>
                </wp:positionH>
                <wp:positionV relativeFrom="paragraph">
                  <wp:posOffset>123825</wp:posOffset>
                </wp:positionV>
                <wp:extent cx="1003300" cy="406400"/>
                <wp:effectExtent l="6350" t="6350" r="6350" b="1905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1003300" cy="406400"/>
                        </a:xfrm>
                        <a:prstGeom prst="rect">
                          <a:avLst/>
                        </a:prstGeom>
                        <a:solidFill>
                          <a:srgbClr val="FFFFFF"/>
                        </a:solidFill>
                        <a:ln w="9525">
                          <a:solidFill>
                            <a:srgbClr val="000000"/>
                          </a:solidFill>
                          <a:miter lim="800000"/>
                        </a:ln>
                        <a:effectLst/>
                      </wps:spPr>
                      <wps:txbx>
                        <w:txbxContent>
                          <w:p>
                            <w:pPr>
                              <w:rPr>
                                <w:sz w:val="28"/>
                                <w:szCs w:val="28"/>
                              </w:rPr>
                            </w:pPr>
                            <w:r>
                              <w:rPr>
                                <w:rFonts w:hint="eastAsia" w:ascii="宋体" w:hAnsi="宋体" w:cs="宋体"/>
                                <w:sz w:val="28"/>
                                <w:szCs w:val="28"/>
                              </w:rPr>
                              <w:t>正本</w:t>
                            </w:r>
                            <w:r>
                              <w:rPr>
                                <w:rFonts w:ascii="宋体" w:hAnsi="宋体" w:cs="宋体"/>
                                <w:sz w:val="28"/>
                                <w:szCs w:val="28"/>
                              </w:rPr>
                              <w:t>/副本</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6.6pt;margin-top:9.75pt;height:32pt;width:79pt;z-index:251664384;mso-width-relative:page;mso-height-relative:page;" fillcolor="#FFFFFF" filled="t" stroked="t" coordsize="21600,21600" o:gfxdata="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F4E+nHYAAAACQEA&#10;AA8AAAAAAAAAAQAgAAAAOAAAAGRycy9kb3ducmV2LnhtbFBLAQIUABQAAAAIAIdO4kA6lxf8PQIA&#10;AIoEAAAOAAAAAAAAAAEAIAAAAD0BAABkcnMvZTJvRG9jLnhtbFBLBQYAAAAABgAGAFkBAADsBQAA&#10;AAA=&#10;">
                <v:fill on="t" focussize="0,0"/>
                <v:stroke color="#000000" miterlimit="8" joinstyle="miter"/>
                <v:imagedata o:title=""/>
                <o:lock v:ext="edit" aspectratio="f"/>
                <v:textbox>
                  <w:txbxContent>
                    <w:p>
                      <w:pPr>
                        <w:rPr>
                          <w:sz w:val="28"/>
                          <w:szCs w:val="28"/>
                        </w:rPr>
                      </w:pPr>
                      <w:r>
                        <w:rPr>
                          <w:rFonts w:hint="eastAsia" w:ascii="宋体" w:hAnsi="宋体" w:cs="宋体"/>
                          <w:sz w:val="28"/>
                          <w:szCs w:val="28"/>
                        </w:rPr>
                        <w:t>正本</w:t>
                      </w:r>
                      <w:r>
                        <w:rPr>
                          <w:rFonts w:ascii="宋体" w:hAnsi="宋体" w:cs="宋体"/>
                          <w:sz w:val="28"/>
                          <w:szCs w:val="28"/>
                        </w:rPr>
                        <w:t>/副本</w:t>
                      </w:r>
                    </w:p>
                  </w:txbxContent>
                </v:textbox>
              </v:rect>
            </w:pict>
          </mc:Fallback>
        </mc:AlternateContent>
      </w:r>
      <w:r>
        <w:rPr>
          <w:rFonts w:hint="eastAsia" w:ascii="宋体" w:hAnsi="宋体"/>
          <w:b/>
          <w:bCs/>
          <w:sz w:val="24"/>
        </w:rPr>
        <w:t>二、资信文件格式</w:t>
      </w:r>
      <w:bookmarkEnd w:id="812"/>
      <w:bookmarkEnd w:id="813"/>
      <w:bookmarkEnd w:id="814"/>
      <w:bookmarkEnd w:id="815"/>
      <w:bookmarkEnd w:id="816"/>
      <w:bookmarkEnd w:id="817"/>
      <w:bookmarkEnd w:id="818"/>
    </w:p>
    <w:p>
      <w:pPr>
        <w:spacing w:line="360" w:lineRule="auto"/>
        <w:jc w:val="left"/>
        <w:rPr>
          <w:rFonts w:ascii="宋体" w:hAnsi="宋体"/>
          <w:kern w:val="0"/>
          <w:szCs w:val="21"/>
        </w:rPr>
      </w:pPr>
      <w:r>
        <w:rPr>
          <w:rFonts w:hint="eastAsia" w:ascii="宋体" w:hAnsi="宋体"/>
          <w:kern w:val="0"/>
          <w:szCs w:val="21"/>
        </w:rPr>
        <w:t>（一）封面格式</w:t>
      </w:r>
    </w:p>
    <w:p>
      <w:pPr>
        <w:jc w:val="left"/>
        <w:rPr>
          <w:rFonts w:ascii="宋体" w:hAnsi="宋体"/>
          <w:kern w:val="0"/>
          <w:szCs w:val="21"/>
        </w:rPr>
      </w:pPr>
    </w:p>
    <w:p>
      <w:pPr>
        <w:ind w:right="840"/>
        <w:rPr>
          <w:rFonts w:ascii="宋体" w:hAnsi="宋体"/>
          <w:kern w:val="0"/>
          <w:szCs w:val="21"/>
        </w:rPr>
      </w:pPr>
    </w:p>
    <w:p>
      <w:pPr>
        <w:ind w:right="840"/>
        <w:rPr>
          <w:rFonts w:ascii="宋体" w:hAnsi="宋体"/>
          <w:kern w:val="0"/>
          <w:szCs w:val="21"/>
        </w:rPr>
      </w:pPr>
    </w:p>
    <w:p>
      <w:pPr>
        <w:jc w:val="center"/>
        <w:rPr>
          <w:rFonts w:ascii="宋体" w:hAnsi="宋体"/>
          <w:kern w:val="0"/>
          <w:sz w:val="32"/>
          <w:szCs w:val="32"/>
        </w:rPr>
      </w:pPr>
    </w:p>
    <w:p>
      <w:pPr>
        <w:jc w:val="center"/>
        <w:rPr>
          <w:rFonts w:ascii="宋体" w:hAnsi="宋体"/>
          <w:kern w:val="0"/>
          <w:sz w:val="28"/>
          <w:szCs w:val="28"/>
        </w:rPr>
      </w:pPr>
      <w:r>
        <w:rPr>
          <w:rFonts w:ascii="宋体" w:hAnsi="宋体"/>
          <w:kern w:val="0"/>
          <w:sz w:val="28"/>
          <w:szCs w:val="28"/>
          <w:u w:val="single"/>
        </w:rPr>
        <w:t>（项目名称）</w:t>
      </w:r>
      <w:r>
        <w:rPr>
          <w:rFonts w:hint="eastAsia" w:ascii="宋体" w:hAnsi="宋体"/>
          <w:kern w:val="0"/>
          <w:sz w:val="28"/>
          <w:szCs w:val="28"/>
          <w:u w:val="single"/>
        </w:rPr>
        <w:t>项目</w:t>
      </w: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spacing w:before="240" w:beforeLines="100" w:line="360" w:lineRule="auto"/>
        <w:jc w:val="center"/>
        <w:rPr>
          <w:rFonts w:ascii="宋体" w:hAnsi="宋体"/>
          <w:kern w:val="0"/>
          <w:sz w:val="56"/>
          <w:szCs w:val="56"/>
        </w:rPr>
      </w:pPr>
      <w:r>
        <w:rPr>
          <w:rFonts w:ascii="宋体" w:hAnsi="宋体"/>
          <w:kern w:val="0"/>
          <w:sz w:val="56"/>
          <w:szCs w:val="56"/>
        </w:rPr>
        <w:t>投  标  文  件</w:t>
      </w:r>
    </w:p>
    <w:p>
      <w:pPr>
        <w:spacing w:line="360" w:lineRule="auto"/>
        <w:jc w:val="center"/>
        <w:rPr>
          <w:rFonts w:ascii="宋体" w:hAnsi="宋体"/>
          <w:kern w:val="0"/>
          <w:sz w:val="36"/>
          <w:szCs w:val="36"/>
          <w:u w:val="single"/>
        </w:rPr>
      </w:pPr>
      <w:r>
        <w:rPr>
          <w:rFonts w:hint="eastAsia" w:ascii="宋体" w:hAnsi="宋体"/>
          <w:kern w:val="0"/>
          <w:sz w:val="36"/>
          <w:szCs w:val="36"/>
          <w:u w:val="single"/>
        </w:rPr>
        <w:t>资信文件</w:t>
      </w:r>
    </w:p>
    <w:p>
      <w:pPr>
        <w:spacing w:line="360" w:lineRule="auto"/>
        <w:jc w:val="center"/>
        <w:rPr>
          <w:rFonts w:ascii="宋体" w:hAnsi="宋体"/>
          <w:kern w:val="0"/>
          <w:sz w:val="32"/>
          <w:szCs w:val="32"/>
          <w:u w:val="single"/>
        </w:rPr>
      </w:pPr>
      <w:r>
        <w:rPr>
          <w:rFonts w:hint="eastAsia" w:ascii="宋体" w:hAnsi="宋体"/>
          <w:kern w:val="0"/>
          <w:sz w:val="32"/>
          <w:szCs w:val="32"/>
          <w:u w:val="single"/>
        </w:rPr>
        <w:t>第   册（如有分册）</w:t>
      </w:r>
    </w:p>
    <w:p>
      <w:pPr>
        <w:rPr>
          <w:rFonts w:ascii="宋体" w:hAnsi="宋体"/>
          <w:kern w:val="0"/>
          <w:sz w:val="32"/>
          <w:szCs w:val="32"/>
        </w:rPr>
      </w:pPr>
    </w:p>
    <w:p>
      <w:pPr>
        <w:spacing w:line="360" w:lineRule="auto"/>
        <w:ind w:firstLine="2380" w:firstLineChars="850"/>
        <w:rPr>
          <w:rFonts w:ascii="宋体" w:hAnsi="宋体"/>
          <w:kern w:val="0"/>
          <w:sz w:val="28"/>
          <w:szCs w:val="28"/>
          <w:u w:val="single"/>
        </w:rPr>
      </w:pPr>
      <w:r>
        <w:rPr>
          <w:rFonts w:ascii="宋体" w:hAnsi="宋体"/>
          <w:kern w:val="0"/>
          <w:sz w:val="28"/>
          <w:szCs w:val="28"/>
        </w:rPr>
        <w:t>项目编号：</w:t>
      </w:r>
    </w:p>
    <w:p>
      <w:pPr>
        <w:jc w:val="center"/>
        <w:rPr>
          <w:rFonts w:ascii="宋体" w:hAnsi="宋体"/>
          <w:kern w:val="0"/>
          <w:sz w:val="32"/>
          <w:szCs w:val="32"/>
        </w:rPr>
      </w:pPr>
    </w:p>
    <w:p>
      <w:pPr>
        <w:jc w:val="center"/>
        <w:rPr>
          <w:rFonts w:ascii="宋体" w:hAnsi="宋体"/>
          <w:kern w:val="0"/>
          <w:sz w:val="32"/>
          <w:szCs w:val="32"/>
        </w:rPr>
      </w:pPr>
    </w:p>
    <w:p>
      <w:pP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spacing w:line="360" w:lineRule="auto"/>
        <w:ind w:firstLine="1400" w:firstLineChars="500"/>
        <w:rPr>
          <w:rFonts w:ascii="宋体" w:hAnsi="宋体"/>
          <w:kern w:val="0"/>
          <w:sz w:val="28"/>
          <w:szCs w:val="28"/>
        </w:rPr>
      </w:pPr>
      <w:r>
        <w:rPr>
          <w:rFonts w:ascii="宋体" w:hAnsi="宋体"/>
          <w:kern w:val="0"/>
          <w:sz w:val="28"/>
          <w:szCs w:val="28"/>
        </w:rPr>
        <w:t>投标人：（盖单位</w:t>
      </w:r>
      <w:r>
        <w:rPr>
          <w:rFonts w:hint="eastAsia" w:ascii="宋体" w:hAnsi="宋体"/>
          <w:kern w:val="0"/>
          <w:sz w:val="28"/>
          <w:szCs w:val="28"/>
        </w:rPr>
        <w:t>公</w:t>
      </w:r>
      <w:r>
        <w:rPr>
          <w:rFonts w:ascii="宋体" w:hAnsi="宋体"/>
          <w:kern w:val="0"/>
          <w:sz w:val="28"/>
          <w:szCs w:val="28"/>
        </w:rPr>
        <w:t>章）</w:t>
      </w:r>
    </w:p>
    <w:p>
      <w:pPr>
        <w:spacing w:line="360" w:lineRule="auto"/>
        <w:ind w:firstLine="1400" w:firstLineChars="500"/>
        <w:rPr>
          <w:rFonts w:ascii="宋体" w:hAnsi="宋体"/>
          <w:kern w:val="0"/>
          <w:sz w:val="28"/>
          <w:szCs w:val="28"/>
        </w:rPr>
      </w:pPr>
      <w:r>
        <w:rPr>
          <w:rFonts w:hint="eastAsia" w:ascii="宋体" w:hAnsi="宋体"/>
          <w:kern w:val="0"/>
          <w:sz w:val="28"/>
          <w:szCs w:val="28"/>
        </w:rPr>
        <w:t>法定代表人或其委托代理人</w:t>
      </w:r>
      <w:r>
        <w:rPr>
          <w:rFonts w:ascii="宋体" w:hAnsi="宋体"/>
          <w:kern w:val="0"/>
          <w:sz w:val="28"/>
          <w:szCs w:val="28"/>
        </w:rPr>
        <w:t>：（签字</w:t>
      </w:r>
      <w:r>
        <w:rPr>
          <w:rFonts w:hint="eastAsia" w:ascii="宋体" w:hAnsi="宋体"/>
          <w:kern w:val="0"/>
          <w:sz w:val="28"/>
          <w:szCs w:val="28"/>
        </w:rPr>
        <w:t>或盖章</w:t>
      </w:r>
      <w:r>
        <w:rPr>
          <w:rFonts w:ascii="宋体" w:hAnsi="宋体"/>
          <w:kern w:val="0"/>
          <w:sz w:val="28"/>
          <w:szCs w:val="28"/>
        </w:rPr>
        <w:t>）</w:t>
      </w:r>
    </w:p>
    <w:p>
      <w:pPr>
        <w:rPr>
          <w:rFonts w:ascii="宋体" w:hAnsi="宋体"/>
          <w:kern w:val="0"/>
          <w:sz w:val="28"/>
          <w:szCs w:val="28"/>
        </w:rPr>
      </w:pPr>
    </w:p>
    <w:p>
      <w:pPr>
        <w:jc w:val="center"/>
        <w:rPr>
          <w:rFonts w:ascii="宋体" w:hAnsi="宋体"/>
          <w:kern w:val="0"/>
          <w:sz w:val="28"/>
          <w:szCs w:val="28"/>
        </w:rPr>
      </w:pPr>
      <w:r>
        <w:rPr>
          <w:rFonts w:ascii="宋体" w:hAnsi="宋体"/>
          <w:kern w:val="0"/>
          <w:sz w:val="28"/>
          <w:szCs w:val="28"/>
        </w:rPr>
        <w:t>年</w:t>
      </w: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 xml:space="preserve"> </w:t>
      </w:r>
      <w:r>
        <w:rPr>
          <w:rFonts w:ascii="宋体" w:hAnsi="宋体"/>
          <w:kern w:val="0"/>
          <w:sz w:val="28"/>
          <w:szCs w:val="28"/>
        </w:rPr>
        <w:t>月</w:t>
      </w:r>
    </w:p>
    <w:p>
      <w:pPr>
        <w:spacing w:line="360" w:lineRule="auto"/>
        <w:jc w:val="left"/>
        <w:rPr>
          <w:rFonts w:ascii="宋体" w:hAnsi="宋体"/>
          <w:kern w:val="0"/>
          <w:szCs w:val="21"/>
        </w:rPr>
      </w:pPr>
      <w:r>
        <w:rPr>
          <w:rFonts w:ascii="宋体" w:hAnsi="宋体"/>
          <w:kern w:val="0"/>
          <w:sz w:val="28"/>
          <w:szCs w:val="28"/>
        </w:rPr>
        <w:br w:type="page"/>
      </w:r>
      <w:r>
        <w:rPr>
          <w:rFonts w:ascii="宋体" w:hAnsi="宋体"/>
          <w:kern w:val="0"/>
          <w:szCs w:val="21"/>
        </w:rPr>
        <w:t xml:space="preserve"> </w:t>
      </w:r>
      <w:r>
        <w:rPr>
          <w:rFonts w:hint="eastAsia" w:ascii="宋体" w:hAnsi="宋体"/>
          <w:kern w:val="0"/>
          <w:szCs w:val="21"/>
        </w:rPr>
        <w:t>（二）资信文件内容格式</w:t>
      </w:r>
    </w:p>
    <w:p>
      <w:pPr>
        <w:spacing w:line="360" w:lineRule="auto"/>
        <w:ind w:firstLine="420" w:firstLineChars="200"/>
        <w:jc w:val="left"/>
        <w:rPr>
          <w:rFonts w:ascii="宋体" w:hAnsi="宋体"/>
          <w:kern w:val="0"/>
          <w:szCs w:val="21"/>
        </w:rPr>
      </w:pPr>
      <w:r>
        <w:rPr>
          <w:rFonts w:hint="eastAsia" w:ascii="宋体" w:hAnsi="宋体"/>
          <w:kern w:val="0"/>
          <w:szCs w:val="21"/>
        </w:rPr>
        <w:t>投标人可根据以下内容和顺序编排投标文件：</w:t>
      </w:r>
    </w:p>
    <w:p>
      <w:pPr>
        <w:spacing w:line="360" w:lineRule="auto"/>
        <w:ind w:firstLine="420" w:firstLineChars="200"/>
        <w:jc w:val="left"/>
        <w:rPr>
          <w:rFonts w:ascii="宋体" w:hAnsi="宋体"/>
          <w:kern w:val="0"/>
          <w:szCs w:val="21"/>
        </w:rPr>
      </w:pPr>
      <w:r>
        <w:rPr>
          <w:rFonts w:hint="eastAsia" w:ascii="宋体" w:hAnsi="宋体"/>
          <w:kern w:val="0"/>
          <w:szCs w:val="21"/>
        </w:rPr>
        <w:t>1、投标人基本情况一览表</w:t>
      </w:r>
      <w:r>
        <w:rPr>
          <w:rFonts w:hint="eastAsia" w:ascii="宋体" w:hAnsi="宋体"/>
          <w:bCs/>
          <w:kern w:val="0"/>
          <w:szCs w:val="21"/>
        </w:rPr>
        <w:t>（详见格式B1）</w:t>
      </w:r>
      <w:r>
        <w:rPr>
          <w:rFonts w:hint="eastAsia" w:ascii="宋体" w:hAnsi="宋体"/>
          <w:kern w:val="0"/>
          <w:szCs w:val="21"/>
        </w:rPr>
        <w:t>；</w:t>
      </w:r>
    </w:p>
    <w:p>
      <w:pPr>
        <w:spacing w:line="360" w:lineRule="auto"/>
        <w:ind w:firstLine="420" w:firstLineChars="200"/>
        <w:jc w:val="left"/>
        <w:rPr>
          <w:rFonts w:ascii="宋体" w:hAnsi="宋体"/>
          <w:kern w:val="0"/>
          <w:szCs w:val="21"/>
        </w:rPr>
      </w:pPr>
      <w:r>
        <w:rPr>
          <w:rFonts w:hint="eastAsia" w:ascii="宋体" w:hAnsi="宋体"/>
          <w:kern w:val="0"/>
          <w:szCs w:val="21"/>
        </w:rPr>
        <w:t>2、企业实力证明材料，需提供相关证书复印件并加盖投标人公章；（如有）</w:t>
      </w:r>
    </w:p>
    <w:p>
      <w:pPr>
        <w:spacing w:line="360" w:lineRule="auto"/>
        <w:ind w:firstLine="420" w:firstLineChars="200"/>
        <w:jc w:val="left"/>
        <w:rPr>
          <w:rFonts w:ascii="宋体" w:hAnsi="宋体"/>
          <w:kern w:val="0"/>
          <w:szCs w:val="21"/>
        </w:rPr>
      </w:pPr>
      <w:r>
        <w:rPr>
          <w:rFonts w:hint="eastAsia" w:ascii="宋体" w:hAnsi="宋体"/>
          <w:kern w:val="0"/>
          <w:szCs w:val="21"/>
        </w:rPr>
        <w:t>3、</w:t>
      </w:r>
      <w:r>
        <w:rPr>
          <w:rFonts w:hint="eastAsia" w:ascii="宋体" w:hAnsi="宋体" w:cs="宋体"/>
          <w:kern w:val="0"/>
          <w:szCs w:val="21"/>
        </w:rPr>
        <w:t>投标人近三年</w:t>
      </w:r>
      <w:r>
        <w:rPr>
          <w:rFonts w:hint="eastAsia" w:ascii="宋体" w:hAnsi="宋体"/>
          <w:kern w:val="0"/>
          <w:szCs w:val="21"/>
        </w:rPr>
        <w:t>（202</w:t>
      </w:r>
      <w:r>
        <w:rPr>
          <w:rFonts w:ascii="宋体" w:hAnsi="宋体"/>
          <w:kern w:val="0"/>
          <w:szCs w:val="21"/>
        </w:rPr>
        <w:t>1</w:t>
      </w:r>
      <w:r>
        <w:rPr>
          <w:rFonts w:hint="eastAsia" w:ascii="宋体" w:hAnsi="宋体"/>
          <w:kern w:val="0"/>
          <w:szCs w:val="21"/>
        </w:rPr>
        <w:t>年-202</w:t>
      </w:r>
      <w:r>
        <w:rPr>
          <w:rFonts w:ascii="宋体" w:hAnsi="宋体"/>
          <w:kern w:val="0"/>
          <w:szCs w:val="21"/>
        </w:rPr>
        <w:t>3</w:t>
      </w:r>
      <w:r>
        <w:rPr>
          <w:rFonts w:hint="eastAsia" w:ascii="宋体" w:hAnsi="宋体"/>
          <w:kern w:val="0"/>
          <w:szCs w:val="21"/>
        </w:rPr>
        <w:t>年）</w:t>
      </w:r>
      <w:r>
        <w:rPr>
          <w:rFonts w:hint="eastAsia" w:ascii="宋体" w:hAnsi="宋体" w:cs="宋体"/>
          <w:kern w:val="0"/>
          <w:szCs w:val="21"/>
        </w:rPr>
        <w:t>财务报表或</w:t>
      </w:r>
      <w:r>
        <w:rPr>
          <w:rFonts w:hint="eastAsia" w:ascii="宋体" w:hAnsi="宋体"/>
          <w:kern w:val="0"/>
          <w:szCs w:val="21"/>
        </w:rPr>
        <w:t>由注册会计师事务所出具的投标人近三年（202</w:t>
      </w:r>
      <w:r>
        <w:rPr>
          <w:rFonts w:ascii="宋体" w:hAnsi="宋体"/>
          <w:kern w:val="0"/>
          <w:szCs w:val="21"/>
        </w:rPr>
        <w:t>1</w:t>
      </w:r>
      <w:r>
        <w:rPr>
          <w:rFonts w:hint="eastAsia" w:ascii="宋体" w:hAnsi="宋体"/>
          <w:kern w:val="0"/>
          <w:szCs w:val="21"/>
        </w:rPr>
        <w:t>年-202</w:t>
      </w:r>
      <w:r>
        <w:rPr>
          <w:rFonts w:ascii="宋体" w:hAnsi="宋体"/>
          <w:kern w:val="0"/>
          <w:szCs w:val="21"/>
        </w:rPr>
        <w:t>3</w:t>
      </w:r>
      <w:r>
        <w:rPr>
          <w:rFonts w:hint="eastAsia" w:ascii="宋体" w:hAnsi="宋体"/>
          <w:kern w:val="0"/>
          <w:szCs w:val="21"/>
        </w:rPr>
        <w:t>年）年度财务审计报告（应包含资产负债表、损益表、现金流量表等主要财务报表及附注）；（如有）</w:t>
      </w:r>
    </w:p>
    <w:p>
      <w:pPr>
        <w:spacing w:line="360" w:lineRule="auto"/>
        <w:ind w:firstLine="420" w:firstLineChars="200"/>
        <w:jc w:val="left"/>
        <w:rPr>
          <w:rFonts w:ascii="宋体" w:hAnsi="宋体"/>
          <w:kern w:val="0"/>
          <w:szCs w:val="21"/>
        </w:rPr>
      </w:pPr>
      <w:r>
        <w:rPr>
          <w:rFonts w:hint="eastAsia" w:ascii="宋体" w:hAnsi="宋体"/>
          <w:kern w:val="0"/>
          <w:szCs w:val="21"/>
        </w:rPr>
        <w:t>4、信创支持，需提供相关证明材料并加盖投标人公章；（如有）</w:t>
      </w:r>
    </w:p>
    <w:p>
      <w:pPr>
        <w:spacing w:line="360" w:lineRule="exact"/>
        <w:textAlignment w:val="baseline"/>
        <w:rPr>
          <w:rFonts w:ascii="宋体" w:hAnsi="宋体"/>
          <w:szCs w:val="21"/>
        </w:rPr>
      </w:pPr>
      <w:r>
        <w:rPr>
          <w:rFonts w:hint="eastAsia" w:ascii="宋体" w:hAnsi="宋体"/>
          <w:kern w:val="0"/>
          <w:szCs w:val="21"/>
        </w:rPr>
        <w:t>5、企业业绩（详见格式B2），同时投标人须提供业绩证明文件：项目合同，证明文件中须体现合同甲乙方、合同签订时间、合同标的内容等信息，否则视为无效证明文件；</w:t>
      </w:r>
      <w:r>
        <w:rPr>
          <w:rFonts w:hint="eastAsia" w:ascii="宋体" w:hAnsi="宋体"/>
          <w:szCs w:val="21"/>
        </w:rPr>
        <w:t>分包</w:t>
      </w:r>
      <w:r>
        <w:rPr>
          <w:rFonts w:ascii="宋体" w:hAnsi="宋体"/>
          <w:szCs w:val="21"/>
        </w:rPr>
        <w:t>合同不予认可。</w:t>
      </w:r>
    </w:p>
    <w:p>
      <w:pPr>
        <w:spacing w:line="360" w:lineRule="auto"/>
        <w:ind w:firstLine="420" w:firstLineChars="200"/>
        <w:jc w:val="left"/>
        <w:rPr>
          <w:rFonts w:ascii="宋体" w:hAnsi="宋体"/>
          <w:kern w:val="0"/>
          <w:szCs w:val="21"/>
        </w:rPr>
      </w:pPr>
      <w:r>
        <w:rPr>
          <w:rFonts w:hint="eastAsia" w:ascii="宋体" w:hAnsi="宋体"/>
          <w:kern w:val="0"/>
          <w:szCs w:val="21"/>
        </w:rPr>
        <w:t>（如有）</w:t>
      </w:r>
    </w:p>
    <w:p>
      <w:pPr>
        <w:spacing w:line="360" w:lineRule="auto"/>
        <w:ind w:firstLine="420" w:firstLineChars="200"/>
        <w:jc w:val="left"/>
        <w:rPr>
          <w:rFonts w:ascii="宋体" w:hAnsi="宋体"/>
          <w:kern w:val="0"/>
          <w:szCs w:val="21"/>
        </w:rPr>
      </w:pPr>
      <w:r>
        <w:rPr>
          <w:rFonts w:hint="eastAsia" w:ascii="宋体" w:hAnsi="宋体"/>
          <w:kern w:val="0"/>
          <w:szCs w:val="21"/>
        </w:rPr>
        <w:t>6、商务条款响应表（详见格式B3）；</w:t>
      </w:r>
    </w:p>
    <w:p>
      <w:pPr>
        <w:spacing w:line="360" w:lineRule="auto"/>
        <w:ind w:firstLine="420" w:firstLineChars="200"/>
        <w:jc w:val="left"/>
        <w:rPr>
          <w:rFonts w:ascii="宋体" w:hAnsi="宋体"/>
          <w:kern w:val="0"/>
          <w:szCs w:val="21"/>
        </w:rPr>
      </w:pPr>
      <w:r>
        <w:rPr>
          <w:rFonts w:hint="eastAsia" w:ascii="宋体" w:hAnsi="宋体"/>
          <w:kern w:val="0"/>
          <w:szCs w:val="21"/>
        </w:rPr>
        <w:t>7、投标人认为需要提交的其他资料。（如有）</w:t>
      </w:r>
    </w:p>
    <w:p>
      <w:pPr>
        <w:keepNext/>
        <w:keepLines/>
        <w:spacing w:line="360" w:lineRule="auto"/>
        <w:jc w:val="left"/>
        <w:outlineLvl w:val="3"/>
        <w:rPr>
          <w:rFonts w:ascii="宋体" w:hAnsi="宋体"/>
          <w:bCs/>
          <w:szCs w:val="28"/>
        </w:rPr>
      </w:pPr>
      <w:r>
        <w:rPr>
          <w:rFonts w:ascii="宋体" w:hAnsi="宋体"/>
          <w:b/>
          <w:szCs w:val="28"/>
        </w:rPr>
        <w:br w:type="page"/>
      </w:r>
      <w:r>
        <w:rPr>
          <w:rFonts w:hint="eastAsia" w:ascii="宋体" w:hAnsi="宋体"/>
          <w:b/>
          <w:szCs w:val="28"/>
        </w:rPr>
        <w:t>格式</w:t>
      </w:r>
      <w:r>
        <w:rPr>
          <w:rFonts w:ascii="宋体" w:hAnsi="宋体"/>
          <w:b/>
          <w:szCs w:val="28"/>
        </w:rPr>
        <w:t>B1</w:t>
      </w:r>
      <w:r>
        <w:rPr>
          <w:rFonts w:hint="eastAsia" w:ascii="宋体" w:hAnsi="宋体"/>
          <w:b/>
          <w:szCs w:val="28"/>
        </w:rPr>
        <w:t>：</w:t>
      </w:r>
      <w:r>
        <w:rPr>
          <w:rFonts w:ascii="宋体" w:hAnsi="宋体"/>
          <w:b/>
          <w:szCs w:val="28"/>
        </w:rPr>
        <w:t>投标人基本情况一览表</w:t>
      </w:r>
      <w:r>
        <w:rPr>
          <w:rFonts w:hint="eastAsia" w:ascii="宋体" w:hAnsi="宋体"/>
          <w:b/>
          <w:szCs w:val="28"/>
        </w:rPr>
        <w:t>格式</w:t>
      </w:r>
    </w:p>
    <w:p>
      <w:pPr>
        <w:widowControl/>
        <w:spacing w:line="360" w:lineRule="auto"/>
        <w:jc w:val="center"/>
        <w:rPr>
          <w:rFonts w:ascii="宋体" w:hAnsi="宋体"/>
          <w:b/>
          <w:sz w:val="28"/>
          <w:szCs w:val="28"/>
        </w:rPr>
      </w:pPr>
      <w:r>
        <w:rPr>
          <w:rFonts w:ascii="宋体" w:hAnsi="宋体"/>
          <w:b/>
          <w:sz w:val="28"/>
          <w:szCs w:val="28"/>
        </w:rPr>
        <w:t>投标人基本情况一览表</w:t>
      </w:r>
    </w:p>
    <w:tbl>
      <w:tblPr>
        <w:tblStyle w:val="51"/>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583"/>
        <w:gridCol w:w="175"/>
        <w:gridCol w:w="2146"/>
        <w:gridCol w:w="894"/>
        <w:gridCol w:w="1336"/>
        <w:gridCol w:w="1928"/>
      </w:tblGrid>
      <w:tr>
        <w:trPr>
          <w:trHeight w:val="566" w:hRule="atLeast"/>
        </w:trPr>
        <w:tc>
          <w:tcPr>
            <w:tcW w:w="3406" w:type="dxa"/>
            <w:gridSpan w:val="3"/>
            <w:vAlign w:val="center"/>
          </w:tcPr>
          <w:p>
            <w:pPr>
              <w:rPr>
                <w:rFonts w:ascii="宋体" w:hAnsi="宋体"/>
                <w:kern w:val="0"/>
                <w:szCs w:val="21"/>
              </w:rPr>
            </w:pPr>
            <w:r>
              <w:rPr>
                <w:rFonts w:ascii="宋体" w:hAnsi="宋体"/>
                <w:kern w:val="0"/>
                <w:szCs w:val="21"/>
              </w:rPr>
              <w:t>公司名称</w:t>
            </w:r>
          </w:p>
        </w:tc>
        <w:tc>
          <w:tcPr>
            <w:tcW w:w="6304" w:type="dxa"/>
            <w:gridSpan w:val="4"/>
            <w:vAlign w:val="center"/>
          </w:tcPr>
          <w:p>
            <w:pPr>
              <w:rPr>
                <w:rFonts w:ascii="宋体" w:hAnsi="宋体"/>
                <w:kern w:val="0"/>
                <w:szCs w:val="21"/>
              </w:rPr>
            </w:pPr>
          </w:p>
        </w:tc>
      </w:tr>
      <w:tr>
        <w:trPr>
          <w:trHeight w:val="526" w:hRule="atLeast"/>
        </w:trPr>
        <w:tc>
          <w:tcPr>
            <w:tcW w:w="3406" w:type="dxa"/>
            <w:gridSpan w:val="3"/>
            <w:vAlign w:val="center"/>
          </w:tcPr>
          <w:p>
            <w:pPr>
              <w:rPr>
                <w:rFonts w:ascii="宋体" w:hAnsi="宋体"/>
                <w:kern w:val="0"/>
                <w:szCs w:val="21"/>
              </w:rPr>
            </w:pPr>
            <w:r>
              <w:rPr>
                <w:rFonts w:ascii="宋体" w:hAnsi="宋体"/>
                <w:kern w:val="0"/>
                <w:szCs w:val="21"/>
              </w:rPr>
              <w:t>注册资本金</w:t>
            </w:r>
          </w:p>
        </w:tc>
        <w:tc>
          <w:tcPr>
            <w:tcW w:w="6304" w:type="dxa"/>
            <w:gridSpan w:val="4"/>
            <w:vAlign w:val="center"/>
          </w:tcPr>
          <w:p>
            <w:pPr>
              <w:rPr>
                <w:rFonts w:ascii="宋体" w:hAnsi="宋体"/>
                <w:kern w:val="0"/>
                <w:szCs w:val="21"/>
              </w:rPr>
            </w:pPr>
          </w:p>
        </w:tc>
      </w:tr>
      <w:tr>
        <w:trPr>
          <w:trHeight w:val="526" w:hRule="atLeast"/>
        </w:trPr>
        <w:tc>
          <w:tcPr>
            <w:tcW w:w="3406" w:type="dxa"/>
            <w:gridSpan w:val="3"/>
            <w:vAlign w:val="center"/>
          </w:tcPr>
          <w:p>
            <w:pPr>
              <w:rPr>
                <w:rFonts w:ascii="宋体" w:hAnsi="宋体"/>
                <w:kern w:val="0"/>
                <w:szCs w:val="21"/>
              </w:rPr>
            </w:pPr>
            <w:r>
              <w:rPr>
                <w:rFonts w:hint="eastAsia" w:ascii="宋体" w:hAnsi="宋体"/>
                <w:kern w:val="0"/>
                <w:szCs w:val="21"/>
              </w:rPr>
              <w:t>企业类型</w:t>
            </w:r>
          </w:p>
        </w:tc>
        <w:tc>
          <w:tcPr>
            <w:tcW w:w="6304" w:type="dxa"/>
            <w:gridSpan w:val="4"/>
            <w:vAlign w:val="center"/>
          </w:tcPr>
          <w:p>
            <w:pPr>
              <w:rPr>
                <w:rFonts w:ascii="宋体" w:hAnsi="宋体"/>
                <w:kern w:val="0"/>
                <w:szCs w:val="21"/>
              </w:rPr>
            </w:pPr>
          </w:p>
        </w:tc>
      </w:tr>
      <w:tr>
        <w:trPr>
          <w:trHeight w:val="526" w:hRule="atLeast"/>
        </w:trPr>
        <w:tc>
          <w:tcPr>
            <w:tcW w:w="3406" w:type="dxa"/>
            <w:gridSpan w:val="3"/>
            <w:vAlign w:val="center"/>
          </w:tcPr>
          <w:p>
            <w:pPr>
              <w:rPr>
                <w:rFonts w:ascii="宋体" w:hAnsi="宋体"/>
                <w:kern w:val="0"/>
                <w:szCs w:val="21"/>
              </w:rPr>
            </w:pPr>
            <w:r>
              <w:rPr>
                <w:rFonts w:hint="eastAsia" w:ascii="宋体" w:hAnsi="宋体"/>
                <w:kern w:val="0"/>
                <w:szCs w:val="21"/>
              </w:rPr>
              <w:t>成立日期</w:t>
            </w:r>
          </w:p>
        </w:tc>
        <w:tc>
          <w:tcPr>
            <w:tcW w:w="6304" w:type="dxa"/>
            <w:gridSpan w:val="4"/>
            <w:vAlign w:val="center"/>
          </w:tcPr>
          <w:p>
            <w:pPr>
              <w:rPr>
                <w:rFonts w:ascii="宋体" w:hAnsi="宋体"/>
                <w:kern w:val="0"/>
                <w:szCs w:val="21"/>
              </w:rPr>
            </w:pPr>
          </w:p>
        </w:tc>
      </w:tr>
      <w:tr>
        <w:trPr>
          <w:trHeight w:val="526" w:hRule="atLeast"/>
        </w:trPr>
        <w:tc>
          <w:tcPr>
            <w:tcW w:w="3406" w:type="dxa"/>
            <w:gridSpan w:val="3"/>
            <w:vAlign w:val="center"/>
          </w:tcPr>
          <w:p>
            <w:pPr>
              <w:rPr>
                <w:rFonts w:ascii="宋体" w:hAnsi="宋体"/>
                <w:kern w:val="0"/>
                <w:szCs w:val="21"/>
              </w:rPr>
            </w:pPr>
            <w:r>
              <w:rPr>
                <w:rFonts w:hint="eastAsia" w:ascii="宋体" w:hAnsi="宋体"/>
                <w:kern w:val="0"/>
                <w:szCs w:val="21"/>
              </w:rPr>
              <w:t>营业期限</w:t>
            </w:r>
          </w:p>
        </w:tc>
        <w:tc>
          <w:tcPr>
            <w:tcW w:w="6304" w:type="dxa"/>
            <w:gridSpan w:val="4"/>
            <w:vAlign w:val="center"/>
          </w:tcPr>
          <w:p>
            <w:pPr>
              <w:rPr>
                <w:rFonts w:ascii="宋体" w:hAnsi="宋体"/>
                <w:kern w:val="0"/>
                <w:szCs w:val="21"/>
              </w:rPr>
            </w:pPr>
          </w:p>
        </w:tc>
      </w:tr>
      <w:tr>
        <w:trPr>
          <w:trHeight w:val="526" w:hRule="atLeast"/>
        </w:trPr>
        <w:tc>
          <w:tcPr>
            <w:tcW w:w="3406" w:type="dxa"/>
            <w:gridSpan w:val="3"/>
            <w:vAlign w:val="center"/>
          </w:tcPr>
          <w:p>
            <w:pPr>
              <w:rPr>
                <w:rFonts w:ascii="宋体" w:hAnsi="宋体"/>
                <w:kern w:val="0"/>
                <w:szCs w:val="21"/>
              </w:rPr>
            </w:pPr>
            <w:r>
              <w:rPr>
                <w:rFonts w:ascii="宋体" w:hAnsi="宋体"/>
                <w:kern w:val="0"/>
                <w:szCs w:val="21"/>
              </w:rPr>
              <w:t>主要业务范围</w:t>
            </w:r>
          </w:p>
        </w:tc>
        <w:tc>
          <w:tcPr>
            <w:tcW w:w="6304" w:type="dxa"/>
            <w:gridSpan w:val="4"/>
            <w:vAlign w:val="center"/>
          </w:tcPr>
          <w:p>
            <w:pPr>
              <w:rPr>
                <w:rFonts w:ascii="宋体" w:hAnsi="宋体"/>
                <w:kern w:val="0"/>
                <w:szCs w:val="21"/>
              </w:rPr>
            </w:pPr>
          </w:p>
        </w:tc>
      </w:tr>
      <w:tr>
        <w:trPr>
          <w:trHeight w:val="526" w:hRule="atLeast"/>
        </w:trPr>
        <w:tc>
          <w:tcPr>
            <w:tcW w:w="3406" w:type="dxa"/>
            <w:gridSpan w:val="3"/>
            <w:vAlign w:val="center"/>
          </w:tcPr>
          <w:p>
            <w:pPr>
              <w:rPr>
                <w:rFonts w:ascii="宋体" w:hAnsi="宋体"/>
                <w:kern w:val="0"/>
                <w:szCs w:val="21"/>
              </w:rPr>
            </w:pPr>
            <w:r>
              <w:rPr>
                <w:rFonts w:ascii="宋体" w:hAnsi="宋体"/>
                <w:kern w:val="0"/>
                <w:szCs w:val="21"/>
              </w:rPr>
              <w:t>企业性质</w:t>
            </w:r>
          </w:p>
        </w:tc>
        <w:tc>
          <w:tcPr>
            <w:tcW w:w="6304" w:type="dxa"/>
            <w:gridSpan w:val="4"/>
            <w:vAlign w:val="center"/>
          </w:tcPr>
          <w:p>
            <w:pPr>
              <w:rPr>
                <w:rFonts w:ascii="宋体" w:hAnsi="宋体"/>
                <w:kern w:val="0"/>
                <w:szCs w:val="21"/>
              </w:rPr>
            </w:pPr>
          </w:p>
        </w:tc>
      </w:tr>
      <w:tr>
        <w:trPr>
          <w:trHeight w:val="526" w:hRule="atLeast"/>
        </w:trPr>
        <w:tc>
          <w:tcPr>
            <w:tcW w:w="3406" w:type="dxa"/>
            <w:gridSpan w:val="3"/>
            <w:vAlign w:val="center"/>
          </w:tcPr>
          <w:p>
            <w:pPr>
              <w:rPr>
                <w:rFonts w:ascii="宋体" w:hAnsi="宋体"/>
                <w:kern w:val="0"/>
                <w:szCs w:val="21"/>
              </w:rPr>
            </w:pPr>
            <w:r>
              <w:rPr>
                <w:rFonts w:ascii="宋体" w:hAnsi="宋体"/>
                <w:kern w:val="0"/>
                <w:szCs w:val="21"/>
              </w:rPr>
              <w:t>营业执照</w:t>
            </w:r>
          </w:p>
        </w:tc>
        <w:tc>
          <w:tcPr>
            <w:tcW w:w="6304" w:type="dxa"/>
            <w:gridSpan w:val="4"/>
            <w:vAlign w:val="center"/>
          </w:tcPr>
          <w:p>
            <w:pPr>
              <w:rPr>
                <w:rFonts w:ascii="宋体" w:hAnsi="宋体"/>
                <w:kern w:val="0"/>
                <w:szCs w:val="21"/>
              </w:rPr>
            </w:pPr>
            <w:r>
              <w:rPr>
                <w:rFonts w:ascii="宋体" w:hAnsi="宋体"/>
                <w:kern w:val="0"/>
                <w:szCs w:val="21"/>
              </w:rPr>
              <w:t>1.编号：     2.营业范围：       3.发照单位：</w:t>
            </w:r>
          </w:p>
        </w:tc>
      </w:tr>
      <w:tr>
        <w:trPr>
          <w:trHeight w:val="526" w:hRule="atLeast"/>
        </w:trPr>
        <w:tc>
          <w:tcPr>
            <w:tcW w:w="3406" w:type="dxa"/>
            <w:gridSpan w:val="3"/>
            <w:vAlign w:val="center"/>
          </w:tcPr>
          <w:p>
            <w:pPr>
              <w:rPr>
                <w:rFonts w:ascii="宋体" w:hAnsi="宋体"/>
                <w:kern w:val="0"/>
                <w:szCs w:val="21"/>
              </w:rPr>
            </w:pPr>
            <w:r>
              <w:rPr>
                <w:rFonts w:hint="eastAsia" w:ascii="宋体" w:hAnsi="宋体"/>
                <w:kern w:val="0"/>
                <w:szCs w:val="21"/>
              </w:rPr>
              <w:t>公司员工数量</w:t>
            </w:r>
          </w:p>
        </w:tc>
        <w:tc>
          <w:tcPr>
            <w:tcW w:w="6304" w:type="dxa"/>
            <w:gridSpan w:val="4"/>
            <w:vAlign w:val="center"/>
          </w:tcPr>
          <w:p>
            <w:pPr>
              <w:rPr>
                <w:rFonts w:ascii="宋体" w:hAnsi="宋体"/>
                <w:kern w:val="0"/>
                <w:szCs w:val="21"/>
              </w:rPr>
            </w:pPr>
          </w:p>
        </w:tc>
      </w:tr>
      <w:tr>
        <w:trPr>
          <w:trHeight w:val="526" w:hRule="atLeast"/>
        </w:trPr>
        <w:tc>
          <w:tcPr>
            <w:tcW w:w="3406" w:type="dxa"/>
            <w:gridSpan w:val="3"/>
            <w:vAlign w:val="center"/>
          </w:tcPr>
          <w:p>
            <w:pPr>
              <w:rPr>
                <w:rFonts w:ascii="宋体" w:hAnsi="宋体"/>
                <w:kern w:val="0"/>
                <w:szCs w:val="21"/>
              </w:rPr>
            </w:pPr>
            <w:r>
              <w:rPr>
                <w:rFonts w:hint="eastAsia" w:ascii="宋体" w:hAnsi="宋体"/>
                <w:kern w:val="0"/>
                <w:szCs w:val="21"/>
              </w:rPr>
              <w:t>公司地址</w:t>
            </w:r>
          </w:p>
        </w:tc>
        <w:tc>
          <w:tcPr>
            <w:tcW w:w="6304" w:type="dxa"/>
            <w:gridSpan w:val="4"/>
            <w:vAlign w:val="center"/>
          </w:tcPr>
          <w:p>
            <w:pPr>
              <w:rPr>
                <w:rFonts w:ascii="宋体" w:hAnsi="宋体"/>
                <w:kern w:val="0"/>
                <w:szCs w:val="21"/>
              </w:rPr>
            </w:pPr>
          </w:p>
        </w:tc>
      </w:tr>
      <w:tr>
        <w:trPr>
          <w:trHeight w:val="526" w:hRule="atLeast"/>
        </w:trPr>
        <w:tc>
          <w:tcPr>
            <w:tcW w:w="9710" w:type="dxa"/>
            <w:gridSpan w:val="7"/>
            <w:vAlign w:val="center"/>
          </w:tcPr>
          <w:p>
            <w:pPr>
              <w:rPr>
                <w:rFonts w:ascii="宋体" w:hAnsi="宋体"/>
                <w:kern w:val="0"/>
                <w:szCs w:val="21"/>
              </w:rPr>
            </w:pPr>
            <w:r>
              <w:rPr>
                <w:rFonts w:ascii="宋体" w:hAnsi="宋体"/>
                <w:kern w:val="0"/>
                <w:szCs w:val="21"/>
              </w:rPr>
              <w:t>公司领导班子构成情况</w:t>
            </w:r>
          </w:p>
        </w:tc>
      </w:tr>
      <w:tr>
        <w:trPr>
          <w:trHeight w:val="526" w:hRule="atLeast"/>
        </w:trPr>
        <w:tc>
          <w:tcPr>
            <w:tcW w:w="1648" w:type="dxa"/>
            <w:vAlign w:val="center"/>
          </w:tcPr>
          <w:p>
            <w:pPr>
              <w:jc w:val="center"/>
              <w:rPr>
                <w:rFonts w:ascii="宋体" w:hAnsi="宋体"/>
                <w:kern w:val="0"/>
                <w:szCs w:val="21"/>
              </w:rPr>
            </w:pPr>
            <w:r>
              <w:rPr>
                <w:rFonts w:ascii="宋体" w:hAnsi="宋体"/>
                <w:kern w:val="0"/>
                <w:szCs w:val="21"/>
              </w:rPr>
              <w:t>法</w:t>
            </w:r>
            <w:r>
              <w:rPr>
                <w:rFonts w:hint="eastAsia" w:ascii="宋体" w:hAnsi="宋体"/>
                <w:kern w:val="0"/>
                <w:szCs w:val="21"/>
              </w:rPr>
              <w:t>定</w:t>
            </w:r>
            <w:r>
              <w:rPr>
                <w:rFonts w:ascii="宋体" w:hAnsi="宋体"/>
                <w:kern w:val="0"/>
                <w:szCs w:val="21"/>
              </w:rPr>
              <w:t>代表人</w:t>
            </w:r>
          </w:p>
        </w:tc>
        <w:tc>
          <w:tcPr>
            <w:tcW w:w="1758" w:type="dxa"/>
            <w:gridSpan w:val="2"/>
            <w:vAlign w:val="center"/>
          </w:tcPr>
          <w:p>
            <w:pPr>
              <w:jc w:val="center"/>
              <w:rPr>
                <w:rFonts w:ascii="宋体" w:hAnsi="宋体"/>
                <w:kern w:val="0"/>
                <w:szCs w:val="21"/>
              </w:rPr>
            </w:pPr>
            <w:r>
              <w:rPr>
                <w:rFonts w:hint="eastAsia" w:ascii="宋体" w:hAnsi="宋体"/>
                <w:kern w:val="0"/>
                <w:szCs w:val="21"/>
              </w:rPr>
              <w:t>董事长</w:t>
            </w:r>
          </w:p>
        </w:tc>
        <w:tc>
          <w:tcPr>
            <w:tcW w:w="2146" w:type="dxa"/>
            <w:vAlign w:val="center"/>
          </w:tcPr>
          <w:p>
            <w:pPr>
              <w:jc w:val="center"/>
              <w:rPr>
                <w:rFonts w:ascii="宋体" w:hAnsi="宋体"/>
                <w:kern w:val="0"/>
                <w:szCs w:val="21"/>
              </w:rPr>
            </w:pPr>
            <w:r>
              <w:rPr>
                <w:rFonts w:hint="eastAsia" w:ascii="宋体" w:hAnsi="宋体"/>
                <w:kern w:val="0"/>
                <w:szCs w:val="21"/>
              </w:rPr>
              <w:t>总经理</w:t>
            </w:r>
          </w:p>
        </w:tc>
        <w:tc>
          <w:tcPr>
            <w:tcW w:w="2230" w:type="dxa"/>
            <w:gridSpan w:val="2"/>
            <w:vAlign w:val="center"/>
          </w:tcPr>
          <w:p>
            <w:pPr>
              <w:jc w:val="center"/>
              <w:rPr>
                <w:rFonts w:ascii="宋体" w:hAnsi="宋体"/>
                <w:kern w:val="0"/>
                <w:szCs w:val="21"/>
              </w:rPr>
            </w:pPr>
            <w:r>
              <w:rPr>
                <w:rFonts w:ascii="宋体" w:hAnsi="宋体"/>
                <w:kern w:val="0"/>
                <w:szCs w:val="21"/>
              </w:rPr>
              <w:t>总工程师</w:t>
            </w:r>
          </w:p>
        </w:tc>
        <w:tc>
          <w:tcPr>
            <w:tcW w:w="1928" w:type="dxa"/>
            <w:vAlign w:val="center"/>
          </w:tcPr>
          <w:p>
            <w:pPr>
              <w:jc w:val="center"/>
              <w:rPr>
                <w:rFonts w:ascii="宋体" w:hAnsi="宋体"/>
                <w:kern w:val="0"/>
                <w:szCs w:val="21"/>
              </w:rPr>
            </w:pPr>
            <w:r>
              <w:rPr>
                <w:rFonts w:ascii="宋体" w:hAnsi="宋体"/>
                <w:kern w:val="0"/>
                <w:szCs w:val="21"/>
              </w:rPr>
              <w:t>总会计师</w:t>
            </w:r>
          </w:p>
        </w:tc>
      </w:tr>
      <w:tr>
        <w:trPr>
          <w:trHeight w:val="526" w:hRule="atLeast"/>
        </w:trPr>
        <w:tc>
          <w:tcPr>
            <w:tcW w:w="1648" w:type="dxa"/>
            <w:vAlign w:val="center"/>
          </w:tcPr>
          <w:p>
            <w:pPr>
              <w:rPr>
                <w:rFonts w:ascii="宋体" w:hAnsi="宋体"/>
                <w:kern w:val="0"/>
                <w:szCs w:val="21"/>
              </w:rPr>
            </w:pPr>
          </w:p>
        </w:tc>
        <w:tc>
          <w:tcPr>
            <w:tcW w:w="1758" w:type="dxa"/>
            <w:gridSpan w:val="2"/>
            <w:vAlign w:val="center"/>
          </w:tcPr>
          <w:p>
            <w:pPr>
              <w:rPr>
                <w:rFonts w:ascii="宋体" w:hAnsi="宋体"/>
                <w:kern w:val="0"/>
                <w:szCs w:val="21"/>
              </w:rPr>
            </w:pPr>
          </w:p>
        </w:tc>
        <w:tc>
          <w:tcPr>
            <w:tcW w:w="2146" w:type="dxa"/>
            <w:vAlign w:val="center"/>
          </w:tcPr>
          <w:p>
            <w:pPr>
              <w:rPr>
                <w:rFonts w:ascii="宋体" w:hAnsi="宋体"/>
                <w:kern w:val="0"/>
                <w:szCs w:val="21"/>
              </w:rPr>
            </w:pPr>
          </w:p>
        </w:tc>
        <w:tc>
          <w:tcPr>
            <w:tcW w:w="2230" w:type="dxa"/>
            <w:gridSpan w:val="2"/>
            <w:vAlign w:val="center"/>
          </w:tcPr>
          <w:p>
            <w:pPr>
              <w:rPr>
                <w:rFonts w:ascii="宋体" w:hAnsi="宋体"/>
                <w:kern w:val="0"/>
                <w:szCs w:val="21"/>
              </w:rPr>
            </w:pPr>
          </w:p>
        </w:tc>
        <w:tc>
          <w:tcPr>
            <w:tcW w:w="1928" w:type="dxa"/>
            <w:vAlign w:val="center"/>
          </w:tcPr>
          <w:p>
            <w:pPr>
              <w:rPr>
                <w:rFonts w:ascii="宋体" w:hAnsi="宋体"/>
                <w:kern w:val="0"/>
                <w:szCs w:val="21"/>
              </w:rPr>
            </w:pPr>
          </w:p>
        </w:tc>
      </w:tr>
      <w:tr>
        <w:trPr>
          <w:trHeight w:val="526" w:hRule="atLeast"/>
        </w:trPr>
        <w:tc>
          <w:tcPr>
            <w:tcW w:w="9710" w:type="dxa"/>
            <w:gridSpan w:val="7"/>
            <w:vAlign w:val="center"/>
          </w:tcPr>
          <w:p>
            <w:pPr>
              <w:rPr>
                <w:rFonts w:ascii="宋体" w:hAnsi="宋体"/>
                <w:kern w:val="0"/>
                <w:szCs w:val="21"/>
              </w:rPr>
            </w:pPr>
            <w:r>
              <w:rPr>
                <w:rFonts w:ascii="宋体" w:hAnsi="宋体"/>
                <w:kern w:val="0"/>
                <w:szCs w:val="21"/>
              </w:rPr>
              <w:t>公司近3年营业额情况（万元）</w:t>
            </w:r>
          </w:p>
        </w:tc>
      </w:tr>
      <w:tr>
        <w:trPr>
          <w:trHeight w:val="526" w:hRule="atLeast"/>
        </w:trPr>
        <w:tc>
          <w:tcPr>
            <w:tcW w:w="3231" w:type="dxa"/>
            <w:gridSpan w:val="2"/>
            <w:vAlign w:val="center"/>
          </w:tcPr>
          <w:p>
            <w:pPr>
              <w:jc w:val="center"/>
              <w:rPr>
                <w:rFonts w:ascii="宋体" w:hAnsi="宋体"/>
                <w:kern w:val="0"/>
                <w:szCs w:val="21"/>
                <w:u w:val="single"/>
              </w:rPr>
            </w:pPr>
            <w:r>
              <w:rPr>
                <w:rFonts w:hint="eastAsia" w:ascii="宋体" w:hAnsi="宋体"/>
                <w:kern w:val="0"/>
                <w:szCs w:val="21"/>
                <w:u w:val="single"/>
              </w:rPr>
              <w:t xml:space="preserve">   </w:t>
            </w:r>
          </w:p>
        </w:tc>
        <w:tc>
          <w:tcPr>
            <w:tcW w:w="3215" w:type="dxa"/>
            <w:gridSpan w:val="3"/>
            <w:vAlign w:val="center"/>
          </w:tcPr>
          <w:p>
            <w:pPr>
              <w:jc w:val="center"/>
              <w:rPr>
                <w:rFonts w:ascii="宋体" w:hAnsi="宋体"/>
                <w:kern w:val="0"/>
                <w:szCs w:val="21"/>
                <w:u w:val="single"/>
              </w:rPr>
            </w:pPr>
            <w:r>
              <w:rPr>
                <w:rFonts w:hint="eastAsia" w:ascii="宋体" w:hAnsi="宋体"/>
                <w:kern w:val="0"/>
                <w:szCs w:val="21"/>
                <w:u w:val="single"/>
              </w:rPr>
              <w:t xml:space="preserve">     </w:t>
            </w:r>
          </w:p>
        </w:tc>
        <w:tc>
          <w:tcPr>
            <w:tcW w:w="3264" w:type="dxa"/>
            <w:gridSpan w:val="2"/>
            <w:vAlign w:val="center"/>
          </w:tcPr>
          <w:p>
            <w:pPr>
              <w:rPr>
                <w:rFonts w:ascii="宋体" w:hAnsi="宋体"/>
                <w:kern w:val="0"/>
                <w:szCs w:val="21"/>
                <w:u w:val="single"/>
              </w:rPr>
            </w:pPr>
            <w:r>
              <w:rPr>
                <w:rFonts w:hint="eastAsia" w:ascii="宋体" w:hAnsi="宋体"/>
                <w:kern w:val="0"/>
                <w:szCs w:val="21"/>
              </w:rPr>
              <w:t xml:space="preserve">        </w:t>
            </w:r>
            <w:r>
              <w:rPr>
                <w:rFonts w:hint="eastAsia" w:ascii="宋体" w:hAnsi="宋体"/>
                <w:kern w:val="0"/>
                <w:szCs w:val="21"/>
                <w:u w:val="single"/>
              </w:rPr>
              <w:t xml:space="preserve">      </w:t>
            </w:r>
          </w:p>
        </w:tc>
      </w:tr>
      <w:tr>
        <w:trPr>
          <w:trHeight w:val="586" w:hRule="atLeast"/>
        </w:trPr>
        <w:tc>
          <w:tcPr>
            <w:tcW w:w="3231" w:type="dxa"/>
            <w:gridSpan w:val="2"/>
            <w:vAlign w:val="center"/>
          </w:tcPr>
          <w:p>
            <w:pPr>
              <w:rPr>
                <w:rFonts w:ascii="宋体" w:hAnsi="宋体"/>
                <w:kern w:val="0"/>
                <w:szCs w:val="21"/>
              </w:rPr>
            </w:pPr>
          </w:p>
        </w:tc>
        <w:tc>
          <w:tcPr>
            <w:tcW w:w="3215" w:type="dxa"/>
            <w:gridSpan w:val="3"/>
            <w:vAlign w:val="center"/>
          </w:tcPr>
          <w:p>
            <w:pPr>
              <w:rPr>
                <w:rFonts w:ascii="宋体" w:hAnsi="宋体"/>
                <w:kern w:val="0"/>
                <w:szCs w:val="21"/>
              </w:rPr>
            </w:pPr>
          </w:p>
        </w:tc>
        <w:tc>
          <w:tcPr>
            <w:tcW w:w="3264" w:type="dxa"/>
            <w:gridSpan w:val="2"/>
            <w:vAlign w:val="center"/>
          </w:tcPr>
          <w:p>
            <w:pPr>
              <w:rPr>
                <w:rFonts w:ascii="宋体" w:hAnsi="宋体"/>
                <w:kern w:val="0"/>
                <w:szCs w:val="21"/>
              </w:rPr>
            </w:pPr>
          </w:p>
        </w:tc>
      </w:tr>
    </w:tbl>
    <w:p>
      <w:pPr>
        <w:spacing w:before="120" w:beforeLines="50" w:line="360" w:lineRule="auto"/>
        <w:ind w:left="-103" w:leftChars="-49" w:right="-57" w:rightChars="-27" w:firstLine="15"/>
        <w:rPr>
          <w:rFonts w:eastAsia="Times New Roman"/>
          <w:kern w:val="0"/>
          <w:sz w:val="24"/>
        </w:rPr>
      </w:pPr>
      <w:r>
        <w:rPr>
          <w:rFonts w:hint="eastAsia" w:cs="宋体"/>
          <w:lang w:bidi="ar"/>
        </w:rPr>
        <w:t>投标人：（公章）</w:t>
      </w:r>
      <w:r>
        <w:rPr>
          <w:lang w:bidi="ar"/>
        </w:rPr>
        <w:t xml:space="preserve"> </w:t>
      </w:r>
    </w:p>
    <w:p>
      <w:pPr>
        <w:spacing w:before="120" w:beforeLines="50" w:line="360" w:lineRule="auto"/>
        <w:ind w:left="606" w:leftChars="-49" w:right="-57" w:rightChars="-27" w:hanging="709"/>
        <w:rPr>
          <w:rFonts w:eastAsia="Times New Roman"/>
          <w:kern w:val="0"/>
          <w:sz w:val="24"/>
        </w:rPr>
      </w:pPr>
      <w:r>
        <w:rPr>
          <w:rFonts w:hint="eastAsia" w:cs="宋体"/>
          <w:lang w:bidi="ar"/>
        </w:rPr>
        <w:t>法定代表人或其委托代理人：（签字或盖章）</w:t>
      </w:r>
    </w:p>
    <w:p>
      <w:pPr>
        <w:spacing w:before="120" w:beforeLines="50" w:line="360" w:lineRule="auto"/>
        <w:ind w:left="606" w:leftChars="-49" w:right="-57" w:rightChars="-27" w:hanging="709"/>
        <w:rPr>
          <w:rFonts w:eastAsia="Times New Roman"/>
          <w:kern w:val="0"/>
          <w:sz w:val="24"/>
        </w:rPr>
      </w:pPr>
      <w:r>
        <w:rPr>
          <w:rFonts w:hint="eastAsia" w:cs="宋体"/>
          <w:lang w:bidi="ar"/>
        </w:rPr>
        <w:t>日</w:t>
      </w:r>
      <w:r>
        <w:rPr>
          <w:lang w:bidi="ar"/>
        </w:rPr>
        <w:t xml:space="preserve">    </w:t>
      </w:r>
      <w:r>
        <w:rPr>
          <w:rFonts w:hint="eastAsia" w:cs="宋体"/>
          <w:lang w:bidi="ar"/>
        </w:rPr>
        <w:t>期：</w:t>
      </w:r>
    </w:p>
    <w:p>
      <w:pPr>
        <w:widowControl/>
        <w:jc w:val="left"/>
        <w:rPr>
          <w:rFonts w:ascii="宋体" w:hAnsi="宋体" w:eastAsia="Times New Roman"/>
          <w:bCs/>
          <w:kern w:val="0"/>
          <w:sz w:val="24"/>
        </w:rPr>
      </w:pPr>
    </w:p>
    <w:p>
      <w:pPr>
        <w:pStyle w:val="4"/>
        <w:rPr>
          <w:rFonts w:ascii="宋体" w:hAnsi="宋体" w:eastAsia="Times New Roman"/>
          <w:bCs/>
          <w:kern w:val="0"/>
          <w:sz w:val="24"/>
        </w:rPr>
      </w:pPr>
    </w:p>
    <w:p>
      <w:pPr>
        <w:pStyle w:val="4"/>
        <w:rPr>
          <w:rFonts w:ascii="宋体" w:hAnsi="宋体" w:eastAsia="Times New Roman"/>
          <w:bCs/>
          <w:kern w:val="0"/>
          <w:sz w:val="24"/>
        </w:rPr>
      </w:pPr>
    </w:p>
    <w:p>
      <w:pPr>
        <w:pStyle w:val="4"/>
        <w:rPr>
          <w:rFonts w:ascii="宋体" w:hAnsi="宋体" w:eastAsia="Times New Roman"/>
          <w:bCs/>
          <w:kern w:val="0"/>
          <w:sz w:val="24"/>
        </w:rPr>
      </w:pPr>
    </w:p>
    <w:p>
      <w:pPr>
        <w:pStyle w:val="4"/>
        <w:rPr>
          <w:rFonts w:ascii="宋体" w:hAnsi="宋体" w:eastAsia="Times New Roman"/>
          <w:bCs/>
          <w:kern w:val="0"/>
          <w:sz w:val="24"/>
        </w:rPr>
      </w:pPr>
    </w:p>
    <w:p>
      <w:pPr>
        <w:keepNext/>
        <w:keepLines/>
        <w:spacing w:line="480" w:lineRule="auto"/>
        <w:outlineLvl w:val="3"/>
        <w:rPr>
          <w:rFonts w:ascii="宋体" w:hAnsi="宋体"/>
          <w:bCs/>
          <w:szCs w:val="21"/>
        </w:rPr>
      </w:pPr>
      <w:r>
        <w:rPr>
          <w:rFonts w:hint="eastAsia" w:ascii="宋体" w:hAnsi="宋体"/>
          <w:b/>
          <w:szCs w:val="28"/>
        </w:rPr>
        <w:t>格式B2：企业</w:t>
      </w:r>
      <w:r>
        <w:rPr>
          <w:rFonts w:hint="eastAsia" w:ascii="宋体" w:hAnsi="宋体"/>
          <w:b/>
          <w:szCs w:val="21"/>
        </w:rPr>
        <w:t>业绩</w:t>
      </w:r>
    </w:p>
    <w:p>
      <w:pPr>
        <w:spacing w:line="480" w:lineRule="auto"/>
        <w:jc w:val="center"/>
        <w:rPr>
          <w:rFonts w:ascii="宋体" w:hAnsi="宋体"/>
          <w:b/>
          <w:kern w:val="0"/>
          <w:sz w:val="28"/>
          <w:szCs w:val="28"/>
        </w:rPr>
      </w:pPr>
      <w:r>
        <w:rPr>
          <w:rFonts w:hint="eastAsia" w:ascii="宋体" w:hAnsi="宋体"/>
          <w:b/>
          <w:bCs/>
          <w:kern w:val="0"/>
          <w:sz w:val="28"/>
          <w:szCs w:val="28"/>
        </w:rPr>
        <w:t>企业业绩表</w:t>
      </w:r>
    </w:p>
    <w:tbl>
      <w:tblPr>
        <w:tblStyle w:val="5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565"/>
        <w:gridCol w:w="1405"/>
        <w:gridCol w:w="1788"/>
        <w:gridCol w:w="1188"/>
        <w:gridCol w:w="1022"/>
        <w:gridCol w:w="1436"/>
      </w:tblGrid>
      <w:tr>
        <w:trPr>
          <w:trHeight w:val="575" w:hRule="atLeast"/>
          <w:jc w:val="center"/>
        </w:trPr>
        <w:tc>
          <w:tcPr>
            <w:tcW w:w="453" w:type="pct"/>
            <w:vAlign w:val="center"/>
          </w:tcPr>
          <w:p>
            <w:pPr>
              <w:spacing w:before="120" w:beforeLines="50"/>
              <w:rPr>
                <w:rFonts w:eastAsia="Times New Roman"/>
                <w:kern w:val="0"/>
                <w:szCs w:val="21"/>
              </w:rPr>
            </w:pPr>
            <w:r>
              <w:rPr>
                <w:rFonts w:hint="eastAsia" w:cs="宋体"/>
                <w:szCs w:val="21"/>
                <w:lang w:bidi="ar"/>
              </w:rPr>
              <w:t>序号</w:t>
            </w:r>
          </w:p>
        </w:tc>
        <w:tc>
          <w:tcPr>
            <w:tcW w:w="830" w:type="pct"/>
            <w:vAlign w:val="center"/>
          </w:tcPr>
          <w:p>
            <w:pPr>
              <w:spacing w:before="120" w:beforeLines="50"/>
              <w:rPr>
                <w:rFonts w:eastAsia="Times New Roman"/>
                <w:kern w:val="0"/>
                <w:szCs w:val="21"/>
              </w:rPr>
            </w:pPr>
            <w:r>
              <w:rPr>
                <w:rFonts w:hint="eastAsia" w:cs="宋体"/>
                <w:szCs w:val="21"/>
                <w:lang w:bidi="ar"/>
              </w:rPr>
              <w:t>项目名称</w:t>
            </w:r>
          </w:p>
        </w:tc>
        <w:tc>
          <w:tcPr>
            <w:tcW w:w="745" w:type="pct"/>
            <w:vAlign w:val="center"/>
          </w:tcPr>
          <w:p>
            <w:pPr>
              <w:spacing w:before="120" w:beforeLines="50"/>
              <w:jc w:val="center"/>
              <w:rPr>
                <w:rFonts w:eastAsia="Times New Roman"/>
                <w:kern w:val="0"/>
                <w:szCs w:val="21"/>
              </w:rPr>
            </w:pPr>
            <w:r>
              <w:rPr>
                <w:rFonts w:hint="eastAsia" w:cs="宋体"/>
                <w:szCs w:val="21"/>
                <w:lang w:bidi="ar"/>
              </w:rPr>
              <w:t>合同金额</w:t>
            </w:r>
          </w:p>
        </w:tc>
        <w:tc>
          <w:tcPr>
            <w:tcW w:w="948" w:type="pct"/>
            <w:vAlign w:val="center"/>
          </w:tcPr>
          <w:p>
            <w:pPr>
              <w:spacing w:before="120" w:beforeLines="50"/>
              <w:jc w:val="center"/>
              <w:rPr>
                <w:kern w:val="0"/>
                <w:szCs w:val="21"/>
              </w:rPr>
            </w:pPr>
            <w:r>
              <w:rPr>
                <w:rFonts w:hint="eastAsia"/>
                <w:kern w:val="0"/>
                <w:szCs w:val="21"/>
              </w:rPr>
              <w:t>合同服务时间</w:t>
            </w:r>
          </w:p>
        </w:tc>
        <w:tc>
          <w:tcPr>
            <w:tcW w:w="630" w:type="pct"/>
            <w:vAlign w:val="center"/>
          </w:tcPr>
          <w:p>
            <w:pPr>
              <w:spacing w:before="120" w:beforeLines="50"/>
              <w:jc w:val="center"/>
              <w:rPr>
                <w:rFonts w:eastAsia="Times New Roman"/>
                <w:kern w:val="0"/>
                <w:szCs w:val="21"/>
              </w:rPr>
            </w:pPr>
            <w:r>
              <w:rPr>
                <w:rFonts w:hint="eastAsia" w:cs="宋体"/>
                <w:szCs w:val="21"/>
                <w:lang w:bidi="ar"/>
              </w:rPr>
              <w:t>招标人</w:t>
            </w:r>
          </w:p>
        </w:tc>
        <w:tc>
          <w:tcPr>
            <w:tcW w:w="542" w:type="pct"/>
            <w:vAlign w:val="center"/>
          </w:tcPr>
          <w:p>
            <w:pPr>
              <w:spacing w:before="120" w:beforeLines="50"/>
              <w:jc w:val="center"/>
              <w:rPr>
                <w:rFonts w:cs="宋体"/>
                <w:szCs w:val="21"/>
                <w:lang w:bidi="ar"/>
              </w:rPr>
            </w:pPr>
            <w:r>
              <w:rPr>
                <w:rFonts w:hint="eastAsia" w:cs="宋体"/>
                <w:szCs w:val="21"/>
                <w:lang w:bidi="ar"/>
              </w:rPr>
              <w:t>联系人</w:t>
            </w:r>
          </w:p>
        </w:tc>
        <w:tc>
          <w:tcPr>
            <w:tcW w:w="761" w:type="pct"/>
            <w:vAlign w:val="center"/>
          </w:tcPr>
          <w:p>
            <w:pPr>
              <w:spacing w:before="120" w:beforeLines="50"/>
              <w:jc w:val="center"/>
              <w:rPr>
                <w:rFonts w:cs="宋体"/>
                <w:szCs w:val="21"/>
                <w:lang w:bidi="ar"/>
              </w:rPr>
            </w:pPr>
            <w:r>
              <w:rPr>
                <w:rFonts w:hint="eastAsia" w:cs="宋体"/>
                <w:szCs w:val="21"/>
                <w:lang w:bidi="ar"/>
              </w:rPr>
              <w:t>联系电话</w:t>
            </w:r>
          </w:p>
        </w:tc>
      </w:tr>
      <w:tr>
        <w:trPr>
          <w:trHeight w:val="375" w:hRule="atLeast"/>
          <w:jc w:val="center"/>
        </w:trPr>
        <w:tc>
          <w:tcPr>
            <w:tcW w:w="453" w:type="pct"/>
          </w:tcPr>
          <w:p>
            <w:pPr>
              <w:spacing w:before="120" w:beforeLines="50"/>
              <w:jc w:val="center"/>
              <w:rPr>
                <w:rFonts w:eastAsia="Times New Roman"/>
                <w:kern w:val="0"/>
                <w:sz w:val="24"/>
                <w:szCs w:val="21"/>
              </w:rPr>
            </w:pPr>
          </w:p>
        </w:tc>
        <w:tc>
          <w:tcPr>
            <w:tcW w:w="830" w:type="pct"/>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tcPr>
          <w:p>
            <w:pPr>
              <w:spacing w:before="120" w:beforeLines="50"/>
              <w:jc w:val="center"/>
              <w:rPr>
                <w:rFonts w:eastAsia="Times New Roman"/>
                <w:kern w:val="0"/>
                <w:sz w:val="24"/>
                <w:szCs w:val="21"/>
              </w:rPr>
            </w:pPr>
          </w:p>
        </w:tc>
        <w:tc>
          <w:tcPr>
            <w:tcW w:w="630" w:type="pct"/>
          </w:tcPr>
          <w:p>
            <w:pPr>
              <w:spacing w:before="120" w:beforeLines="50"/>
              <w:jc w:val="center"/>
              <w:rPr>
                <w:rFonts w:eastAsia="Times New Roman"/>
                <w:kern w:val="0"/>
                <w:sz w:val="24"/>
                <w:szCs w:val="21"/>
              </w:rPr>
            </w:pPr>
          </w:p>
        </w:tc>
        <w:tc>
          <w:tcPr>
            <w:tcW w:w="542" w:type="pct"/>
          </w:tcPr>
          <w:p>
            <w:pPr>
              <w:spacing w:before="120" w:beforeLines="50"/>
              <w:jc w:val="center"/>
              <w:rPr>
                <w:rFonts w:eastAsia="Times New Roman"/>
                <w:kern w:val="0"/>
                <w:sz w:val="24"/>
                <w:szCs w:val="21"/>
              </w:rPr>
            </w:pPr>
          </w:p>
        </w:tc>
        <w:tc>
          <w:tcPr>
            <w:tcW w:w="761" w:type="pct"/>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r>
        <w:trPr>
          <w:trHeight w:val="346" w:hRule="atLeast"/>
          <w:jc w:val="center"/>
        </w:trPr>
        <w:tc>
          <w:tcPr>
            <w:tcW w:w="453" w:type="pct"/>
            <w:vAlign w:val="center"/>
          </w:tcPr>
          <w:p>
            <w:pPr>
              <w:spacing w:before="120" w:beforeLines="50"/>
              <w:jc w:val="center"/>
              <w:rPr>
                <w:rFonts w:eastAsia="Times New Roman"/>
                <w:kern w:val="0"/>
                <w:sz w:val="24"/>
                <w:szCs w:val="21"/>
              </w:rPr>
            </w:pPr>
          </w:p>
        </w:tc>
        <w:tc>
          <w:tcPr>
            <w:tcW w:w="830" w:type="pct"/>
            <w:vAlign w:val="center"/>
          </w:tcPr>
          <w:p>
            <w:pPr>
              <w:spacing w:before="120" w:beforeLines="50"/>
              <w:jc w:val="center"/>
              <w:rPr>
                <w:rFonts w:eastAsia="Times New Roman"/>
                <w:kern w:val="0"/>
                <w:sz w:val="24"/>
                <w:szCs w:val="21"/>
              </w:rPr>
            </w:pPr>
          </w:p>
        </w:tc>
        <w:tc>
          <w:tcPr>
            <w:tcW w:w="745" w:type="pct"/>
          </w:tcPr>
          <w:p>
            <w:pPr>
              <w:spacing w:before="120" w:beforeLines="50"/>
              <w:jc w:val="center"/>
              <w:rPr>
                <w:rFonts w:eastAsia="Times New Roman"/>
                <w:kern w:val="0"/>
                <w:sz w:val="24"/>
                <w:szCs w:val="21"/>
              </w:rPr>
            </w:pPr>
          </w:p>
        </w:tc>
        <w:tc>
          <w:tcPr>
            <w:tcW w:w="948" w:type="pct"/>
            <w:vAlign w:val="center"/>
          </w:tcPr>
          <w:p>
            <w:pPr>
              <w:spacing w:before="120" w:beforeLines="50"/>
              <w:jc w:val="center"/>
              <w:rPr>
                <w:rFonts w:eastAsia="Times New Roman"/>
                <w:kern w:val="0"/>
                <w:sz w:val="24"/>
                <w:szCs w:val="21"/>
              </w:rPr>
            </w:pPr>
          </w:p>
        </w:tc>
        <w:tc>
          <w:tcPr>
            <w:tcW w:w="630" w:type="pct"/>
            <w:vAlign w:val="center"/>
          </w:tcPr>
          <w:p>
            <w:pPr>
              <w:spacing w:before="120" w:beforeLines="50"/>
              <w:jc w:val="center"/>
              <w:rPr>
                <w:rFonts w:eastAsia="Times New Roman"/>
                <w:kern w:val="0"/>
                <w:sz w:val="24"/>
                <w:szCs w:val="21"/>
              </w:rPr>
            </w:pPr>
          </w:p>
        </w:tc>
        <w:tc>
          <w:tcPr>
            <w:tcW w:w="542" w:type="pct"/>
            <w:vAlign w:val="center"/>
          </w:tcPr>
          <w:p>
            <w:pPr>
              <w:spacing w:before="120" w:beforeLines="50"/>
              <w:jc w:val="center"/>
              <w:rPr>
                <w:rFonts w:eastAsia="Times New Roman"/>
                <w:kern w:val="0"/>
                <w:sz w:val="24"/>
                <w:szCs w:val="21"/>
              </w:rPr>
            </w:pPr>
          </w:p>
        </w:tc>
        <w:tc>
          <w:tcPr>
            <w:tcW w:w="761" w:type="pct"/>
            <w:vAlign w:val="center"/>
          </w:tcPr>
          <w:p>
            <w:pPr>
              <w:spacing w:before="120" w:beforeLines="50"/>
              <w:jc w:val="center"/>
              <w:rPr>
                <w:rFonts w:eastAsia="Times New Roman"/>
                <w:kern w:val="0"/>
                <w:sz w:val="24"/>
                <w:szCs w:val="21"/>
              </w:rPr>
            </w:pPr>
          </w:p>
        </w:tc>
      </w:tr>
    </w:tbl>
    <w:p>
      <w:pPr>
        <w:spacing w:before="120" w:beforeLines="50" w:line="360" w:lineRule="auto"/>
        <w:ind w:left="705" w:leftChars="202" w:right="-57" w:rightChars="-27" w:hanging="281" w:hangingChars="134"/>
        <w:jc w:val="left"/>
        <w:rPr>
          <w:rFonts w:ascii="宋体" w:hAnsi="宋体"/>
          <w:kern w:val="0"/>
          <w:sz w:val="24"/>
          <w:szCs w:val="21"/>
        </w:rPr>
      </w:pPr>
      <w:r>
        <w:rPr>
          <w:rFonts w:hint="eastAsia" w:ascii="宋体" w:hAnsi="宋体" w:cs="宋体"/>
          <w:szCs w:val="18"/>
          <w:lang w:bidi="ar"/>
        </w:rPr>
        <w:t>注：</w:t>
      </w:r>
    </w:p>
    <w:p>
      <w:pPr>
        <w:spacing w:before="120" w:beforeLines="50" w:line="360" w:lineRule="auto"/>
        <w:ind w:left="705" w:leftChars="202" w:right="-57" w:rightChars="-27" w:hanging="281" w:hangingChars="134"/>
        <w:jc w:val="left"/>
        <w:rPr>
          <w:rFonts w:ascii="宋体" w:hAnsi="宋体"/>
          <w:kern w:val="0"/>
          <w:sz w:val="24"/>
          <w:szCs w:val="21"/>
        </w:rPr>
      </w:pPr>
      <w:r>
        <w:rPr>
          <w:rFonts w:ascii="宋体" w:hAnsi="宋体"/>
          <w:szCs w:val="21"/>
          <w:lang w:bidi="ar"/>
        </w:rPr>
        <w:t xml:space="preserve">1. </w:t>
      </w:r>
      <w:r>
        <w:rPr>
          <w:rFonts w:hint="eastAsia" w:ascii="宋体" w:hAnsi="宋体" w:cs="宋体"/>
          <w:szCs w:val="21"/>
          <w:lang w:bidi="ar"/>
        </w:rPr>
        <w:t>项目按照时间顺序排列。</w:t>
      </w:r>
    </w:p>
    <w:p>
      <w:pPr>
        <w:spacing w:before="120" w:beforeLines="50" w:line="360" w:lineRule="auto"/>
        <w:ind w:left="705" w:leftChars="202" w:right="-57" w:rightChars="-27" w:hanging="281" w:hangingChars="134"/>
        <w:jc w:val="left"/>
        <w:rPr>
          <w:rFonts w:ascii="宋体" w:hAnsi="宋体"/>
          <w:kern w:val="0"/>
          <w:sz w:val="24"/>
          <w:szCs w:val="21"/>
        </w:rPr>
      </w:pPr>
      <w:r>
        <w:rPr>
          <w:rFonts w:ascii="宋体" w:hAnsi="宋体"/>
          <w:szCs w:val="21"/>
          <w:lang w:bidi="ar"/>
        </w:rPr>
        <w:t xml:space="preserve">2. </w:t>
      </w:r>
      <w:r>
        <w:rPr>
          <w:rFonts w:hint="eastAsia" w:ascii="宋体" w:hAnsi="宋体" w:cs="宋体"/>
          <w:szCs w:val="21"/>
          <w:lang w:bidi="ar"/>
        </w:rPr>
        <w:t>投标人须按招标文件要求提供相应的</w:t>
      </w:r>
      <w:r>
        <w:rPr>
          <w:rFonts w:hint="eastAsia" w:ascii="宋体" w:hAnsi="宋体" w:cs="宋体"/>
          <w:lang w:bidi="ar"/>
        </w:rPr>
        <w:t>业绩证明材料</w:t>
      </w:r>
      <w:r>
        <w:rPr>
          <w:rFonts w:hint="eastAsia" w:ascii="宋体" w:hAnsi="宋体" w:cs="宋体"/>
          <w:szCs w:val="21"/>
          <w:lang w:bidi="ar"/>
        </w:rPr>
        <w:t>。</w:t>
      </w:r>
    </w:p>
    <w:p>
      <w:pPr>
        <w:spacing w:before="120" w:beforeLines="50" w:line="360" w:lineRule="auto"/>
        <w:ind w:right="-57" w:rightChars="-27"/>
        <w:rPr>
          <w:rFonts w:ascii="宋体" w:hAnsi="宋体"/>
          <w:kern w:val="0"/>
          <w:sz w:val="24"/>
        </w:rPr>
      </w:pPr>
    </w:p>
    <w:p>
      <w:pPr>
        <w:spacing w:before="120" w:beforeLines="50" w:line="360" w:lineRule="auto"/>
        <w:ind w:left="479" w:leftChars="220" w:right="-57" w:rightChars="-27" w:hanging="17"/>
        <w:rPr>
          <w:rFonts w:ascii="宋体" w:hAnsi="宋体"/>
          <w:kern w:val="0"/>
          <w:sz w:val="24"/>
        </w:rPr>
      </w:pPr>
      <w:r>
        <w:rPr>
          <w:rFonts w:hint="eastAsia" w:ascii="宋体" w:hAnsi="宋体" w:cs="宋体"/>
          <w:lang w:bidi="ar"/>
        </w:rPr>
        <w:t>投标人：（公章）</w:t>
      </w:r>
      <w:r>
        <w:rPr>
          <w:rFonts w:ascii="宋体" w:hAnsi="宋体"/>
          <w:lang w:bidi="ar"/>
        </w:rPr>
        <w:t xml:space="preserve"> </w:t>
      </w:r>
    </w:p>
    <w:p>
      <w:pPr>
        <w:spacing w:before="120" w:beforeLines="50" w:line="360" w:lineRule="auto"/>
        <w:ind w:left="478" w:leftChars="227" w:right="-57" w:rightChars="-27" w:hanging="1"/>
        <w:rPr>
          <w:rFonts w:ascii="宋体" w:hAnsi="宋体"/>
          <w:kern w:val="0"/>
          <w:sz w:val="24"/>
        </w:rPr>
      </w:pPr>
      <w:r>
        <w:rPr>
          <w:rFonts w:hint="eastAsia" w:ascii="宋体" w:hAnsi="宋体" w:cs="宋体"/>
          <w:lang w:bidi="ar"/>
        </w:rPr>
        <w:t>法定代表人或其委托代理人：（签字或盖章）</w:t>
      </w:r>
    </w:p>
    <w:p>
      <w:pPr>
        <w:spacing w:before="120" w:beforeLines="50" w:line="360" w:lineRule="auto"/>
        <w:ind w:left="463" w:leftChars="220" w:right="-57" w:rightChars="-27" w:hanging="1"/>
        <w:rPr>
          <w:rFonts w:ascii="宋体" w:hAnsi="宋体" w:cs="宋体"/>
          <w:lang w:bidi="ar"/>
        </w:rPr>
      </w:pPr>
      <w:r>
        <w:rPr>
          <w:rFonts w:hint="eastAsia" w:ascii="宋体" w:hAnsi="宋体" w:cs="宋体"/>
          <w:lang w:bidi="ar"/>
        </w:rPr>
        <w:t>日</w:t>
      </w:r>
      <w:r>
        <w:rPr>
          <w:rFonts w:ascii="宋体" w:hAnsi="宋体"/>
          <w:lang w:bidi="ar"/>
        </w:rPr>
        <w:t xml:space="preserve">    </w:t>
      </w:r>
      <w:r>
        <w:rPr>
          <w:rFonts w:hint="eastAsia" w:ascii="宋体" w:hAnsi="宋体" w:cs="宋体"/>
          <w:lang w:bidi="ar"/>
        </w:rPr>
        <w:t>期：</w:t>
      </w:r>
    </w:p>
    <w:p>
      <w:pPr>
        <w:keepNext/>
        <w:keepLines/>
        <w:spacing w:line="360" w:lineRule="auto"/>
        <w:jc w:val="left"/>
        <w:outlineLvl w:val="3"/>
        <w:rPr>
          <w:rFonts w:ascii="宋体" w:hAnsi="宋体"/>
          <w:bCs/>
          <w:szCs w:val="21"/>
        </w:rPr>
      </w:pPr>
      <w:r>
        <w:rPr>
          <w:lang w:bidi="ar"/>
        </w:rPr>
        <w:br w:type="page"/>
      </w:r>
      <w:bookmarkStart w:id="819" w:name="_Toc389124171"/>
      <w:bookmarkStart w:id="820" w:name="_Toc320083344"/>
      <w:bookmarkStart w:id="821" w:name="_Toc310610533"/>
      <w:bookmarkStart w:id="822" w:name="_Toc340674997"/>
      <w:r>
        <w:rPr>
          <w:rFonts w:hint="eastAsia" w:ascii="宋体" w:hAnsi="宋体"/>
          <w:b/>
          <w:szCs w:val="28"/>
        </w:rPr>
        <w:t>格式B3：</w:t>
      </w:r>
      <w:r>
        <w:rPr>
          <w:rFonts w:hint="eastAsia" w:ascii="宋体" w:hAnsi="宋体"/>
          <w:b/>
          <w:bCs/>
          <w:szCs w:val="21"/>
        </w:rPr>
        <w:t>商务条款响应表格式</w:t>
      </w:r>
    </w:p>
    <w:p>
      <w:pPr>
        <w:spacing w:line="360" w:lineRule="auto"/>
        <w:jc w:val="center"/>
        <w:rPr>
          <w:rFonts w:ascii="宋体" w:hAnsi="宋体"/>
          <w:b/>
          <w:bCs/>
          <w:kern w:val="0"/>
          <w:sz w:val="28"/>
          <w:szCs w:val="28"/>
        </w:rPr>
      </w:pPr>
      <w:r>
        <w:rPr>
          <w:rFonts w:hint="eastAsia" w:ascii="宋体" w:hAnsi="宋体"/>
          <w:b/>
          <w:bCs/>
          <w:kern w:val="0"/>
          <w:sz w:val="28"/>
          <w:szCs w:val="28"/>
        </w:rPr>
        <w:t>商务</w:t>
      </w:r>
      <w:bookmarkEnd w:id="819"/>
      <w:bookmarkEnd w:id="820"/>
      <w:bookmarkEnd w:id="821"/>
      <w:bookmarkEnd w:id="822"/>
      <w:r>
        <w:rPr>
          <w:rFonts w:hint="eastAsia" w:ascii="宋体" w:hAnsi="宋体"/>
          <w:b/>
          <w:bCs/>
          <w:kern w:val="0"/>
          <w:sz w:val="28"/>
          <w:szCs w:val="28"/>
        </w:rPr>
        <w:t>条款响应表</w:t>
      </w:r>
    </w:p>
    <w:tbl>
      <w:tblPr>
        <w:tblStyle w:val="51"/>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25"/>
        <w:gridCol w:w="1428"/>
        <w:gridCol w:w="1778"/>
        <w:gridCol w:w="1785"/>
        <w:gridCol w:w="1605"/>
        <w:gridCol w:w="1606"/>
      </w:tblGrid>
      <w:tr>
        <w:trPr>
          <w:cantSplit/>
          <w:trHeight w:val="595" w:hRule="atLeast"/>
          <w:jc w:val="center"/>
        </w:trPr>
        <w:tc>
          <w:tcPr>
            <w:tcW w:w="406" w:type="pct"/>
            <w:vAlign w:val="center"/>
          </w:tcPr>
          <w:p>
            <w:pPr>
              <w:adjustRightInd w:val="0"/>
              <w:jc w:val="center"/>
              <w:rPr>
                <w:rFonts w:ascii="Arial" w:hAnsi="Arial" w:cs="Arial"/>
                <w:b/>
                <w:szCs w:val="21"/>
              </w:rPr>
            </w:pPr>
            <w:r>
              <w:rPr>
                <w:rFonts w:hint="eastAsia" w:ascii="Arial" w:hAnsi="Arial" w:cs="Arial"/>
                <w:b/>
                <w:szCs w:val="21"/>
              </w:rPr>
              <w:t>序号</w:t>
            </w:r>
          </w:p>
        </w:tc>
        <w:tc>
          <w:tcPr>
            <w:tcW w:w="800" w:type="pct"/>
            <w:vAlign w:val="center"/>
          </w:tcPr>
          <w:p>
            <w:pPr>
              <w:adjustRightInd w:val="0"/>
              <w:jc w:val="center"/>
              <w:rPr>
                <w:rFonts w:ascii="Arial" w:hAnsi="Arial" w:cs="Arial"/>
                <w:b/>
                <w:szCs w:val="21"/>
              </w:rPr>
            </w:pPr>
            <w:r>
              <w:rPr>
                <w:rFonts w:hint="eastAsia" w:ascii="Arial" w:hAnsi="Arial" w:cs="Arial"/>
                <w:b/>
                <w:szCs w:val="21"/>
              </w:rPr>
              <w:t>招标文件</w:t>
            </w:r>
          </w:p>
          <w:p>
            <w:pPr>
              <w:adjustRightInd w:val="0"/>
              <w:jc w:val="center"/>
              <w:rPr>
                <w:rFonts w:ascii="Arial" w:hAnsi="Arial" w:cs="Arial"/>
                <w:b/>
                <w:szCs w:val="21"/>
              </w:rPr>
            </w:pPr>
            <w:r>
              <w:rPr>
                <w:rFonts w:hint="eastAsia" w:ascii="Arial" w:hAnsi="Arial" w:cs="Arial"/>
                <w:b/>
                <w:szCs w:val="21"/>
              </w:rPr>
              <w:t>条目号</w:t>
            </w:r>
          </w:p>
        </w:tc>
        <w:tc>
          <w:tcPr>
            <w:tcW w:w="996" w:type="pct"/>
            <w:vAlign w:val="center"/>
          </w:tcPr>
          <w:p>
            <w:pPr>
              <w:adjustRightInd w:val="0"/>
              <w:jc w:val="center"/>
              <w:rPr>
                <w:rFonts w:ascii="Arial" w:hAnsi="Arial" w:cs="Arial"/>
                <w:b/>
                <w:szCs w:val="21"/>
              </w:rPr>
            </w:pPr>
            <w:r>
              <w:rPr>
                <w:rFonts w:hint="eastAsia" w:ascii="Arial" w:hAnsi="Arial" w:cs="Arial"/>
                <w:b/>
                <w:szCs w:val="21"/>
              </w:rPr>
              <w:t>招标文件要求</w:t>
            </w:r>
          </w:p>
        </w:tc>
        <w:tc>
          <w:tcPr>
            <w:tcW w:w="1000" w:type="pct"/>
            <w:vAlign w:val="center"/>
          </w:tcPr>
          <w:p>
            <w:pPr>
              <w:adjustRightInd w:val="0"/>
              <w:jc w:val="center"/>
              <w:rPr>
                <w:rFonts w:ascii="Arial" w:hAnsi="Arial" w:cs="Arial"/>
                <w:b/>
                <w:szCs w:val="21"/>
              </w:rPr>
            </w:pPr>
            <w:r>
              <w:rPr>
                <w:rFonts w:hint="eastAsia" w:ascii="Arial" w:hAnsi="Arial" w:cs="Arial"/>
                <w:b/>
                <w:szCs w:val="21"/>
              </w:rPr>
              <w:t>投标文件</w:t>
            </w:r>
          </w:p>
          <w:p>
            <w:pPr>
              <w:adjustRightInd w:val="0"/>
              <w:jc w:val="center"/>
              <w:rPr>
                <w:rFonts w:ascii="Arial" w:hAnsi="Arial" w:cs="Arial"/>
                <w:b/>
                <w:szCs w:val="21"/>
              </w:rPr>
            </w:pPr>
            <w:r>
              <w:rPr>
                <w:rFonts w:hint="eastAsia" w:ascii="Arial" w:hAnsi="Arial" w:cs="Arial"/>
                <w:b/>
                <w:szCs w:val="21"/>
              </w:rPr>
              <w:t>响应</w:t>
            </w:r>
          </w:p>
        </w:tc>
        <w:tc>
          <w:tcPr>
            <w:tcW w:w="899" w:type="pct"/>
            <w:vAlign w:val="center"/>
          </w:tcPr>
          <w:p>
            <w:pPr>
              <w:adjustRightInd w:val="0"/>
              <w:jc w:val="center"/>
              <w:rPr>
                <w:rFonts w:ascii="Arial" w:hAnsi="Arial" w:cs="Arial"/>
                <w:b/>
                <w:szCs w:val="21"/>
              </w:rPr>
            </w:pPr>
            <w:r>
              <w:rPr>
                <w:rFonts w:hint="eastAsia" w:ascii="Arial" w:hAnsi="Arial" w:cs="Arial"/>
                <w:b/>
                <w:szCs w:val="21"/>
              </w:rPr>
              <w:t>偏离</w:t>
            </w:r>
          </w:p>
        </w:tc>
        <w:tc>
          <w:tcPr>
            <w:tcW w:w="899" w:type="pct"/>
            <w:vAlign w:val="center"/>
          </w:tcPr>
          <w:p>
            <w:pPr>
              <w:adjustRightInd w:val="0"/>
              <w:jc w:val="center"/>
              <w:rPr>
                <w:rFonts w:ascii="Arial" w:hAnsi="Arial" w:cs="Arial"/>
                <w:b/>
                <w:szCs w:val="21"/>
              </w:rPr>
            </w:pPr>
            <w:r>
              <w:rPr>
                <w:rFonts w:hint="eastAsia" w:ascii="Arial" w:hAnsi="Arial" w:cs="Arial"/>
                <w:b/>
                <w:szCs w:val="21"/>
              </w:rPr>
              <w:t>说明</w:t>
            </w: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trHeight w:val="783" w:hRule="atLeast"/>
          <w:jc w:val="center"/>
        </w:trPr>
        <w:tc>
          <w:tcPr>
            <w:tcW w:w="5000" w:type="pct"/>
            <w:gridSpan w:val="6"/>
            <w:vAlign w:val="center"/>
          </w:tcPr>
          <w:p>
            <w:pPr>
              <w:spacing w:line="440" w:lineRule="exact"/>
              <w:rPr>
                <w:rFonts w:ascii="Arial" w:hAnsi="Arial" w:cs="Arial"/>
                <w:szCs w:val="21"/>
              </w:rPr>
            </w:pPr>
            <w:r>
              <w:rPr>
                <w:rFonts w:hint="eastAsia" w:ascii="Arial" w:hAnsi="Arial" w:cs="Arial"/>
                <w:szCs w:val="21"/>
              </w:rPr>
              <w:t>我方确认：除了表中所列的条款外，我方的投标函将依从招标文件对于商务的全部要求和规定。</w:t>
            </w:r>
          </w:p>
        </w:tc>
      </w:tr>
    </w:tbl>
    <w:p>
      <w:pPr>
        <w:tabs>
          <w:tab w:val="left" w:pos="9120"/>
        </w:tabs>
        <w:ind w:firstLine="420" w:firstLineChars="200"/>
        <w:rPr>
          <w:rFonts w:ascii="宋体" w:hAnsi="宋体" w:cs="Arial"/>
        </w:rPr>
      </w:pPr>
      <w:r>
        <w:rPr>
          <w:rFonts w:hint="eastAsia" w:ascii="宋体" w:hAnsi="宋体" w:cs="Arial"/>
        </w:rPr>
        <w:t>注：</w:t>
      </w:r>
    </w:p>
    <w:p>
      <w:pPr>
        <w:tabs>
          <w:tab w:val="left" w:pos="9120"/>
        </w:tabs>
        <w:spacing w:line="360" w:lineRule="auto"/>
        <w:ind w:firstLine="420" w:firstLineChars="200"/>
        <w:rPr>
          <w:rFonts w:ascii="宋体" w:hAnsi="宋体" w:cs="Arial"/>
          <w:kern w:val="0"/>
        </w:rPr>
      </w:pPr>
      <w:r>
        <w:rPr>
          <w:rFonts w:hint="eastAsia" w:ascii="宋体" w:hAnsi="宋体" w:cs="Arial"/>
        </w:rPr>
        <w:t>1、</w:t>
      </w:r>
      <w:r>
        <w:rPr>
          <w:rFonts w:hint="eastAsia" w:ascii="宋体" w:hAnsi="宋体" w:cs="Arial"/>
          <w:kern w:val="0"/>
        </w:rPr>
        <w:t>投标人必须仔细阅读招标文件所有条款（含合同条款），并对所有偏离的条目列入上表，未列入上表的视作投标人完全接受。</w:t>
      </w:r>
    </w:p>
    <w:p>
      <w:pPr>
        <w:tabs>
          <w:tab w:val="left" w:pos="9120"/>
        </w:tabs>
        <w:spacing w:line="360" w:lineRule="auto"/>
        <w:ind w:firstLine="420" w:firstLineChars="200"/>
        <w:rPr>
          <w:rFonts w:ascii="宋体" w:hAnsi="宋体" w:cs="Arial"/>
          <w:b/>
        </w:rPr>
      </w:pPr>
      <w:r>
        <w:rPr>
          <w:rFonts w:hint="eastAsia" w:ascii="宋体" w:hAnsi="宋体" w:cs="Arial"/>
          <w:kern w:val="0"/>
        </w:rPr>
        <w:t>2、投标人如无偏离，可在上表空格中填写内容 “/”或者“完全响应”表示。</w:t>
      </w:r>
    </w:p>
    <w:p>
      <w:pPr>
        <w:tabs>
          <w:tab w:val="left" w:pos="9120"/>
        </w:tabs>
        <w:spacing w:line="360" w:lineRule="auto"/>
        <w:ind w:firstLine="420" w:firstLineChars="200"/>
        <w:rPr>
          <w:rFonts w:ascii="宋体" w:hAnsi="宋体" w:cs="Arial"/>
        </w:rPr>
      </w:pPr>
    </w:p>
    <w:p>
      <w:pPr>
        <w:spacing w:before="120" w:beforeLines="50" w:line="360" w:lineRule="auto"/>
        <w:ind w:left="479" w:leftChars="220" w:right="-57" w:rightChars="-27" w:hanging="17"/>
        <w:rPr>
          <w:rFonts w:ascii="宋体" w:hAnsi="宋体"/>
          <w:kern w:val="0"/>
          <w:sz w:val="24"/>
        </w:rPr>
      </w:pPr>
      <w:r>
        <w:rPr>
          <w:rFonts w:hint="eastAsia" w:ascii="宋体" w:hAnsi="宋体" w:cs="宋体"/>
          <w:lang w:bidi="ar"/>
        </w:rPr>
        <w:t>投标人：（公章）</w:t>
      </w:r>
      <w:r>
        <w:rPr>
          <w:rFonts w:ascii="宋体" w:hAnsi="宋体"/>
          <w:lang w:bidi="ar"/>
        </w:rPr>
        <w:t xml:space="preserve"> </w:t>
      </w:r>
    </w:p>
    <w:p>
      <w:pPr>
        <w:spacing w:before="120" w:beforeLines="50" w:line="360" w:lineRule="auto"/>
        <w:ind w:left="478" w:leftChars="227" w:right="-57" w:rightChars="-27" w:hanging="1"/>
        <w:rPr>
          <w:rFonts w:ascii="宋体" w:hAnsi="宋体"/>
          <w:kern w:val="0"/>
          <w:sz w:val="24"/>
        </w:rPr>
      </w:pPr>
      <w:r>
        <w:rPr>
          <w:rFonts w:hint="eastAsia" w:ascii="宋体" w:hAnsi="宋体" w:cs="宋体"/>
          <w:lang w:bidi="ar"/>
        </w:rPr>
        <w:t>法定代表人或其委托代理人：（签字或盖章）</w:t>
      </w:r>
    </w:p>
    <w:p>
      <w:pPr>
        <w:spacing w:before="120" w:beforeLines="50" w:line="360" w:lineRule="auto"/>
        <w:ind w:left="463" w:leftChars="220" w:right="-57" w:rightChars="-27" w:hanging="1"/>
        <w:rPr>
          <w:rFonts w:ascii="宋体" w:hAnsi="宋体"/>
          <w:kern w:val="0"/>
          <w:sz w:val="24"/>
        </w:rPr>
      </w:pPr>
      <w:r>
        <w:rPr>
          <w:rFonts w:hint="eastAsia" w:ascii="宋体" w:hAnsi="宋体" w:cs="宋体"/>
          <w:lang w:bidi="ar"/>
        </w:rPr>
        <w:t>日</w:t>
      </w:r>
      <w:r>
        <w:rPr>
          <w:rFonts w:ascii="宋体" w:hAnsi="宋体"/>
          <w:lang w:bidi="ar"/>
        </w:rPr>
        <w:t xml:space="preserve">    </w:t>
      </w:r>
      <w:r>
        <w:rPr>
          <w:rFonts w:hint="eastAsia" w:ascii="宋体" w:hAnsi="宋体" w:cs="宋体"/>
          <w:lang w:bidi="ar"/>
        </w:rPr>
        <w:t>期：</w:t>
      </w:r>
    </w:p>
    <w:p>
      <w:pPr>
        <w:keepNext/>
        <w:keepLines/>
        <w:spacing w:before="60" w:after="60" w:line="413" w:lineRule="auto"/>
        <w:jc w:val="left"/>
        <w:outlineLvl w:val="1"/>
        <w:rPr>
          <w:rFonts w:ascii="宋体" w:hAnsi="宋体"/>
          <w:b/>
          <w:bCs/>
          <w:sz w:val="28"/>
          <w:szCs w:val="28"/>
        </w:rPr>
      </w:pPr>
      <w:bookmarkStart w:id="823" w:name="_Toc23117"/>
      <w:bookmarkStart w:id="824" w:name="_Toc29786944"/>
      <w:bookmarkStart w:id="825" w:name="_Toc11400"/>
      <w:r>
        <w:rPr>
          <w:rFonts w:ascii="宋体" w:hAnsi="宋体"/>
          <w:b/>
          <w:bCs/>
          <w:sz w:val="24"/>
        </w:rPr>
        <w:br w:type="page"/>
      </w:r>
      <w:bookmarkStart w:id="826" w:name="_Toc16230"/>
      <w:bookmarkStart w:id="827" w:name="_Toc180507143"/>
      <w:bookmarkStart w:id="828" w:name="_Toc11162"/>
      <w:bookmarkStart w:id="829" w:name="_Toc30360"/>
      <w:r>
        <mc:AlternateContent>
          <mc:Choice Requires="wps">
            <w:drawing>
              <wp:anchor distT="0" distB="0" distL="114300" distR="114300" simplePos="0" relativeHeight="251666432" behindDoc="0" locked="0" layoutInCell="1" allowOverlap="1">
                <wp:simplePos x="0" y="0"/>
                <wp:positionH relativeFrom="column">
                  <wp:posOffset>4519295</wp:posOffset>
                </wp:positionH>
                <wp:positionV relativeFrom="paragraph">
                  <wp:posOffset>89535</wp:posOffset>
                </wp:positionV>
                <wp:extent cx="1003300" cy="406400"/>
                <wp:effectExtent l="6350" t="6350" r="6350" b="19050"/>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1003300" cy="406400"/>
                        </a:xfrm>
                        <a:prstGeom prst="rect">
                          <a:avLst/>
                        </a:prstGeom>
                        <a:solidFill>
                          <a:srgbClr val="FFFFFF"/>
                        </a:solidFill>
                        <a:ln w="9525">
                          <a:solidFill>
                            <a:srgbClr val="000000"/>
                          </a:solidFill>
                          <a:miter lim="800000"/>
                        </a:ln>
                        <a:effectLst/>
                      </wps:spPr>
                      <wps:txbx>
                        <w:txbxContent>
                          <w:p>
                            <w:pPr>
                              <w:rPr>
                                <w:sz w:val="28"/>
                                <w:szCs w:val="28"/>
                              </w:rPr>
                            </w:pPr>
                            <w:r>
                              <w:rPr>
                                <w:rFonts w:hint="eastAsia" w:ascii="宋体" w:hAnsi="宋体" w:cs="宋体"/>
                                <w:sz w:val="28"/>
                                <w:szCs w:val="28"/>
                              </w:rPr>
                              <w:t>正本</w:t>
                            </w:r>
                            <w:r>
                              <w:rPr>
                                <w:rFonts w:ascii="宋体" w:hAnsi="宋体" w:cs="宋体"/>
                                <w:sz w:val="28"/>
                                <w:szCs w:val="28"/>
                              </w:rPr>
                              <w:t>/副本</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5.85pt;margin-top:7.05pt;height:32pt;width:79pt;z-index:251666432;mso-width-relative:page;mso-height-relative:page;" fillcolor="#FFFFFF" filled="t" stroked="t" coordsize="21600,21600" o:gfxdata="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FhnEJPWAAAACQEAAA8A&#10;AAAAAAAAAQAgAAAAOAAAAGRycy9kb3ducmV2LnhtbFBLAQIUABQAAAAIAIdO4kBlclp2PAIAAIoE&#10;AAAOAAAAAAAAAAEAIAAAADsBAABkcnMvZTJvRG9jLnhtbFBLBQYAAAAABgAGAFkBAADpBQAAAAA=&#10;">
                <v:fill on="t" focussize="0,0"/>
                <v:stroke color="#000000" miterlimit="8" joinstyle="miter"/>
                <v:imagedata o:title=""/>
                <o:lock v:ext="edit" aspectratio="f"/>
                <v:textbox>
                  <w:txbxContent>
                    <w:p>
                      <w:pPr>
                        <w:rPr>
                          <w:sz w:val="28"/>
                          <w:szCs w:val="28"/>
                        </w:rPr>
                      </w:pPr>
                      <w:r>
                        <w:rPr>
                          <w:rFonts w:hint="eastAsia" w:ascii="宋体" w:hAnsi="宋体" w:cs="宋体"/>
                          <w:sz w:val="28"/>
                          <w:szCs w:val="28"/>
                        </w:rPr>
                        <w:t>正本</w:t>
                      </w:r>
                      <w:r>
                        <w:rPr>
                          <w:rFonts w:ascii="宋体" w:hAnsi="宋体" w:cs="宋体"/>
                          <w:sz w:val="28"/>
                          <w:szCs w:val="28"/>
                        </w:rPr>
                        <w:t>/副本</w:t>
                      </w:r>
                    </w:p>
                  </w:txbxContent>
                </v:textbox>
              </v:rect>
            </w:pict>
          </mc:Fallback>
        </mc:AlternateContent>
      </w:r>
      <w:r>
        <w:rPr>
          <w:rFonts w:hint="eastAsia" w:ascii="宋体" w:hAnsi="宋体"/>
          <w:b/>
          <w:bCs/>
          <w:sz w:val="24"/>
        </w:rPr>
        <w:t>三、技术文件格式</w:t>
      </w:r>
      <w:bookmarkEnd w:id="823"/>
      <w:bookmarkEnd w:id="824"/>
      <w:bookmarkEnd w:id="825"/>
      <w:bookmarkEnd w:id="826"/>
      <w:bookmarkEnd w:id="827"/>
      <w:bookmarkEnd w:id="828"/>
      <w:bookmarkEnd w:id="829"/>
    </w:p>
    <w:p>
      <w:pPr>
        <w:spacing w:line="360" w:lineRule="auto"/>
        <w:jc w:val="left"/>
        <w:rPr>
          <w:rFonts w:ascii="宋体" w:hAnsi="宋体"/>
          <w:kern w:val="0"/>
          <w:szCs w:val="21"/>
        </w:rPr>
      </w:pPr>
      <w:r>
        <w:rPr>
          <w:rFonts w:hint="eastAsia" w:ascii="宋体" w:hAnsi="宋体"/>
          <w:kern w:val="0"/>
          <w:szCs w:val="21"/>
        </w:rPr>
        <w:t>（一）封面格式</w:t>
      </w:r>
    </w:p>
    <w:p>
      <w:pPr>
        <w:jc w:val="left"/>
        <w:rPr>
          <w:rFonts w:ascii="宋体" w:hAnsi="宋体"/>
          <w:kern w:val="0"/>
          <w:szCs w:val="21"/>
        </w:rPr>
      </w:pPr>
    </w:p>
    <w:p>
      <w:pPr>
        <w:ind w:right="840"/>
        <w:rPr>
          <w:rFonts w:ascii="宋体" w:hAnsi="宋体"/>
          <w:kern w:val="0"/>
          <w:szCs w:val="21"/>
        </w:rPr>
      </w:pPr>
    </w:p>
    <w:p>
      <w:pPr>
        <w:ind w:right="840"/>
        <w:rPr>
          <w:rFonts w:ascii="宋体" w:hAnsi="宋体"/>
          <w:kern w:val="0"/>
          <w:szCs w:val="21"/>
        </w:rPr>
      </w:pPr>
    </w:p>
    <w:p>
      <w:pPr>
        <w:jc w:val="center"/>
        <w:rPr>
          <w:rFonts w:ascii="宋体" w:hAnsi="宋体"/>
          <w:kern w:val="0"/>
          <w:sz w:val="32"/>
          <w:szCs w:val="32"/>
        </w:rPr>
      </w:pPr>
    </w:p>
    <w:p>
      <w:pPr>
        <w:jc w:val="center"/>
        <w:rPr>
          <w:rFonts w:ascii="宋体" w:hAnsi="宋体"/>
          <w:kern w:val="0"/>
          <w:sz w:val="28"/>
          <w:szCs w:val="28"/>
        </w:rPr>
      </w:pPr>
      <w:r>
        <w:rPr>
          <w:rFonts w:ascii="宋体" w:hAnsi="宋体"/>
          <w:kern w:val="0"/>
          <w:sz w:val="28"/>
          <w:szCs w:val="28"/>
          <w:u w:val="single"/>
        </w:rPr>
        <w:t>（项目名称）</w:t>
      </w:r>
      <w:r>
        <w:rPr>
          <w:rFonts w:hint="eastAsia" w:ascii="宋体" w:hAnsi="宋体"/>
          <w:kern w:val="0"/>
          <w:sz w:val="28"/>
          <w:szCs w:val="28"/>
          <w:u w:val="single"/>
        </w:rPr>
        <w:t>项目</w:t>
      </w: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spacing w:before="240" w:beforeLines="100" w:line="360" w:lineRule="auto"/>
        <w:jc w:val="center"/>
        <w:rPr>
          <w:rFonts w:ascii="宋体" w:hAnsi="宋体"/>
          <w:kern w:val="0"/>
          <w:sz w:val="56"/>
          <w:szCs w:val="56"/>
        </w:rPr>
      </w:pPr>
      <w:r>
        <w:rPr>
          <w:rFonts w:ascii="宋体" w:hAnsi="宋体"/>
          <w:kern w:val="0"/>
          <w:sz w:val="56"/>
          <w:szCs w:val="56"/>
        </w:rPr>
        <w:t>投  标  文  件</w:t>
      </w:r>
    </w:p>
    <w:p>
      <w:pPr>
        <w:spacing w:line="360" w:lineRule="auto"/>
        <w:jc w:val="center"/>
        <w:rPr>
          <w:rFonts w:ascii="宋体" w:hAnsi="宋体"/>
          <w:kern w:val="0"/>
          <w:sz w:val="36"/>
          <w:szCs w:val="36"/>
          <w:u w:val="single"/>
        </w:rPr>
      </w:pPr>
      <w:r>
        <w:rPr>
          <w:rFonts w:hint="eastAsia" w:ascii="宋体" w:hAnsi="宋体"/>
          <w:kern w:val="0"/>
          <w:sz w:val="36"/>
          <w:szCs w:val="36"/>
          <w:u w:val="single"/>
        </w:rPr>
        <w:t>技术文件</w:t>
      </w:r>
    </w:p>
    <w:p>
      <w:pPr>
        <w:spacing w:line="360" w:lineRule="auto"/>
        <w:jc w:val="center"/>
        <w:rPr>
          <w:rFonts w:ascii="宋体" w:hAnsi="宋体"/>
          <w:kern w:val="0"/>
          <w:sz w:val="32"/>
          <w:szCs w:val="32"/>
          <w:u w:val="single"/>
        </w:rPr>
      </w:pPr>
      <w:r>
        <w:rPr>
          <w:rFonts w:hint="eastAsia" w:ascii="宋体" w:hAnsi="宋体"/>
          <w:kern w:val="0"/>
          <w:sz w:val="32"/>
          <w:szCs w:val="32"/>
          <w:u w:val="single"/>
        </w:rPr>
        <w:t>第   册（如有分册）</w:t>
      </w:r>
    </w:p>
    <w:p>
      <w:pPr>
        <w:rPr>
          <w:rFonts w:ascii="宋体" w:hAnsi="宋体"/>
          <w:kern w:val="0"/>
          <w:sz w:val="32"/>
          <w:szCs w:val="32"/>
        </w:rPr>
      </w:pPr>
    </w:p>
    <w:p>
      <w:pPr>
        <w:spacing w:line="360" w:lineRule="auto"/>
        <w:ind w:firstLine="2380" w:firstLineChars="850"/>
        <w:rPr>
          <w:rFonts w:ascii="宋体" w:hAnsi="宋体"/>
          <w:kern w:val="0"/>
          <w:sz w:val="28"/>
          <w:szCs w:val="28"/>
          <w:u w:val="single"/>
        </w:rPr>
      </w:pPr>
      <w:r>
        <w:rPr>
          <w:rFonts w:ascii="宋体" w:hAnsi="宋体"/>
          <w:kern w:val="0"/>
          <w:sz w:val="28"/>
          <w:szCs w:val="28"/>
        </w:rPr>
        <w:t>项目编号：</w:t>
      </w:r>
    </w:p>
    <w:p>
      <w:pPr>
        <w:jc w:val="center"/>
        <w:rPr>
          <w:rFonts w:ascii="宋体" w:hAnsi="宋体"/>
          <w:kern w:val="0"/>
          <w:sz w:val="32"/>
          <w:szCs w:val="32"/>
        </w:rPr>
      </w:pPr>
    </w:p>
    <w:p>
      <w:pPr>
        <w:jc w:val="center"/>
        <w:rPr>
          <w:rFonts w:ascii="宋体" w:hAnsi="宋体"/>
          <w:kern w:val="0"/>
          <w:sz w:val="32"/>
          <w:szCs w:val="32"/>
        </w:rPr>
      </w:pPr>
    </w:p>
    <w:p>
      <w:pP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spacing w:line="360" w:lineRule="auto"/>
        <w:ind w:firstLine="1400" w:firstLineChars="500"/>
        <w:rPr>
          <w:rFonts w:ascii="宋体" w:hAnsi="宋体"/>
          <w:kern w:val="0"/>
          <w:sz w:val="28"/>
          <w:szCs w:val="28"/>
        </w:rPr>
      </w:pPr>
      <w:r>
        <w:rPr>
          <w:rFonts w:ascii="宋体" w:hAnsi="宋体"/>
          <w:kern w:val="0"/>
          <w:sz w:val="28"/>
          <w:szCs w:val="28"/>
        </w:rPr>
        <w:t>投标人：（盖单位</w:t>
      </w:r>
      <w:r>
        <w:rPr>
          <w:rFonts w:hint="eastAsia" w:ascii="宋体" w:hAnsi="宋体"/>
          <w:kern w:val="0"/>
          <w:sz w:val="28"/>
          <w:szCs w:val="28"/>
        </w:rPr>
        <w:t>公</w:t>
      </w:r>
      <w:r>
        <w:rPr>
          <w:rFonts w:ascii="宋体" w:hAnsi="宋体"/>
          <w:kern w:val="0"/>
          <w:sz w:val="28"/>
          <w:szCs w:val="28"/>
        </w:rPr>
        <w:t>章）</w:t>
      </w:r>
    </w:p>
    <w:p>
      <w:pPr>
        <w:spacing w:line="360" w:lineRule="auto"/>
        <w:ind w:firstLine="1400" w:firstLineChars="500"/>
        <w:rPr>
          <w:rFonts w:ascii="宋体" w:hAnsi="宋体"/>
          <w:kern w:val="0"/>
          <w:sz w:val="28"/>
          <w:szCs w:val="28"/>
        </w:rPr>
      </w:pPr>
      <w:r>
        <w:rPr>
          <w:rFonts w:hint="eastAsia" w:ascii="宋体" w:hAnsi="宋体"/>
          <w:kern w:val="0"/>
          <w:sz w:val="28"/>
          <w:szCs w:val="28"/>
        </w:rPr>
        <w:t>法定代表人或其委托代理人</w:t>
      </w:r>
      <w:r>
        <w:rPr>
          <w:rFonts w:ascii="宋体" w:hAnsi="宋体"/>
          <w:kern w:val="0"/>
          <w:sz w:val="28"/>
          <w:szCs w:val="28"/>
        </w:rPr>
        <w:t>：（签字</w:t>
      </w:r>
      <w:r>
        <w:rPr>
          <w:rFonts w:hint="eastAsia" w:ascii="宋体" w:hAnsi="宋体"/>
          <w:kern w:val="0"/>
          <w:sz w:val="28"/>
          <w:szCs w:val="28"/>
        </w:rPr>
        <w:t>或盖章</w:t>
      </w:r>
      <w:r>
        <w:rPr>
          <w:rFonts w:ascii="宋体" w:hAnsi="宋体"/>
          <w:kern w:val="0"/>
          <w:sz w:val="28"/>
          <w:szCs w:val="28"/>
        </w:rPr>
        <w:t>）</w:t>
      </w:r>
    </w:p>
    <w:p>
      <w:pPr>
        <w:rPr>
          <w:rFonts w:ascii="宋体" w:hAnsi="宋体"/>
          <w:kern w:val="0"/>
          <w:sz w:val="28"/>
          <w:szCs w:val="28"/>
        </w:rPr>
      </w:pPr>
    </w:p>
    <w:p>
      <w:pPr>
        <w:jc w:val="center"/>
        <w:rPr>
          <w:rFonts w:ascii="宋体" w:hAnsi="宋体"/>
          <w:kern w:val="0"/>
          <w:sz w:val="28"/>
          <w:szCs w:val="28"/>
        </w:rPr>
      </w:pPr>
      <w:r>
        <w:rPr>
          <w:rFonts w:ascii="宋体" w:hAnsi="宋体"/>
          <w:kern w:val="0"/>
          <w:sz w:val="28"/>
          <w:szCs w:val="28"/>
        </w:rPr>
        <w:t>年</w:t>
      </w: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 xml:space="preserve"> </w:t>
      </w:r>
      <w:r>
        <w:rPr>
          <w:rFonts w:ascii="宋体" w:hAnsi="宋体"/>
          <w:kern w:val="0"/>
          <w:sz w:val="28"/>
          <w:szCs w:val="28"/>
        </w:rPr>
        <w:t>月</w:t>
      </w:r>
    </w:p>
    <w:p>
      <w:pPr>
        <w:spacing w:line="360" w:lineRule="auto"/>
        <w:jc w:val="left"/>
        <w:rPr>
          <w:rFonts w:ascii="宋体" w:hAnsi="宋体"/>
          <w:kern w:val="0"/>
          <w:szCs w:val="21"/>
        </w:rPr>
      </w:pPr>
      <w:r>
        <w:rPr>
          <w:rFonts w:ascii="宋体" w:hAnsi="宋体"/>
          <w:kern w:val="0"/>
          <w:sz w:val="28"/>
          <w:szCs w:val="28"/>
        </w:rPr>
        <w:br w:type="page"/>
      </w:r>
      <w:r>
        <w:rPr>
          <w:rFonts w:ascii="宋体" w:hAnsi="宋体"/>
          <w:kern w:val="0"/>
          <w:szCs w:val="21"/>
        </w:rPr>
        <w:t xml:space="preserve"> </w:t>
      </w:r>
      <w:r>
        <w:rPr>
          <w:rFonts w:hint="eastAsia" w:ascii="宋体" w:hAnsi="宋体"/>
          <w:kern w:val="0"/>
          <w:szCs w:val="21"/>
        </w:rPr>
        <w:t>（二）技术文件内容格式</w:t>
      </w:r>
    </w:p>
    <w:p>
      <w:pPr>
        <w:spacing w:line="360" w:lineRule="auto"/>
        <w:ind w:firstLine="420" w:firstLineChars="200"/>
        <w:jc w:val="left"/>
        <w:rPr>
          <w:rFonts w:ascii="宋体" w:hAnsi="宋体"/>
          <w:kern w:val="0"/>
          <w:szCs w:val="21"/>
        </w:rPr>
      </w:pPr>
      <w:r>
        <w:rPr>
          <w:rFonts w:hint="eastAsia" w:ascii="宋体" w:hAnsi="宋体"/>
          <w:kern w:val="0"/>
          <w:szCs w:val="21"/>
        </w:rPr>
        <w:t>投标人可根据以下内容和顺序编排投标文件：</w:t>
      </w:r>
    </w:p>
    <w:p>
      <w:pPr>
        <w:spacing w:line="360" w:lineRule="auto"/>
        <w:ind w:firstLine="420" w:firstLineChars="200"/>
        <w:jc w:val="left"/>
        <w:rPr>
          <w:rFonts w:ascii="宋体" w:hAnsi="宋体"/>
          <w:kern w:val="0"/>
          <w:szCs w:val="21"/>
        </w:rPr>
      </w:pPr>
      <w:r>
        <w:rPr>
          <w:rFonts w:hint="eastAsia" w:ascii="宋体" w:hAnsi="宋体"/>
          <w:kern w:val="0"/>
          <w:szCs w:val="21"/>
        </w:rPr>
        <w:t>1.拟投入人员情况：</w:t>
      </w:r>
      <w:r>
        <w:rPr>
          <w:rFonts w:hint="eastAsia" w:ascii="宋体" w:hAnsi="宋体"/>
          <w:bCs/>
          <w:szCs w:val="21"/>
        </w:rPr>
        <w:t>投标人组织机构框图（详见格式C1）、</w:t>
      </w:r>
      <w:r>
        <w:rPr>
          <w:rFonts w:hint="eastAsia" w:ascii="宋体" w:hAnsi="宋体" w:cs="宋体"/>
          <w:kern w:val="0"/>
          <w:szCs w:val="21"/>
        </w:rPr>
        <w:t>项目负责人资历</w:t>
      </w:r>
      <w:r>
        <w:rPr>
          <w:rFonts w:hint="eastAsia" w:ascii="宋体" w:hAnsi="宋体"/>
          <w:bCs/>
          <w:szCs w:val="21"/>
        </w:rPr>
        <w:t>（详见格式C2）</w:t>
      </w:r>
      <w:r>
        <w:rPr>
          <w:rFonts w:hint="eastAsia" w:ascii="宋体" w:hAnsi="宋体"/>
          <w:kern w:val="0"/>
          <w:szCs w:val="21"/>
        </w:rPr>
        <w:t>；</w:t>
      </w:r>
      <w:r>
        <w:rPr>
          <w:rFonts w:hint="eastAsia" w:ascii="宋体" w:hAnsi="宋体"/>
          <w:bCs/>
          <w:szCs w:val="21"/>
        </w:rPr>
        <w:t>项目实施人员一览表（详见格式C3），提供相关证明材料</w:t>
      </w:r>
      <w:r>
        <w:rPr>
          <w:rFonts w:hint="eastAsia" w:ascii="宋体" w:hAnsi="宋体"/>
          <w:kern w:val="0"/>
          <w:szCs w:val="21"/>
        </w:rPr>
        <w:t>；</w:t>
      </w:r>
    </w:p>
    <w:p>
      <w:pPr>
        <w:spacing w:line="360" w:lineRule="auto"/>
        <w:ind w:firstLine="420" w:firstLineChars="200"/>
        <w:jc w:val="left"/>
        <w:rPr>
          <w:rFonts w:ascii="宋体" w:hAnsi="宋体"/>
          <w:kern w:val="0"/>
          <w:szCs w:val="21"/>
        </w:rPr>
      </w:pPr>
      <w:r>
        <w:rPr>
          <w:rFonts w:ascii="宋体" w:hAnsi="宋体"/>
          <w:kern w:val="0"/>
          <w:szCs w:val="21"/>
        </w:rPr>
        <w:t>2</w:t>
      </w:r>
      <w:r>
        <w:rPr>
          <w:rFonts w:hint="eastAsia" w:ascii="宋体" w:hAnsi="宋体"/>
          <w:kern w:val="0"/>
          <w:szCs w:val="21"/>
        </w:rPr>
        <w:t>.技术条款响应表（详见格式</w:t>
      </w:r>
      <w:r>
        <w:rPr>
          <w:rFonts w:ascii="宋体" w:hAnsi="宋体"/>
          <w:kern w:val="0"/>
          <w:szCs w:val="21"/>
        </w:rPr>
        <w:t>C</w:t>
      </w:r>
      <w:r>
        <w:rPr>
          <w:rFonts w:hint="eastAsia" w:ascii="宋体" w:hAnsi="宋体"/>
          <w:kern w:val="0"/>
          <w:szCs w:val="21"/>
        </w:rPr>
        <w:t>4）；</w:t>
      </w:r>
    </w:p>
    <w:p>
      <w:pPr>
        <w:spacing w:line="360" w:lineRule="auto"/>
        <w:ind w:firstLine="420" w:firstLineChars="200"/>
        <w:jc w:val="left"/>
        <w:rPr>
          <w:rFonts w:ascii="宋体" w:hAnsi="宋体"/>
          <w:kern w:val="0"/>
          <w:szCs w:val="21"/>
        </w:rPr>
      </w:pPr>
      <w:r>
        <w:rPr>
          <w:rFonts w:ascii="宋体" w:hAnsi="宋体"/>
          <w:kern w:val="0"/>
          <w:szCs w:val="21"/>
        </w:rPr>
        <w:t>3</w:t>
      </w:r>
      <w:r>
        <w:rPr>
          <w:rFonts w:hint="eastAsia" w:ascii="宋体" w:hAnsi="宋体"/>
          <w:kern w:val="0"/>
          <w:szCs w:val="21"/>
        </w:rPr>
        <w:t>.整体建设方案</w:t>
      </w:r>
      <w:r>
        <w:rPr>
          <w:rFonts w:hint="eastAsia" w:ascii="宋体" w:hAnsi="宋体"/>
          <w:bCs/>
          <w:kern w:val="0"/>
          <w:szCs w:val="21"/>
        </w:rPr>
        <w:t>（格式自拟）</w:t>
      </w:r>
      <w:r>
        <w:rPr>
          <w:rFonts w:hint="eastAsia" w:ascii="宋体" w:hAnsi="宋体"/>
          <w:kern w:val="0"/>
          <w:szCs w:val="21"/>
        </w:rPr>
        <w:t>；需包含租售一体化方案</w:t>
      </w:r>
      <w:r>
        <w:rPr>
          <w:rFonts w:hint="eastAsia" w:ascii="宋体" w:hAnsi="宋体" w:cs="宋体"/>
          <w:kern w:val="0"/>
          <w:szCs w:val="21"/>
        </w:rPr>
        <w:t>（包括：思路、流程、功能说明、效果四个方面内容）</w:t>
      </w:r>
      <w:r>
        <w:rPr>
          <w:rFonts w:hint="eastAsia" w:ascii="宋体" w:hAnsi="宋体"/>
          <w:kern w:val="0"/>
          <w:szCs w:val="21"/>
        </w:rPr>
        <w:t>。</w:t>
      </w:r>
    </w:p>
    <w:p>
      <w:pPr>
        <w:spacing w:line="360" w:lineRule="auto"/>
        <w:jc w:val="left"/>
        <w:rPr>
          <w:rFonts w:ascii="宋体" w:hAnsi="宋体"/>
          <w:kern w:val="0"/>
          <w:szCs w:val="21"/>
        </w:rPr>
      </w:pPr>
      <w:r>
        <w:rPr>
          <w:rFonts w:ascii="宋体" w:hAnsi="宋体"/>
          <w:kern w:val="0"/>
          <w:szCs w:val="21"/>
        </w:rPr>
        <w:t>4</w:t>
      </w:r>
      <w:r>
        <w:rPr>
          <w:rFonts w:hint="eastAsia" w:ascii="宋体" w:hAnsi="宋体"/>
          <w:kern w:val="0"/>
          <w:szCs w:val="21"/>
        </w:rPr>
        <w:t>.</w:t>
      </w:r>
      <w:r>
        <w:rPr>
          <w:rFonts w:hint="eastAsia" w:ascii="宋体" w:hAnsi="宋体" w:cs="宋体"/>
          <w:kern w:val="0"/>
          <w:szCs w:val="21"/>
        </w:rPr>
        <w:t>实施方案</w:t>
      </w:r>
      <w:r>
        <w:rPr>
          <w:rFonts w:hint="eastAsia" w:ascii="宋体" w:hAnsi="宋体"/>
          <w:bCs/>
          <w:kern w:val="0"/>
          <w:szCs w:val="21"/>
        </w:rPr>
        <w:t>（格式自拟）</w:t>
      </w:r>
      <w:r>
        <w:rPr>
          <w:rFonts w:hint="eastAsia" w:ascii="宋体" w:hAnsi="宋体"/>
          <w:kern w:val="0"/>
          <w:szCs w:val="21"/>
        </w:rPr>
        <w:t>；</w:t>
      </w:r>
    </w:p>
    <w:p>
      <w:pPr>
        <w:spacing w:line="360" w:lineRule="auto"/>
        <w:ind w:firstLine="420" w:firstLineChars="200"/>
        <w:jc w:val="left"/>
      </w:pPr>
      <w:r>
        <w:rPr>
          <w:rFonts w:hint="eastAsia" w:ascii="宋体" w:hAnsi="宋体"/>
          <w:kern w:val="0"/>
          <w:szCs w:val="21"/>
        </w:rPr>
        <w:t>5.售后服务方案</w:t>
      </w:r>
      <w:r>
        <w:rPr>
          <w:rFonts w:hint="eastAsia" w:ascii="宋体" w:hAnsi="宋体"/>
          <w:bCs/>
          <w:kern w:val="0"/>
          <w:szCs w:val="21"/>
        </w:rPr>
        <w:t>（格式自拟）</w:t>
      </w:r>
      <w:r>
        <w:rPr>
          <w:rFonts w:hint="eastAsia" w:ascii="宋体" w:hAnsi="宋体"/>
          <w:kern w:val="0"/>
          <w:szCs w:val="21"/>
        </w:rPr>
        <w:t>；</w:t>
      </w:r>
    </w:p>
    <w:p>
      <w:pPr>
        <w:spacing w:line="360" w:lineRule="auto"/>
        <w:ind w:firstLine="420" w:firstLineChars="200"/>
        <w:jc w:val="left"/>
        <w:rPr>
          <w:rFonts w:ascii="宋体" w:hAnsi="宋体"/>
          <w:kern w:val="0"/>
          <w:szCs w:val="21"/>
        </w:rPr>
      </w:pPr>
      <w:r>
        <w:rPr>
          <w:rFonts w:hint="eastAsia" w:ascii="宋体" w:hAnsi="宋体"/>
          <w:kern w:val="0"/>
          <w:szCs w:val="21"/>
        </w:rPr>
        <w:t>6.投标人认为需要提交的其他资料。</w:t>
      </w:r>
      <w:r>
        <w:rPr>
          <w:rFonts w:hint="eastAsia" w:ascii="宋体" w:hAnsi="宋体"/>
          <w:szCs w:val="21"/>
        </w:rPr>
        <w:t>（如有）</w:t>
      </w:r>
    </w:p>
    <w:p>
      <w:pPr>
        <w:pStyle w:val="4"/>
        <w:rPr>
          <w:rFonts w:ascii="宋体" w:hAnsi="宋体"/>
          <w:szCs w:val="21"/>
        </w:rPr>
      </w:pPr>
    </w:p>
    <w:p>
      <w:pPr>
        <w:keepNext/>
        <w:keepLines/>
        <w:spacing w:line="360" w:lineRule="auto"/>
        <w:jc w:val="left"/>
        <w:outlineLvl w:val="3"/>
        <w:rPr>
          <w:rFonts w:ascii="宋体" w:hAnsi="宋体"/>
          <w:b/>
          <w:szCs w:val="28"/>
        </w:rPr>
      </w:pPr>
      <w:r>
        <w:rPr>
          <w:rFonts w:ascii="宋体" w:hAnsi="宋体"/>
          <w:b/>
          <w:szCs w:val="28"/>
        </w:rPr>
        <w:br w:type="page"/>
      </w:r>
      <w:r>
        <w:rPr>
          <w:rFonts w:hint="eastAsia" w:ascii="宋体" w:hAnsi="宋体"/>
          <w:b/>
          <w:szCs w:val="28"/>
        </w:rPr>
        <w:t>格式C1：投标人</w:t>
      </w:r>
      <w:r>
        <w:rPr>
          <w:rFonts w:ascii="宋体" w:hAnsi="宋体"/>
          <w:b/>
          <w:szCs w:val="28"/>
        </w:rPr>
        <w:t>组织机构框图</w:t>
      </w:r>
      <w:r>
        <w:rPr>
          <w:rFonts w:hint="eastAsia" w:ascii="宋体" w:hAnsi="宋体"/>
          <w:b/>
          <w:szCs w:val="28"/>
        </w:rPr>
        <w:t>格式</w:t>
      </w:r>
    </w:p>
    <w:p>
      <w:pPr>
        <w:spacing w:line="480" w:lineRule="auto"/>
        <w:jc w:val="center"/>
        <w:rPr>
          <w:rFonts w:ascii="宋体" w:hAnsi="宋体"/>
          <w:b/>
          <w:bCs/>
          <w:kern w:val="0"/>
          <w:sz w:val="28"/>
          <w:szCs w:val="28"/>
        </w:rPr>
      </w:pPr>
      <w:r>
        <w:rPr>
          <w:rFonts w:hint="eastAsia" w:ascii="宋体" w:hAnsi="宋体"/>
          <w:b/>
          <w:bCs/>
          <w:kern w:val="0"/>
          <w:sz w:val="28"/>
          <w:szCs w:val="28"/>
        </w:rPr>
        <w:t>投标人</w:t>
      </w:r>
      <w:r>
        <w:rPr>
          <w:rFonts w:ascii="宋体" w:hAnsi="宋体"/>
          <w:b/>
          <w:bCs/>
          <w:kern w:val="0"/>
          <w:sz w:val="28"/>
          <w:szCs w:val="28"/>
        </w:rPr>
        <w:t>组织机构框图</w:t>
      </w:r>
    </w:p>
    <w:tbl>
      <w:tblPr>
        <w:tblStyle w:val="51"/>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607"/>
      </w:tblGrid>
      <w:tr>
        <w:trPr>
          <w:trHeight w:val="6964" w:hRule="atLeast"/>
          <w:jc w:val="center"/>
        </w:trPr>
        <w:tc>
          <w:tcPr>
            <w:tcW w:w="8607" w:type="dxa"/>
          </w:tcPr>
          <w:p>
            <w:pPr>
              <w:spacing w:line="360" w:lineRule="auto"/>
              <w:rPr>
                <w:rFonts w:ascii="宋体" w:hAnsi="宋体"/>
                <w:kern w:val="0"/>
                <w:szCs w:val="21"/>
              </w:rPr>
            </w:pPr>
          </w:p>
          <w:p>
            <w:pPr>
              <w:spacing w:line="360" w:lineRule="auto"/>
              <w:rPr>
                <w:rFonts w:ascii="宋体" w:hAnsi="宋体"/>
                <w:kern w:val="0"/>
                <w:szCs w:val="21"/>
              </w:rPr>
            </w:pPr>
          </w:p>
          <w:p>
            <w:pPr>
              <w:spacing w:line="360" w:lineRule="auto"/>
              <w:jc w:val="center"/>
              <w:rPr>
                <w:rFonts w:ascii="宋体" w:hAnsi="宋体"/>
                <w:kern w:val="0"/>
                <w:szCs w:val="21"/>
              </w:rPr>
            </w:pPr>
            <w:r>
              <w:rPr>
                <w:rFonts w:ascii="宋体" w:hAnsi="宋体"/>
                <w:kern w:val="0"/>
                <w:szCs w:val="21"/>
              </w:rPr>
              <w:t>（1）</w:t>
            </w:r>
            <w:r>
              <w:rPr>
                <w:rFonts w:hint="eastAsia" w:ascii="宋体" w:hAnsi="宋体"/>
                <w:kern w:val="0"/>
                <w:szCs w:val="21"/>
              </w:rPr>
              <w:t>母子公司关系框图</w:t>
            </w:r>
          </w:p>
          <w:p>
            <w:pPr>
              <w:spacing w:line="360" w:lineRule="auto"/>
              <w:jc w:val="center"/>
              <w:rPr>
                <w:rFonts w:ascii="宋体" w:hAnsi="宋体"/>
                <w:kern w:val="0"/>
                <w:szCs w:val="21"/>
              </w:rPr>
            </w:pPr>
          </w:p>
          <w:p>
            <w:pPr>
              <w:spacing w:line="360" w:lineRule="auto"/>
              <w:rPr>
                <w:rFonts w:ascii="宋体" w:hAnsi="宋体"/>
                <w:kern w:val="0"/>
                <w:szCs w:val="21"/>
              </w:rPr>
            </w:pPr>
          </w:p>
          <w:p>
            <w:pPr>
              <w:spacing w:line="360" w:lineRule="auto"/>
              <w:jc w:val="center"/>
              <w:rPr>
                <w:rFonts w:ascii="宋体" w:hAnsi="宋体"/>
                <w:kern w:val="0"/>
                <w:szCs w:val="21"/>
              </w:rPr>
            </w:pPr>
          </w:p>
          <w:p>
            <w:pPr>
              <w:spacing w:line="360" w:lineRule="auto"/>
              <w:jc w:val="center"/>
              <w:rPr>
                <w:rFonts w:ascii="宋体" w:hAnsi="宋体"/>
                <w:kern w:val="0"/>
                <w:szCs w:val="21"/>
              </w:rPr>
            </w:pPr>
            <w:r>
              <w:rPr>
                <w:rFonts w:ascii="宋体" w:hAnsi="宋体"/>
                <w:kern w:val="0"/>
                <w:szCs w:val="21"/>
              </w:rPr>
              <w:t>（</w:t>
            </w:r>
            <w:r>
              <w:rPr>
                <w:rFonts w:hint="eastAsia" w:ascii="宋体" w:hAnsi="宋体"/>
                <w:kern w:val="0"/>
                <w:szCs w:val="21"/>
              </w:rPr>
              <w:t>2</w:t>
            </w:r>
            <w:r>
              <w:rPr>
                <w:rFonts w:ascii="宋体" w:hAnsi="宋体"/>
                <w:kern w:val="0"/>
                <w:szCs w:val="21"/>
              </w:rPr>
              <w:t>）</w:t>
            </w:r>
            <w:r>
              <w:rPr>
                <w:rFonts w:hint="eastAsia" w:ascii="宋体" w:hAnsi="宋体"/>
                <w:kern w:val="0"/>
                <w:szCs w:val="21"/>
              </w:rPr>
              <w:t>公司</w:t>
            </w:r>
            <w:r>
              <w:rPr>
                <w:rFonts w:ascii="宋体" w:hAnsi="宋体"/>
                <w:kern w:val="0"/>
                <w:szCs w:val="21"/>
              </w:rPr>
              <w:t>组织机构框图</w:t>
            </w:r>
          </w:p>
          <w:p>
            <w:pPr>
              <w:spacing w:line="360" w:lineRule="auto"/>
              <w:jc w:val="center"/>
              <w:rPr>
                <w:rFonts w:ascii="宋体" w:hAnsi="宋体"/>
                <w:kern w:val="0"/>
                <w:szCs w:val="21"/>
              </w:rPr>
            </w:pPr>
          </w:p>
          <w:p>
            <w:pPr>
              <w:spacing w:line="360" w:lineRule="auto"/>
              <w:jc w:val="center"/>
              <w:rPr>
                <w:rFonts w:ascii="宋体" w:hAnsi="宋体"/>
                <w:kern w:val="0"/>
                <w:szCs w:val="21"/>
              </w:rPr>
            </w:pPr>
          </w:p>
          <w:p>
            <w:pPr>
              <w:spacing w:line="360" w:lineRule="auto"/>
              <w:jc w:val="center"/>
              <w:rPr>
                <w:rFonts w:ascii="宋体" w:hAnsi="宋体"/>
                <w:kern w:val="0"/>
                <w:szCs w:val="21"/>
              </w:rPr>
            </w:pPr>
          </w:p>
          <w:p>
            <w:pPr>
              <w:spacing w:line="360" w:lineRule="auto"/>
              <w:jc w:val="center"/>
              <w:rPr>
                <w:rFonts w:ascii="宋体" w:hAnsi="宋体"/>
                <w:kern w:val="0"/>
                <w:szCs w:val="21"/>
              </w:rPr>
            </w:pPr>
          </w:p>
          <w:p>
            <w:pPr>
              <w:spacing w:line="360" w:lineRule="auto"/>
              <w:jc w:val="center"/>
              <w:rPr>
                <w:rFonts w:ascii="宋体" w:hAnsi="宋体"/>
                <w:kern w:val="0"/>
                <w:szCs w:val="21"/>
              </w:rPr>
            </w:pPr>
          </w:p>
          <w:p>
            <w:pPr>
              <w:spacing w:line="360" w:lineRule="auto"/>
              <w:jc w:val="center"/>
              <w:rPr>
                <w:rFonts w:ascii="宋体" w:hAnsi="宋体"/>
                <w:kern w:val="0"/>
                <w:szCs w:val="21"/>
              </w:rPr>
            </w:pPr>
            <w:r>
              <w:rPr>
                <w:rFonts w:ascii="宋体" w:hAnsi="宋体"/>
                <w:kern w:val="0"/>
                <w:szCs w:val="21"/>
              </w:rPr>
              <w:t>（</w:t>
            </w:r>
            <w:r>
              <w:rPr>
                <w:rFonts w:hint="eastAsia" w:ascii="宋体" w:hAnsi="宋体"/>
                <w:kern w:val="0"/>
                <w:szCs w:val="21"/>
              </w:rPr>
              <w:t>3</w:t>
            </w:r>
            <w:r>
              <w:rPr>
                <w:rFonts w:ascii="宋体" w:hAnsi="宋体"/>
                <w:kern w:val="0"/>
                <w:szCs w:val="21"/>
              </w:rPr>
              <w:t>）项目组织机构图</w:t>
            </w:r>
          </w:p>
          <w:p>
            <w:pPr>
              <w:spacing w:line="360" w:lineRule="auto"/>
              <w:rPr>
                <w:rFonts w:ascii="宋体" w:hAnsi="宋体"/>
                <w:kern w:val="0"/>
                <w:szCs w:val="21"/>
              </w:rPr>
            </w:pPr>
          </w:p>
          <w:p>
            <w:pPr>
              <w:spacing w:line="360" w:lineRule="auto"/>
              <w:jc w:val="center"/>
              <w:rPr>
                <w:rFonts w:ascii="宋体" w:hAnsi="宋体"/>
                <w:kern w:val="0"/>
                <w:szCs w:val="21"/>
              </w:rPr>
            </w:pPr>
          </w:p>
        </w:tc>
      </w:tr>
    </w:tbl>
    <w:p>
      <w:pPr>
        <w:spacing w:line="360" w:lineRule="auto"/>
        <w:rPr>
          <w:rFonts w:ascii="宋体" w:hAnsi="宋体"/>
          <w:kern w:val="0"/>
          <w:sz w:val="24"/>
        </w:rPr>
      </w:pPr>
    </w:p>
    <w:p>
      <w:pPr>
        <w:spacing w:before="120" w:beforeLines="50" w:line="360" w:lineRule="auto"/>
        <w:ind w:left="210" w:leftChars="100"/>
        <w:jc w:val="left"/>
        <w:rPr>
          <w:rFonts w:eastAsia="Times New Roman"/>
          <w:kern w:val="0"/>
          <w:sz w:val="24"/>
        </w:rPr>
      </w:pPr>
      <w:r>
        <w:rPr>
          <w:rFonts w:hint="eastAsia" w:cs="宋体"/>
          <w:lang w:bidi="ar"/>
        </w:rPr>
        <w:t>投标人：（公章）</w:t>
      </w:r>
      <w:r>
        <w:rPr>
          <w:lang w:bidi="ar"/>
        </w:rPr>
        <w:t xml:space="preserve"> </w:t>
      </w:r>
    </w:p>
    <w:p>
      <w:pPr>
        <w:spacing w:before="120" w:beforeLines="50" w:line="360" w:lineRule="auto"/>
        <w:ind w:left="210" w:leftChars="100"/>
        <w:jc w:val="left"/>
        <w:rPr>
          <w:rFonts w:eastAsia="Times New Roman"/>
          <w:kern w:val="0"/>
          <w:sz w:val="24"/>
        </w:rPr>
      </w:pPr>
      <w:r>
        <w:rPr>
          <w:rFonts w:hint="eastAsia" w:cs="宋体"/>
          <w:lang w:bidi="ar"/>
        </w:rPr>
        <w:t>法定代表人或其委托代理人：（签字或盖章）</w:t>
      </w:r>
    </w:p>
    <w:p>
      <w:pPr>
        <w:spacing w:before="120" w:beforeLines="50" w:line="360" w:lineRule="auto"/>
        <w:ind w:left="210" w:leftChars="100"/>
        <w:jc w:val="left"/>
        <w:rPr>
          <w:kern w:val="0"/>
          <w:sz w:val="24"/>
        </w:rPr>
      </w:pPr>
      <w:r>
        <w:rPr>
          <w:rFonts w:hint="eastAsia" w:cs="宋体"/>
          <w:lang w:bidi="ar"/>
        </w:rPr>
        <w:t>日</w:t>
      </w:r>
      <w:r>
        <w:rPr>
          <w:lang w:bidi="ar"/>
        </w:rPr>
        <w:t xml:space="preserve">    </w:t>
      </w:r>
      <w:r>
        <w:rPr>
          <w:rFonts w:hint="eastAsia" w:cs="宋体"/>
          <w:lang w:bidi="ar"/>
        </w:rPr>
        <w:t>期：</w:t>
      </w:r>
    </w:p>
    <w:p>
      <w:pPr>
        <w:keepNext/>
        <w:keepLines/>
        <w:widowControl/>
        <w:spacing w:line="360" w:lineRule="auto"/>
        <w:jc w:val="left"/>
        <w:outlineLvl w:val="3"/>
        <w:rPr>
          <w:rFonts w:ascii="宋体" w:hAnsi="宋体" w:cs="宋体"/>
          <w:b/>
          <w:bCs/>
          <w:szCs w:val="21"/>
        </w:rPr>
      </w:pPr>
      <w:r>
        <w:rPr>
          <w:rFonts w:ascii="宋体" w:hAnsi="宋体"/>
          <w:b/>
          <w:szCs w:val="28"/>
        </w:rPr>
        <w:br w:type="page"/>
      </w:r>
      <w:r>
        <w:rPr>
          <w:rFonts w:hint="eastAsia" w:ascii="宋体" w:hAnsi="宋体"/>
          <w:b/>
          <w:szCs w:val="28"/>
        </w:rPr>
        <w:t>格式C2：</w:t>
      </w:r>
      <w:r>
        <w:rPr>
          <w:rFonts w:hint="eastAsia" w:ascii="宋体" w:hAnsi="宋体" w:cs="宋体"/>
          <w:b/>
          <w:bCs/>
          <w:szCs w:val="21"/>
        </w:rPr>
        <w:t>项目负责人简历表格式</w:t>
      </w:r>
    </w:p>
    <w:p>
      <w:pPr>
        <w:spacing w:before="120" w:beforeLines="50" w:line="360" w:lineRule="auto"/>
        <w:ind w:left="709" w:right="-57" w:rightChars="-27" w:hanging="709"/>
        <w:jc w:val="center"/>
        <w:rPr>
          <w:rFonts w:eastAsia="Times New Roman"/>
          <w:b/>
          <w:spacing w:val="20"/>
          <w:kern w:val="0"/>
          <w:sz w:val="24"/>
        </w:rPr>
      </w:pPr>
      <w:r>
        <w:rPr>
          <w:rFonts w:hint="eastAsia" w:cs="宋体"/>
          <w:b/>
          <w:spacing w:val="20"/>
          <w:sz w:val="24"/>
          <w:lang w:bidi="ar"/>
        </w:rPr>
        <w:t>项目负责人简历表</w:t>
      </w:r>
    </w:p>
    <w:p>
      <w:pPr>
        <w:spacing w:before="120" w:beforeLines="50" w:line="360" w:lineRule="auto"/>
        <w:ind w:left="709" w:right="-57" w:rightChars="-27" w:hanging="709"/>
        <w:rPr>
          <w:rFonts w:eastAsia="Times New Roman"/>
          <w:b/>
          <w:kern w:val="0"/>
          <w:sz w:val="24"/>
          <w:szCs w:val="21"/>
        </w:rPr>
      </w:pPr>
      <w:r>
        <w:rPr>
          <w:rFonts w:hint="eastAsia" w:cs="宋体"/>
          <w:szCs w:val="21"/>
          <w:lang w:bidi="ar"/>
        </w:rPr>
        <w:t>项目名称：</w:t>
      </w:r>
    </w:p>
    <w:tbl>
      <w:tblPr>
        <w:tblStyle w:val="51"/>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605"/>
        <w:gridCol w:w="75"/>
        <w:gridCol w:w="203"/>
        <w:gridCol w:w="840"/>
        <w:gridCol w:w="537"/>
        <w:gridCol w:w="1143"/>
        <w:gridCol w:w="417"/>
        <w:gridCol w:w="1065"/>
        <w:gridCol w:w="384"/>
        <w:gridCol w:w="1184"/>
      </w:tblGrid>
      <w:tr>
        <w:trPr>
          <w:trHeight w:val="600" w:hRule="atLeast"/>
        </w:trPr>
        <w:tc>
          <w:tcPr>
            <w:tcW w:w="1300" w:type="dxa"/>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姓名</w:t>
            </w:r>
          </w:p>
        </w:tc>
        <w:tc>
          <w:tcPr>
            <w:tcW w:w="1883"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840" w:type="dxa"/>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性别</w:t>
            </w: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73" w:type="dxa"/>
            <w:gridSpan w:val="2"/>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年龄</w:t>
            </w:r>
          </w:p>
        </w:tc>
        <w:tc>
          <w:tcPr>
            <w:tcW w:w="1568"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23" w:hRule="atLeast"/>
        </w:trPr>
        <w:tc>
          <w:tcPr>
            <w:tcW w:w="1300" w:type="dxa"/>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职务</w:t>
            </w:r>
          </w:p>
        </w:tc>
        <w:tc>
          <w:tcPr>
            <w:tcW w:w="1883"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840" w:type="dxa"/>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职称</w:t>
            </w: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73" w:type="dxa"/>
            <w:gridSpan w:val="2"/>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学历</w:t>
            </w:r>
          </w:p>
        </w:tc>
        <w:tc>
          <w:tcPr>
            <w:tcW w:w="1568"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00" w:hRule="atLeast"/>
        </w:trPr>
        <w:tc>
          <w:tcPr>
            <w:tcW w:w="2923" w:type="dxa"/>
            <w:gridSpan w:val="2"/>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参加工作时间</w:t>
            </w:r>
          </w:p>
        </w:tc>
        <w:tc>
          <w:tcPr>
            <w:tcW w:w="1640" w:type="dxa"/>
            <w:gridSpan w:val="4"/>
            <w:vAlign w:val="center"/>
          </w:tcPr>
          <w:p>
            <w:pPr>
              <w:tabs>
                <w:tab w:val="left" w:pos="540"/>
              </w:tabs>
              <w:spacing w:before="120" w:beforeLines="50"/>
              <w:ind w:left="709" w:right="-57" w:rightChars="-27" w:hanging="709"/>
              <w:jc w:val="center"/>
              <w:rPr>
                <w:rFonts w:eastAsia="Times New Roman"/>
                <w:kern w:val="0"/>
                <w:sz w:val="24"/>
                <w:szCs w:val="21"/>
              </w:rPr>
            </w:pPr>
          </w:p>
        </w:tc>
        <w:tc>
          <w:tcPr>
            <w:tcW w:w="2625" w:type="dxa"/>
            <w:gridSpan w:val="3"/>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担任项目负责人年限</w:t>
            </w:r>
          </w:p>
        </w:tc>
        <w:tc>
          <w:tcPr>
            <w:tcW w:w="1556"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20" w:hRule="atLeast"/>
        </w:trPr>
        <w:tc>
          <w:tcPr>
            <w:tcW w:w="8744" w:type="dxa"/>
            <w:gridSpan w:val="11"/>
            <w:vAlign w:val="center"/>
          </w:tcPr>
          <w:p>
            <w:pPr>
              <w:tabs>
                <w:tab w:val="left" w:pos="540"/>
              </w:tabs>
              <w:spacing w:before="120" w:beforeLines="50"/>
              <w:ind w:left="709" w:right="-57" w:rightChars="-27" w:hanging="709"/>
              <w:jc w:val="center"/>
              <w:rPr>
                <w:rFonts w:eastAsia="Times New Roman"/>
                <w:kern w:val="0"/>
                <w:sz w:val="24"/>
                <w:szCs w:val="21"/>
              </w:rPr>
            </w:pPr>
            <w:r>
              <w:rPr>
                <w:rFonts w:hint="eastAsia" w:cs="宋体"/>
                <w:szCs w:val="21"/>
                <w:lang w:bidi="ar"/>
              </w:rPr>
              <w:t>完成类似项目情况</w:t>
            </w:r>
          </w:p>
        </w:tc>
      </w:tr>
      <w:tr>
        <w:trPr>
          <w:trHeight w:val="600" w:hRule="atLeast"/>
        </w:trPr>
        <w:tc>
          <w:tcPr>
            <w:tcW w:w="1318" w:type="dxa"/>
            <w:vAlign w:val="center"/>
          </w:tcPr>
          <w:p>
            <w:pPr>
              <w:tabs>
                <w:tab w:val="left" w:pos="540"/>
              </w:tabs>
              <w:jc w:val="center"/>
              <w:rPr>
                <w:rFonts w:eastAsia="Times New Roman"/>
                <w:kern w:val="0"/>
                <w:szCs w:val="21"/>
              </w:rPr>
            </w:pPr>
            <w:r>
              <w:rPr>
                <w:rFonts w:hint="eastAsia" w:cs="宋体"/>
                <w:szCs w:val="21"/>
                <w:lang w:bidi="ar"/>
              </w:rPr>
              <w:t>建设单位</w:t>
            </w:r>
          </w:p>
        </w:tc>
        <w:tc>
          <w:tcPr>
            <w:tcW w:w="1680" w:type="dxa"/>
            <w:gridSpan w:val="2"/>
            <w:vAlign w:val="center"/>
          </w:tcPr>
          <w:p>
            <w:pPr>
              <w:tabs>
                <w:tab w:val="left" w:pos="540"/>
              </w:tabs>
              <w:jc w:val="center"/>
              <w:rPr>
                <w:rFonts w:eastAsia="Times New Roman"/>
                <w:kern w:val="0"/>
                <w:szCs w:val="21"/>
              </w:rPr>
            </w:pPr>
            <w:r>
              <w:rPr>
                <w:rFonts w:hint="eastAsia" w:cs="宋体"/>
                <w:szCs w:val="21"/>
                <w:lang w:bidi="ar"/>
              </w:rPr>
              <w:t>项目名称</w:t>
            </w:r>
          </w:p>
        </w:tc>
        <w:tc>
          <w:tcPr>
            <w:tcW w:w="1580" w:type="dxa"/>
            <w:gridSpan w:val="3"/>
            <w:vAlign w:val="center"/>
          </w:tcPr>
          <w:p>
            <w:pPr>
              <w:tabs>
                <w:tab w:val="left" w:pos="540"/>
              </w:tabs>
              <w:jc w:val="center"/>
              <w:rPr>
                <w:rFonts w:eastAsia="Times New Roman"/>
                <w:kern w:val="0"/>
                <w:szCs w:val="21"/>
              </w:rPr>
            </w:pPr>
            <w:r>
              <w:rPr>
                <w:rFonts w:hint="eastAsia" w:cs="宋体"/>
                <w:szCs w:val="21"/>
                <w:lang w:bidi="ar"/>
              </w:rPr>
              <w:t>合同金额</w:t>
            </w:r>
          </w:p>
        </w:tc>
        <w:tc>
          <w:tcPr>
            <w:tcW w:w="1560" w:type="dxa"/>
            <w:gridSpan w:val="2"/>
            <w:vAlign w:val="center"/>
          </w:tcPr>
          <w:p>
            <w:pPr>
              <w:tabs>
                <w:tab w:val="left" w:pos="540"/>
              </w:tabs>
              <w:jc w:val="center"/>
              <w:rPr>
                <w:kern w:val="0"/>
                <w:szCs w:val="21"/>
              </w:rPr>
            </w:pPr>
            <w:r>
              <w:rPr>
                <w:rFonts w:hint="eastAsia"/>
                <w:kern w:val="0"/>
                <w:szCs w:val="21"/>
              </w:rPr>
              <w:t>合同服务期</w:t>
            </w:r>
          </w:p>
        </w:tc>
        <w:tc>
          <w:tcPr>
            <w:tcW w:w="1449" w:type="dxa"/>
            <w:gridSpan w:val="2"/>
            <w:vAlign w:val="center"/>
          </w:tcPr>
          <w:p>
            <w:pPr>
              <w:tabs>
                <w:tab w:val="left" w:pos="540"/>
              </w:tabs>
              <w:jc w:val="center"/>
              <w:rPr>
                <w:kern w:val="0"/>
                <w:szCs w:val="21"/>
              </w:rPr>
            </w:pPr>
            <w:r>
              <w:rPr>
                <w:rFonts w:hint="eastAsia"/>
                <w:kern w:val="0"/>
                <w:szCs w:val="21"/>
              </w:rPr>
              <w:t>担任的职位</w:t>
            </w:r>
          </w:p>
        </w:tc>
        <w:tc>
          <w:tcPr>
            <w:tcW w:w="1157" w:type="dxa"/>
            <w:vAlign w:val="center"/>
          </w:tcPr>
          <w:p>
            <w:pPr>
              <w:tabs>
                <w:tab w:val="left" w:pos="540"/>
              </w:tabs>
              <w:jc w:val="center"/>
              <w:rPr>
                <w:kern w:val="0"/>
                <w:szCs w:val="21"/>
              </w:rPr>
            </w:pPr>
            <w:r>
              <w:rPr>
                <w:rFonts w:hint="eastAsia" w:cs="宋体"/>
                <w:szCs w:val="21"/>
                <w:lang w:bidi="ar"/>
              </w:rPr>
              <w:t>联系方式</w:t>
            </w: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r>
        <w:trPr>
          <w:trHeight w:val="616" w:hRule="atLeast"/>
        </w:trPr>
        <w:tc>
          <w:tcPr>
            <w:tcW w:w="1318" w:type="dxa"/>
            <w:vAlign w:val="center"/>
          </w:tcPr>
          <w:p>
            <w:pPr>
              <w:tabs>
                <w:tab w:val="left" w:pos="540"/>
              </w:tabs>
              <w:spacing w:before="120" w:beforeLines="50"/>
              <w:ind w:left="709" w:right="-57" w:rightChars="-27" w:hanging="709"/>
              <w:jc w:val="center"/>
              <w:rPr>
                <w:rFonts w:eastAsia="Times New Roman"/>
                <w:kern w:val="0"/>
                <w:sz w:val="24"/>
                <w:szCs w:val="21"/>
              </w:rPr>
            </w:pPr>
          </w:p>
        </w:tc>
        <w:tc>
          <w:tcPr>
            <w:tcW w:w="168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580" w:type="dxa"/>
            <w:gridSpan w:val="3"/>
            <w:vAlign w:val="center"/>
          </w:tcPr>
          <w:p>
            <w:pPr>
              <w:tabs>
                <w:tab w:val="left" w:pos="540"/>
              </w:tabs>
              <w:spacing w:before="120" w:beforeLines="50"/>
              <w:ind w:left="709" w:right="-57" w:rightChars="-27" w:hanging="709"/>
              <w:jc w:val="center"/>
              <w:rPr>
                <w:rFonts w:eastAsia="Times New Roman"/>
                <w:kern w:val="0"/>
                <w:sz w:val="24"/>
                <w:szCs w:val="21"/>
              </w:rPr>
            </w:pPr>
          </w:p>
        </w:tc>
        <w:tc>
          <w:tcPr>
            <w:tcW w:w="1560"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449" w:type="dxa"/>
            <w:gridSpan w:val="2"/>
            <w:vAlign w:val="center"/>
          </w:tcPr>
          <w:p>
            <w:pPr>
              <w:tabs>
                <w:tab w:val="left" w:pos="540"/>
              </w:tabs>
              <w:spacing w:before="120" w:beforeLines="50"/>
              <w:ind w:left="709" w:right="-57" w:rightChars="-27" w:hanging="709"/>
              <w:jc w:val="center"/>
              <w:rPr>
                <w:rFonts w:eastAsia="Times New Roman"/>
                <w:kern w:val="0"/>
                <w:sz w:val="24"/>
                <w:szCs w:val="21"/>
              </w:rPr>
            </w:pPr>
          </w:p>
        </w:tc>
        <w:tc>
          <w:tcPr>
            <w:tcW w:w="1157" w:type="dxa"/>
            <w:vAlign w:val="center"/>
          </w:tcPr>
          <w:p>
            <w:pPr>
              <w:tabs>
                <w:tab w:val="left" w:pos="540"/>
              </w:tabs>
              <w:spacing w:before="120" w:beforeLines="50"/>
              <w:ind w:left="709" w:right="-57" w:rightChars="-27" w:hanging="709"/>
              <w:jc w:val="center"/>
              <w:rPr>
                <w:rFonts w:eastAsia="Times New Roman"/>
                <w:kern w:val="0"/>
                <w:sz w:val="24"/>
                <w:szCs w:val="21"/>
              </w:rPr>
            </w:pPr>
          </w:p>
        </w:tc>
      </w:tr>
    </w:tbl>
    <w:p>
      <w:pPr>
        <w:spacing w:before="120" w:beforeLines="50" w:line="360" w:lineRule="auto"/>
        <w:ind w:left="755" w:leftChars="23" w:right="-57" w:rightChars="-27" w:hanging="707" w:hangingChars="337"/>
        <w:jc w:val="left"/>
        <w:rPr>
          <w:rFonts w:eastAsia="Times New Roman"/>
          <w:kern w:val="0"/>
          <w:sz w:val="24"/>
          <w:szCs w:val="21"/>
        </w:rPr>
      </w:pPr>
      <w:r>
        <w:rPr>
          <w:rFonts w:hint="eastAsia" w:cs="宋体"/>
          <w:szCs w:val="18"/>
          <w:lang w:bidi="ar"/>
        </w:rPr>
        <w:t>注：</w:t>
      </w:r>
      <w:r>
        <w:rPr>
          <w:rFonts w:hint="eastAsia" w:cs="宋体"/>
          <w:szCs w:val="21"/>
          <w:lang w:bidi="ar"/>
        </w:rPr>
        <w:t>此表应后附招标文件要求提供的相应证明文件。</w:t>
      </w:r>
    </w:p>
    <w:p>
      <w:pPr>
        <w:spacing w:before="120" w:beforeLines="50" w:line="360" w:lineRule="auto"/>
        <w:ind w:left="-103" w:leftChars="-49" w:right="-57" w:rightChars="-27" w:firstLine="15"/>
        <w:rPr>
          <w:rFonts w:eastAsia="Times New Roman"/>
          <w:kern w:val="0"/>
          <w:sz w:val="24"/>
        </w:rPr>
      </w:pPr>
      <w:r>
        <w:rPr>
          <w:rFonts w:hint="eastAsia" w:cs="宋体"/>
          <w:lang w:bidi="ar"/>
        </w:rPr>
        <w:t>投标人：（公章）</w:t>
      </w:r>
      <w:r>
        <w:rPr>
          <w:lang w:bidi="ar"/>
        </w:rPr>
        <w:t xml:space="preserve"> </w:t>
      </w:r>
    </w:p>
    <w:p>
      <w:pPr>
        <w:spacing w:before="120" w:beforeLines="50" w:line="360" w:lineRule="auto"/>
        <w:ind w:left="606" w:leftChars="-49" w:right="-57" w:rightChars="-27" w:hanging="709"/>
        <w:rPr>
          <w:rFonts w:eastAsia="Times New Roman"/>
          <w:kern w:val="0"/>
          <w:sz w:val="24"/>
        </w:rPr>
      </w:pPr>
      <w:r>
        <w:rPr>
          <w:rFonts w:hint="eastAsia" w:cs="宋体"/>
          <w:lang w:bidi="ar"/>
        </w:rPr>
        <w:t>法定代表人或其委托代理人：（签字或盖章）</w:t>
      </w:r>
    </w:p>
    <w:p>
      <w:pPr>
        <w:spacing w:before="120" w:beforeLines="50" w:line="360" w:lineRule="auto"/>
        <w:ind w:left="606" w:leftChars="-49" w:right="-57" w:rightChars="-27" w:hanging="709"/>
        <w:rPr>
          <w:rFonts w:eastAsia="Times New Roman"/>
          <w:kern w:val="0"/>
          <w:sz w:val="24"/>
        </w:rPr>
      </w:pPr>
      <w:r>
        <w:rPr>
          <w:rFonts w:hint="eastAsia" w:cs="宋体"/>
          <w:lang w:bidi="ar"/>
        </w:rPr>
        <w:t>日</w:t>
      </w:r>
      <w:r>
        <w:rPr>
          <w:lang w:bidi="ar"/>
        </w:rPr>
        <w:t xml:space="preserve">    </w:t>
      </w:r>
      <w:r>
        <w:rPr>
          <w:rFonts w:hint="eastAsia" w:cs="宋体"/>
          <w:lang w:bidi="ar"/>
        </w:rPr>
        <w:t>期：</w:t>
      </w:r>
    </w:p>
    <w:p>
      <w:pPr>
        <w:keepNext/>
        <w:keepLines/>
        <w:spacing w:line="360" w:lineRule="auto"/>
        <w:jc w:val="left"/>
        <w:outlineLvl w:val="3"/>
        <w:rPr>
          <w:rFonts w:ascii="宋体" w:hAnsi="宋体"/>
          <w:b/>
          <w:szCs w:val="28"/>
        </w:rPr>
        <w:sectPr>
          <w:headerReference r:id="rId15" w:type="default"/>
          <w:pgSz w:w="11906" w:h="16838"/>
          <w:pgMar w:top="1440" w:right="1417" w:bottom="1440" w:left="1440" w:header="567" w:footer="590" w:gutter="0"/>
          <w:cols w:space="720" w:num="1"/>
          <w:docGrid w:linePitch="312" w:charSpace="0"/>
        </w:sectPr>
      </w:pPr>
    </w:p>
    <w:p>
      <w:pPr>
        <w:keepNext/>
        <w:keepLines/>
        <w:widowControl/>
        <w:spacing w:line="360" w:lineRule="auto"/>
        <w:jc w:val="left"/>
        <w:outlineLvl w:val="3"/>
        <w:rPr>
          <w:rFonts w:ascii="宋体" w:hAnsi="宋体"/>
          <w:b/>
          <w:szCs w:val="21"/>
        </w:rPr>
      </w:pPr>
      <w:r>
        <w:rPr>
          <w:rFonts w:hint="eastAsia" w:ascii="宋体" w:hAnsi="宋体"/>
          <w:b/>
          <w:szCs w:val="28"/>
        </w:rPr>
        <w:t>格式C3：项目实施人员一览表格式</w:t>
      </w:r>
    </w:p>
    <w:p>
      <w:pPr>
        <w:spacing w:before="240" w:beforeLines="100" w:after="240" w:afterLines="100" w:line="320" w:lineRule="exact"/>
        <w:jc w:val="center"/>
        <w:rPr>
          <w:rFonts w:ascii="宋体" w:hAnsi="宋体"/>
          <w:b/>
          <w:szCs w:val="21"/>
        </w:rPr>
      </w:pPr>
      <w:r>
        <w:rPr>
          <w:rFonts w:hint="eastAsia" w:ascii="宋体" w:hAnsi="宋体"/>
          <w:b/>
          <w:szCs w:val="28"/>
        </w:rPr>
        <w:t>项目实施人员一览表</w:t>
      </w:r>
    </w:p>
    <w:p>
      <w:pPr>
        <w:spacing w:before="120" w:beforeLines="50" w:line="360" w:lineRule="auto"/>
        <w:ind w:left="709" w:right="-57" w:rightChars="-27" w:hanging="709"/>
        <w:rPr>
          <w:rFonts w:eastAsia="Times New Roman"/>
          <w:b/>
          <w:kern w:val="0"/>
          <w:sz w:val="24"/>
          <w:szCs w:val="21"/>
        </w:rPr>
      </w:pPr>
      <w:r>
        <w:rPr>
          <w:rFonts w:hint="eastAsia" w:cs="宋体"/>
          <w:szCs w:val="21"/>
          <w:lang w:bidi="ar"/>
        </w:rPr>
        <w:t>项目名称：</w:t>
      </w:r>
    </w:p>
    <w:tbl>
      <w:tblPr>
        <w:tblStyle w:val="51"/>
        <w:tblW w:w="44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704"/>
        <w:gridCol w:w="707"/>
        <w:gridCol w:w="704"/>
        <w:gridCol w:w="705"/>
        <w:gridCol w:w="880"/>
        <w:gridCol w:w="1095"/>
        <w:gridCol w:w="1032"/>
        <w:gridCol w:w="657"/>
        <w:gridCol w:w="692"/>
        <w:gridCol w:w="569"/>
      </w:tblGrid>
      <w:tr>
        <w:trPr>
          <w:trHeight w:val="353" w:hRule="atLeast"/>
          <w:jc w:val="center"/>
        </w:trPr>
        <w:tc>
          <w:tcPr>
            <w:tcW w:w="472" w:type="dxa"/>
            <w:vAlign w:val="center"/>
          </w:tcPr>
          <w:p>
            <w:pPr>
              <w:snapToGrid w:val="0"/>
              <w:spacing w:before="50" w:after="120" w:afterLines="50"/>
              <w:jc w:val="center"/>
              <w:rPr>
                <w:rFonts w:ascii="宋体" w:hAnsi="宋体"/>
                <w:szCs w:val="21"/>
              </w:rPr>
            </w:pPr>
            <w:r>
              <w:rPr>
                <w:rFonts w:hint="eastAsia" w:ascii="宋体" w:hAnsi="宋体"/>
                <w:szCs w:val="21"/>
              </w:rPr>
              <w:t>序号</w:t>
            </w:r>
          </w:p>
        </w:tc>
        <w:tc>
          <w:tcPr>
            <w:tcW w:w="704" w:type="dxa"/>
            <w:vAlign w:val="center"/>
          </w:tcPr>
          <w:p>
            <w:pPr>
              <w:snapToGrid w:val="0"/>
              <w:spacing w:before="50" w:after="120" w:afterLines="50"/>
              <w:jc w:val="center"/>
              <w:rPr>
                <w:rFonts w:ascii="宋体" w:hAnsi="宋体"/>
                <w:szCs w:val="21"/>
              </w:rPr>
            </w:pPr>
            <w:r>
              <w:rPr>
                <w:rFonts w:hint="eastAsia" w:ascii="宋体" w:hAnsi="宋体"/>
                <w:szCs w:val="21"/>
              </w:rPr>
              <w:t>姓名</w:t>
            </w:r>
          </w:p>
        </w:tc>
        <w:tc>
          <w:tcPr>
            <w:tcW w:w="707" w:type="dxa"/>
            <w:vAlign w:val="center"/>
          </w:tcPr>
          <w:p>
            <w:pPr>
              <w:snapToGrid w:val="0"/>
              <w:spacing w:before="50" w:after="120" w:afterLines="50"/>
              <w:jc w:val="center"/>
              <w:rPr>
                <w:rFonts w:ascii="宋体" w:hAnsi="宋体"/>
                <w:szCs w:val="21"/>
              </w:rPr>
            </w:pPr>
            <w:r>
              <w:rPr>
                <w:rFonts w:hint="eastAsia" w:ascii="宋体" w:hAnsi="宋体"/>
                <w:szCs w:val="21"/>
              </w:rPr>
              <w:t>性别</w:t>
            </w:r>
          </w:p>
        </w:tc>
        <w:tc>
          <w:tcPr>
            <w:tcW w:w="704" w:type="dxa"/>
            <w:vAlign w:val="center"/>
          </w:tcPr>
          <w:p>
            <w:pPr>
              <w:snapToGrid w:val="0"/>
              <w:spacing w:before="50" w:after="120" w:afterLines="50"/>
              <w:jc w:val="center"/>
              <w:rPr>
                <w:rFonts w:ascii="宋体" w:hAnsi="宋体"/>
                <w:szCs w:val="21"/>
              </w:rPr>
            </w:pPr>
            <w:r>
              <w:rPr>
                <w:rFonts w:hint="eastAsia" w:ascii="宋体" w:hAnsi="宋体"/>
                <w:szCs w:val="21"/>
              </w:rPr>
              <w:t>学历</w:t>
            </w:r>
          </w:p>
        </w:tc>
        <w:tc>
          <w:tcPr>
            <w:tcW w:w="705" w:type="dxa"/>
            <w:vAlign w:val="center"/>
          </w:tcPr>
          <w:p>
            <w:pPr>
              <w:snapToGrid w:val="0"/>
              <w:spacing w:before="50" w:after="120" w:afterLines="50"/>
              <w:jc w:val="center"/>
              <w:rPr>
                <w:rFonts w:ascii="宋体" w:hAnsi="宋体"/>
                <w:szCs w:val="21"/>
              </w:rPr>
            </w:pPr>
            <w:r>
              <w:rPr>
                <w:rFonts w:hint="eastAsia" w:ascii="宋体" w:hAnsi="宋体"/>
                <w:szCs w:val="21"/>
              </w:rPr>
              <w:t>专业</w:t>
            </w:r>
          </w:p>
        </w:tc>
        <w:tc>
          <w:tcPr>
            <w:tcW w:w="880" w:type="dxa"/>
            <w:vAlign w:val="center"/>
          </w:tcPr>
          <w:p>
            <w:pPr>
              <w:snapToGrid w:val="0"/>
              <w:spacing w:before="50" w:after="120" w:afterLines="50"/>
              <w:jc w:val="center"/>
              <w:rPr>
                <w:rFonts w:ascii="宋体" w:hAnsi="宋体"/>
                <w:szCs w:val="21"/>
              </w:rPr>
            </w:pPr>
            <w:r>
              <w:rPr>
                <w:rFonts w:hint="eastAsia" w:ascii="宋体" w:hAnsi="宋体"/>
                <w:szCs w:val="21"/>
              </w:rPr>
              <w:t>拟在本项目中的职务</w:t>
            </w:r>
          </w:p>
        </w:tc>
        <w:tc>
          <w:tcPr>
            <w:tcW w:w="1095" w:type="dxa"/>
            <w:vAlign w:val="center"/>
          </w:tcPr>
          <w:p>
            <w:pPr>
              <w:snapToGrid w:val="0"/>
              <w:spacing w:before="50" w:after="120" w:afterLines="50"/>
              <w:jc w:val="center"/>
              <w:rPr>
                <w:rFonts w:ascii="宋体" w:hAnsi="宋体"/>
                <w:szCs w:val="21"/>
              </w:rPr>
            </w:pPr>
            <w:r>
              <w:rPr>
                <w:rFonts w:hint="eastAsia" w:hAnsi="宋体"/>
                <w:szCs w:val="21"/>
              </w:rPr>
              <w:t>工作经验</w:t>
            </w:r>
          </w:p>
        </w:tc>
        <w:tc>
          <w:tcPr>
            <w:tcW w:w="1032" w:type="dxa"/>
            <w:vAlign w:val="center"/>
          </w:tcPr>
          <w:p>
            <w:pPr>
              <w:snapToGrid w:val="0"/>
              <w:spacing w:before="50" w:after="120" w:afterLines="50"/>
              <w:jc w:val="center"/>
              <w:rPr>
                <w:rFonts w:ascii="宋体" w:hAnsi="宋体"/>
                <w:szCs w:val="21"/>
              </w:rPr>
            </w:pPr>
            <w:r>
              <w:rPr>
                <w:rFonts w:hint="eastAsia" w:ascii="宋体" w:hAnsi="宋体"/>
                <w:szCs w:val="21"/>
              </w:rPr>
              <w:t>身份证号</w:t>
            </w:r>
          </w:p>
        </w:tc>
        <w:tc>
          <w:tcPr>
            <w:tcW w:w="657" w:type="dxa"/>
            <w:vAlign w:val="center"/>
          </w:tcPr>
          <w:p>
            <w:pPr>
              <w:snapToGrid w:val="0"/>
              <w:spacing w:before="50" w:after="120" w:afterLines="50"/>
              <w:jc w:val="center"/>
              <w:rPr>
                <w:rFonts w:ascii="宋体" w:hAnsi="宋体"/>
                <w:szCs w:val="21"/>
              </w:rPr>
            </w:pPr>
            <w:r>
              <w:rPr>
                <w:rFonts w:hint="eastAsia" w:ascii="宋体" w:hAnsi="宋体"/>
                <w:szCs w:val="21"/>
              </w:rPr>
              <w:t>联系电话</w:t>
            </w:r>
          </w:p>
        </w:tc>
        <w:tc>
          <w:tcPr>
            <w:tcW w:w="692" w:type="dxa"/>
            <w:vAlign w:val="center"/>
          </w:tcPr>
          <w:p>
            <w:pPr>
              <w:snapToGrid w:val="0"/>
              <w:spacing w:before="50" w:after="120" w:afterLines="50"/>
              <w:jc w:val="center"/>
              <w:rPr>
                <w:rFonts w:ascii="宋体" w:hAnsi="宋体"/>
                <w:szCs w:val="21"/>
              </w:rPr>
            </w:pPr>
            <w:r>
              <w:rPr>
                <w:rFonts w:hint="eastAsia" w:ascii="宋体" w:hAnsi="宋体"/>
                <w:szCs w:val="21"/>
              </w:rPr>
              <w:t>是否驻场</w:t>
            </w:r>
          </w:p>
        </w:tc>
        <w:tc>
          <w:tcPr>
            <w:tcW w:w="569" w:type="dxa"/>
            <w:vAlign w:val="center"/>
          </w:tcPr>
          <w:p>
            <w:pPr>
              <w:snapToGrid w:val="0"/>
              <w:spacing w:before="50" w:after="120" w:afterLines="50"/>
              <w:jc w:val="center"/>
              <w:rPr>
                <w:rFonts w:ascii="宋体" w:hAnsi="宋体"/>
                <w:szCs w:val="21"/>
              </w:rPr>
            </w:pPr>
            <w:r>
              <w:rPr>
                <w:rFonts w:hint="eastAsia" w:ascii="宋体" w:hAnsi="宋体"/>
                <w:szCs w:val="21"/>
              </w:rPr>
              <w:t>备注</w:t>
            </w:r>
          </w:p>
        </w:tc>
      </w:tr>
      <w:tr>
        <w:trPr>
          <w:trHeight w:val="627" w:hRule="atLeast"/>
          <w:jc w:val="center"/>
        </w:trPr>
        <w:tc>
          <w:tcPr>
            <w:tcW w:w="472" w:type="dxa"/>
            <w:vAlign w:val="center"/>
          </w:tcPr>
          <w:p>
            <w:pPr>
              <w:snapToGrid w:val="0"/>
              <w:spacing w:before="50" w:after="120" w:afterLines="50"/>
              <w:jc w:val="center"/>
              <w:rPr>
                <w:rFonts w:ascii="宋体" w:hAnsi="宋体"/>
                <w:szCs w:val="21"/>
              </w:rPr>
            </w:pPr>
          </w:p>
        </w:tc>
        <w:tc>
          <w:tcPr>
            <w:tcW w:w="704" w:type="dxa"/>
            <w:vAlign w:val="center"/>
          </w:tcPr>
          <w:p>
            <w:pPr>
              <w:snapToGrid w:val="0"/>
              <w:spacing w:before="50" w:after="120" w:afterLines="50"/>
              <w:jc w:val="center"/>
              <w:rPr>
                <w:rFonts w:ascii="宋体" w:hAnsi="宋体"/>
                <w:szCs w:val="21"/>
              </w:rPr>
            </w:pPr>
          </w:p>
        </w:tc>
        <w:tc>
          <w:tcPr>
            <w:tcW w:w="707" w:type="dxa"/>
            <w:vAlign w:val="center"/>
          </w:tcPr>
          <w:p>
            <w:pPr>
              <w:snapToGrid w:val="0"/>
              <w:spacing w:before="50" w:after="120" w:afterLines="50"/>
              <w:jc w:val="center"/>
              <w:rPr>
                <w:rFonts w:ascii="宋体" w:hAnsi="宋体"/>
                <w:szCs w:val="21"/>
              </w:rPr>
            </w:pPr>
          </w:p>
        </w:tc>
        <w:tc>
          <w:tcPr>
            <w:tcW w:w="704" w:type="dxa"/>
            <w:vAlign w:val="center"/>
          </w:tcPr>
          <w:p>
            <w:pPr>
              <w:snapToGrid w:val="0"/>
              <w:spacing w:before="50" w:after="120" w:afterLines="50"/>
              <w:jc w:val="center"/>
              <w:rPr>
                <w:rFonts w:ascii="宋体" w:hAnsi="宋体"/>
                <w:szCs w:val="21"/>
              </w:rPr>
            </w:pPr>
          </w:p>
        </w:tc>
        <w:tc>
          <w:tcPr>
            <w:tcW w:w="705" w:type="dxa"/>
            <w:vAlign w:val="center"/>
          </w:tcPr>
          <w:p>
            <w:pPr>
              <w:snapToGrid w:val="0"/>
              <w:spacing w:before="50" w:after="120" w:afterLines="50"/>
              <w:jc w:val="center"/>
              <w:rPr>
                <w:rFonts w:ascii="宋体" w:hAnsi="宋体"/>
                <w:szCs w:val="21"/>
              </w:rPr>
            </w:pPr>
          </w:p>
        </w:tc>
        <w:tc>
          <w:tcPr>
            <w:tcW w:w="880" w:type="dxa"/>
            <w:vAlign w:val="center"/>
          </w:tcPr>
          <w:p>
            <w:pPr>
              <w:snapToGrid w:val="0"/>
              <w:spacing w:before="50" w:after="120" w:afterLines="50"/>
              <w:jc w:val="center"/>
              <w:rPr>
                <w:rFonts w:ascii="宋体" w:hAnsi="宋体"/>
                <w:szCs w:val="21"/>
              </w:rPr>
            </w:pPr>
          </w:p>
        </w:tc>
        <w:tc>
          <w:tcPr>
            <w:tcW w:w="1095" w:type="dxa"/>
            <w:vAlign w:val="center"/>
          </w:tcPr>
          <w:p>
            <w:pPr>
              <w:snapToGrid w:val="0"/>
              <w:spacing w:before="50" w:after="120" w:afterLines="50"/>
              <w:jc w:val="center"/>
              <w:rPr>
                <w:rFonts w:ascii="宋体" w:hAnsi="宋体"/>
                <w:szCs w:val="21"/>
              </w:rPr>
            </w:pPr>
          </w:p>
        </w:tc>
        <w:tc>
          <w:tcPr>
            <w:tcW w:w="1032" w:type="dxa"/>
            <w:vAlign w:val="center"/>
          </w:tcPr>
          <w:p>
            <w:pPr>
              <w:snapToGrid w:val="0"/>
              <w:spacing w:before="50" w:after="120" w:afterLines="50"/>
              <w:jc w:val="center"/>
              <w:rPr>
                <w:rFonts w:ascii="宋体" w:hAnsi="宋体"/>
                <w:szCs w:val="21"/>
              </w:rPr>
            </w:pPr>
          </w:p>
        </w:tc>
        <w:tc>
          <w:tcPr>
            <w:tcW w:w="657" w:type="dxa"/>
            <w:vAlign w:val="center"/>
          </w:tcPr>
          <w:p>
            <w:pPr>
              <w:snapToGrid w:val="0"/>
              <w:spacing w:before="50" w:after="120" w:afterLines="50"/>
              <w:jc w:val="center"/>
              <w:rPr>
                <w:rFonts w:ascii="宋体" w:hAnsi="宋体"/>
                <w:szCs w:val="21"/>
              </w:rPr>
            </w:pPr>
          </w:p>
        </w:tc>
        <w:tc>
          <w:tcPr>
            <w:tcW w:w="692" w:type="dxa"/>
            <w:vAlign w:val="center"/>
          </w:tcPr>
          <w:p>
            <w:pPr>
              <w:snapToGrid w:val="0"/>
              <w:spacing w:before="50" w:after="120" w:afterLines="50"/>
              <w:jc w:val="center"/>
              <w:rPr>
                <w:rFonts w:ascii="宋体" w:hAnsi="宋体"/>
                <w:szCs w:val="21"/>
              </w:rPr>
            </w:pPr>
          </w:p>
        </w:tc>
        <w:tc>
          <w:tcPr>
            <w:tcW w:w="569" w:type="dxa"/>
            <w:vAlign w:val="center"/>
          </w:tcPr>
          <w:p>
            <w:pPr>
              <w:snapToGrid w:val="0"/>
              <w:spacing w:before="50" w:after="120" w:afterLines="50"/>
              <w:jc w:val="center"/>
              <w:rPr>
                <w:rFonts w:ascii="宋体" w:hAnsi="宋体"/>
                <w:szCs w:val="21"/>
              </w:rPr>
            </w:pPr>
          </w:p>
        </w:tc>
      </w:tr>
      <w:tr>
        <w:trPr>
          <w:trHeight w:val="627" w:hRule="atLeast"/>
          <w:jc w:val="center"/>
        </w:trPr>
        <w:tc>
          <w:tcPr>
            <w:tcW w:w="472" w:type="dxa"/>
            <w:vAlign w:val="center"/>
          </w:tcPr>
          <w:p>
            <w:pPr>
              <w:snapToGrid w:val="0"/>
              <w:spacing w:before="50" w:after="120" w:afterLines="50"/>
              <w:jc w:val="center"/>
              <w:rPr>
                <w:rFonts w:ascii="宋体" w:hAnsi="宋体"/>
                <w:szCs w:val="21"/>
              </w:rPr>
            </w:pPr>
          </w:p>
        </w:tc>
        <w:tc>
          <w:tcPr>
            <w:tcW w:w="704" w:type="dxa"/>
            <w:vAlign w:val="center"/>
          </w:tcPr>
          <w:p>
            <w:pPr>
              <w:snapToGrid w:val="0"/>
              <w:spacing w:before="50" w:after="120" w:afterLines="50"/>
              <w:jc w:val="center"/>
              <w:rPr>
                <w:rFonts w:ascii="宋体" w:hAnsi="宋体"/>
                <w:szCs w:val="21"/>
              </w:rPr>
            </w:pPr>
          </w:p>
        </w:tc>
        <w:tc>
          <w:tcPr>
            <w:tcW w:w="707" w:type="dxa"/>
            <w:vAlign w:val="center"/>
          </w:tcPr>
          <w:p>
            <w:pPr>
              <w:snapToGrid w:val="0"/>
              <w:spacing w:before="50" w:after="120" w:afterLines="50"/>
              <w:jc w:val="center"/>
              <w:rPr>
                <w:rFonts w:ascii="宋体" w:hAnsi="宋体"/>
                <w:szCs w:val="21"/>
              </w:rPr>
            </w:pPr>
          </w:p>
        </w:tc>
        <w:tc>
          <w:tcPr>
            <w:tcW w:w="704" w:type="dxa"/>
            <w:vAlign w:val="center"/>
          </w:tcPr>
          <w:p>
            <w:pPr>
              <w:snapToGrid w:val="0"/>
              <w:spacing w:before="50" w:after="120" w:afterLines="50"/>
              <w:jc w:val="center"/>
              <w:rPr>
                <w:rFonts w:ascii="宋体" w:hAnsi="宋体"/>
                <w:szCs w:val="21"/>
              </w:rPr>
            </w:pPr>
          </w:p>
        </w:tc>
        <w:tc>
          <w:tcPr>
            <w:tcW w:w="705" w:type="dxa"/>
            <w:vAlign w:val="center"/>
          </w:tcPr>
          <w:p>
            <w:pPr>
              <w:snapToGrid w:val="0"/>
              <w:spacing w:before="50" w:after="120" w:afterLines="50"/>
              <w:jc w:val="center"/>
              <w:rPr>
                <w:rFonts w:ascii="宋体" w:hAnsi="宋体"/>
                <w:szCs w:val="21"/>
              </w:rPr>
            </w:pPr>
          </w:p>
        </w:tc>
        <w:tc>
          <w:tcPr>
            <w:tcW w:w="880" w:type="dxa"/>
            <w:vAlign w:val="center"/>
          </w:tcPr>
          <w:p>
            <w:pPr>
              <w:snapToGrid w:val="0"/>
              <w:spacing w:before="50" w:after="120" w:afterLines="50"/>
              <w:jc w:val="center"/>
              <w:rPr>
                <w:rFonts w:ascii="宋体" w:hAnsi="宋体"/>
                <w:szCs w:val="21"/>
              </w:rPr>
            </w:pPr>
          </w:p>
        </w:tc>
        <w:tc>
          <w:tcPr>
            <w:tcW w:w="1095" w:type="dxa"/>
            <w:vAlign w:val="center"/>
          </w:tcPr>
          <w:p>
            <w:pPr>
              <w:snapToGrid w:val="0"/>
              <w:spacing w:before="50" w:after="120" w:afterLines="50"/>
              <w:jc w:val="center"/>
              <w:rPr>
                <w:rFonts w:ascii="宋体" w:hAnsi="宋体"/>
                <w:szCs w:val="21"/>
              </w:rPr>
            </w:pPr>
          </w:p>
        </w:tc>
        <w:tc>
          <w:tcPr>
            <w:tcW w:w="1032" w:type="dxa"/>
            <w:vAlign w:val="center"/>
          </w:tcPr>
          <w:p>
            <w:pPr>
              <w:snapToGrid w:val="0"/>
              <w:spacing w:before="50" w:after="120" w:afterLines="50"/>
              <w:jc w:val="center"/>
              <w:rPr>
                <w:rFonts w:ascii="宋体" w:hAnsi="宋体"/>
                <w:szCs w:val="21"/>
              </w:rPr>
            </w:pPr>
          </w:p>
        </w:tc>
        <w:tc>
          <w:tcPr>
            <w:tcW w:w="657" w:type="dxa"/>
            <w:vAlign w:val="center"/>
          </w:tcPr>
          <w:p>
            <w:pPr>
              <w:snapToGrid w:val="0"/>
              <w:spacing w:before="50" w:after="120" w:afterLines="50"/>
              <w:jc w:val="center"/>
              <w:rPr>
                <w:rFonts w:ascii="宋体" w:hAnsi="宋体"/>
                <w:szCs w:val="21"/>
              </w:rPr>
            </w:pPr>
          </w:p>
        </w:tc>
        <w:tc>
          <w:tcPr>
            <w:tcW w:w="692" w:type="dxa"/>
            <w:vAlign w:val="center"/>
          </w:tcPr>
          <w:p>
            <w:pPr>
              <w:snapToGrid w:val="0"/>
              <w:spacing w:before="50" w:after="120" w:afterLines="50"/>
              <w:jc w:val="center"/>
              <w:rPr>
                <w:rFonts w:ascii="宋体" w:hAnsi="宋体"/>
                <w:szCs w:val="21"/>
              </w:rPr>
            </w:pPr>
          </w:p>
        </w:tc>
        <w:tc>
          <w:tcPr>
            <w:tcW w:w="569" w:type="dxa"/>
            <w:vAlign w:val="center"/>
          </w:tcPr>
          <w:p>
            <w:pPr>
              <w:snapToGrid w:val="0"/>
              <w:spacing w:before="50" w:after="120" w:afterLines="50"/>
              <w:jc w:val="center"/>
              <w:rPr>
                <w:rFonts w:ascii="宋体" w:hAnsi="宋体"/>
                <w:szCs w:val="21"/>
              </w:rPr>
            </w:pPr>
          </w:p>
        </w:tc>
      </w:tr>
      <w:tr>
        <w:trPr>
          <w:trHeight w:val="627" w:hRule="atLeast"/>
          <w:jc w:val="center"/>
        </w:trPr>
        <w:tc>
          <w:tcPr>
            <w:tcW w:w="472" w:type="dxa"/>
            <w:vAlign w:val="center"/>
          </w:tcPr>
          <w:p>
            <w:pPr>
              <w:snapToGrid w:val="0"/>
              <w:spacing w:before="50" w:after="120" w:afterLines="50"/>
              <w:jc w:val="center"/>
              <w:rPr>
                <w:rFonts w:ascii="宋体" w:hAnsi="宋体"/>
                <w:szCs w:val="21"/>
              </w:rPr>
            </w:pPr>
          </w:p>
        </w:tc>
        <w:tc>
          <w:tcPr>
            <w:tcW w:w="704" w:type="dxa"/>
            <w:vAlign w:val="center"/>
          </w:tcPr>
          <w:p>
            <w:pPr>
              <w:snapToGrid w:val="0"/>
              <w:spacing w:before="50" w:after="120" w:afterLines="50"/>
              <w:jc w:val="center"/>
              <w:rPr>
                <w:rFonts w:ascii="宋体" w:hAnsi="宋体"/>
                <w:szCs w:val="21"/>
              </w:rPr>
            </w:pPr>
          </w:p>
        </w:tc>
        <w:tc>
          <w:tcPr>
            <w:tcW w:w="707" w:type="dxa"/>
            <w:vAlign w:val="center"/>
          </w:tcPr>
          <w:p>
            <w:pPr>
              <w:snapToGrid w:val="0"/>
              <w:spacing w:before="50" w:after="120" w:afterLines="50"/>
              <w:jc w:val="center"/>
              <w:rPr>
                <w:rFonts w:ascii="宋体" w:hAnsi="宋体"/>
                <w:szCs w:val="21"/>
              </w:rPr>
            </w:pPr>
          </w:p>
        </w:tc>
        <w:tc>
          <w:tcPr>
            <w:tcW w:w="704" w:type="dxa"/>
            <w:vAlign w:val="center"/>
          </w:tcPr>
          <w:p>
            <w:pPr>
              <w:snapToGrid w:val="0"/>
              <w:spacing w:before="50" w:after="120" w:afterLines="50"/>
              <w:jc w:val="center"/>
              <w:rPr>
                <w:rFonts w:ascii="宋体" w:hAnsi="宋体"/>
                <w:szCs w:val="21"/>
              </w:rPr>
            </w:pPr>
          </w:p>
        </w:tc>
        <w:tc>
          <w:tcPr>
            <w:tcW w:w="705" w:type="dxa"/>
            <w:vAlign w:val="center"/>
          </w:tcPr>
          <w:p>
            <w:pPr>
              <w:snapToGrid w:val="0"/>
              <w:spacing w:before="50" w:after="120" w:afterLines="50"/>
              <w:jc w:val="center"/>
              <w:rPr>
                <w:rFonts w:ascii="宋体" w:hAnsi="宋体"/>
                <w:szCs w:val="21"/>
              </w:rPr>
            </w:pPr>
          </w:p>
        </w:tc>
        <w:tc>
          <w:tcPr>
            <w:tcW w:w="880" w:type="dxa"/>
            <w:vAlign w:val="center"/>
          </w:tcPr>
          <w:p>
            <w:pPr>
              <w:snapToGrid w:val="0"/>
              <w:spacing w:before="50" w:after="120" w:afterLines="50"/>
              <w:jc w:val="center"/>
              <w:rPr>
                <w:rFonts w:ascii="宋体" w:hAnsi="宋体"/>
                <w:szCs w:val="21"/>
              </w:rPr>
            </w:pPr>
          </w:p>
        </w:tc>
        <w:tc>
          <w:tcPr>
            <w:tcW w:w="1095" w:type="dxa"/>
            <w:vAlign w:val="center"/>
          </w:tcPr>
          <w:p>
            <w:pPr>
              <w:snapToGrid w:val="0"/>
              <w:spacing w:before="50" w:after="120" w:afterLines="50"/>
              <w:jc w:val="center"/>
              <w:rPr>
                <w:rFonts w:ascii="宋体" w:hAnsi="宋体"/>
                <w:szCs w:val="21"/>
              </w:rPr>
            </w:pPr>
          </w:p>
        </w:tc>
        <w:tc>
          <w:tcPr>
            <w:tcW w:w="1032" w:type="dxa"/>
            <w:vAlign w:val="center"/>
          </w:tcPr>
          <w:p>
            <w:pPr>
              <w:snapToGrid w:val="0"/>
              <w:spacing w:before="50" w:after="120" w:afterLines="50"/>
              <w:jc w:val="center"/>
              <w:rPr>
                <w:rFonts w:ascii="宋体" w:hAnsi="宋体"/>
                <w:szCs w:val="21"/>
              </w:rPr>
            </w:pPr>
          </w:p>
        </w:tc>
        <w:tc>
          <w:tcPr>
            <w:tcW w:w="657" w:type="dxa"/>
            <w:vAlign w:val="center"/>
          </w:tcPr>
          <w:p>
            <w:pPr>
              <w:snapToGrid w:val="0"/>
              <w:spacing w:before="50" w:after="120" w:afterLines="50"/>
              <w:jc w:val="center"/>
              <w:rPr>
                <w:rFonts w:ascii="宋体" w:hAnsi="宋体"/>
                <w:szCs w:val="21"/>
              </w:rPr>
            </w:pPr>
          </w:p>
        </w:tc>
        <w:tc>
          <w:tcPr>
            <w:tcW w:w="692" w:type="dxa"/>
            <w:vAlign w:val="center"/>
          </w:tcPr>
          <w:p>
            <w:pPr>
              <w:snapToGrid w:val="0"/>
              <w:spacing w:before="50" w:after="120" w:afterLines="50"/>
              <w:jc w:val="center"/>
              <w:rPr>
                <w:rFonts w:ascii="宋体" w:hAnsi="宋体"/>
                <w:szCs w:val="21"/>
              </w:rPr>
            </w:pPr>
          </w:p>
        </w:tc>
        <w:tc>
          <w:tcPr>
            <w:tcW w:w="569" w:type="dxa"/>
            <w:vAlign w:val="center"/>
          </w:tcPr>
          <w:p>
            <w:pPr>
              <w:snapToGrid w:val="0"/>
              <w:spacing w:before="50" w:after="120" w:afterLines="50"/>
              <w:jc w:val="center"/>
              <w:rPr>
                <w:rFonts w:ascii="宋体" w:hAnsi="宋体"/>
                <w:szCs w:val="21"/>
              </w:rPr>
            </w:pPr>
          </w:p>
        </w:tc>
      </w:tr>
    </w:tbl>
    <w:p>
      <w:pPr>
        <w:snapToGrid w:val="0"/>
        <w:spacing w:line="360" w:lineRule="auto"/>
        <w:rPr>
          <w:rFonts w:ascii="宋体" w:hAnsi="宋体"/>
          <w:szCs w:val="21"/>
        </w:rPr>
      </w:pPr>
      <w:r>
        <w:rPr>
          <w:rFonts w:hint="eastAsia" w:cs="宋体"/>
          <w:szCs w:val="18"/>
          <w:lang w:bidi="ar"/>
        </w:rPr>
        <w:t>注：</w:t>
      </w:r>
      <w:r>
        <w:rPr>
          <w:rFonts w:hint="eastAsia" w:cs="宋体"/>
          <w:szCs w:val="21"/>
          <w:lang w:bidi="ar"/>
        </w:rPr>
        <w:t>此表应后附招标文件要求提供的相应证明文件。</w:t>
      </w:r>
    </w:p>
    <w:p>
      <w:pPr>
        <w:snapToGrid w:val="0"/>
        <w:spacing w:line="360" w:lineRule="auto"/>
        <w:rPr>
          <w:rFonts w:ascii="宋体" w:hAnsi="宋体"/>
          <w:szCs w:val="21"/>
        </w:rPr>
      </w:pPr>
    </w:p>
    <w:p>
      <w:pPr>
        <w:spacing w:before="120" w:beforeLines="50" w:line="360" w:lineRule="auto"/>
        <w:ind w:left="-103" w:leftChars="-49" w:right="-57" w:rightChars="-27" w:firstLine="15"/>
        <w:rPr>
          <w:rFonts w:eastAsia="Times New Roman"/>
          <w:kern w:val="0"/>
          <w:sz w:val="24"/>
        </w:rPr>
      </w:pPr>
      <w:r>
        <w:rPr>
          <w:rFonts w:hint="eastAsia" w:cs="宋体"/>
          <w:lang w:bidi="ar"/>
        </w:rPr>
        <w:t>投标人：（公章）</w:t>
      </w:r>
      <w:r>
        <w:rPr>
          <w:lang w:bidi="ar"/>
        </w:rPr>
        <w:t xml:space="preserve"> </w:t>
      </w:r>
    </w:p>
    <w:p>
      <w:pPr>
        <w:spacing w:before="120" w:beforeLines="50" w:line="360" w:lineRule="auto"/>
        <w:ind w:left="606" w:leftChars="-49" w:right="-57" w:rightChars="-27" w:hanging="709"/>
        <w:rPr>
          <w:rFonts w:eastAsia="Times New Roman"/>
          <w:kern w:val="0"/>
          <w:sz w:val="24"/>
        </w:rPr>
      </w:pPr>
      <w:r>
        <w:rPr>
          <w:rFonts w:hint="eastAsia" w:cs="宋体"/>
          <w:lang w:bidi="ar"/>
        </w:rPr>
        <w:t>法定代表人或其委托代理人：（签字或盖章）</w:t>
      </w:r>
    </w:p>
    <w:p>
      <w:pPr>
        <w:spacing w:before="120" w:beforeLines="50" w:line="360" w:lineRule="auto"/>
        <w:ind w:left="606" w:leftChars="-49" w:right="-57" w:rightChars="-27" w:hanging="709"/>
        <w:rPr>
          <w:rFonts w:eastAsia="Times New Roman"/>
          <w:kern w:val="0"/>
          <w:sz w:val="24"/>
        </w:rPr>
      </w:pPr>
      <w:r>
        <w:rPr>
          <w:rFonts w:hint="eastAsia" w:cs="宋体"/>
          <w:lang w:bidi="ar"/>
        </w:rPr>
        <w:t>日</w:t>
      </w:r>
      <w:r>
        <w:rPr>
          <w:lang w:bidi="ar"/>
        </w:rPr>
        <w:t xml:space="preserve">    </w:t>
      </w:r>
      <w:r>
        <w:rPr>
          <w:rFonts w:hint="eastAsia" w:cs="宋体"/>
          <w:lang w:bidi="ar"/>
        </w:rPr>
        <w:t>期：</w:t>
      </w:r>
    </w:p>
    <w:p>
      <w:pPr>
        <w:ind w:left="463" w:leftChars="220" w:right="-57" w:rightChars="-27" w:hanging="1"/>
        <w:rPr>
          <w:rFonts w:eastAsia="Times New Roman"/>
          <w:kern w:val="0"/>
          <w:sz w:val="24"/>
        </w:rPr>
      </w:pPr>
    </w:p>
    <w:p>
      <w:pPr>
        <w:keepNext/>
        <w:keepLines/>
        <w:spacing w:line="480" w:lineRule="auto"/>
        <w:outlineLvl w:val="3"/>
        <w:rPr>
          <w:rFonts w:ascii="宋体" w:hAnsi="宋体"/>
          <w:b/>
          <w:szCs w:val="28"/>
        </w:rPr>
        <w:sectPr>
          <w:pgSz w:w="11906" w:h="16838"/>
          <w:pgMar w:top="1440" w:right="1417" w:bottom="1440" w:left="1440" w:header="567" w:footer="590" w:gutter="0"/>
          <w:cols w:space="720" w:num="1"/>
          <w:docGrid w:linePitch="312" w:charSpace="0"/>
        </w:sectPr>
      </w:pPr>
    </w:p>
    <w:p>
      <w:pPr>
        <w:keepNext/>
        <w:keepLines/>
        <w:spacing w:line="480" w:lineRule="auto"/>
        <w:outlineLvl w:val="3"/>
        <w:rPr>
          <w:rFonts w:ascii="宋体" w:hAnsi="宋体"/>
          <w:bCs/>
          <w:szCs w:val="21"/>
        </w:rPr>
      </w:pPr>
      <w:r>
        <w:rPr>
          <w:rFonts w:hint="eastAsia" w:ascii="宋体" w:hAnsi="宋体"/>
          <w:b/>
          <w:szCs w:val="28"/>
        </w:rPr>
        <w:t>格式</w:t>
      </w:r>
      <w:r>
        <w:rPr>
          <w:rFonts w:ascii="宋体" w:hAnsi="宋体"/>
          <w:b/>
          <w:szCs w:val="28"/>
        </w:rPr>
        <w:t>C</w:t>
      </w:r>
      <w:r>
        <w:rPr>
          <w:rFonts w:hint="eastAsia" w:ascii="宋体" w:hAnsi="宋体"/>
          <w:b/>
          <w:szCs w:val="28"/>
        </w:rPr>
        <w:t>4：</w:t>
      </w:r>
      <w:r>
        <w:rPr>
          <w:rFonts w:hint="eastAsia" w:ascii="宋体" w:hAnsi="宋体"/>
          <w:b/>
          <w:bCs/>
          <w:szCs w:val="21"/>
        </w:rPr>
        <w:t>技术条款响应表格式</w:t>
      </w:r>
    </w:p>
    <w:p>
      <w:pPr>
        <w:spacing w:line="360" w:lineRule="auto"/>
        <w:jc w:val="center"/>
        <w:rPr>
          <w:rFonts w:ascii="宋体" w:hAnsi="宋体"/>
          <w:b/>
          <w:bCs/>
          <w:kern w:val="0"/>
          <w:sz w:val="28"/>
          <w:szCs w:val="28"/>
        </w:rPr>
      </w:pPr>
      <w:r>
        <w:rPr>
          <w:rFonts w:hint="eastAsia" w:ascii="宋体" w:hAnsi="宋体"/>
          <w:b/>
          <w:bCs/>
          <w:kern w:val="0"/>
          <w:sz w:val="28"/>
          <w:szCs w:val="28"/>
        </w:rPr>
        <w:t>技术条款响应表</w:t>
      </w:r>
    </w:p>
    <w:tbl>
      <w:tblPr>
        <w:tblStyle w:val="51"/>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25"/>
        <w:gridCol w:w="1428"/>
        <w:gridCol w:w="1778"/>
        <w:gridCol w:w="1785"/>
        <w:gridCol w:w="1605"/>
        <w:gridCol w:w="1606"/>
      </w:tblGrid>
      <w:tr>
        <w:trPr>
          <w:cantSplit/>
          <w:trHeight w:val="595" w:hRule="atLeast"/>
          <w:jc w:val="center"/>
        </w:trPr>
        <w:tc>
          <w:tcPr>
            <w:tcW w:w="406" w:type="pct"/>
            <w:vAlign w:val="center"/>
          </w:tcPr>
          <w:p>
            <w:pPr>
              <w:adjustRightInd w:val="0"/>
              <w:jc w:val="center"/>
              <w:rPr>
                <w:rFonts w:ascii="Arial" w:hAnsi="Arial" w:cs="Arial"/>
                <w:b/>
                <w:szCs w:val="21"/>
              </w:rPr>
            </w:pPr>
            <w:r>
              <w:rPr>
                <w:rFonts w:hint="eastAsia" w:ascii="Arial" w:hAnsi="Arial" w:cs="Arial"/>
                <w:b/>
                <w:szCs w:val="21"/>
              </w:rPr>
              <w:t>序号</w:t>
            </w:r>
          </w:p>
        </w:tc>
        <w:tc>
          <w:tcPr>
            <w:tcW w:w="800" w:type="pct"/>
            <w:vAlign w:val="center"/>
          </w:tcPr>
          <w:p>
            <w:pPr>
              <w:adjustRightInd w:val="0"/>
              <w:jc w:val="center"/>
              <w:rPr>
                <w:rFonts w:ascii="Arial" w:hAnsi="Arial" w:cs="Arial"/>
                <w:b/>
                <w:szCs w:val="21"/>
              </w:rPr>
            </w:pPr>
            <w:r>
              <w:rPr>
                <w:rFonts w:hint="eastAsia" w:ascii="Arial" w:hAnsi="Arial" w:cs="Arial"/>
                <w:b/>
                <w:szCs w:val="21"/>
              </w:rPr>
              <w:t>招标文件</w:t>
            </w:r>
          </w:p>
          <w:p>
            <w:pPr>
              <w:adjustRightInd w:val="0"/>
              <w:jc w:val="center"/>
              <w:rPr>
                <w:rFonts w:ascii="Arial" w:hAnsi="Arial" w:cs="Arial"/>
                <w:b/>
                <w:szCs w:val="21"/>
              </w:rPr>
            </w:pPr>
            <w:r>
              <w:rPr>
                <w:rFonts w:hint="eastAsia" w:ascii="Arial" w:hAnsi="Arial" w:cs="Arial"/>
                <w:b/>
                <w:szCs w:val="21"/>
              </w:rPr>
              <w:t>条目号</w:t>
            </w:r>
          </w:p>
        </w:tc>
        <w:tc>
          <w:tcPr>
            <w:tcW w:w="996" w:type="pct"/>
            <w:vAlign w:val="center"/>
          </w:tcPr>
          <w:p>
            <w:pPr>
              <w:adjustRightInd w:val="0"/>
              <w:jc w:val="center"/>
              <w:rPr>
                <w:rFonts w:ascii="Arial" w:hAnsi="Arial" w:cs="Arial"/>
                <w:b/>
                <w:szCs w:val="21"/>
              </w:rPr>
            </w:pPr>
            <w:r>
              <w:rPr>
                <w:rFonts w:hint="eastAsia" w:ascii="Arial" w:hAnsi="Arial" w:cs="Arial"/>
                <w:b/>
                <w:szCs w:val="21"/>
              </w:rPr>
              <w:t>招标文件要求</w:t>
            </w:r>
          </w:p>
        </w:tc>
        <w:tc>
          <w:tcPr>
            <w:tcW w:w="1000" w:type="pct"/>
            <w:vAlign w:val="center"/>
          </w:tcPr>
          <w:p>
            <w:pPr>
              <w:adjustRightInd w:val="0"/>
              <w:jc w:val="center"/>
              <w:rPr>
                <w:rFonts w:ascii="Arial" w:hAnsi="Arial" w:cs="Arial"/>
                <w:b/>
                <w:szCs w:val="21"/>
              </w:rPr>
            </w:pPr>
            <w:r>
              <w:rPr>
                <w:rFonts w:hint="eastAsia" w:ascii="Arial" w:hAnsi="Arial" w:cs="Arial"/>
                <w:b/>
                <w:szCs w:val="21"/>
              </w:rPr>
              <w:t>投标文件</w:t>
            </w:r>
          </w:p>
          <w:p>
            <w:pPr>
              <w:adjustRightInd w:val="0"/>
              <w:jc w:val="center"/>
              <w:rPr>
                <w:rFonts w:ascii="Arial" w:hAnsi="Arial" w:cs="Arial"/>
                <w:b/>
                <w:szCs w:val="21"/>
              </w:rPr>
            </w:pPr>
            <w:r>
              <w:rPr>
                <w:rFonts w:hint="eastAsia" w:ascii="Arial" w:hAnsi="Arial" w:cs="Arial"/>
                <w:b/>
                <w:szCs w:val="21"/>
              </w:rPr>
              <w:t>响应</w:t>
            </w:r>
          </w:p>
        </w:tc>
        <w:tc>
          <w:tcPr>
            <w:tcW w:w="899" w:type="pct"/>
            <w:vAlign w:val="center"/>
          </w:tcPr>
          <w:p>
            <w:pPr>
              <w:adjustRightInd w:val="0"/>
              <w:jc w:val="center"/>
              <w:rPr>
                <w:rFonts w:ascii="Arial" w:hAnsi="Arial" w:cs="Arial"/>
                <w:b/>
                <w:szCs w:val="21"/>
              </w:rPr>
            </w:pPr>
            <w:r>
              <w:rPr>
                <w:rFonts w:hint="eastAsia" w:ascii="Arial" w:hAnsi="Arial" w:cs="Arial"/>
                <w:b/>
                <w:szCs w:val="21"/>
              </w:rPr>
              <w:t>偏离</w:t>
            </w:r>
          </w:p>
        </w:tc>
        <w:tc>
          <w:tcPr>
            <w:tcW w:w="899" w:type="pct"/>
            <w:vAlign w:val="center"/>
          </w:tcPr>
          <w:p>
            <w:pPr>
              <w:adjustRightInd w:val="0"/>
              <w:jc w:val="center"/>
              <w:rPr>
                <w:rFonts w:ascii="Arial" w:hAnsi="Arial" w:cs="Arial"/>
                <w:b/>
                <w:szCs w:val="21"/>
              </w:rPr>
            </w:pPr>
            <w:r>
              <w:rPr>
                <w:rFonts w:hint="eastAsia" w:ascii="Arial" w:hAnsi="Arial" w:cs="Arial"/>
                <w:b/>
                <w:szCs w:val="21"/>
              </w:rPr>
              <w:t>说明</w:t>
            </w: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jc w:val="center"/>
        </w:trPr>
        <w:tc>
          <w:tcPr>
            <w:tcW w:w="406" w:type="pct"/>
            <w:vAlign w:val="center"/>
          </w:tcPr>
          <w:p>
            <w:pPr>
              <w:adjustRightInd w:val="0"/>
              <w:spacing w:line="440" w:lineRule="exact"/>
              <w:jc w:val="center"/>
              <w:rPr>
                <w:rFonts w:ascii="Arial" w:hAnsi="Arial" w:cs="Arial"/>
                <w:sz w:val="24"/>
                <w:u w:val="single"/>
              </w:rPr>
            </w:pPr>
          </w:p>
        </w:tc>
        <w:tc>
          <w:tcPr>
            <w:tcW w:w="800" w:type="pct"/>
            <w:vAlign w:val="center"/>
          </w:tcPr>
          <w:p>
            <w:pPr>
              <w:adjustRightInd w:val="0"/>
              <w:spacing w:line="440" w:lineRule="exact"/>
              <w:jc w:val="center"/>
              <w:rPr>
                <w:rFonts w:ascii="Arial" w:hAnsi="Arial" w:cs="Arial"/>
                <w:sz w:val="24"/>
                <w:u w:val="single"/>
              </w:rPr>
            </w:pPr>
          </w:p>
        </w:tc>
        <w:tc>
          <w:tcPr>
            <w:tcW w:w="996" w:type="pct"/>
            <w:vAlign w:val="center"/>
          </w:tcPr>
          <w:p>
            <w:pPr>
              <w:adjustRightInd w:val="0"/>
              <w:spacing w:line="440" w:lineRule="exact"/>
              <w:jc w:val="center"/>
              <w:rPr>
                <w:rFonts w:ascii="Arial" w:hAnsi="Arial" w:cs="Arial"/>
                <w:sz w:val="24"/>
                <w:u w:val="single"/>
              </w:rPr>
            </w:pPr>
          </w:p>
        </w:tc>
        <w:tc>
          <w:tcPr>
            <w:tcW w:w="1000" w:type="pct"/>
            <w:vAlign w:val="center"/>
          </w:tcPr>
          <w:p>
            <w:pPr>
              <w:adjustRightInd w:val="0"/>
              <w:spacing w:line="440" w:lineRule="exact"/>
              <w:jc w:val="center"/>
              <w:rPr>
                <w:rFonts w:ascii="Arial" w:hAnsi="Arial" w:cs="Arial"/>
                <w:sz w:val="24"/>
                <w:u w:val="single"/>
              </w:rPr>
            </w:pPr>
          </w:p>
        </w:tc>
        <w:tc>
          <w:tcPr>
            <w:tcW w:w="899" w:type="pct"/>
            <w:vAlign w:val="center"/>
          </w:tcPr>
          <w:p>
            <w:pPr>
              <w:adjustRightInd w:val="0"/>
              <w:spacing w:line="440" w:lineRule="exact"/>
              <w:jc w:val="center"/>
              <w:rPr>
                <w:rFonts w:ascii="Arial" w:hAnsi="Arial" w:cs="Arial"/>
                <w:sz w:val="24"/>
                <w:u w:val="single"/>
              </w:rPr>
            </w:pPr>
          </w:p>
        </w:tc>
        <w:tc>
          <w:tcPr>
            <w:tcW w:w="899" w:type="pct"/>
          </w:tcPr>
          <w:p>
            <w:pPr>
              <w:adjustRightInd w:val="0"/>
              <w:spacing w:line="440" w:lineRule="exact"/>
              <w:jc w:val="center"/>
              <w:rPr>
                <w:rFonts w:ascii="Arial" w:hAnsi="Arial" w:cs="Arial"/>
                <w:sz w:val="24"/>
                <w:u w:val="single"/>
              </w:rPr>
            </w:pPr>
          </w:p>
        </w:tc>
      </w:tr>
      <w:tr>
        <w:trPr>
          <w:cantSplit/>
          <w:trHeight w:val="783" w:hRule="atLeast"/>
          <w:jc w:val="center"/>
        </w:trPr>
        <w:tc>
          <w:tcPr>
            <w:tcW w:w="5000" w:type="pct"/>
            <w:gridSpan w:val="6"/>
            <w:vAlign w:val="center"/>
          </w:tcPr>
          <w:p>
            <w:pPr>
              <w:spacing w:line="440" w:lineRule="exact"/>
              <w:rPr>
                <w:rFonts w:ascii="Arial" w:hAnsi="Arial" w:cs="Arial"/>
                <w:szCs w:val="21"/>
              </w:rPr>
            </w:pPr>
            <w:r>
              <w:rPr>
                <w:rFonts w:hint="eastAsia" w:ascii="Arial" w:hAnsi="Arial" w:cs="Arial"/>
                <w:szCs w:val="21"/>
              </w:rPr>
              <w:t>我方确认：除了表中所列的条款外，我方的投标函将依从招标文件对于技术的全部要求和规定。</w:t>
            </w:r>
          </w:p>
        </w:tc>
      </w:tr>
    </w:tbl>
    <w:p>
      <w:pPr>
        <w:tabs>
          <w:tab w:val="left" w:pos="9120"/>
        </w:tabs>
        <w:ind w:firstLine="420" w:firstLineChars="200"/>
        <w:rPr>
          <w:rFonts w:ascii="宋体" w:hAnsi="宋体" w:cs="Arial"/>
        </w:rPr>
      </w:pPr>
      <w:r>
        <w:rPr>
          <w:rFonts w:hint="eastAsia" w:ascii="宋体" w:hAnsi="宋体" w:cs="Arial"/>
        </w:rPr>
        <w:t>注：</w:t>
      </w:r>
    </w:p>
    <w:p>
      <w:pPr>
        <w:tabs>
          <w:tab w:val="left" w:pos="9120"/>
        </w:tabs>
        <w:spacing w:line="360" w:lineRule="auto"/>
        <w:ind w:firstLine="420" w:firstLineChars="200"/>
        <w:rPr>
          <w:rFonts w:ascii="宋体" w:hAnsi="宋体" w:cs="Arial"/>
          <w:kern w:val="0"/>
        </w:rPr>
      </w:pPr>
      <w:r>
        <w:rPr>
          <w:rFonts w:hint="eastAsia" w:ascii="宋体" w:hAnsi="宋体" w:cs="Arial"/>
        </w:rPr>
        <w:t>1、</w:t>
      </w:r>
      <w:r>
        <w:rPr>
          <w:rFonts w:hint="eastAsia" w:ascii="宋体" w:hAnsi="宋体" w:cs="Arial"/>
          <w:kern w:val="0"/>
        </w:rPr>
        <w:t>投标人必须仔细阅读招标文件所有条款，并对所有偏离的条目列入上表，未列入上表的视作投标人完全接受。</w:t>
      </w:r>
    </w:p>
    <w:p>
      <w:pPr>
        <w:tabs>
          <w:tab w:val="left" w:pos="9120"/>
        </w:tabs>
        <w:spacing w:line="360" w:lineRule="auto"/>
        <w:ind w:firstLine="420" w:firstLineChars="200"/>
        <w:rPr>
          <w:rFonts w:ascii="宋体" w:hAnsi="宋体" w:cs="Arial"/>
          <w:b/>
        </w:rPr>
      </w:pPr>
      <w:r>
        <w:rPr>
          <w:rFonts w:hint="eastAsia" w:ascii="宋体" w:hAnsi="宋体" w:cs="Arial"/>
          <w:kern w:val="0"/>
        </w:rPr>
        <w:t>2、投标人如无偏离，可在上表空格中填写内容 “/”或者“完全响应”表示。</w:t>
      </w:r>
    </w:p>
    <w:p>
      <w:pPr>
        <w:tabs>
          <w:tab w:val="left" w:pos="9120"/>
        </w:tabs>
        <w:spacing w:line="360" w:lineRule="auto"/>
        <w:ind w:left="420" w:leftChars="200"/>
        <w:jc w:val="left"/>
        <w:rPr>
          <w:rFonts w:ascii="宋体" w:hAnsi="宋体" w:cs="Arial"/>
          <w:b/>
          <w:szCs w:val="21"/>
        </w:rPr>
      </w:pPr>
    </w:p>
    <w:p>
      <w:pPr>
        <w:spacing w:before="120" w:beforeLines="50" w:line="360" w:lineRule="auto"/>
        <w:ind w:left="420" w:leftChars="200" w:right="-57" w:rightChars="-27"/>
        <w:jc w:val="left"/>
        <w:rPr>
          <w:rFonts w:ascii="宋体" w:hAnsi="宋体"/>
          <w:kern w:val="0"/>
          <w:sz w:val="24"/>
        </w:rPr>
      </w:pPr>
      <w:r>
        <w:rPr>
          <w:rFonts w:hint="eastAsia" w:ascii="宋体" w:hAnsi="宋体" w:cs="宋体"/>
          <w:lang w:bidi="ar"/>
        </w:rPr>
        <w:t>投标人：（公章）</w:t>
      </w:r>
      <w:r>
        <w:rPr>
          <w:rFonts w:ascii="宋体" w:hAnsi="宋体"/>
          <w:lang w:bidi="ar"/>
        </w:rPr>
        <w:t xml:space="preserve"> </w:t>
      </w:r>
    </w:p>
    <w:p>
      <w:pPr>
        <w:spacing w:before="120" w:beforeLines="50" w:line="360" w:lineRule="auto"/>
        <w:ind w:left="420" w:leftChars="200" w:right="-57" w:rightChars="-27"/>
        <w:jc w:val="left"/>
        <w:rPr>
          <w:rFonts w:ascii="宋体" w:hAnsi="宋体"/>
          <w:kern w:val="0"/>
          <w:sz w:val="24"/>
        </w:rPr>
      </w:pPr>
      <w:r>
        <w:rPr>
          <w:rFonts w:hint="eastAsia" w:ascii="宋体" w:hAnsi="宋体" w:cs="宋体"/>
          <w:lang w:bidi="ar"/>
        </w:rPr>
        <w:t>法定代表人或其委托代理人：（签字或盖章）</w:t>
      </w:r>
    </w:p>
    <w:p>
      <w:pPr>
        <w:spacing w:before="120" w:beforeLines="50" w:line="360" w:lineRule="auto"/>
        <w:ind w:left="420" w:leftChars="200" w:right="-57" w:rightChars="-27"/>
        <w:jc w:val="left"/>
        <w:rPr>
          <w:rFonts w:ascii="宋体" w:hAnsi="宋体"/>
          <w:kern w:val="0"/>
          <w:sz w:val="24"/>
        </w:rPr>
      </w:pPr>
      <w:r>
        <w:rPr>
          <w:rFonts w:hint="eastAsia" w:ascii="宋体" w:hAnsi="宋体" w:cs="宋体"/>
          <w:lang w:bidi="ar"/>
        </w:rPr>
        <w:t>日</w:t>
      </w:r>
      <w:r>
        <w:rPr>
          <w:rFonts w:ascii="宋体" w:hAnsi="宋体"/>
          <w:lang w:bidi="ar"/>
        </w:rPr>
        <w:t xml:space="preserve">    </w:t>
      </w:r>
      <w:r>
        <w:rPr>
          <w:rFonts w:hint="eastAsia" w:ascii="宋体" w:hAnsi="宋体" w:cs="宋体"/>
          <w:lang w:bidi="ar"/>
        </w:rPr>
        <w:t>期：</w:t>
      </w:r>
      <w:bookmarkStart w:id="830" w:name="_Toc318213168"/>
      <w:bookmarkStart w:id="831" w:name="_Toc530736606"/>
      <w:bookmarkStart w:id="832" w:name="_Toc8569"/>
      <w:bookmarkStart w:id="833" w:name="_Toc6480"/>
      <w:bookmarkStart w:id="834" w:name="_Toc395312610"/>
      <w:bookmarkStart w:id="835" w:name="_Toc392941013"/>
      <w:bookmarkStart w:id="836" w:name="_Toc469486625"/>
      <w:bookmarkStart w:id="837" w:name="_Toc27384"/>
    </w:p>
    <w:p>
      <w:pPr>
        <w:keepNext/>
        <w:keepLines/>
        <w:spacing w:before="60" w:after="60" w:line="413" w:lineRule="auto"/>
        <w:jc w:val="left"/>
        <w:outlineLvl w:val="1"/>
        <w:rPr>
          <w:rFonts w:ascii="宋体" w:hAnsi="宋体"/>
          <w:b/>
          <w:bCs/>
          <w:sz w:val="28"/>
          <w:szCs w:val="28"/>
        </w:rPr>
      </w:pPr>
      <w:bookmarkStart w:id="838" w:name="_Toc29786945"/>
      <w:bookmarkStart w:id="839" w:name="_Toc10752"/>
      <w:bookmarkStart w:id="840" w:name="_Toc3883"/>
      <w:r>
        <w:rPr>
          <w:rFonts w:ascii="宋体" w:hAnsi="宋体"/>
          <w:b/>
          <w:bCs/>
          <w:sz w:val="24"/>
        </w:rPr>
        <w:br w:type="page"/>
      </w:r>
      <w:bookmarkStart w:id="841" w:name="_Toc180507144"/>
      <w:bookmarkStart w:id="842" w:name="_Toc19077"/>
      <w:bookmarkStart w:id="843" w:name="_Toc25175"/>
      <w:bookmarkStart w:id="844" w:name="_Toc12582"/>
      <w:r>
        <mc:AlternateContent>
          <mc:Choice Requires="wps">
            <w:drawing>
              <wp:anchor distT="0" distB="0" distL="114300" distR="114300" simplePos="0" relativeHeight="251668480" behindDoc="0" locked="0" layoutInCell="1" allowOverlap="1">
                <wp:simplePos x="0" y="0"/>
                <wp:positionH relativeFrom="column">
                  <wp:posOffset>4347845</wp:posOffset>
                </wp:positionH>
                <wp:positionV relativeFrom="paragraph">
                  <wp:posOffset>47625</wp:posOffset>
                </wp:positionV>
                <wp:extent cx="1003300" cy="406400"/>
                <wp:effectExtent l="6350" t="6350" r="6350" b="1905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1003300" cy="406400"/>
                        </a:xfrm>
                        <a:prstGeom prst="rect">
                          <a:avLst/>
                        </a:prstGeom>
                        <a:solidFill>
                          <a:srgbClr val="FFFFFF"/>
                        </a:solidFill>
                        <a:ln w="9525">
                          <a:solidFill>
                            <a:srgbClr val="000000"/>
                          </a:solidFill>
                          <a:miter lim="800000"/>
                        </a:ln>
                        <a:effectLst/>
                      </wps:spPr>
                      <wps:txbx>
                        <w:txbxContent>
                          <w:p>
                            <w:pPr>
                              <w:rPr>
                                <w:sz w:val="28"/>
                                <w:szCs w:val="28"/>
                              </w:rPr>
                            </w:pPr>
                            <w:r>
                              <w:rPr>
                                <w:rFonts w:hint="eastAsia" w:ascii="宋体" w:hAnsi="宋体" w:cs="宋体"/>
                                <w:sz w:val="28"/>
                                <w:szCs w:val="28"/>
                              </w:rPr>
                              <w:t>正本</w:t>
                            </w:r>
                            <w:r>
                              <w:rPr>
                                <w:rFonts w:ascii="宋体" w:hAnsi="宋体" w:cs="宋体"/>
                                <w:sz w:val="28"/>
                                <w:szCs w:val="28"/>
                              </w:rPr>
                              <w:t>/副本</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2.35pt;margin-top:3.75pt;height:32pt;width:79pt;z-index:251668480;mso-width-relative:page;mso-height-relative:page;" fillcolor="#FFFFFF" filled="t" stroked="t" coordsize="21600,21600" o:gfxdata="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z+qGwdYAAAAIAQAADwAA&#10;AAAAAAABACAAAAA4AAAAZHJzL2Rvd25yZXYueG1sUEsBAhQAFAAAAAgAh07iQKUVSTo7AgAAiAQA&#10;AA4AAAAAAAAAAQAgAAAAOwEAAGRycy9lMm9Eb2MueG1sUEsFBgAAAAAGAAYAWQEAAOgFAAAAAA==&#10;">
                <v:fill on="t" focussize="0,0"/>
                <v:stroke color="#000000" miterlimit="8" joinstyle="miter"/>
                <v:imagedata o:title=""/>
                <o:lock v:ext="edit" aspectratio="f"/>
                <v:textbox>
                  <w:txbxContent>
                    <w:p>
                      <w:pPr>
                        <w:rPr>
                          <w:sz w:val="28"/>
                          <w:szCs w:val="28"/>
                        </w:rPr>
                      </w:pPr>
                      <w:r>
                        <w:rPr>
                          <w:rFonts w:hint="eastAsia" w:ascii="宋体" w:hAnsi="宋体" w:cs="宋体"/>
                          <w:sz w:val="28"/>
                          <w:szCs w:val="28"/>
                        </w:rPr>
                        <w:t>正本</w:t>
                      </w:r>
                      <w:r>
                        <w:rPr>
                          <w:rFonts w:ascii="宋体" w:hAnsi="宋体" w:cs="宋体"/>
                          <w:sz w:val="28"/>
                          <w:szCs w:val="28"/>
                        </w:rPr>
                        <w:t>/副本</w:t>
                      </w:r>
                    </w:p>
                  </w:txbxContent>
                </v:textbox>
              </v:rect>
            </w:pict>
          </mc:Fallback>
        </mc:AlternateContent>
      </w:r>
      <w:r>
        <w:rPr>
          <w:rFonts w:hint="eastAsia" w:ascii="宋体" w:hAnsi="宋体"/>
          <w:b/>
          <w:bCs/>
          <w:sz w:val="24"/>
        </w:rPr>
        <w:t>四、报价文件格式</w:t>
      </w:r>
      <w:bookmarkEnd w:id="838"/>
      <w:bookmarkEnd w:id="839"/>
      <w:bookmarkEnd w:id="840"/>
      <w:bookmarkEnd w:id="841"/>
      <w:bookmarkEnd w:id="842"/>
      <w:bookmarkEnd w:id="843"/>
      <w:bookmarkEnd w:id="844"/>
    </w:p>
    <w:p>
      <w:pPr>
        <w:spacing w:line="360" w:lineRule="auto"/>
        <w:jc w:val="left"/>
        <w:rPr>
          <w:rFonts w:ascii="宋体" w:hAnsi="宋体"/>
          <w:kern w:val="0"/>
          <w:szCs w:val="21"/>
        </w:rPr>
      </w:pPr>
      <w:r>
        <w:rPr>
          <w:rFonts w:hint="eastAsia" w:ascii="宋体" w:hAnsi="宋体"/>
          <w:kern w:val="0"/>
          <w:szCs w:val="21"/>
        </w:rPr>
        <w:t>（一）封面格式</w:t>
      </w:r>
    </w:p>
    <w:p>
      <w:pPr>
        <w:jc w:val="left"/>
        <w:rPr>
          <w:rFonts w:ascii="宋体" w:hAnsi="宋体"/>
          <w:kern w:val="0"/>
          <w:szCs w:val="21"/>
        </w:rPr>
      </w:pPr>
    </w:p>
    <w:p>
      <w:pPr>
        <w:ind w:right="840"/>
        <w:rPr>
          <w:rFonts w:ascii="宋体" w:hAnsi="宋体"/>
          <w:kern w:val="0"/>
          <w:szCs w:val="21"/>
        </w:rPr>
      </w:pPr>
    </w:p>
    <w:p>
      <w:pPr>
        <w:ind w:right="840"/>
        <w:rPr>
          <w:rFonts w:ascii="宋体" w:hAnsi="宋体"/>
          <w:kern w:val="0"/>
          <w:szCs w:val="21"/>
        </w:rPr>
      </w:pPr>
    </w:p>
    <w:p>
      <w:pPr>
        <w:jc w:val="center"/>
        <w:rPr>
          <w:rFonts w:ascii="宋体" w:hAnsi="宋体"/>
          <w:kern w:val="0"/>
          <w:sz w:val="32"/>
          <w:szCs w:val="32"/>
        </w:rPr>
      </w:pPr>
    </w:p>
    <w:p>
      <w:pPr>
        <w:jc w:val="center"/>
        <w:rPr>
          <w:rFonts w:ascii="宋体" w:hAnsi="宋体"/>
          <w:kern w:val="0"/>
          <w:sz w:val="28"/>
          <w:szCs w:val="28"/>
        </w:rPr>
      </w:pPr>
      <w:r>
        <w:rPr>
          <w:rFonts w:hint="eastAsia" w:ascii="宋体" w:hAnsi="宋体"/>
          <w:kern w:val="0"/>
          <w:sz w:val="28"/>
          <w:szCs w:val="28"/>
          <w:u w:val="single"/>
        </w:rPr>
        <w:t>南宁轨道数智科技有限公司资产管理系统采购项目</w:t>
      </w: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jc w:val="center"/>
        <w:rPr>
          <w:rFonts w:ascii="宋体" w:hAnsi="宋体"/>
          <w:kern w:val="0"/>
          <w:sz w:val="28"/>
          <w:szCs w:val="28"/>
        </w:rPr>
      </w:pPr>
    </w:p>
    <w:p>
      <w:pPr>
        <w:spacing w:before="240" w:beforeLines="100" w:line="360" w:lineRule="auto"/>
        <w:jc w:val="center"/>
        <w:rPr>
          <w:rFonts w:ascii="宋体" w:hAnsi="宋体"/>
          <w:kern w:val="0"/>
          <w:sz w:val="56"/>
          <w:szCs w:val="56"/>
        </w:rPr>
      </w:pPr>
      <w:r>
        <w:rPr>
          <w:rFonts w:ascii="宋体" w:hAnsi="宋体"/>
          <w:kern w:val="0"/>
          <w:sz w:val="56"/>
          <w:szCs w:val="56"/>
        </w:rPr>
        <w:t>投  标  文  件</w:t>
      </w:r>
    </w:p>
    <w:p>
      <w:pPr>
        <w:spacing w:line="360" w:lineRule="auto"/>
        <w:jc w:val="center"/>
        <w:rPr>
          <w:rFonts w:ascii="宋体" w:hAnsi="宋体"/>
          <w:kern w:val="0"/>
          <w:sz w:val="36"/>
          <w:szCs w:val="36"/>
          <w:u w:val="single"/>
        </w:rPr>
      </w:pPr>
      <w:r>
        <w:rPr>
          <w:rFonts w:hint="eastAsia" w:ascii="宋体" w:hAnsi="宋体"/>
          <w:kern w:val="0"/>
          <w:sz w:val="36"/>
          <w:szCs w:val="36"/>
          <w:u w:val="single"/>
        </w:rPr>
        <w:t>报价文件</w:t>
      </w:r>
    </w:p>
    <w:p>
      <w:pPr>
        <w:spacing w:line="360" w:lineRule="auto"/>
        <w:jc w:val="center"/>
        <w:rPr>
          <w:rFonts w:ascii="宋体" w:hAnsi="宋体"/>
          <w:kern w:val="0"/>
          <w:sz w:val="32"/>
          <w:szCs w:val="32"/>
          <w:u w:val="single"/>
        </w:rPr>
      </w:pPr>
      <w:r>
        <w:rPr>
          <w:rFonts w:hint="eastAsia" w:ascii="宋体" w:hAnsi="宋体"/>
          <w:kern w:val="0"/>
          <w:sz w:val="32"/>
          <w:szCs w:val="32"/>
          <w:u w:val="single"/>
        </w:rPr>
        <w:t>第   册（如有分册）</w:t>
      </w:r>
    </w:p>
    <w:p>
      <w:pPr>
        <w:rPr>
          <w:rFonts w:ascii="宋体" w:hAnsi="宋体"/>
          <w:kern w:val="0"/>
          <w:sz w:val="32"/>
          <w:szCs w:val="32"/>
        </w:rPr>
      </w:pPr>
    </w:p>
    <w:p>
      <w:pPr>
        <w:spacing w:line="360" w:lineRule="auto"/>
        <w:ind w:firstLine="2380" w:firstLineChars="850"/>
        <w:rPr>
          <w:rFonts w:ascii="宋体" w:hAnsi="宋体"/>
          <w:kern w:val="0"/>
          <w:sz w:val="28"/>
          <w:szCs w:val="28"/>
          <w:u w:val="single"/>
        </w:rPr>
      </w:pPr>
      <w:r>
        <w:rPr>
          <w:rFonts w:ascii="宋体" w:hAnsi="宋体"/>
          <w:kern w:val="0"/>
          <w:sz w:val="28"/>
          <w:szCs w:val="28"/>
        </w:rPr>
        <w:t>项目编号：</w:t>
      </w:r>
    </w:p>
    <w:p>
      <w:pPr>
        <w:jc w:val="center"/>
        <w:rPr>
          <w:rFonts w:ascii="宋体" w:hAnsi="宋体"/>
          <w:kern w:val="0"/>
          <w:sz w:val="32"/>
          <w:szCs w:val="32"/>
        </w:rPr>
      </w:pPr>
    </w:p>
    <w:p>
      <w:pPr>
        <w:jc w:val="center"/>
        <w:rPr>
          <w:rFonts w:ascii="宋体" w:hAnsi="宋体"/>
          <w:kern w:val="0"/>
          <w:sz w:val="32"/>
          <w:szCs w:val="32"/>
        </w:rPr>
      </w:pPr>
    </w:p>
    <w:p>
      <w:pP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jc w:val="center"/>
        <w:rPr>
          <w:rFonts w:ascii="宋体" w:hAnsi="宋体"/>
          <w:kern w:val="0"/>
          <w:sz w:val="32"/>
          <w:szCs w:val="32"/>
        </w:rPr>
      </w:pPr>
    </w:p>
    <w:p>
      <w:pPr>
        <w:spacing w:line="360" w:lineRule="auto"/>
        <w:ind w:firstLine="1400" w:firstLineChars="500"/>
        <w:rPr>
          <w:rFonts w:ascii="宋体" w:hAnsi="宋体"/>
          <w:kern w:val="0"/>
          <w:sz w:val="28"/>
          <w:szCs w:val="28"/>
        </w:rPr>
      </w:pPr>
      <w:r>
        <w:rPr>
          <w:rFonts w:ascii="宋体" w:hAnsi="宋体"/>
          <w:kern w:val="0"/>
          <w:sz w:val="28"/>
          <w:szCs w:val="28"/>
        </w:rPr>
        <w:t>投标人：（盖单位</w:t>
      </w:r>
      <w:r>
        <w:rPr>
          <w:rFonts w:hint="eastAsia" w:ascii="宋体" w:hAnsi="宋体"/>
          <w:kern w:val="0"/>
          <w:sz w:val="28"/>
          <w:szCs w:val="28"/>
        </w:rPr>
        <w:t>公</w:t>
      </w:r>
      <w:r>
        <w:rPr>
          <w:rFonts w:ascii="宋体" w:hAnsi="宋体"/>
          <w:kern w:val="0"/>
          <w:sz w:val="28"/>
          <w:szCs w:val="28"/>
        </w:rPr>
        <w:t>章）</w:t>
      </w:r>
    </w:p>
    <w:p>
      <w:pPr>
        <w:spacing w:line="360" w:lineRule="auto"/>
        <w:ind w:firstLine="1400" w:firstLineChars="500"/>
        <w:rPr>
          <w:rFonts w:ascii="宋体" w:hAnsi="宋体"/>
          <w:kern w:val="0"/>
          <w:sz w:val="28"/>
          <w:szCs w:val="28"/>
        </w:rPr>
      </w:pPr>
      <w:r>
        <w:rPr>
          <w:rFonts w:hint="eastAsia" w:ascii="宋体" w:hAnsi="宋体"/>
          <w:kern w:val="0"/>
          <w:sz w:val="28"/>
          <w:szCs w:val="28"/>
        </w:rPr>
        <w:t>法定代表人或其委托代理人</w:t>
      </w:r>
      <w:r>
        <w:rPr>
          <w:rFonts w:ascii="宋体" w:hAnsi="宋体"/>
          <w:kern w:val="0"/>
          <w:sz w:val="28"/>
          <w:szCs w:val="28"/>
        </w:rPr>
        <w:t>：（签字</w:t>
      </w:r>
      <w:r>
        <w:rPr>
          <w:rFonts w:hint="eastAsia" w:ascii="宋体" w:hAnsi="宋体"/>
          <w:kern w:val="0"/>
          <w:sz w:val="28"/>
          <w:szCs w:val="28"/>
        </w:rPr>
        <w:t>或盖章</w:t>
      </w:r>
      <w:r>
        <w:rPr>
          <w:rFonts w:ascii="宋体" w:hAnsi="宋体"/>
          <w:kern w:val="0"/>
          <w:sz w:val="28"/>
          <w:szCs w:val="28"/>
        </w:rPr>
        <w:t>）</w:t>
      </w:r>
    </w:p>
    <w:p>
      <w:pPr>
        <w:rPr>
          <w:rFonts w:ascii="宋体" w:hAnsi="宋体"/>
          <w:kern w:val="0"/>
          <w:sz w:val="28"/>
          <w:szCs w:val="28"/>
        </w:rPr>
      </w:pPr>
    </w:p>
    <w:p>
      <w:pPr>
        <w:jc w:val="center"/>
        <w:rPr>
          <w:rFonts w:ascii="宋体" w:hAnsi="宋体"/>
          <w:kern w:val="0"/>
          <w:sz w:val="28"/>
          <w:szCs w:val="28"/>
        </w:rPr>
      </w:pPr>
      <w:r>
        <w:rPr>
          <w:rFonts w:ascii="宋体" w:hAnsi="宋体"/>
          <w:kern w:val="0"/>
          <w:sz w:val="28"/>
          <w:szCs w:val="28"/>
        </w:rPr>
        <w:t>年</w:t>
      </w: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 xml:space="preserve"> </w:t>
      </w:r>
      <w:r>
        <w:rPr>
          <w:rFonts w:ascii="宋体" w:hAnsi="宋体"/>
          <w:kern w:val="0"/>
          <w:sz w:val="28"/>
          <w:szCs w:val="28"/>
        </w:rPr>
        <w:t>月</w:t>
      </w:r>
    </w:p>
    <w:p>
      <w:pPr>
        <w:spacing w:line="360" w:lineRule="auto"/>
        <w:jc w:val="left"/>
        <w:rPr>
          <w:rFonts w:ascii="宋体" w:hAnsi="宋体"/>
          <w:kern w:val="0"/>
          <w:szCs w:val="21"/>
        </w:rPr>
      </w:pPr>
      <w:r>
        <w:rPr>
          <w:rFonts w:ascii="宋体" w:hAnsi="宋体"/>
          <w:kern w:val="0"/>
          <w:sz w:val="28"/>
          <w:szCs w:val="28"/>
        </w:rPr>
        <w:br w:type="page"/>
      </w:r>
      <w:r>
        <w:rPr>
          <w:rFonts w:ascii="宋体" w:hAnsi="宋体"/>
          <w:kern w:val="0"/>
          <w:szCs w:val="21"/>
        </w:rPr>
        <w:t xml:space="preserve"> </w:t>
      </w:r>
      <w:r>
        <w:rPr>
          <w:rFonts w:hint="eastAsia" w:ascii="宋体" w:hAnsi="宋体"/>
          <w:kern w:val="0"/>
          <w:szCs w:val="21"/>
        </w:rPr>
        <w:t>（二）报价文件内容格式</w:t>
      </w:r>
    </w:p>
    <w:p>
      <w:pPr>
        <w:spacing w:line="360" w:lineRule="auto"/>
        <w:ind w:firstLine="420" w:firstLineChars="200"/>
        <w:jc w:val="left"/>
        <w:rPr>
          <w:rFonts w:ascii="宋体" w:hAnsi="宋体"/>
          <w:kern w:val="0"/>
          <w:szCs w:val="21"/>
        </w:rPr>
      </w:pPr>
      <w:r>
        <w:rPr>
          <w:rFonts w:hint="eastAsia" w:ascii="宋体" w:hAnsi="宋体"/>
          <w:kern w:val="0"/>
          <w:szCs w:val="21"/>
        </w:rPr>
        <w:t>投标人可根据以下内容和顺序编排投标文件：</w:t>
      </w:r>
    </w:p>
    <w:p>
      <w:pPr>
        <w:spacing w:line="360" w:lineRule="auto"/>
        <w:ind w:firstLine="420" w:firstLineChars="200"/>
        <w:jc w:val="left"/>
        <w:rPr>
          <w:rFonts w:ascii="宋体" w:hAnsi="宋体"/>
          <w:bCs/>
          <w:kern w:val="0"/>
          <w:szCs w:val="21"/>
        </w:rPr>
      </w:pPr>
      <w:r>
        <w:rPr>
          <w:rFonts w:hint="eastAsia" w:ascii="宋体" w:hAnsi="宋体"/>
          <w:bCs/>
          <w:kern w:val="0"/>
          <w:szCs w:val="21"/>
        </w:rPr>
        <w:t>1.投标函（详见格式D1）；</w:t>
      </w:r>
    </w:p>
    <w:p>
      <w:pPr>
        <w:spacing w:line="360" w:lineRule="auto"/>
        <w:ind w:firstLine="420" w:firstLineChars="200"/>
        <w:jc w:val="left"/>
        <w:rPr>
          <w:rFonts w:ascii="宋体" w:hAnsi="宋体"/>
          <w:bCs/>
          <w:kern w:val="0"/>
          <w:szCs w:val="21"/>
        </w:rPr>
      </w:pPr>
      <w:r>
        <w:rPr>
          <w:rFonts w:hint="eastAsia" w:ascii="宋体" w:hAnsi="宋体"/>
          <w:kern w:val="0"/>
          <w:szCs w:val="21"/>
        </w:rPr>
        <w:t>2.投标报价表</w:t>
      </w:r>
      <w:r>
        <w:rPr>
          <w:rFonts w:hint="eastAsia" w:ascii="宋体" w:hAnsi="宋体"/>
          <w:bCs/>
          <w:kern w:val="0"/>
          <w:szCs w:val="21"/>
        </w:rPr>
        <w:t>（详见格式D2）；</w:t>
      </w:r>
    </w:p>
    <w:p>
      <w:pPr>
        <w:spacing w:line="360" w:lineRule="auto"/>
        <w:ind w:firstLine="420" w:firstLineChars="200"/>
        <w:jc w:val="left"/>
        <w:rPr>
          <w:rFonts w:ascii="宋体" w:hAnsi="宋体"/>
          <w:bCs/>
          <w:kern w:val="0"/>
          <w:szCs w:val="21"/>
        </w:rPr>
      </w:pPr>
      <w:r>
        <w:rPr>
          <w:rFonts w:hint="eastAsia" w:ascii="宋体" w:hAnsi="宋体"/>
          <w:kern w:val="0"/>
          <w:szCs w:val="21"/>
        </w:rPr>
        <w:t>3.分项报价表</w:t>
      </w:r>
      <w:r>
        <w:rPr>
          <w:rFonts w:hint="eastAsia" w:ascii="宋体" w:hAnsi="宋体"/>
          <w:bCs/>
          <w:kern w:val="0"/>
          <w:szCs w:val="21"/>
        </w:rPr>
        <w:t>（详见格式D3）；</w:t>
      </w:r>
    </w:p>
    <w:p>
      <w:pPr>
        <w:spacing w:line="360" w:lineRule="auto"/>
        <w:ind w:firstLine="420" w:firstLineChars="200"/>
        <w:jc w:val="left"/>
      </w:pPr>
      <w:r>
        <w:rPr>
          <w:rFonts w:hint="eastAsia" w:ascii="宋体" w:hAnsi="宋体"/>
          <w:kern w:val="0"/>
          <w:szCs w:val="21"/>
        </w:rPr>
        <w:t>4.投标人认为需要提交的其他资料。</w:t>
      </w:r>
    </w:p>
    <w:bookmarkEnd w:id="830"/>
    <w:bookmarkEnd w:id="831"/>
    <w:bookmarkEnd w:id="832"/>
    <w:bookmarkEnd w:id="833"/>
    <w:bookmarkEnd w:id="834"/>
    <w:bookmarkEnd w:id="835"/>
    <w:bookmarkEnd w:id="836"/>
    <w:bookmarkEnd w:id="837"/>
    <w:p>
      <w:pPr>
        <w:spacing w:before="40" w:after="40"/>
        <w:ind w:firstLine="420" w:firstLineChars="200"/>
      </w:pPr>
    </w:p>
    <w:p>
      <w:pPr>
        <w:keepNext/>
        <w:keepLines/>
        <w:pageBreakBefore/>
        <w:spacing w:line="360" w:lineRule="auto"/>
        <w:jc w:val="left"/>
        <w:outlineLvl w:val="3"/>
        <w:rPr>
          <w:rFonts w:ascii="宋体" w:hAnsi="宋体"/>
          <w:b/>
          <w:szCs w:val="28"/>
        </w:rPr>
      </w:pPr>
      <w:bookmarkStart w:id="845" w:name="_Toc318213169"/>
      <w:bookmarkStart w:id="846" w:name="_Toc392941014"/>
      <w:bookmarkStart w:id="847" w:name="_Toc395312611"/>
      <w:r>
        <w:rPr>
          <w:rFonts w:hint="eastAsia" w:ascii="宋体" w:hAnsi="宋体"/>
          <w:b/>
          <w:szCs w:val="28"/>
        </w:rPr>
        <w:t>格式D1：投标函</w:t>
      </w:r>
    </w:p>
    <w:p>
      <w:pPr>
        <w:spacing w:line="480" w:lineRule="auto"/>
        <w:jc w:val="center"/>
        <w:rPr>
          <w:rFonts w:ascii="宋体" w:hAnsi="宋体"/>
          <w:b/>
          <w:bCs/>
          <w:kern w:val="0"/>
          <w:sz w:val="28"/>
          <w:szCs w:val="28"/>
        </w:rPr>
      </w:pPr>
      <w:r>
        <w:rPr>
          <w:rFonts w:ascii="宋体" w:hAnsi="宋体"/>
          <w:b/>
          <w:bCs/>
          <w:kern w:val="0"/>
          <w:sz w:val="28"/>
          <w:szCs w:val="28"/>
        </w:rPr>
        <w:t>投标函</w:t>
      </w:r>
    </w:p>
    <w:p>
      <w:pPr>
        <w:spacing w:line="360" w:lineRule="auto"/>
        <w:rPr>
          <w:rFonts w:ascii="宋体" w:hAnsi="宋体"/>
          <w:kern w:val="0"/>
          <w:szCs w:val="21"/>
          <w:u w:val="single"/>
        </w:rPr>
      </w:pPr>
      <w:r>
        <w:rPr>
          <w:rFonts w:ascii="宋体" w:hAnsi="宋体"/>
          <w:kern w:val="0"/>
          <w:szCs w:val="21"/>
        </w:rPr>
        <w:t>致：</w:t>
      </w:r>
      <w:r>
        <w:rPr>
          <w:rFonts w:hint="eastAsia" w:ascii="宋体" w:hAnsi="宋体"/>
          <w:kern w:val="0"/>
          <w:szCs w:val="21"/>
          <w:u w:val="single"/>
        </w:rPr>
        <w:t>南宁轨道数智科技有限公司</w:t>
      </w:r>
    </w:p>
    <w:p>
      <w:pPr>
        <w:spacing w:line="360" w:lineRule="auto"/>
        <w:ind w:firstLine="420" w:firstLineChars="200"/>
        <w:jc w:val="left"/>
        <w:rPr>
          <w:rFonts w:ascii="宋体" w:hAnsi="宋体"/>
          <w:kern w:val="0"/>
          <w:szCs w:val="21"/>
        </w:rPr>
      </w:pPr>
      <w:r>
        <w:rPr>
          <w:rFonts w:ascii="宋体" w:hAnsi="宋体"/>
          <w:kern w:val="0"/>
          <w:szCs w:val="21"/>
        </w:rPr>
        <w:t>在研究了贵方提供的《</w:t>
      </w:r>
      <w:r>
        <w:rPr>
          <w:rFonts w:hint="eastAsia" w:ascii="宋体" w:hAnsi="宋体"/>
          <w:kern w:val="0"/>
          <w:szCs w:val="21"/>
        </w:rPr>
        <w:t>南宁轨道数智科技有限公司资产管理系统采购项目</w:t>
      </w:r>
      <w:r>
        <w:rPr>
          <w:rFonts w:ascii="宋体" w:hAnsi="宋体"/>
          <w:kern w:val="0"/>
          <w:szCs w:val="21"/>
        </w:rPr>
        <w:t>招标文件》，并考察现场后，我方在此郑重表示，愿意按照我方报送的技术文件确定的投入力量和工作方法，依据贵方招标文件中提出的各项要求，我方愿以</w:t>
      </w:r>
      <w:r>
        <w:rPr>
          <w:rFonts w:hint="eastAsia" w:ascii="宋体" w:hAnsi="宋体" w:cs="宋体"/>
          <w:kern w:val="0"/>
          <w:szCs w:val="21"/>
        </w:rPr>
        <w:t>含税价为（大写）</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kern w:val="0"/>
          <w:szCs w:val="21"/>
        </w:rPr>
        <w:t xml:space="preserve">¥ </w:t>
      </w:r>
      <w:r>
        <w:rPr>
          <w:rFonts w:hint="eastAsia" w:ascii="宋体" w:hAnsi="宋体"/>
          <w:kern w:val="0"/>
          <w:szCs w:val="21"/>
          <w:u w:val="single"/>
        </w:rPr>
        <w:t xml:space="preserve">         </w:t>
      </w:r>
      <w:r>
        <w:rPr>
          <w:rFonts w:hint="eastAsia" w:ascii="宋体" w:hAnsi="宋体" w:cs="宋体"/>
          <w:kern w:val="0"/>
          <w:szCs w:val="21"/>
        </w:rPr>
        <w:t>）</w:t>
      </w:r>
      <w:r>
        <w:rPr>
          <w:rFonts w:ascii="宋体" w:hAnsi="宋体"/>
          <w:kern w:val="0"/>
          <w:szCs w:val="21"/>
        </w:rPr>
        <w:t>的报价承担并完成上述</w:t>
      </w:r>
      <w:r>
        <w:rPr>
          <w:rFonts w:hint="eastAsia" w:ascii="宋体" w:hAnsi="宋体"/>
          <w:kern w:val="0"/>
          <w:szCs w:val="21"/>
        </w:rPr>
        <w:t>项目</w:t>
      </w:r>
      <w:r>
        <w:rPr>
          <w:rFonts w:ascii="宋体" w:hAnsi="宋体"/>
          <w:kern w:val="0"/>
          <w:szCs w:val="21"/>
        </w:rPr>
        <w:t>的服务任务</w:t>
      </w:r>
      <w:r>
        <w:rPr>
          <w:rFonts w:hint="eastAsia" w:ascii="宋体" w:hAnsi="宋体"/>
          <w:kern w:val="0"/>
          <w:szCs w:val="21"/>
        </w:rPr>
        <w:t>，项目质量</w:t>
      </w:r>
      <w:r>
        <w:rPr>
          <w:rFonts w:hint="eastAsia" w:ascii="宋体" w:hAnsi="宋体"/>
          <w:kern w:val="0"/>
          <w:szCs w:val="21"/>
          <w:u w:val="single"/>
        </w:rPr>
        <w:t>达到招标文件要求</w:t>
      </w:r>
      <w:r>
        <w:rPr>
          <w:rFonts w:hint="eastAsia" w:ascii="宋体" w:hAnsi="宋体"/>
          <w:kern w:val="0"/>
          <w:szCs w:val="21"/>
        </w:rPr>
        <w:t>。</w:t>
      </w:r>
    </w:p>
    <w:p>
      <w:pPr>
        <w:spacing w:line="360" w:lineRule="auto"/>
        <w:ind w:firstLine="420" w:firstLineChars="200"/>
        <w:jc w:val="left"/>
        <w:rPr>
          <w:rFonts w:ascii="宋体" w:hAnsi="宋体"/>
          <w:kern w:val="0"/>
          <w:szCs w:val="21"/>
        </w:rPr>
      </w:pPr>
      <w:r>
        <w:rPr>
          <w:rFonts w:ascii="宋体" w:hAnsi="宋体"/>
          <w:kern w:val="0"/>
          <w:szCs w:val="21"/>
        </w:rPr>
        <w:t>本投标文件是由《技术文件》</w:t>
      </w:r>
      <w:r>
        <w:rPr>
          <w:rFonts w:hint="eastAsia" w:ascii="宋体" w:hAnsi="宋体"/>
          <w:kern w:val="0"/>
          <w:szCs w:val="21"/>
        </w:rPr>
        <w:t>、</w:t>
      </w:r>
      <w:r>
        <w:rPr>
          <w:rFonts w:ascii="宋体" w:hAnsi="宋体"/>
          <w:kern w:val="0"/>
          <w:szCs w:val="21"/>
        </w:rPr>
        <w:t>《资信文件》</w:t>
      </w:r>
      <w:r>
        <w:rPr>
          <w:rFonts w:hint="eastAsia" w:ascii="宋体" w:hAnsi="宋体"/>
          <w:kern w:val="0"/>
          <w:szCs w:val="21"/>
        </w:rPr>
        <w:t>、《资格审查</w:t>
      </w:r>
      <w:r>
        <w:rPr>
          <w:rFonts w:ascii="宋体" w:hAnsi="宋体"/>
          <w:kern w:val="0"/>
          <w:szCs w:val="21"/>
        </w:rPr>
        <w:t>文件</w:t>
      </w:r>
      <w:r>
        <w:rPr>
          <w:rFonts w:hint="eastAsia" w:ascii="宋体" w:hAnsi="宋体"/>
          <w:kern w:val="0"/>
          <w:szCs w:val="21"/>
        </w:rPr>
        <w:t>》和《报价文件》四</w:t>
      </w:r>
      <w:r>
        <w:rPr>
          <w:rFonts w:ascii="宋体" w:hAnsi="宋体"/>
          <w:kern w:val="0"/>
          <w:szCs w:val="21"/>
        </w:rPr>
        <w:t>册组成。我方同意从递交投标文件起</w:t>
      </w:r>
      <w:r>
        <w:rPr>
          <w:rFonts w:hint="eastAsia" w:ascii="宋体" w:hAnsi="宋体"/>
          <w:kern w:val="0"/>
          <w:szCs w:val="21"/>
          <w:u w:val="single"/>
        </w:rPr>
        <w:t>120</w:t>
      </w:r>
      <w:r>
        <w:rPr>
          <w:rFonts w:ascii="宋体" w:hAnsi="宋体"/>
          <w:kern w:val="0"/>
          <w:szCs w:val="21"/>
          <w:u w:val="single"/>
        </w:rPr>
        <w:t>天</w:t>
      </w:r>
      <w:r>
        <w:rPr>
          <w:rFonts w:ascii="宋体" w:hAnsi="宋体"/>
          <w:kern w:val="0"/>
          <w:szCs w:val="21"/>
        </w:rPr>
        <w:t>内保持投标文件有效。在此有效期内，我方将遵守本投标文件的承诺，并同意随时解答贵方的询问，提供贵方要求的补充资料，参加贵方组织的主要人员的技术答辩，并随时准备接受中标通知。</w:t>
      </w:r>
    </w:p>
    <w:p>
      <w:pPr>
        <w:spacing w:line="360" w:lineRule="auto"/>
        <w:ind w:firstLine="420" w:firstLineChars="200"/>
        <w:jc w:val="left"/>
        <w:rPr>
          <w:rFonts w:ascii="宋体" w:hAnsi="宋体"/>
          <w:kern w:val="0"/>
          <w:szCs w:val="21"/>
        </w:rPr>
      </w:pPr>
      <w:r>
        <w:rPr>
          <w:rFonts w:ascii="宋体" w:hAnsi="宋体"/>
          <w:kern w:val="0"/>
          <w:szCs w:val="21"/>
        </w:rPr>
        <w:t>我方在此承诺，我方若能中标，将在该</w:t>
      </w:r>
      <w:r>
        <w:rPr>
          <w:rFonts w:hint="eastAsia" w:ascii="宋体" w:hAnsi="宋体"/>
          <w:kern w:val="0"/>
          <w:szCs w:val="21"/>
        </w:rPr>
        <w:t>项目</w:t>
      </w:r>
      <w:r>
        <w:rPr>
          <w:rFonts w:ascii="宋体" w:hAnsi="宋体"/>
          <w:kern w:val="0"/>
          <w:szCs w:val="21"/>
        </w:rPr>
        <w:t>的实施过程中，全面履行招标文件中规定的职责和义务</w:t>
      </w:r>
      <w:r>
        <w:rPr>
          <w:rFonts w:hint="eastAsia" w:ascii="宋体" w:hAnsi="宋体"/>
          <w:kern w:val="0"/>
          <w:szCs w:val="21"/>
        </w:rPr>
        <w:t>，服务期：</w:t>
      </w:r>
      <w:r>
        <w:rPr>
          <w:rFonts w:hint="eastAsia" w:ascii="宋体" w:hAnsi="宋体"/>
          <w:kern w:val="0"/>
          <w:szCs w:val="21"/>
          <w:u w:val="single"/>
        </w:rPr>
        <w:t>按招标文件要求执行</w:t>
      </w:r>
      <w:r>
        <w:rPr>
          <w:rFonts w:ascii="宋体" w:hAnsi="宋体"/>
          <w:kern w:val="0"/>
          <w:szCs w:val="21"/>
        </w:rPr>
        <w:t>。</w:t>
      </w:r>
    </w:p>
    <w:p>
      <w:pPr>
        <w:spacing w:line="360" w:lineRule="auto"/>
        <w:ind w:firstLine="420"/>
        <w:rPr>
          <w:rFonts w:ascii="宋体" w:hAnsi="宋体"/>
          <w:szCs w:val="21"/>
        </w:rPr>
      </w:pPr>
      <w:r>
        <w:rPr>
          <w:rFonts w:ascii="宋体" w:hAnsi="宋体"/>
          <w:szCs w:val="21"/>
        </w:rPr>
        <w:t>我们理解，贵公司不一定接受最低标价的投标或其他任何投标。同时也理解，贵公司不负担我们的任何投标费用。</w:t>
      </w:r>
    </w:p>
    <w:p>
      <w:pPr>
        <w:spacing w:line="360" w:lineRule="auto"/>
        <w:ind w:firstLine="420"/>
        <w:rPr>
          <w:rFonts w:ascii="宋体" w:hAnsi="宋体"/>
          <w:szCs w:val="21"/>
        </w:rPr>
      </w:pPr>
      <w:r>
        <w:rPr>
          <w:rFonts w:ascii="宋体" w:hAnsi="宋体"/>
          <w:szCs w:val="21"/>
        </w:rPr>
        <w:t>我方在此确认招标人对招标文件具有最终解释权。</w:t>
      </w:r>
    </w:p>
    <w:p>
      <w:pPr>
        <w:spacing w:line="360" w:lineRule="auto"/>
        <w:ind w:firstLine="420"/>
        <w:rPr>
          <w:rFonts w:ascii="宋体" w:hAnsi="宋体"/>
          <w:szCs w:val="21"/>
        </w:rPr>
      </w:pPr>
      <w:r>
        <w:rPr>
          <w:rFonts w:ascii="宋体" w:hAnsi="宋体"/>
          <w:szCs w:val="21"/>
        </w:rPr>
        <w:t>我方已详细研究了招标文件包括修改文件(如果有)和所有已提供的参考资料以及有关附件并完全明白，我方放弃在此方面提出含糊意见或误解的一切权利。</w:t>
      </w:r>
    </w:p>
    <w:p>
      <w:pPr>
        <w:spacing w:line="360" w:lineRule="auto"/>
        <w:ind w:firstLine="420" w:firstLineChars="200"/>
        <w:jc w:val="left"/>
        <w:rPr>
          <w:rFonts w:ascii="宋体" w:hAnsi="宋体"/>
          <w:kern w:val="0"/>
          <w:szCs w:val="21"/>
        </w:rPr>
      </w:pPr>
      <w:r>
        <w:rPr>
          <w:rFonts w:ascii="宋体" w:hAnsi="宋体"/>
          <w:kern w:val="0"/>
          <w:szCs w:val="21"/>
        </w:rPr>
        <w:t>在合同协议书正式签署生效之前，本投标函连同贵方的中标通知书将构成贵我双方共同遵守的文件，对双方具有约束力。</w:t>
      </w:r>
    </w:p>
    <w:p>
      <w:pPr>
        <w:spacing w:line="360" w:lineRule="auto"/>
        <w:ind w:firstLine="420" w:firstLineChars="200"/>
        <w:jc w:val="left"/>
        <w:rPr>
          <w:rFonts w:ascii="宋体" w:hAnsi="宋体"/>
          <w:kern w:val="0"/>
          <w:szCs w:val="21"/>
        </w:rPr>
      </w:pPr>
      <w:r>
        <w:rPr>
          <w:rFonts w:ascii="宋体" w:hAnsi="宋体"/>
          <w:kern w:val="0"/>
          <w:szCs w:val="21"/>
        </w:rPr>
        <w:t>在本项目合同履约过程中，合同约定的税率必须遵照国家现行税法执行，最终税金在结算阶段按实际产生的税金进行核算，但合同不含税价格不因国家税率调整而调整。</w: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r>
        <w:rPr>
          <w:rFonts w:ascii="宋体" w:hAnsi="宋体"/>
          <w:szCs w:val="21"/>
        </w:rPr>
        <w:t>投标人地址：</w:t>
      </w:r>
      <w:r>
        <w:rPr>
          <w:rFonts w:ascii="宋体" w:hAnsi="宋体"/>
          <w:szCs w:val="21"/>
          <w:u w:val="single"/>
        </w:rPr>
        <w:t xml:space="preserve">                 </w:t>
      </w:r>
      <w:r>
        <w:rPr>
          <w:rFonts w:ascii="宋体" w:hAnsi="宋体"/>
          <w:szCs w:val="21"/>
        </w:rPr>
        <w:t xml:space="preserve">         投标人</w:t>
      </w:r>
      <w:r>
        <w:rPr>
          <w:rFonts w:hint="eastAsia" w:ascii="宋体" w:hAnsi="宋体"/>
          <w:szCs w:val="21"/>
          <w:u w:val="single"/>
        </w:rPr>
        <w:t xml:space="preserve"> </w:t>
      </w:r>
      <w:r>
        <w:rPr>
          <w:rFonts w:ascii="宋体" w:hAnsi="宋体"/>
          <w:szCs w:val="21"/>
          <w:u w:val="single"/>
        </w:rPr>
        <w:t xml:space="preserve">      (盖章)</w:t>
      </w:r>
      <w:r>
        <w:rPr>
          <w:rFonts w:hint="eastAsia" w:ascii="宋体" w:hAnsi="宋体"/>
          <w:szCs w:val="21"/>
          <w:u w:val="single"/>
        </w:rPr>
        <w:t xml:space="preserve">      </w:t>
      </w:r>
    </w:p>
    <w:p>
      <w:pPr>
        <w:spacing w:line="360" w:lineRule="auto"/>
        <w:ind w:firstLine="420" w:firstLineChars="200"/>
        <w:rPr>
          <w:rFonts w:ascii="宋体" w:hAnsi="宋体"/>
          <w:szCs w:val="21"/>
        </w:rPr>
      </w:pPr>
      <w:r>
        <w:rPr>
          <w:rFonts w:ascii="宋体" w:hAnsi="宋体"/>
          <w:szCs w:val="21"/>
        </w:rPr>
        <w:t xml:space="preserve">邮政编码：  </w:t>
      </w:r>
      <w:r>
        <w:rPr>
          <w:rFonts w:ascii="宋体" w:hAnsi="宋体"/>
          <w:szCs w:val="21"/>
          <w:u w:val="single"/>
        </w:rPr>
        <w:t xml:space="preserve">                 </w:t>
      </w:r>
      <w:r>
        <w:rPr>
          <w:rFonts w:ascii="宋体" w:hAnsi="宋体"/>
          <w:szCs w:val="21"/>
        </w:rPr>
        <w:t xml:space="preserve">         </w:t>
      </w:r>
      <w:r>
        <w:rPr>
          <w:rFonts w:hint="eastAsia" w:ascii="宋体" w:hAnsi="宋体"/>
          <w:szCs w:val="21"/>
        </w:rPr>
        <w:t>法定代表人或其委托代理人：</w:t>
      </w:r>
    </w:p>
    <w:p>
      <w:pPr>
        <w:spacing w:line="360" w:lineRule="auto"/>
        <w:ind w:firstLine="420" w:firstLineChars="200"/>
        <w:rPr>
          <w:rFonts w:ascii="宋体" w:hAnsi="宋体"/>
          <w:szCs w:val="21"/>
          <w:u w:val="single"/>
        </w:rPr>
      </w:pPr>
      <w:r>
        <w:rPr>
          <w:rFonts w:ascii="宋体" w:hAnsi="宋体"/>
          <w:szCs w:val="21"/>
        </w:rPr>
        <w:t xml:space="preserve">电    话：  </w:t>
      </w:r>
      <w:r>
        <w:rPr>
          <w:rFonts w:ascii="宋体" w:hAnsi="宋体"/>
          <w:szCs w:val="21"/>
          <w:u w:val="single"/>
        </w:rPr>
        <w:t xml:space="preserve"> 　　            </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(签字</w:t>
      </w:r>
      <w:r>
        <w:rPr>
          <w:rFonts w:hint="eastAsia" w:ascii="宋体" w:hAnsi="宋体"/>
          <w:szCs w:val="21"/>
          <w:u w:val="single"/>
        </w:rPr>
        <w:t>或盖章</w:t>
      </w:r>
      <w:r>
        <w:rPr>
          <w:rFonts w:ascii="宋体" w:hAnsi="宋体"/>
          <w:szCs w:val="21"/>
          <w:u w:val="single"/>
        </w:rPr>
        <w:t>)</w:t>
      </w:r>
      <w:r>
        <w:rPr>
          <w:rFonts w:hint="eastAsia" w:ascii="宋体" w:hAnsi="宋体"/>
          <w:szCs w:val="21"/>
          <w:u w:val="single"/>
        </w:rPr>
        <w:t xml:space="preserve">       </w:t>
      </w:r>
    </w:p>
    <w:p>
      <w:pPr>
        <w:spacing w:line="276" w:lineRule="auto"/>
        <w:ind w:firstLine="420" w:firstLineChars="200"/>
        <w:rPr>
          <w:rFonts w:ascii="宋体" w:hAnsi="宋体"/>
          <w:szCs w:val="21"/>
        </w:rPr>
      </w:pPr>
      <w:r>
        <w:rPr>
          <w:rFonts w:ascii="宋体" w:hAnsi="宋体"/>
          <w:szCs w:val="21"/>
        </w:rPr>
        <w:t xml:space="preserve">传    真：  </w:t>
      </w:r>
      <w:r>
        <w:rPr>
          <w:rFonts w:ascii="宋体" w:hAnsi="宋体"/>
          <w:szCs w:val="21"/>
          <w:u w:val="single"/>
        </w:rPr>
        <w:t xml:space="preserve">                 </w:t>
      </w:r>
      <w:r>
        <w:rPr>
          <w:rFonts w:ascii="宋体" w:hAnsi="宋体"/>
          <w:szCs w:val="21"/>
        </w:rPr>
        <w:t xml:space="preserve">         日期：</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ascii="宋体" w:hAnsi="宋体"/>
          <w:szCs w:val="21"/>
        </w:rPr>
        <w:t>日</w:t>
      </w:r>
      <w:bookmarkEnd w:id="845"/>
      <w:bookmarkEnd w:id="846"/>
      <w:bookmarkEnd w:id="847"/>
    </w:p>
    <w:p>
      <w:pPr>
        <w:keepNext/>
        <w:keepLines/>
        <w:spacing w:line="360" w:lineRule="auto"/>
        <w:jc w:val="left"/>
        <w:outlineLvl w:val="3"/>
        <w:rPr>
          <w:rFonts w:ascii="宋体" w:hAnsi="宋体"/>
          <w:b/>
          <w:szCs w:val="28"/>
        </w:rPr>
      </w:pPr>
      <w:bookmarkStart w:id="848" w:name="_Toc11129"/>
      <w:bookmarkStart w:id="849" w:name="_Toc10088"/>
      <w:bookmarkStart w:id="850" w:name="_Toc32624"/>
      <w:bookmarkStart w:id="851" w:name="_Toc31938"/>
      <w:r>
        <w:rPr>
          <w:rFonts w:ascii="宋体" w:hAnsi="宋体"/>
          <w:b/>
          <w:szCs w:val="28"/>
        </w:rPr>
        <w:br w:type="page"/>
      </w:r>
      <w:r>
        <w:rPr>
          <w:rFonts w:hint="eastAsia" w:ascii="宋体" w:hAnsi="宋体"/>
          <w:b/>
          <w:szCs w:val="28"/>
        </w:rPr>
        <w:t>格式D2：投标报价表</w:t>
      </w:r>
      <w:bookmarkEnd w:id="848"/>
      <w:bookmarkEnd w:id="849"/>
      <w:bookmarkEnd w:id="850"/>
      <w:bookmarkEnd w:id="851"/>
    </w:p>
    <w:p>
      <w:pPr>
        <w:spacing w:line="480" w:lineRule="auto"/>
        <w:jc w:val="center"/>
        <w:rPr>
          <w:rFonts w:ascii="宋体" w:hAnsi="宋体"/>
          <w:b/>
          <w:bCs/>
          <w:kern w:val="0"/>
          <w:sz w:val="28"/>
          <w:szCs w:val="28"/>
        </w:rPr>
      </w:pPr>
      <w:r>
        <w:rPr>
          <w:rFonts w:hint="eastAsia" w:ascii="宋体" w:hAnsi="宋体"/>
          <w:b/>
          <w:bCs/>
          <w:kern w:val="0"/>
          <w:sz w:val="28"/>
          <w:szCs w:val="28"/>
        </w:rPr>
        <w:t>投标报价表</w:t>
      </w:r>
    </w:p>
    <w:p>
      <w:pPr>
        <w:spacing w:line="360" w:lineRule="auto"/>
        <w:rPr>
          <w:rFonts w:ascii="宋体" w:hAnsi="宋体"/>
          <w:sz w:val="28"/>
          <w:szCs w:val="28"/>
        </w:rPr>
      </w:pPr>
      <w:r>
        <w:rPr>
          <w:rFonts w:hint="eastAsia" w:ascii="宋体" w:hAnsi="宋体"/>
          <w:szCs w:val="21"/>
        </w:rPr>
        <w:t>项目名称：南宁轨道数智科技有限公司资产管理系统采购项目</w:t>
      </w:r>
    </w:p>
    <w:tbl>
      <w:tblPr>
        <w:tblStyle w:val="51"/>
        <w:tblW w:w="53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2"/>
        <w:gridCol w:w="1726"/>
        <w:gridCol w:w="1524"/>
        <w:gridCol w:w="1983"/>
        <w:gridCol w:w="1274"/>
        <w:gridCol w:w="1135"/>
        <w:gridCol w:w="850"/>
        <w:gridCol w:w="711"/>
      </w:tblGrid>
      <w:tr>
        <w:trPr>
          <w:trHeight w:val="1152" w:hRule="atLeast"/>
        </w:trPr>
        <w:tc>
          <w:tcPr>
            <w:tcW w:w="234" w:type="pct"/>
            <w:noWrap/>
            <w:tcMar>
              <w:top w:w="15" w:type="dxa"/>
              <w:left w:w="15" w:type="dxa"/>
              <w:right w:w="15"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序号</w:t>
            </w:r>
          </w:p>
        </w:tc>
        <w:tc>
          <w:tcPr>
            <w:tcW w:w="894" w:type="pct"/>
            <w:noWrap/>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项目名称</w:t>
            </w:r>
          </w:p>
        </w:tc>
        <w:tc>
          <w:tcPr>
            <w:tcW w:w="789" w:type="pct"/>
            <w:noWrap/>
            <w:tcMar>
              <w:top w:w="15" w:type="dxa"/>
              <w:left w:w="15" w:type="dxa"/>
              <w:right w:w="15"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分项</w:t>
            </w:r>
          </w:p>
        </w:tc>
        <w:tc>
          <w:tcPr>
            <w:tcW w:w="1027" w:type="pct"/>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不含税投标报价合计</w:t>
            </w:r>
          </w:p>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(元)</w:t>
            </w:r>
          </w:p>
        </w:tc>
        <w:tc>
          <w:tcPr>
            <w:tcW w:w="660" w:type="pct"/>
            <w:noWrap/>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税额（元）</w:t>
            </w:r>
          </w:p>
        </w:tc>
        <w:tc>
          <w:tcPr>
            <w:tcW w:w="588" w:type="pct"/>
            <w:noWrap/>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含税投标报价合计</w:t>
            </w:r>
          </w:p>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(元)</w:t>
            </w:r>
          </w:p>
        </w:tc>
        <w:tc>
          <w:tcPr>
            <w:tcW w:w="440" w:type="pct"/>
            <w:noWrap/>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税率（</w:t>
            </w:r>
            <w:r>
              <w:rPr>
                <w:rFonts w:ascii="宋体" w:hAnsi="宋体" w:cs="宋体"/>
                <w:b/>
                <w:kern w:val="0"/>
                <w:szCs w:val="21"/>
                <w:lang w:bidi="ar"/>
              </w:rPr>
              <w:t>%）</w:t>
            </w:r>
          </w:p>
        </w:tc>
        <w:tc>
          <w:tcPr>
            <w:tcW w:w="368" w:type="pct"/>
            <w:noWrap/>
            <w:tcMar>
              <w:top w:w="15" w:type="dxa"/>
              <w:left w:w="15" w:type="dxa"/>
              <w:right w:w="15"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备注</w:t>
            </w:r>
          </w:p>
        </w:tc>
      </w:tr>
      <w:tr>
        <w:trPr>
          <w:trHeight w:val="540" w:hRule="atLeast"/>
        </w:trPr>
        <w:tc>
          <w:tcPr>
            <w:tcW w:w="234" w:type="pct"/>
            <w:vMerge w:val="restart"/>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1</w:t>
            </w:r>
          </w:p>
        </w:tc>
        <w:tc>
          <w:tcPr>
            <w:tcW w:w="894" w:type="pct"/>
            <w:vMerge w:val="restart"/>
            <w:tcMar>
              <w:top w:w="15" w:type="dxa"/>
              <w:left w:w="15" w:type="dxa"/>
              <w:right w:w="15" w:type="dxa"/>
            </w:tcMar>
            <w:vAlign w:val="center"/>
          </w:tcPr>
          <w:p>
            <w:pPr>
              <w:widowControl/>
              <w:jc w:val="left"/>
              <w:textAlignment w:val="center"/>
              <w:rPr>
                <w:rFonts w:ascii="宋体" w:hAnsi="宋体" w:cs="宋体"/>
                <w:b/>
                <w:kern w:val="0"/>
                <w:szCs w:val="21"/>
                <w:lang w:bidi="ar"/>
              </w:rPr>
            </w:pPr>
            <w:r>
              <w:rPr>
                <w:rFonts w:hint="eastAsia" w:ascii="宋体" w:hAnsi="宋体" w:cs="宋体"/>
                <w:b/>
                <w:kern w:val="0"/>
                <w:szCs w:val="21"/>
                <w:lang w:bidi="ar"/>
              </w:rPr>
              <w:t>南宁轨道数智科技有限公司资产管理系统采购项目</w:t>
            </w:r>
          </w:p>
        </w:tc>
        <w:tc>
          <w:tcPr>
            <w:tcW w:w="789" w:type="pct"/>
            <w:tcMar>
              <w:top w:w="15" w:type="dxa"/>
              <w:left w:w="15" w:type="dxa"/>
              <w:right w:w="15" w:type="dxa"/>
            </w:tcMar>
            <w:vAlign w:val="center"/>
          </w:tcPr>
          <w:p>
            <w:pPr>
              <w:jc w:val="left"/>
              <w:rPr>
                <w:rFonts w:ascii="宋体" w:hAnsi="宋体" w:cs="宋体"/>
                <w:b/>
                <w:kern w:val="0"/>
                <w:szCs w:val="21"/>
                <w:lang w:bidi="ar"/>
              </w:rPr>
            </w:pPr>
            <w:r>
              <w:rPr>
                <w:rFonts w:hint="eastAsia" w:ascii="宋体" w:hAnsi="宋体" w:cs="宋体"/>
                <w:b/>
                <w:kern w:val="0"/>
                <w:szCs w:val="21"/>
                <w:lang w:bidi="ar"/>
              </w:rPr>
              <w:t>软件</w:t>
            </w:r>
            <w:r>
              <w:rPr>
                <w:rFonts w:ascii="宋体" w:hAnsi="宋体" w:cs="宋体"/>
                <w:b/>
                <w:kern w:val="0"/>
                <w:szCs w:val="21"/>
                <w:lang w:bidi="ar"/>
              </w:rPr>
              <w:t>产品</w:t>
            </w:r>
          </w:p>
        </w:tc>
        <w:tc>
          <w:tcPr>
            <w:tcW w:w="1027" w:type="pct"/>
          </w:tcPr>
          <w:p>
            <w:pPr>
              <w:jc w:val="left"/>
              <w:rPr>
                <w:rFonts w:ascii="宋体" w:hAnsi="宋体" w:cs="宋体"/>
                <w:b/>
                <w:kern w:val="0"/>
                <w:szCs w:val="21"/>
                <w:lang w:bidi="ar"/>
              </w:rPr>
            </w:pPr>
            <w:r>
              <w:rPr>
                <w:rFonts w:hint="eastAsia" w:ascii="宋体" w:hAnsi="宋体" w:cs="宋体"/>
                <w:b/>
                <w:kern w:val="0"/>
                <w:szCs w:val="21"/>
                <w:lang w:bidi="ar"/>
              </w:rPr>
              <w:t>大写：</w:t>
            </w:r>
          </w:p>
          <w:p>
            <w:pPr>
              <w:jc w:val="left"/>
              <w:rPr>
                <w:rFonts w:ascii="宋体" w:hAnsi="宋体" w:cs="宋体"/>
                <w:b/>
                <w:kern w:val="0"/>
                <w:szCs w:val="21"/>
                <w:lang w:bidi="ar"/>
              </w:rPr>
            </w:pPr>
            <w:r>
              <w:rPr>
                <w:rFonts w:hint="eastAsia" w:ascii="宋体" w:hAnsi="宋体" w:cs="宋体"/>
                <w:b/>
                <w:kern w:val="0"/>
                <w:szCs w:val="21"/>
                <w:lang w:bidi="ar"/>
              </w:rPr>
              <w:t>小写：</w:t>
            </w:r>
          </w:p>
        </w:tc>
        <w:tc>
          <w:tcPr>
            <w:tcW w:w="660" w:type="pct"/>
            <w:noWrap/>
            <w:tcMar>
              <w:top w:w="15" w:type="dxa"/>
              <w:left w:w="15" w:type="dxa"/>
              <w:right w:w="15" w:type="dxa"/>
            </w:tcMar>
          </w:tcPr>
          <w:p>
            <w:pPr>
              <w:jc w:val="left"/>
              <w:rPr>
                <w:rFonts w:ascii="宋体" w:hAnsi="宋体" w:cs="宋体"/>
                <w:b/>
                <w:kern w:val="0"/>
                <w:szCs w:val="21"/>
                <w:lang w:bidi="ar"/>
              </w:rPr>
            </w:pPr>
            <w:r>
              <w:rPr>
                <w:rFonts w:hint="eastAsia" w:ascii="宋体" w:hAnsi="宋体" w:cs="宋体"/>
                <w:b/>
                <w:kern w:val="0"/>
                <w:szCs w:val="21"/>
                <w:lang w:bidi="ar"/>
              </w:rPr>
              <w:t>大写：</w:t>
            </w:r>
          </w:p>
          <w:p>
            <w:pPr>
              <w:jc w:val="left"/>
              <w:rPr>
                <w:rFonts w:ascii="宋体" w:hAnsi="宋体" w:cs="宋体"/>
                <w:b/>
                <w:kern w:val="0"/>
                <w:szCs w:val="21"/>
                <w:lang w:bidi="ar"/>
              </w:rPr>
            </w:pPr>
            <w:r>
              <w:rPr>
                <w:rFonts w:hint="eastAsia" w:ascii="宋体" w:hAnsi="宋体" w:cs="宋体"/>
                <w:b/>
                <w:kern w:val="0"/>
                <w:szCs w:val="21"/>
                <w:lang w:bidi="ar"/>
              </w:rPr>
              <w:t>小写：</w:t>
            </w:r>
          </w:p>
        </w:tc>
        <w:tc>
          <w:tcPr>
            <w:tcW w:w="588" w:type="pct"/>
            <w:noWrap/>
            <w:tcMar>
              <w:top w:w="15" w:type="dxa"/>
              <w:left w:w="15" w:type="dxa"/>
              <w:right w:w="15" w:type="dxa"/>
            </w:tcMar>
          </w:tcPr>
          <w:p>
            <w:pPr>
              <w:jc w:val="left"/>
              <w:rPr>
                <w:rFonts w:ascii="宋体" w:hAnsi="宋体" w:cs="宋体"/>
                <w:b/>
                <w:kern w:val="0"/>
                <w:szCs w:val="21"/>
                <w:lang w:bidi="ar"/>
              </w:rPr>
            </w:pPr>
            <w:r>
              <w:rPr>
                <w:rFonts w:hint="eastAsia" w:ascii="宋体" w:hAnsi="宋体" w:cs="宋体"/>
                <w:b/>
                <w:kern w:val="0"/>
                <w:szCs w:val="21"/>
                <w:lang w:bidi="ar"/>
              </w:rPr>
              <w:t>大写：</w:t>
            </w:r>
          </w:p>
          <w:p>
            <w:pPr>
              <w:jc w:val="left"/>
              <w:rPr>
                <w:rFonts w:ascii="宋体" w:hAnsi="宋体" w:cs="宋体"/>
                <w:b/>
                <w:kern w:val="0"/>
                <w:szCs w:val="21"/>
                <w:lang w:bidi="ar"/>
              </w:rPr>
            </w:pPr>
            <w:r>
              <w:rPr>
                <w:rFonts w:hint="eastAsia" w:ascii="宋体" w:hAnsi="宋体" w:cs="宋体"/>
                <w:b/>
                <w:kern w:val="0"/>
                <w:szCs w:val="21"/>
                <w:lang w:bidi="ar"/>
              </w:rPr>
              <w:t>小写：</w:t>
            </w:r>
          </w:p>
        </w:tc>
        <w:tc>
          <w:tcPr>
            <w:tcW w:w="440" w:type="pct"/>
            <w:noWrap/>
            <w:tcMar>
              <w:top w:w="15" w:type="dxa"/>
              <w:left w:w="15" w:type="dxa"/>
              <w:right w:w="15" w:type="dxa"/>
            </w:tcMar>
            <w:vAlign w:val="center"/>
          </w:tcPr>
          <w:p>
            <w:pPr>
              <w:rPr>
                <w:rFonts w:ascii="宋体" w:hAnsi="宋体" w:cs="宋体"/>
                <w:szCs w:val="21"/>
              </w:rPr>
            </w:pPr>
            <w:r>
              <w:rPr>
                <w:rFonts w:hint="eastAsia" w:ascii="宋体" w:hAnsi="宋体" w:cs="宋体"/>
                <w:szCs w:val="21"/>
              </w:rPr>
              <w:t xml:space="preserve">   </w:t>
            </w:r>
          </w:p>
        </w:tc>
        <w:tc>
          <w:tcPr>
            <w:tcW w:w="368" w:type="pct"/>
            <w:noWrap/>
            <w:tcMar>
              <w:top w:w="15" w:type="dxa"/>
              <w:left w:w="15" w:type="dxa"/>
              <w:right w:w="15" w:type="dxa"/>
            </w:tcMar>
            <w:vAlign w:val="center"/>
          </w:tcPr>
          <w:p>
            <w:pPr>
              <w:rPr>
                <w:rFonts w:ascii="宋体" w:hAnsi="宋体" w:cs="宋体"/>
                <w:szCs w:val="21"/>
              </w:rPr>
            </w:pPr>
          </w:p>
        </w:tc>
      </w:tr>
      <w:tr>
        <w:trPr>
          <w:trHeight w:val="540" w:hRule="atLeast"/>
        </w:trPr>
        <w:tc>
          <w:tcPr>
            <w:tcW w:w="234" w:type="pct"/>
            <w:vMerge w:val="continue"/>
            <w:tcMar>
              <w:top w:w="15" w:type="dxa"/>
              <w:left w:w="15" w:type="dxa"/>
              <w:right w:w="15" w:type="dxa"/>
            </w:tcMar>
            <w:vAlign w:val="center"/>
          </w:tcPr>
          <w:p>
            <w:pPr>
              <w:widowControl/>
              <w:jc w:val="center"/>
              <w:textAlignment w:val="center"/>
              <w:rPr>
                <w:rFonts w:ascii="宋体" w:hAnsi="宋体" w:cs="宋体"/>
                <w:b/>
                <w:kern w:val="0"/>
                <w:szCs w:val="21"/>
                <w:lang w:bidi="ar"/>
              </w:rPr>
            </w:pPr>
          </w:p>
        </w:tc>
        <w:tc>
          <w:tcPr>
            <w:tcW w:w="894" w:type="pct"/>
            <w:vMerge w:val="continue"/>
            <w:tcMar>
              <w:top w:w="15" w:type="dxa"/>
              <w:left w:w="15" w:type="dxa"/>
              <w:right w:w="15" w:type="dxa"/>
            </w:tcMar>
            <w:vAlign w:val="center"/>
          </w:tcPr>
          <w:p>
            <w:pPr>
              <w:widowControl/>
              <w:jc w:val="left"/>
              <w:textAlignment w:val="center"/>
              <w:rPr>
                <w:rFonts w:ascii="宋体" w:hAnsi="宋体" w:cs="宋体"/>
                <w:b/>
                <w:kern w:val="0"/>
                <w:szCs w:val="21"/>
                <w:lang w:bidi="ar"/>
              </w:rPr>
            </w:pPr>
          </w:p>
        </w:tc>
        <w:tc>
          <w:tcPr>
            <w:tcW w:w="789" w:type="pct"/>
            <w:tcMar>
              <w:top w:w="15" w:type="dxa"/>
              <w:left w:w="15" w:type="dxa"/>
              <w:right w:w="15" w:type="dxa"/>
            </w:tcMar>
            <w:vAlign w:val="center"/>
          </w:tcPr>
          <w:p>
            <w:pPr>
              <w:jc w:val="left"/>
              <w:rPr>
                <w:rFonts w:ascii="宋体" w:hAnsi="宋体" w:cs="宋体"/>
                <w:b/>
                <w:kern w:val="0"/>
                <w:szCs w:val="21"/>
                <w:lang w:bidi="ar"/>
              </w:rPr>
            </w:pPr>
            <w:r>
              <w:rPr>
                <w:rFonts w:hint="eastAsia" w:ascii="宋体" w:hAnsi="宋体" w:cs="宋体"/>
                <w:b/>
                <w:kern w:val="0"/>
                <w:szCs w:val="21"/>
                <w:lang w:bidi="ar"/>
              </w:rPr>
              <w:t>软件</w:t>
            </w:r>
            <w:r>
              <w:rPr>
                <w:rFonts w:ascii="宋体" w:hAnsi="宋体" w:cs="宋体"/>
                <w:b/>
                <w:kern w:val="0"/>
                <w:szCs w:val="21"/>
                <w:lang w:bidi="ar"/>
              </w:rPr>
              <w:t>服务</w:t>
            </w:r>
          </w:p>
        </w:tc>
        <w:tc>
          <w:tcPr>
            <w:tcW w:w="1027" w:type="pct"/>
          </w:tcPr>
          <w:p>
            <w:pPr>
              <w:jc w:val="left"/>
              <w:rPr>
                <w:rFonts w:ascii="宋体" w:hAnsi="宋体" w:cs="宋体"/>
                <w:b/>
                <w:kern w:val="0"/>
                <w:szCs w:val="21"/>
                <w:lang w:bidi="ar"/>
              </w:rPr>
            </w:pPr>
            <w:r>
              <w:rPr>
                <w:rFonts w:hint="eastAsia" w:ascii="宋体" w:hAnsi="宋体" w:cs="宋体"/>
                <w:b/>
                <w:kern w:val="0"/>
                <w:szCs w:val="21"/>
                <w:lang w:bidi="ar"/>
              </w:rPr>
              <w:t>大写：</w:t>
            </w:r>
          </w:p>
          <w:p>
            <w:pPr>
              <w:jc w:val="left"/>
              <w:rPr>
                <w:rFonts w:ascii="宋体" w:hAnsi="宋体" w:cs="宋体"/>
                <w:b/>
                <w:kern w:val="0"/>
                <w:szCs w:val="21"/>
                <w:lang w:bidi="ar"/>
              </w:rPr>
            </w:pPr>
            <w:r>
              <w:rPr>
                <w:rFonts w:hint="eastAsia" w:ascii="宋体" w:hAnsi="宋体" w:cs="宋体"/>
                <w:b/>
                <w:kern w:val="0"/>
                <w:szCs w:val="21"/>
                <w:lang w:bidi="ar"/>
              </w:rPr>
              <w:t>小写：</w:t>
            </w:r>
          </w:p>
        </w:tc>
        <w:tc>
          <w:tcPr>
            <w:tcW w:w="660" w:type="pct"/>
            <w:noWrap/>
            <w:tcMar>
              <w:top w:w="15" w:type="dxa"/>
              <w:left w:w="15" w:type="dxa"/>
              <w:right w:w="15" w:type="dxa"/>
            </w:tcMar>
          </w:tcPr>
          <w:p>
            <w:pPr>
              <w:jc w:val="left"/>
              <w:rPr>
                <w:rFonts w:ascii="宋体" w:hAnsi="宋体" w:cs="宋体"/>
                <w:b/>
                <w:kern w:val="0"/>
                <w:szCs w:val="21"/>
                <w:lang w:bidi="ar"/>
              </w:rPr>
            </w:pPr>
            <w:r>
              <w:rPr>
                <w:rFonts w:hint="eastAsia" w:ascii="宋体" w:hAnsi="宋体" w:cs="宋体"/>
                <w:b/>
                <w:kern w:val="0"/>
                <w:szCs w:val="21"/>
                <w:lang w:bidi="ar"/>
              </w:rPr>
              <w:t>大写：</w:t>
            </w:r>
          </w:p>
          <w:p>
            <w:pPr>
              <w:jc w:val="left"/>
              <w:rPr>
                <w:rFonts w:ascii="宋体" w:hAnsi="宋体" w:cs="宋体"/>
                <w:b/>
                <w:kern w:val="0"/>
                <w:szCs w:val="21"/>
                <w:lang w:bidi="ar"/>
              </w:rPr>
            </w:pPr>
            <w:r>
              <w:rPr>
                <w:rFonts w:hint="eastAsia" w:ascii="宋体" w:hAnsi="宋体" w:cs="宋体"/>
                <w:b/>
                <w:kern w:val="0"/>
                <w:szCs w:val="21"/>
                <w:lang w:bidi="ar"/>
              </w:rPr>
              <w:t>小写：</w:t>
            </w:r>
          </w:p>
        </w:tc>
        <w:tc>
          <w:tcPr>
            <w:tcW w:w="588" w:type="pct"/>
            <w:noWrap/>
            <w:tcMar>
              <w:top w:w="15" w:type="dxa"/>
              <w:left w:w="15" w:type="dxa"/>
              <w:right w:w="15" w:type="dxa"/>
            </w:tcMar>
          </w:tcPr>
          <w:p>
            <w:pPr>
              <w:jc w:val="left"/>
              <w:rPr>
                <w:rFonts w:ascii="宋体" w:hAnsi="宋体" w:cs="宋体"/>
                <w:b/>
                <w:kern w:val="0"/>
                <w:szCs w:val="21"/>
                <w:lang w:bidi="ar"/>
              </w:rPr>
            </w:pPr>
            <w:r>
              <w:rPr>
                <w:rFonts w:hint="eastAsia" w:ascii="宋体" w:hAnsi="宋体" w:cs="宋体"/>
                <w:b/>
                <w:kern w:val="0"/>
                <w:szCs w:val="21"/>
                <w:lang w:bidi="ar"/>
              </w:rPr>
              <w:t>大写：</w:t>
            </w:r>
          </w:p>
          <w:p>
            <w:pPr>
              <w:jc w:val="left"/>
              <w:rPr>
                <w:rFonts w:ascii="宋体" w:hAnsi="宋体" w:cs="宋体"/>
                <w:b/>
                <w:kern w:val="0"/>
                <w:szCs w:val="21"/>
                <w:lang w:bidi="ar"/>
              </w:rPr>
            </w:pPr>
            <w:r>
              <w:rPr>
                <w:rFonts w:hint="eastAsia" w:ascii="宋体" w:hAnsi="宋体" w:cs="宋体"/>
                <w:b/>
                <w:kern w:val="0"/>
                <w:szCs w:val="21"/>
                <w:lang w:bidi="ar"/>
              </w:rPr>
              <w:t>小写：</w:t>
            </w:r>
          </w:p>
        </w:tc>
        <w:tc>
          <w:tcPr>
            <w:tcW w:w="440" w:type="pct"/>
            <w:noWrap/>
            <w:tcMar>
              <w:top w:w="15" w:type="dxa"/>
              <w:left w:w="15" w:type="dxa"/>
              <w:right w:w="15" w:type="dxa"/>
            </w:tcMar>
            <w:vAlign w:val="center"/>
          </w:tcPr>
          <w:p>
            <w:pPr>
              <w:rPr>
                <w:rFonts w:ascii="宋体" w:hAnsi="宋体" w:cs="宋体"/>
                <w:szCs w:val="21"/>
              </w:rPr>
            </w:pPr>
          </w:p>
        </w:tc>
        <w:tc>
          <w:tcPr>
            <w:tcW w:w="368" w:type="pct"/>
            <w:noWrap/>
            <w:tcMar>
              <w:top w:w="15" w:type="dxa"/>
              <w:left w:w="15" w:type="dxa"/>
              <w:right w:w="15" w:type="dxa"/>
            </w:tcMar>
            <w:vAlign w:val="center"/>
          </w:tcPr>
          <w:p>
            <w:pPr>
              <w:rPr>
                <w:rFonts w:ascii="宋体" w:hAnsi="宋体" w:cs="宋体"/>
                <w:szCs w:val="21"/>
              </w:rPr>
            </w:pPr>
          </w:p>
        </w:tc>
      </w:tr>
      <w:tr>
        <w:trPr>
          <w:trHeight w:val="540" w:hRule="atLeast"/>
        </w:trPr>
        <w:tc>
          <w:tcPr>
            <w:tcW w:w="5000" w:type="pct"/>
            <w:gridSpan w:val="8"/>
          </w:tcPr>
          <w:p>
            <w:pPr>
              <w:rPr>
                <w:rFonts w:ascii="宋体" w:hAnsi="宋体" w:cs="宋体"/>
                <w:szCs w:val="21"/>
              </w:rPr>
            </w:pPr>
            <w:r>
              <w:rPr>
                <w:rFonts w:hint="eastAsia" w:ascii="宋体" w:hAnsi="宋体" w:cs="宋体"/>
                <w:b/>
                <w:kern w:val="0"/>
                <w:szCs w:val="21"/>
                <w:lang w:bidi="ar"/>
              </w:rPr>
              <w:t>服务期：本项目实施周期暂定14个月，并在项目签订《项目</w:t>
            </w:r>
            <w:r>
              <w:rPr>
                <w:rFonts w:ascii="宋体" w:hAnsi="宋体" w:cs="宋体"/>
                <w:b/>
                <w:kern w:val="0"/>
                <w:szCs w:val="21"/>
                <w:lang w:bidi="ar"/>
              </w:rPr>
              <w:t>验收报告</w:t>
            </w:r>
            <w:r>
              <w:rPr>
                <w:rFonts w:hint="eastAsia" w:ascii="宋体" w:hAnsi="宋体" w:cs="宋体"/>
                <w:b/>
                <w:kern w:val="0"/>
                <w:szCs w:val="21"/>
                <w:lang w:bidi="ar"/>
              </w:rPr>
              <w:t>》后的第二天开始进入12个月的质保期，投标人在质保期内须提供项目有关质保服务。</w:t>
            </w:r>
          </w:p>
        </w:tc>
      </w:tr>
      <w:tr>
        <w:trPr>
          <w:trHeight w:val="540" w:hRule="atLeast"/>
        </w:trPr>
        <w:tc>
          <w:tcPr>
            <w:tcW w:w="5000" w:type="pct"/>
            <w:gridSpan w:val="8"/>
          </w:tcPr>
          <w:p>
            <w:pPr>
              <w:rPr>
                <w:rFonts w:ascii="宋体" w:hAnsi="宋体" w:cs="宋体"/>
                <w:b/>
                <w:kern w:val="0"/>
                <w:szCs w:val="21"/>
                <w:lang w:bidi="ar"/>
              </w:rPr>
            </w:pPr>
            <w:r>
              <w:rPr>
                <w:rFonts w:hint="eastAsia" w:ascii="宋体" w:hAnsi="宋体" w:cs="宋体"/>
                <w:b/>
                <w:kern w:val="0"/>
                <w:szCs w:val="21"/>
                <w:lang w:bidi="ar"/>
              </w:rPr>
              <w:t>服务质量：</w:t>
            </w:r>
            <w:r>
              <w:rPr>
                <w:rFonts w:hint="eastAsia" w:ascii="宋体" w:hAnsi="宋体" w:cs="宋体"/>
                <w:b/>
                <w:kern w:val="0"/>
                <w:szCs w:val="21"/>
                <w:u w:val="single"/>
                <w:lang w:bidi="ar"/>
              </w:rPr>
              <w:t>满足国家现行规范、标准、招标文件要求和项目实际需要</w:t>
            </w:r>
            <w:r>
              <w:rPr>
                <w:rFonts w:hint="eastAsia" w:ascii="宋体" w:hAnsi="宋体" w:cs="宋体"/>
                <w:b/>
                <w:kern w:val="0"/>
                <w:szCs w:val="21"/>
                <w:lang w:bidi="ar"/>
              </w:rPr>
              <w:t>。</w:t>
            </w:r>
          </w:p>
        </w:tc>
      </w:tr>
    </w:tbl>
    <w:p>
      <w:pPr>
        <w:pStyle w:val="50"/>
        <w:spacing w:after="0" w:line="360" w:lineRule="auto"/>
        <w:ind w:left="0" w:leftChars="0"/>
        <w:rPr>
          <w:rFonts w:ascii="宋体" w:hAnsi="宋体" w:eastAsia="宋体"/>
          <w:sz w:val="21"/>
          <w:szCs w:val="21"/>
        </w:rPr>
      </w:pPr>
      <w:r>
        <w:rPr>
          <w:sz w:val="21"/>
          <w:szCs w:val="21"/>
        </w:rPr>
        <w:t>注</w:t>
      </w:r>
      <w:r>
        <w:rPr>
          <w:rFonts w:hint="eastAsia" w:ascii="宋体" w:hAnsi="宋体" w:eastAsia="宋体"/>
          <w:sz w:val="21"/>
          <w:szCs w:val="21"/>
        </w:rPr>
        <w:t>：</w:t>
      </w:r>
    </w:p>
    <w:p>
      <w:pPr>
        <w:pStyle w:val="50"/>
        <w:spacing w:after="0" w:line="360" w:lineRule="auto"/>
        <w:ind w:left="0" w:leftChars="0"/>
        <w:rPr>
          <w:rFonts w:ascii="宋体" w:hAnsi="宋体" w:eastAsia="宋体"/>
          <w:sz w:val="21"/>
          <w:szCs w:val="21"/>
        </w:rPr>
      </w:pPr>
      <w:r>
        <w:rPr>
          <w:rFonts w:hint="eastAsia" w:ascii="宋体" w:hAnsi="宋体" w:eastAsia="宋体"/>
          <w:sz w:val="21"/>
          <w:szCs w:val="21"/>
        </w:rPr>
        <w:t>1.报价精确到小数点后两位。</w:t>
      </w:r>
    </w:p>
    <w:p>
      <w:pPr>
        <w:pStyle w:val="50"/>
        <w:spacing w:after="0" w:line="360" w:lineRule="auto"/>
        <w:ind w:left="0" w:leftChars="0"/>
        <w:rPr>
          <w:rFonts w:ascii="宋体" w:hAnsi="宋体" w:eastAsia="宋体"/>
          <w:sz w:val="21"/>
          <w:szCs w:val="21"/>
        </w:rPr>
      </w:pPr>
      <w:r>
        <w:rPr>
          <w:rFonts w:hint="eastAsia" w:ascii="宋体" w:hAnsi="宋体" w:eastAsia="宋体"/>
          <w:sz w:val="21"/>
          <w:szCs w:val="21"/>
        </w:rPr>
        <w:t>2.报价一经涂改，应在涂改处加盖投标人公章或者由法定代表人或被授权人签字或盖章，否则其投标作否决处理。</w:t>
      </w:r>
    </w:p>
    <w:p>
      <w:pPr>
        <w:pStyle w:val="50"/>
        <w:spacing w:after="0" w:line="360" w:lineRule="auto"/>
        <w:ind w:left="0" w:leftChars="0"/>
        <w:rPr>
          <w:rFonts w:ascii="宋体" w:hAnsi="宋体" w:eastAsia="宋体"/>
          <w:sz w:val="21"/>
          <w:szCs w:val="21"/>
        </w:rPr>
      </w:pPr>
      <w:r>
        <w:rPr>
          <w:rFonts w:hint="eastAsia" w:ascii="宋体" w:hAnsi="宋体" w:eastAsia="宋体"/>
          <w:sz w:val="21"/>
          <w:szCs w:val="21"/>
        </w:rPr>
        <w:t>3.投标人的含税投标报价不得超过招标上限控制价。</w:t>
      </w:r>
    </w:p>
    <w:p>
      <w:pPr>
        <w:pStyle w:val="50"/>
        <w:spacing w:after="0" w:line="360" w:lineRule="auto"/>
        <w:ind w:left="0" w:leftChars="0"/>
        <w:rPr>
          <w:rFonts w:ascii="宋体" w:hAnsi="宋体" w:eastAsia="宋体"/>
          <w:sz w:val="21"/>
          <w:szCs w:val="21"/>
        </w:rPr>
      </w:pPr>
      <w:r>
        <w:rPr>
          <w:rFonts w:hint="eastAsia" w:ascii="宋体" w:hAnsi="宋体" w:eastAsia="宋体"/>
          <w:sz w:val="21"/>
          <w:szCs w:val="21"/>
        </w:rPr>
        <w:t>4.投标人的投标报价，应包括本项目招标文件及合同条款中所列的全部内容，投标人不得以任何理由予以重复报价。</w:t>
      </w:r>
    </w:p>
    <w:p>
      <w:pPr>
        <w:pStyle w:val="50"/>
        <w:spacing w:after="0" w:line="360" w:lineRule="auto"/>
        <w:ind w:left="0" w:leftChars="0"/>
        <w:rPr>
          <w:rFonts w:ascii="宋体" w:hAnsi="宋体" w:eastAsia="宋体"/>
          <w:sz w:val="21"/>
          <w:szCs w:val="21"/>
        </w:rPr>
      </w:pPr>
      <w:r>
        <w:rPr>
          <w:rFonts w:hint="eastAsia" w:ascii="宋体" w:hAnsi="宋体" w:eastAsia="宋体"/>
          <w:sz w:val="21"/>
          <w:szCs w:val="21"/>
        </w:rPr>
        <w:t>5.本项目要求投标人开具的发票为增值税专用发票。</w:t>
      </w:r>
    </w:p>
    <w:p>
      <w:pPr>
        <w:spacing w:line="360" w:lineRule="auto"/>
        <w:jc w:val="center"/>
        <w:rPr>
          <w:rFonts w:ascii="宋体" w:hAnsi="宋体"/>
          <w:sz w:val="28"/>
          <w:szCs w:val="28"/>
        </w:rPr>
      </w:pPr>
    </w:p>
    <w:p>
      <w:pPr>
        <w:jc w:val="center"/>
        <w:rPr>
          <w:rFonts w:ascii="宋体" w:hAnsi="宋体"/>
          <w:b/>
          <w:sz w:val="28"/>
          <w:szCs w:val="28"/>
        </w:rPr>
      </w:pPr>
    </w:p>
    <w:p>
      <w:pPr>
        <w:spacing w:line="360" w:lineRule="auto"/>
        <w:ind w:firstLine="3465" w:firstLineChars="1650"/>
        <w:rPr>
          <w:rFonts w:ascii="宋体"/>
          <w:szCs w:val="21"/>
        </w:rPr>
      </w:pPr>
      <w:r>
        <w:rPr>
          <w:rFonts w:hint="eastAsia" w:ascii="宋体"/>
          <w:szCs w:val="21"/>
        </w:rPr>
        <w:t xml:space="preserve"> 投标人：</w:t>
      </w:r>
      <w:r>
        <w:rPr>
          <w:rFonts w:hint="eastAsia" w:ascii="宋体"/>
          <w:szCs w:val="21"/>
          <w:u w:val="single"/>
        </w:rPr>
        <w:t xml:space="preserve">            （公章） </w:t>
      </w:r>
    </w:p>
    <w:p>
      <w:pPr>
        <w:pStyle w:val="9"/>
        <w:spacing w:line="360" w:lineRule="auto"/>
        <w:ind w:left="2877" w:hanging="357"/>
        <w:rPr>
          <w:rFonts w:ascii="宋体"/>
          <w:szCs w:val="21"/>
        </w:rPr>
      </w:pPr>
      <w:r>
        <w:rPr>
          <w:rFonts w:hint="eastAsia" w:ascii="宋体"/>
          <w:szCs w:val="21"/>
        </w:rPr>
        <w:t xml:space="preserve">          法定代表人或其授权委托代理人：</w:t>
      </w:r>
      <w:r>
        <w:rPr>
          <w:rFonts w:hint="eastAsia" w:ascii="宋体"/>
          <w:szCs w:val="21"/>
          <w:u w:val="single"/>
        </w:rPr>
        <w:t xml:space="preserve">     （签字或盖章）</w:t>
      </w:r>
    </w:p>
    <w:p>
      <w:pPr>
        <w:rPr>
          <w:rFonts w:ascii="宋体"/>
          <w:szCs w:val="21"/>
          <w:u w:val="single"/>
        </w:rPr>
      </w:pPr>
      <w:r>
        <w:rPr>
          <w:rFonts w:hint="eastAsia" w:ascii="宋体"/>
          <w:szCs w:val="21"/>
        </w:rPr>
        <w:t xml:space="preserve">                                  日期：</w:t>
      </w:r>
      <w:r>
        <w:rPr>
          <w:rFonts w:hint="eastAsia" w:ascii="宋体"/>
          <w:szCs w:val="21"/>
          <w:u w:val="single"/>
        </w:rPr>
        <w:t xml:space="preserve">                </w:t>
      </w:r>
    </w:p>
    <w:p>
      <w:pPr>
        <w:keepNext/>
        <w:keepLines/>
        <w:spacing w:line="360" w:lineRule="auto"/>
        <w:jc w:val="left"/>
        <w:outlineLvl w:val="3"/>
        <w:rPr>
          <w:rFonts w:ascii="宋体" w:hAnsi="宋体"/>
          <w:b/>
          <w:sz w:val="20"/>
        </w:rPr>
      </w:pPr>
      <w:r>
        <w:br w:type="page"/>
      </w:r>
      <w:r>
        <w:rPr>
          <w:rFonts w:hint="eastAsia" w:ascii="宋体" w:hAnsi="宋体"/>
          <w:b/>
          <w:szCs w:val="28"/>
        </w:rPr>
        <w:t>格式D3：分项报价表</w:t>
      </w:r>
    </w:p>
    <w:p>
      <w:pPr>
        <w:spacing w:line="360" w:lineRule="auto"/>
        <w:jc w:val="center"/>
        <w:rPr>
          <w:rFonts w:ascii="宋体" w:hAnsi="宋体"/>
          <w:b/>
          <w:bCs/>
          <w:sz w:val="28"/>
          <w:szCs w:val="28"/>
        </w:rPr>
      </w:pPr>
      <w:r>
        <w:rPr>
          <w:rFonts w:hint="eastAsia" w:ascii="宋体" w:hAnsi="宋体"/>
          <w:b/>
          <w:bCs/>
          <w:sz w:val="24"/>
        </w:rPr>
        <w:t>分项报价表</w:t>
      </w:r>
    </w:p>
    <w:tbl>
      <w:tblPr>
        <w:tblStyle w:val="51"/>
        <w:tblW w:w="5879" w:type="pct"/>
        <w:jc w:val="center"/>
        <w:tblLayout w:type="autofit"/>
        <w:tblCellMar>
          <w:top w:w="0" w:type="dxa"/>
          <w:left w:w="0" w:type="dxa"/>
          <w:bottom w:w="0" w:type="dxa"/>
          <w:right w:w="0" w:type="dxa"/>
        </w:tblCellMar>
      </w:tblPr>
      <w:tblGrid>
        <w:gridCol w:w="535"/>
        <w:gridCol w:w="1747"/>
        <w:gridCol w:w="2342"/>
        <w:gridCol w:w="1689"/>
        <w:gridCol w:w="1145"/>
        <w:gridCol w:w="3205"/>
      </w:tblGrid>
      <w:tr>
        <w:trPr>
          <w:trHeight w:val="668" w:hRule="atLeast"/>
          <w:tblHeader/>
          <w:jc w:val="center"/>
        </w:trPr>
        <w:tc>
          <w:tcPr>
            <w:tcW w:w="251" w:type="pc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序号</w:t>
            </w:r>
          </w:p>
        </w:tc>
        <w:tc>
          <w:tcPr>
            <w:tcW w:w="819" w:type="pc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项目</w:t>
            </w:r>
          </w:p>
        </w:tc>
        <w:tc>
          <w:tcPr>
            <w:tcW w:w="1098" w:type="pc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描述</w:t>
            </w:r>
          </w:p>
        </w:tc>
        <w:tc>
          <w:tcPr>
            <w:tcW w:w="792" w:type="pc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szCs w:val="21"/>
              </w:rPr>
            </w:pPr>
            <w:r>
              <w:rPr>
                <w:rFonts w:ascii="宋体" w:hAnsi="宋体" w:cs="宋体"/>
                <w:b/>
                <w:kern w:val="0"/>
                <w:szCs w:val="21"/>
                <w:lang w:bidi="ar"/>
              </w:rPr>
              <w:fldChar w:fldCharType="begin"/>
            </w:r>
            <w:r>
              <w:rPr>
                <w:rFonts w:ascii="宋体" w:hAnsi="宋体" w:cs="宋体"/>
                <w:b/>
                <w:kern w:val="0"/>
                <w:szCs w:val="21"/>
                <w:lang w:bidi="ar"/>
              </w:rPr>
              <w:instrText xml:space="preserve"> </w:instrText>
            </w:r>
            <w:r>
              <w:rPr>
                <w:rFonts w:hint="eastAsia" w:ascii="宋体" w:hAnsi="宋体" w:cs="宋体"/>
                <w:b/>
                <w:kern w:val="0"/>
                <w:szCs w:val="21"/>
                <w:lang w:bidi="ar"/>
              </w:rPr>
              <w:instrText xml:space="preserve">= 1 \* GB3</w:instrText>
            </w:r>
            <w:r>
              <w:rPr>
                <w:rFonts w:ascii="宋体" w:hAnsi="宋体" w:cs="宋体"/>
                <w:b/>
                <w:kern w:val="0"/>
                <w:szCs w:val="21"/>
                <w:lang w:bidi="ar"/>
              </w:rPr>
              <w:instrText xml:space="preserve"> </w:instrText>
            </w:r>
            <w:r>
              <w:rPr>
                <w:rFonts w:ascii="宋体" w:hAnsi="宋体" w:cs="宋体"/>
                <w:b/>
                <w:kern w:val="0"/>
                <w:szCs w:val="21"/>
                <w:lang w:bidi="ar"/>
              </w:rPr>
              <w:fldChar w:fldCharType="separate"/>
            </w:r>
            <w:r>
              <w:rPr>
                <w:rFonts w:hint="eastAsia" w:ascii="宋体" w:hAnsi="宋体" w:cs="宋体"/>
                <w:b/>
                <w:kern w:val="0"/>
                <w:szCs w:val="21"/>
                <w:lang w:bidi="ar"/>
              </w:rPr>
              <w:t>①</w:t>
            </w:r>
            <w:r>
              <w:rPr>
                <w:rFonts w:ascii="宋体" w:hAnsi="宋体" w:cs="宋体"/>
                <w:b/>
                <w:kern w:val="0"/>
                <w:szCs w:val="21"/>
                <w:lang w:bidi="ar"/>
              </w:rPr>
              <w:fldChar w:fldCharType="end"/>
            </w:r>
            <w:r>
              <w:rPr>
                <w:rFonts w:hint="eastAsia" w:ascii="宋体" w:hAnsi="宋体" w:cs="宋体"/>
                <w:b/>
                <w:kern w:val="0"/>
                <w:szCs w:val="21"/>
                <w:lang w:bidi="ar"/>
              </w:rPr>
              <w:t>单价（元）</w:t>
            </w:r>
          </w:p>
        </w:tc>
        <w:tc>
          <w:tcPr>
            <w:tcW w:w="537"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textAlignment w:val="center"/>
              <w:rPr>
                <w:rFonts w:ascii="宋体" w:hAnsi="宋体" w:cs="宋体"/>
                <w:b/>
                <w:szCs w:val="21"/>
              </w:rPr>
            </w:pPr>
            <w:r>
              <w:rPr>
                <w:rFonts w:ascii="宋体" w:hAnsi="宋体"/>
                <w:b/>
                <w:bCs/>
                <w:szCs w:val="21"/>
              </w:rPr>
              <w:fldChar w:fldCharType="begin"/>
            </w:r>
            <w:r>
              <w:rPr>
                <w:rFonts w:ascii="宋体" w:hAnsi="宋体"/>
                <w:b/>
                <w:bCs/>
                <w:szCs w:val="21"/>
              </w:rPr>
              <w:instrText xml:space="preserve"> </w:instrText>
            </w:r>
            <w:r>
              <w:rPr>
                <w:rFonts w:hint="eastAsia" w:ascii="宋体" w:hAnsi="宋体"/>
                <w:b/>
                <w:bCs/>
                <w:szCs w:val="21"/>
              </w:rPr>
              <w:instrText xml:space="preserve">= 2 \* GB3</w:instrText>
            </w:r>
            <w:r>
              <w:rPr>
                <w:rFonts w:ascii="宋体" w:hAnsi="宋体"/>
                <w:b/>
                <w:bCs/>
                <w:szCs w:val="21"/>
              </w:rPr>
              <w:instrText xml:space="preserve"> </w:instrText>
            </w:r>
            <w:r>
              <w:rPr>
                <w:rFonts w:ascii="宋体" w:hAnsi="宋体"/>
                <w:b/>
                <w:bCs/>
                <w:szCs w:val="21"/>
              </w:rPr>
              <w:fldChar w:fldCharType="separate"/>
            </w:r>
            <w:r>
              <w:rPr>
                <w:rFonts w:hint="eastAsia" w:ascii="宋体" w:hAnsi="宋体"/>
                <w:b/>
                <w:bCs/>
                <w:szCs w:val="21"/>
              </w:rPr>
              <w:t>②</w:t>
            </w:r>
            <w:r>
              <w:rPr>
                <w:rFonts w:ascii="宋体" w:hAnsi="宋体"/>
                <w:b/>
                <w:bCs/>
                <w:szCs w:val="21"/>
              </w:rPr>
              <w:fldChar w:fldCharType="end"/>
            </w:r>
            <w:r>
              <w:rPr>
                <w:rFonts w:hint="eastAsia" w:ascii="宋体" w:hAnsi="宋体"/>
                <w:b/>
                <w:bCs/>
                <w:szCs w:val="21"/>
              </w:rPr>
              <w:t>数量</w:t>
            </w:r>
          </w:p>
        </w:tc>
        <w:tc>
          <w:tcPr>
            <w:tcW w:w="1503" w:type="pct"/>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单项报价合计=</w:t>
            </w:r>
            <w:r>
              <w:rPr>
                <w:rFonts w:ascii="宋体" w:hAnsi="宋体" w:cs="宋体"/>
                <w:b/>
                <w:kern w:val="0"/>
                <w:szCs w:val="21"/>
                <w:lang w:bidi="ar"/>
              </w:rPr>
              <w:fldChar w:fldCharType="begin"/>
            </w:r>
            <w:r>
              <w:rPr>
                <w:rFonts w:ascii="宋体" w:hAnsi="宋体" w:cs="宋体"/>
                <w:b/>
                <w:kern w:val="0"/>
                <w:szCs w:val="21"/>
                <w:lang w:bidi="ar"/>
              </w:rPr>
              <w:instrText xml:space="preserve"> </w:instrText>
            </w:r>
            <w:r>
              <w:rPr>
                <w:rFonts w:hint="eastAsia" w:ascii="宋体" w:hAnsi="宋体" w:cs="宋体"/>
                <w:b/>
                <w:kern w:val="0"/>
                <w:szCs w:val="21"/>
                <w:lang w:bidi="ar"/>
              </w:rPr>
              <w:instrText xml:space="preserve">= 1 \* GB3</w:instrText>
            </w:r>
            <w:r>
              <w:rPr>
                <w:rFonts w:ascii="宋体" w:hAnsi="宋体" w:cs="宋体"/>
                <w:b/>
                <w:kern w:val="0"/>
                <w:szCs w:val="21"/>
                <w:lang w:bidi="ar"/>
              </w:rPr>
              <w:instrText xml:space="preserve"> </w:instrText>
            </w:r>
            <w:r>
              <w:rPr>
                <w:rFonts w:ascii="宋体" w:hAnsi="宋体" w:cs="宋体"/>
                <w:b/>
                <w:kern w:val="0"/>
                <w:szCs w:val="21"/>
                <w:lang w:bidi="ar"/>
              </w:rPr>
              <w:fldChar w:fldCharType="separate"/>
            </w:r>
            <w:r>
              <w:rPr>
                <w:rFonts w:hint="eastAsia" w:ascii="宋体" w:hAnsi="宋体" w:cs="宋体"/>
                <w:b/>
                <w:kern w:val="0"/>
                <w:szCs w:val="21"/>
                <w:lang w:bidi="ar"/>
              </w:rPr>
              <w:t>①</w:t>
            </w:r>
            <w:r>
              <w:rPr>
                <w:rFonts w:ascii="宋体" w:hAnsi="宋体" w:cs="宋体"/>
                <w:b/>
                <w:kern w:val="0"/>
                <w:szCs w:val="21"/>
                <w:lang w:bidi="ar"/>
              </w:rPr>
              <w:fldChar w:fldCharType="end"/>
            </w:r>
            <w:r>
              <w:rPr>
                <w:rFonts w:ascii="宋体" w:hAnsi="宋体" w:cs="宋体"/>
                <w:b/>
                <w:kern w:val="0"/>
                <w:szCs w:val="21"/>
                <w:lang w:bidi="ar"/>
              </w:rPr>
              <w:t>×</w:t>
            </w:r>
            <w:r>
              <w:rPr>
                <w:rFonts w:ascii="宋体" w:hAnsi="宋体"/>
                <w:b/>
                <w:bCs/>
                <w:szCs w:val="21"/>
              </w:rPr>
              <w:fldChar w:fldCharType="begin"/>
            </w:r>
            <w:r>
              <w:rPr>
                <w:rFonts w:ascii="宋体" w:hAnsi="宋体"/>
                <w:b/>
                <w:bCs/>
                <w:szCs w:val="21"/>
              </w:rPr>
              <w:instrText xml:space="preserve"> </w:instrText>
            </w:r>
            <w:r>
              <w:rPr>
                <w:rFonts w:hint="eastAsia" w:ascii="宋体" w:hAnsi="宋体"/>
                <w:b/>
                <w:bCs/>
                <w:szCs w:val="21"/>
              </w:rPr>
              <w:instrText xml:space="preserve">= 2 \* GB3</w:instrText>
            </w:r>
            <w:r>
              <w:rPr>
                <w:rFonts w:ascii="宋体" w:hAnsi="宋体"/>
                <w:b/>
                <w:bCs/>
                <w:szCs w:val="21"/>
              </w:rPr>
              <w:instrText xml:space="preserve"> </w:instrText>
            </w:r>
            <w:r>
              <w:rPr>
                <w:rFonts w:ascii="宋体" w:hAnsi="宋体"/>
                <w:b/>
                <w:bCs/>
                <w:szCs w:val="21"/>
              </w:rPr>
              <w:fldChar w:fldCharType="separate"/>
            </w:r>
            <w:r>
              <w:rPr>
                <w:rFonts w:hint="eastAsia" w:ascii="宋体" w:hAnsi="宋体"/>
                <w:b/>
                <w:bCs/>
                <w:szCs w:val="21"/>
              </w:rPr>
              <w:t>②</w:t>
            </w:r>
            <w:r>
              <w:rPr>
                <w:rFonts w:ascii="宋体" w:hAnsi="宋体"/>
                <w:b/>
                <w:bCs/>
                <w:szCs w:val="21"/>
              </w:rPr>
              <w:fldChar w:fldCharType="end"/>
            </w:r>
            <w:r>
              <w:rPr>
                <w:rFonts w:hint="eastAsia" w:ascii="宋体" w:hAnsi="宋体"/>
                <w:b/>
                <w:bCs/>
                <w:szCs w:val="21"/>
              </w:rPr>
              <w:t>（元）</w:t>
            </w:r>
          </w:p>
        </w:tc>
      </w:tr>
      <w:tr>
        <w:trPr>
          <w:trHeight w:val="522" w:hRule="atLeast"/>
          <w:tblHeader/>
          <w:jc w:val="center"/>
        </w:trPr>
        <w:tc>
          <w:tcPr>
            <w:tcW w:w="251" w:type="pc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1</w:t>
            </w:r>
          </w:p>
        </w:tc>
        <w:tc>
          <w:tcPr>
            <w:tcW w:w="819" w:type="pct"/>
            <w:tcBorders>
              <w:top w:val="single" w:color="000000" w:sz="4" w:space="0"/>
              <w:left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资产管理系统</w:t>
            </w:r>
          </w:p>
        </w:tc>
        <w:tc>
          <w:tcPr>
            <w:tcW w:w="1098" w:type="pct"/>
            <w:tcBorders>
              <w:top w:val="single" w:color="000000" w:sz="4" w:space="0"/>
              <w:left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p>
        </w:tc>
        <w:tc>
          <w:tcPr>
            <w:tcW w:w="792" w:type="pct"/>
            <w:tcBorders>
              <w:top w:val="single" w:color="000000" w:sz="4" w:space="0"/>
              <w:left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kern w:val="0"/>
                <w:szCs w:val="21"/>
                <w:lang w:bidi="ar"/>
              </w:rPr>
            </w:pPr>
          </w:p>
        </w:tc>
        <w:tc>
          <w:tcPr>
            <w:tcW w:w="537"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bCs/>
                <w:szCs w:val="21"/>
              </w:rPr>
            </w:pPr>
          </w:p>
        </w:tc>
        <w:tc>
          <w:tcPr>
            <w:tcW w:w="150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Cs w:val="21"/>
                <w:lang w:bidi="ar"/>
              </w:rPr>
            </w:pPr>
          </w:p>
        </w:tc>
      </w:tr>
      <w:tr>
        <w:trPr>
          <w:trHeight w:val="558" w:hRule="atLeast"/>
          <w:tblHeader/>
          <w:jc w:val="center"/>
        </w:trPr>
        <w:tc>
          <w:tcPr>
            <w:tcW w:w="251"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2</w:t>
            </w:r>
          </w:p>
        </w:tc>
        <w:tc>
          <w:tcPr>
            <w:tcW w:w="819"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租赁管理系统</w:t>
            </w:r>
          </w:p>
        </w:tc>
        <w:tc>
          <w:tcPr>
            <w:tcW w:w="1098"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p>
        </w:tc>
        <w:tc>
          <w:tcPr>
            <w:tcW w:w="792" w:type="pct"/>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kern w:val="0"/>
                <w:szCs w:val="21"/>
                <w:lang w:bidi="ar"/>
              </w:rPr>
            </w:pPr>
          </w:p>
        </w:tc>
        <w:tc>
          <w:tcPr>
            <w:tcW w:w="537"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bCs/>
                <w:szCs w:val="21"/>
              </w:rPr>
            </w:pPr>
          </w:p>
        </w:tc>
        <w:tc>
          <w:tcPr>
            <w:tcW w:w="1503" w:type="pct"/>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宋体" w:hAnsi="宋体" w:cs="宋体"/>
                <w:kern w:val="0"/>
                <w:szCs w:val="21"/>
                <w:lang w:bidi="ar"/>
              </w:rPr>
            </w:pPr>
          </w:p>
        </w:tc>
      </w:tr>
      <w:tr>
        <w:trPr>
          <w:trHeight w:val="538" w:hRule="atLeast"/>
          <w:tblHeader/>
          <w:jc w:val="center"/>
        </w:trPr>
        <w:tc>
          <w:tcPr>
            <w:tcW w:w="25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3</w:t>
            </w:r>
          </w:p>
        </w:tc>
        <w:tc>
          <w:tcPr>
            <w:tcW w:w="81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国资上报模块开发服务</w:t>
            </w:r>
          </w:p>
        </w:tc>
        <w:tc>
          <w:tcPr>
            <w:tcW w:w="109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p>
        </w:tc>
        <w:tc>
          <w:tcPr>
            <w:tcW w:w="79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kern w:val="0"/>
                <w:szCs w:val="21"/>
                <w:lang w:bidi="ar"/>
              </w:rPr>
            </w:pPr>
          </w:p>
        </w:tc>
        <w:tc>
          <w:tcPr>
            <w:tcW w:w="537"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bCs/>
                <w:szCs w:val="21"/>
              </w:rPr>
            </w:pPr>
          </w:p>
        </w:tc>
        <w:tc>
          <w:tcPr>
            <w:tcW w:w="150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Cs w:val="21"/>
                <w:lang w:bidi="ar"/>
              </w:rPr>
            </w:pPr>
          </w:p>
        </w:tc>
      </w:tr>
      <w:tr>
        <w:trPr>
          <w:trHeight w:val="538" w:hRule="atLeast"/>
          <w:tblHeader/>
          <w:jc w:val="center"/>
        </w:trPr>
        <w:tc>
          <w:tcPr>
            <w:tcW w:w="251" w:type="pct"/>
            <w:tcBorders>
              <w:top w:val="single" w:color="auto" w:sz="4" w:space="0"/>
              <w:left w:val="single" w:color="auto" w:sz="2" w:space="0"/>
              <w:bottom w:val="single" w:color="auto" w:sz="2" w:space="0"/>
              <w:right w:val="single" w:color="auto" w:sz="2"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4</w:t>
            </w:r>
          </w:p>
        </w:tc>
        <w:tc>
          <w:tcPr>
            <w:tcW w:w="819" w:type="pct"/>
            <w:tcBorders>
              <w:top w:val="single" w:color="auto" w:sz="4" w:space="0"/>
              <w:left w:val="single" w:color="auto" w:sz="2"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项目建设服务</w:t>
            </w:r>
          </w:p>
        </w:tc>
        <w:tc>
          <w:tcPr>
            <w:tcW w:w="1098" w:type="pct"/>
            <w:tcBorders>
              <w:top w:val="single" w:color="auto" w:sz="4" w:space="0"/>
              <w:left w:val="single" w:color="auto" w:sz="2"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p>
        </w:tc>
        <w:tc>
          <w:tcPr>
            <w:tcW w:w="792" w:type="pct"/>
            <w:tcBorders>
              <w:top w:val="single" w:color="auto" w:sz="4" w:space="0"/>
              <w:left w:val="single" w:color="auto" w:sz="4"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kern w:val="0"/>
                <w:szCs w:val="21"/>
                <w:lang w:bidi="ar"/>
              </w:rPr>
            </w:pPr>
          </w:p>
        </w:tc>
        <w:tc>
          <w:tcPr>
            <w:tcW w:w="537"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bCs/>
                <w:szCs w:val="21"/>
              </w:rPr>
            </w:pPr>
          </w:p>
        </w:tc>
        <w:tc>
          <w:tcPr>
            <w:tcW w:w="150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Cs w:val="21"/>
                <w:lang w:bidi="ar"/>
              </w:rPr>
            </w:pPr>
          </w:p>
        </w:tc>
      </w:tr>
      <w:tr>
        <w:trPr>
          <w:trHeight w:val="538" w:hRule="atLeast"/>
          <w:tblHeader/>
          <w:jc w:val="center"/>
        </w:trPr>
        <w:tc>
          <w:tcPr>
            <w:tcW w:w="251" w:type="pct"/>
            <w:tcBorders>
              <w:top w:val="single" w:color="auto" w:sz="2" w:space="0"/>
              <w:left w:val="single" w:color="auto" w:sz="2" w:space="0"/>
              <w:bottom w:val="single" w:color="auto" w:sz="2" w:space="0"/>
              <w:right w:val="single" w:color="auto" w:sz="2"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5</w:t>
            </w:r>
          </w:p>
        </w:tc>
        <w:tc>
          <w:tcPr>
            <w:tcW w:w="819" w:type="pct"/>
            <w:tcBorders>
              <w:top w:val="single" w:color="auto" w:sz="2" w:space="0"/>
              <w:left w:val="single" w:color="auto" w:sz="2"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系统集成服务</w:t>
            </w:r>
          </w:p>
        </w:tc>
        <w:tc>
          <w:tcPr>
            <w:tcW w:w="1098" w:type="pct"/>
            <w:tcBorders>
              <w:top w:val="single" w:color="auto" w:sz="2" w:space="0"/>
              <w:left w:val="single" w:color="auto" w:sz="2"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p>
        </w:tc>
        <w:tc>
          <w:tcPr>
            <w:tcW w:w="792" w:type="pct"/>
            <w:tcBorders>
              <w:top w:val="single" w:color="auto" w:sz="2" w:space="0"/>
              <w:left w:val="single" w:color="auto" w:sz="4"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kern w:val="0"/>
                <w:szCs w:val="21"/>
                <w:lang w:bidi="ar"/>
              </w:rPr>
            </w:pPr>
          </w:p>
        </w:tc>
        <w:tc>
          <w:tcPr>
            <w:tcW w:w="537"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bCs/>
                <w:szCs w:val="21"/>
              </w:rPr>
            </w:pPr>
          </w:p>
        </w:tc>
        <w:tc>
          <w:tcPr>
            <w:tcW w:w="150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Cs w:val="21"/>
                <w:lang w:bidi="ar"/>
              </w:rPr>
            </w:pPr>
          </w:p>
        </w:tc>
      </w:tr>
      <w:tr>
        <w:trPr>
          <w:trHeight w:val="538" w:hRule="atLeast"/>
          <w:tblHeader/>
          <w:jc w:val="center"/>
        </w:trPr>
        <w:tc>
          <w:tcPr>
            <w:tcW w:w="251" w:type="pct"/>
            <w:tcBorders>
              <w:top w:val="single" w:color="auto" w:sz="2" w:space="0"/>
              <w:left w:val="single" w:color="auto" w:sz="2" w:space="0"/>
              <w:bottom w:val="single" w:color="auto" w:sz="2" w:space="0"/>
              <w:right w:val="single" w:color="auto" w:sz="2"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6</w:t>
            </w:r>
          </w:p>
        </w:tc>
        <w:tc>
          <w:tcPr>
            <w:tcW w:w="819" w:type="pct"/>
            <w:tcBorders>
              <w:top w:val="single" w:color="auto" w:sz="2" w:space="0"/>
              <w:left w:val="single" w:color="auto" w:sz="2"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信创软件</w:t>
            </w:r>
          </w:p>
        </w:tc>
        <w:tc>
          <w:tcPr>
            <w:tcW w:w="1098" w:type="pct"/>
            <w:tcBorders>
              <w:top w:val="single" w:color="auto" w:sz="2" w:space="0"/>
              <w:left w:val="single" w:color="auto" w:sz="2"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b/>
                <w:kern w:val="0"/>
                <w:szCs w:val="21"/>
                <w:lang w:bidi="ar"/>
              </w:rPr>
            </w:pPr>
          </w:p>
        </w:tc>
        <w:tc>
          <w:tcPr>
            <w:tcW w:w="792" w:type="pct"/>
            <w:tcBorders>
              <w:top w:val="single" w:color="auto" w:sz="2" w:space="0"/>
              <w:left w:val="single" w:color="auto" w:sz="4" w:space="0"/>
              <w:bottom w:val="single" w:color="auto" w:sz="2" w:space="0"/>
              <w:right w:val="single" w:color="auto" w:sz="4" w:space="0"/>
            </w:tcBorders>
            <w:tcMar>
              <w:top w:w="15" w:type="dxa"/>
              <w:left w:w="15" w:type="dxa"/>
              <w:right w:w="15" w:type="dxa"/>
            </w:tcMar>
            <w:vAlign w:val="center"/>
          </w:tcPr>
          <w:p>
            <w:pPr>
              <w:widowControl/>
              <w:jc w:val="center"/>
              <w:textAlignment w:val="center"/>
              <w:rPr>
                <w:rFonts w:ascii="宋体" w:hAnsi="宋体" w:cs="宋体"/>
                <w:kern w:val="0"/>
                <w:szCs w:val="21"/>
                <w:lang w:bidi="ar"/>
              </w:rPr>
            </w:pPr>
          </w:p>
        </w:tc>
        <w:tc>
          <w:tcPr>
            <w:tcW w:w="537"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bCs/>
                <w:szCs w:val="21"/>
              </w:rPr>
            </w:pPr>
          </w:p>
        </w:tc>
        <w:tc>
          <w:tcPr>
            <w:tcW w:w="150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Cs w:val="21"/>
                <w:lang w:bidi="ar"/>
              </w:rPr>
            </w:pPr>
          </w:p>
        </w:tc>
      </w:tr>
      <w:tr>
        <w:trPr>
          <w:trHeight w:val="547" w:hRule="atLeast"/>
          <w:tblHeader/>
          <w:jc w:val="center"/>
        </w:trPr>
        <w:tc>
          <w:tcPr>
            <w:tcW w:w="3497" w:type="pct"/>
            <w:gridSpan w:val="5"/>
            <w:tcBorders>
              <w:top w:val="single" w:color="auto" w:sz="2" w:space="0"/>
              <w:left w:val="single" w:color="auto" w:sz="2" w:space="0"/>
              <w:bottom w:val="single" w:color="auto" w:sz="2" w:space="0"/>
              <w:right w:val="single" w:color="auto" w:sz="2" w:space="0"/>
            </w:tcBorders>
            <w:tcMar>
              <w:top w:w="15" w:type="dxa"/>
              <w:left w:w="15" w:type="dxa"/>
              <w:right w:w="15" w:type="dxa"/>
            </w:tcMar>
            <w:vAlign w:val="center"/>
          </w:tcPr>
          <w:p>
            <w:pPr>
              <w:jc w:val="center"/>
              <w:textAlignment w:val="center"/>
              <w:rPr>
                <w:rFonts w:ascii="宋体" w:hAnsi="宋体"/>
                <w:bCs/>
                <w:szCs w:val="21"/>
              </w:rPr>
            </w:pPr>
            <w:r>
              <w:rPr>
                <w:rFonts w:hint="eastAsia" w:ascii="宋体" w:hAnsi="宋体" w:cs="宋体"/>
                <w:b/>
                <w:kern w:val="0"/>
                <w:szCs w:val="21"/>
                <w:lang w:bidi="ar"/>
              </w:rPr>
              <w:t>投标报价合计（元）</w:t>
            </w:r>
          </w:p>
        </w:tc>
        <w:tc>
          <w:tcPr>
            <w:tcW w:w="1503" w:type="pct"/>
            <w:tcBorders>
              <w:top w:val="single" w:color="auto" w:sz="4" w:space="0"/>
              <w:left w:val="single" w:color="auto" w:sz="2" w:space="0"/>
              <w:bottom w:val="single" w:color="auto" w:sz="4" w:space="0"/>
              <w:right w:val="single" w:color="auto" w:sz="2" w:space="0"/>
            </w:tcBorders>
          </w:tcPr>
          <w:p>
            <w:pPr>
              <w:widowControl/>
              <w:jc w:val="center"/>
              <w:textAlignment w:val="center"/>
              <w:rPr>
                <w:rFonts w:ascii="宋体" w:hAnsi="宋体" w:cs="宋体"/>
                <w:kern w:val="0"/>
                <w:szCs w:val="21"/>
                <w:lang w:bidi="ar"/>
              </w:rPr>
            </w:pPr>
          </w:p>
        </w:tc>
      </w:tr>
      <w:tr>
        <w:trPr>
          <w:trHeight w:val="547" w:hRule="atLeast"/>
          <w:tblHeader/>
          <w:jc w:val="center"/>
        </w:trPr>
        <w:tc>
          <w:tcPr>
            <w:tcW w:w="5000" w:type="pct"/>
            <w:gridSpan w:val="6"/>
            <w:tcBorders>
              <w:top w:val="single" w:color="auto" w:sz="2" w:space="0"/>
              <w:left w:val="single" w:color="auto" w:sz="2" w:space="0"/>
              <w:bottom w:val="single" w:color="auto" w:sz="2" w:space="0"/>
              <w:right w:val="single" w:color="auto" w:sz="2" w:space="0"/>
            </w:tcBorders>
            <w:tcMar>
              <w:top w:w="15" w:type="dxa"/>
              <w:left w:w="15" w:type="dxa"/>
              <w:right w:w="15" w:type="dxa"/>
            </w:tcMar>
            <w:vAlign w:val="center"/>
          </w:tcPr>
          <w:p>
            <w:pPr>
              <w:widowControl/>
              <w:jc w:val="left"/>
              <w:textAlignment w:val="center"/>
              <w:rPr>
                <w:rFonts w:ascii="宋体" w:hAnsi="宋体" w:cs="宋体"/>
                <w:kern w:val="0"/>
                <w:szCs w:val="21"/>
                <w:lang w:bidi="ar"/>
              </w:rPr>
            </w:pPr>
            <w:r>
              <w:rPr>
                <w:rFonts w:hint="eastAsia" w:ascii="宋体" w:hAnsi="宋体" w:cs="宋体"/>
                <w:b/>
                <w:kern w:val="0"/>
                <w:szCs w:val="21"/>
                <w:lang w:bidi="ar"/>
              </w:rPr>
              <w:t>本项目须对运维服务费进行报价：本项目运维服务费报价大写</w:t>
            </w:r>
            <w:r>
              <w:rPr>
                <w:rFonts w:hint="eastAsia" w:ascii="宋体" w:hAnsi="宋体" w:cs="宋体"/>
                <w:b/>
                <w:kern w:val="0"/>
                <w:szCs w:val="21"/>
                <w:u w:val="single"/>
                <w:lang w:bidi="ar"/>
              </w:rPr>
              <w:t xml:space="preserve">      </w:t>
            </w:r>
            <w:r>
              <w:rPr>
                <w:rFonts w:hint="eastAsia" w:ascii="宋体" w:hAnsi="宋体" w:cs="宋体"/>
                <w:b/>
                <w:kern w:val="0"/>
                <w:szCs w:val="21"/>
                <w:lang w:bidi="ar"/>
              </w:rPr>
              <w:t>/年（¥</w:t>
            </w:r>
            <w:r>
              <w:rPr>
                <w:rFonts w:hint="eastAsia" w:ascii="宋体" w:hAnsi="宋体" w:cs="宋体"/>
                <w:b/>
                <w:kern w:val="0"/>
                <w:szCs w:val="21"/>
                <w:u w:val="single"/>
                <w:lang w:bidi="ar"/>
              </w:rPr>
              <w:t xml:space="preserve">       </w:t>
            </w:r>
            <w:r>
              <w:rPr>
                <w:rFonts w:hint="eastAsia" w:ascii="宋体" w:hAnsi="宋体" w:cs="宋体"/>
                <w:b/>
                <w:kern w:val="0"/>
                <w:szCs w:val="21"/>
                <w:lang w:bidi="ar"/>
              </w:rPr>
              <w:t>/年）</w:t>
            </w:r>
          </w:p>
        </w:tc>
      </w:tr>
    </w:tbl>
    <w:p>
      <w:pPr>
        <w:pStyle w:val="50"/>
        <w:tabs>
          <w:tab w:val="left" w:pos="229"/>
        </w:tabs>
        <w:spacing w:after="0" w:line="360" w:lineRule="auto"/>
        <w:ind w:left="0" w:leftChars="0"/>
        <w:jc w:val="left"/>
        <w:rPr>
          <w:rFonts w:ascii="宋体" w:hAnsi="宋体" w:eastAsia="宋体" w:cs="宋体"/>
          <w:sz w:val="21"/>
          <w:szCs w:val="21"/>
        </w:rPr>
      </w:pPr>
      <w:r>
        <w:rPr>
          <w:rFonts w:hint="eastAsia" w:ascii="宋体" w:hAnsi="宋体" w:eastAsia="宋体" w:cs="宋体"/>
          <w:sz w:val="21"/>
          <w:szCs w:val="21"/>
        </w:rPr>
        <w:t>注：</w:t>
      </w:r>
    </w:p>
    <w:p>
      <w:pPr>
        <w:pStyle w:val="50"/>
        <w:tabs>
          <w:tab w:val="left" w:pos="229"/>
        </w:tabs>
        <w:spacing w:after="0" w:line="360" w:lineRule="auto"/>
        <w:ind w:left="0" w:leftChars="0"/>
        <w:jc w:val="left"/>
        <w:rPr>
          <w:rFonts w:ascii="宋体" w:hAnsi="宋体" w:eastAsia="宋体" w:cs="宋体"/>
          <w:sz w:val="21"/>
          <w:szCs w:val="21"/>
        </w:rPr>
      </w:pPr>
      <w:r>
        <w:rPr>
          <w:rFonts w:hint="eastAsia" w:ascii="宋体" w:hAnsi="宋体" w:eastAsia="宋体" w:cs="宋体"/>
          <w:sz w:val="21"/>
          <w:szCs w:val="21"/>
        </w:rPr>
        <w:t>1.本项目采用不含增值税报价，报价精确到小数点后两位。</w:t>
      </w:r>
    </w:p>
    <w:p>
      <w:pPr>
        <w:pStyle w:val="50"/>
        <w:tabs>
          <w:tab w:val="left" w:pos="229"/>
        </w:tabs>
        <w:ind w:left="0" w:leftChars="0" w:firstLine="0" w:firstLineChars="0"/>
        <w:jc w:val="left"/>
        <w:rPr>
          <w:rFonts w:ascii="宋体" w:hAnsi="宋体" w:eastAsia="宋体"/>
          <w:szCs w:val="21"/>
        </w:rPr>
      </w:pPr>
    </w:p>
    <w:p>
      <w:pPr>
        <w:spacing w:line="360" w:lineRule="auto"/>
        <w:ind w:firstLine="3570" w:firstLineChars="1700"/>
        <w:rPr>
          <w:rFonts w:ascii="宋体"/>
          <w:szCs w:val="21"/>
        </w:rPr>
      </w:pPr>
      <w:r>
        <w:rPr>
          <w:rFonts w:hint="eastAsia" w:ascii="宋体"/>
          <w:szCs w:val="21"/>
        </w:rPr>
        <w:t>投标人：</w:t>
      </w:r>
      <w:r>
        <w:rPr>
          <w:rFonts w:hint="eastAsia" w:ascii="宋体"/>
          <w:szCs w:val="21"/>
          <w:u w:val="single"/>
        </w:rPr>
        <w:t xml:space="preserve">            （公章） </w:t>
      </w:r>
    </w:p>
    <w:p>
      <w:pPr>
        <w:pStyle w:val="9"/>
        <w:spacing w:line="360" w:lineRule="auto"/>
        <w:ind w:left="2877" w:hanging="357"/>
        <w:rPr>
          <w:rFonts w:ascii="宋体"/>
          <w:szCs w:val="21"/>
        </w:rPr>
      </w:pPr>
      <w:r>
        <w:rPr>
          <w:rFonts w:hint="eastAsia" w:ascii="宋体"/>
          <w:szCs w:val="21"/>
        </w:rPr>
        <w:t xml:space="preserve">          法定代表人或其委托代理人：</w:t>
      </w:r>
      <w:r>
        <w:rPr>
          <w:rFonts w:hint="eastAsia" w:ascii="宋体"/>
          <w:szCs w:val="21"/>
          <w:u w:val="single"/>
        </w:rPr>
        <w:t xml:space="preserve">     （签字或盖章）</w:t>
      </w:r>
    </w:p>
    <w:p>
      <w:pPr>
        <w:pStyle w:val="9"/>
        <w:ind w:left="2877" w:hanging="357"/>
        <w:rPr>
          <w:rFonts w:ascii="宋体"/>
          <w:szCs w:val="21"/>
        </w:rPr>
      </w:pPr>
      <w:r>
        <w:rPr>
          <w:rFonts w:hint="eastAsia" w:ascii="宋体"/>
          <w:szCs w:val="21"/>
        </w:rPr>
        <w:t xml:space="preserve">          日期：</w:t>
      </w:r>
      <w:r>
        <w:rPr>
          <w:rFonts w:hint="eastAsia" w:ascii="宋体"/>
          <w:szCs w:val="21"/>
          <w:u w:val="single"/>
        </w:rPr>
        <w:t xml:space="preserve">                </w:t>
      </w:r>
    </w:p>
    <w:p>
      <w:pPr>
        <w:pStyle w:val="4"/>
      </w:pPr>
    </w:p>
    <w:p>
      <w:pPr>
        <w:pStyle w:val="9"/>
        <w:ind w:firstLine="0"/>
        <w:rPr>
          <w:rFonts w:ascii="宋体"/>
          <w:szCs w:val="21"/>
        </w:rPr>
      </w:pPr>
    </w:p>
    <w:p>
      <w:pPr>
        <w:pStyle w:val="4"/>
      </w:pPr>
    </w:p>
    <w:sectPr>
      <w:pgSz w:w="11906" w:h="16838"/>
      <w:pgMar w:top="1440" w:right="1417" w:bottom="1440" w:left="1440" w:header="567" w:footer="59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F24F233-78A2-6C2B-2D01-3B67CE078B48}"/>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18F366BA-5519-73B0-2D01-3B67B187BCE2}"/>
  </w:font>
  <w:font w:name="Arial">
    <w:panose1 w:val="020B0704020202020204"/>
    <w:charset w:val="00"/>
    <w:family w:val="swiss"/>
    <w:pitch w:val="default"/>
    <w:sig w:usb0="E0002AFF" w:usb1="C0007843" w:usb2="00000009" w:usb3="00000000" w:csb0="400001FF" w:csb1="FFFF0000"/>
    <w:embedRegular r:id="rId3" w:fontKey="{DB6F8F8A-D15B-FE90-2D01-3B674A16B4ED}"/>
  </w:font>
  <w:font w:name="Cambria">
    <w:altName w:val="苹方-简"/>
    <w:panose1 w:val="02040503050406030204"/>
    <w:charset w:val="00"/>
    <w:family w:val="roman"/>
    <w:pitch w:val="default"/>
    <w:sig w:usb0="00000000" w:usb1="00000000" w:usb2="00000000" w:usb3="00000000" w:csb0="0000019F" w:csb1="00000000"/>
  </w:font>
  <w:font w:name="Courier New">
    <w:panose1 w:val="02070609020205020404"/>
    <w:charset w:val="00"/>
    <w:family w:val="modern"/>
    <w:pitch w:val="default"/>
    <w:sig w:usb0="E0002AFF" w:usb1="C0007843" w:usb2="00000009" w:usb3="00000000" w:csb0="400001FF" w:csb1="FFFF0000"/>
    <w:embedRegular r:id="rId4" w:fontKey="{59A2117B-B332-B3A3-2D01-3B6745C6B334}"/>
  </w:font>
  <w:font w:name="monospace">
    <w:altName w:val="苹方-简"/>
    <w:panose1 w:val="00000000000000000000"/>
    <w:charset w:val="00"/>
    <w:family w:val="auto"/>
    <w:pitch w:val="default"/>
    <w:sig w:usb0="00000000" w:usb1="00000000" w:usb2="00000000" w:usb3="00000000" w:csb0="00040001" w:csb1="00000000"/>
  </w:font>
  <w:font w:name="Calibri Light">
    <w:altName w:val="Helvetica Neue"/>
    <w:panose1 w:val="020F0302020204030204"/>
    <w:charset w:val="00"/>
    <w:family w:val="swiss"/>
    <w:pitch w:val="default"/>
    <w:sig w:usb0="00000000" w:usb1="00000000"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方正仿宋_GBK"/>
    <w:panose1 w:val="00000000000000000000"/>
    <w:charset w:val="86"/>
    <w:family w:val="auto"/>
    <w:pitch w:val="default"/>
    <w:sig w:usb0="00000000" w:usb1="00000000" w:usb2="00000000" w:usb3="00000000" w:csb0="00040000" w:csb1="00000000"/>
  </w:font>
  <w:font w:name="隶书">
    <w:altName w:val="宋体-简"/>
    <w:panose1 w:val="02010509060101010101"/>
    <w:charset w:val="86"/>
    <w:family w:val="modern"/>
    <w:pitch w:val="default"/>
    <w:sig w:usb0="00000000" w:usb1="00000000" w:usb2="00000010" w:usb3="00000000" w:csb0="00040000" w:csb1="00000000"/>
  </w:font>
  <w:font w:name="创艺简行楷">
    <w:altName w:val="宋体-简"/>
    <w:panose1 w:val="00000000000000000000"/>
    <w:charset w:val="00"/>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方正小标宋简体">
    <w:altName w:val="汉仪书宋二KW"/>
    <w:panose1 w:val="00000000000000000000"/>
    <w:charset w:val="86"/>
    <w:family w:val="auto"/>
    <w:pitch w:val="default"/>
    <w:sig w:usb0="00000000" w:usb1="00000000" w:usb2="00000000" w:usb3="00000000" w:csb0="00040000" w:csb1="00000000"/>
  </w:font>
  <w:font w:name="Tahoma">
    <w:panose1 w:val="020B0804030504040204"/>
    <w:charset w:val="00"/>
    <w:family w:val="swiss"/>
    <w:pitch w:val="default"/>
    <w:sig w:usb0="E1002AFF" w:usb1="C000605B" w:usb2="00000029" w:usb3="00000000" w:csb0="200101FF" w:csb1="20280000"/>
  </w:font>
  <w:font w:name="Microsoft Sans Serif">
    <w:panose1 w:val="020B0604020202020204"/>
    <w:charset w:val="00"/>
    <w:family w:val="swiss"/>
    <w:pitch w:val="default"/>
    <w:sig w:usb0="E1002AFF" w:usb1="C0000002" w:usb2="00000008" w:usb3="00000000" w:csb0="200101FF" w:csb1="20280000"/>
  </w:font>
  <w:font w:name="Roman 12cpi">
    <w:altName w:val="苹方-简"/>
    <w:panose1 w:val="00000000000000000000"/>
    <w:charset w:val="00"/>
    <w:family w:val="moder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等线 Light">
    <w:altName w:val="汉仪中等线KW"/>
    <w:panose1 w:val="02010600030101010101"/>
    <w:charset w:val="86"/>
    <w:family w:val="auto"/>
    <w:pitch w:val="default"/>
    <w:sig w:usb0="00000000" w:usb1="00000000" w:usb2="00000016" w:usb3="00000000" w:csb0="0004000F" w:csb1="00000000"/>
  </w:font>
  <w:font w:name="Microsoft YaHei UI">
    <w:altName w:val="苹方-简"/>
    <w:panose1 w:val="020B0503020204020204"/>
    <w:charset w:val="86"/>
    <w:family w:val="swiss"/>
    <w:pitch w:val="default"/>
    <w:sig w:usb0="00000000" w:usb1="00000000" w:usb2="00000016" w:usb3="00000000" w:csb0="0004001F" w:csb1="00000000"/>
  </w:font>
  <w:font w:name="PMingLiU">
    <w:altName w:val="宋体-繁"/>
    <w:panose1 w:val="02020500000000000000"/>
    <w:charset w:val="88"/>
    <w:family w:val="roman"/>
    <w:pitch w:val="default"/>
    <w:sig w:usb0="00000000" w:usb1="00000000" w:usb2="00000016" w:usb3="00000000" w:csb0="00100001" w:csb1="00000000"/>
  </w:font>
  <w:font w:name="MS Gothic">
    <w:panose1 w:val="020B0609070205080204"/>
    <w:charset w:val="80"/>
    <w:family w:val="modern"/>
    <w:pitch w:val="default"/>
    <w:sig w:usb0="E00002FF" w:usb1="6AC7FDFB" w:usb2="00000012" w:usb3="00000000" w:csb0="4002009F" w:csb1="DFD70000"/>
    <w:embedRegular r:id="rId5" w:fontKey="{BD8E24F6-AC5E-29E9-2D01-3B67A620F11E}"/>
  </w:font>
  <w:font w:name="等线">
    <w:altName w:val="汉仪中等线KW"/>
    <w:panose1 w:val="02010600030101010101"/>
    <w:charset w:val="86"/>
    <w:family w:val="auto"/>
    <w:pitch w:val="default"/>
    <w:sig w:usb0="00000000" w:usb1="00000000" w:usb2="00000016" w:usb3="00000000" w:csb0="0004000F" w:csb1="00000000"/>
  </w:font>
  <w:font w:name="Tms Rmn">
    <w:altName w:val="苹方-简"/>
    <w:panose1 w:val="02020603040505020304"/>
    <w:charset w:val="00"/>
    <w:family w:val="roman"/>
    <w:pitch w:val="default"/>
    <w:sig w:usb0="00000000" w:usb1="00000000" w:usb2="00000000" w:usb3="00000000" w:csb0="00000001" w:csb1="00000000"/>
  </w:font>
  <w:font w:name="ˎ̥">
    <w:altName w:val="苹方-简"/>
    <w:panose1 w:val="00000000000000000000"/>
    <w:charset w:val="00"/>
    <w:family w:val="roman"/>
    <w:pitch w:val="default"/>
    <w:sig w:usb0="00000000" w:usb1="00000000" w:usb2="00000000" w:usb3="00000000" w:csb0="00040001" w:csb1="00000000"/>
  </w:font>
  <w:font w:name="Univers">
    <w:altName w:val="苹方-简"/>
    <w:panose1 w:val="00000000000000000000"/>
    <w:charset w:val="00"/>
    <w:family w:val="swiss"/>
    <w:pitch w:val="default"/>
    <w:sig w:usb0="00000000" w:usb1="00000000" w:usb2="00000000" w:usb3="00000000" w:csb0="0000000F" w:csb1="00000000"/>
  </w:font>
  <w:font w:name="MS Mincho">
    <w:altName w:val="Hiragino Sans"/>
    <w:panose1 w:val="02020609040205080304"/>
    <w:charset w:val="80"/>
    <w:family w:val="modern"/>
    <w:pitch w:val="default"/>
    <w:sig w:usb0="00000000" w:usb1="00000000" w:usb2="00000012" w:usb3="00000000" w:csb0="0002009F" w:csb1="00000000"/>
  </w:font>
  <w:font w:name="微软雅黑">
    <w:altName w:val="汉仪旗黑"/>
    <w:panose1 w:val="020B0503020204020204"/>
    <w:charset w:val="86"/>
    <w:family w:val="swiss"/>
    <w:pitch w:val="default"/>
    <w:sig w:usb0="00000000" w:usb1="00000000" w:usb2="00000016" w:usb3="00000000" w:csb0="0004001F" w:csb1="00000000"/>
  </w:font>
  <w:font w:name="方正楷体_GB2312">
    <w:panose1 w:val="02000000000000000000"/>
    <w:charset w:val="86"/>
    <w:family w:val="auto"/>
    <w:pitch w:val="default"/>
    <w:sig w:usb0="A00002BF" w:usb1="184F6CFA" w:usb2="00000012" w:usb3="00000000" w:csb0="00040001" w:csb1="00000000"/>
    <w:embedRegular r:id="rId6" w:fontKey="{8EF1D37A-3582-E285-2D01-3B671B491EFB}"/>
  </w:font>
  <w:font w:name="仿宋">
    <w:altName w:val="方正仿宋_GBK"/>
    <w:panose1 w:val="02010609060101010101"/>
    <w:charset w:val="86"/>
    <w:family w:val="modern"/>
    <w:pitch w:val="default"/>
    <w:sig w:usb0="00000000" w:usb1="00000000" w:usb2="00000016" w:usb3="00000000" w:csb0="00040001" w:csb1="00000000"/>
  </w:font>
  <w:font w:name="楷体_GB2312">
    <w:altName w:val="汉仪楷体简"/>
    <w:panose1 w:val="00000000000000000000"/>
    <w:charset w:val="00"/>
    <w:family w:val="modern"/>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汉仪楷体简">
    <w:panose1 w:val="02010600000101010101"/>
    <w:charset w:val="86"/>
    <w:family w:val="auto"/>
    <w:pitch w:val="default"/>
    <w:sig w:usb0="00000001" w:usb1="080E0800" w:usb2="00000002" w:usb3="00000000" w:csb0="0004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宋体-繁">
    <w:panose1 w:val="02010600040101010101"/>
    <w:charset w:val="86"/>
    <w:family w:val="auto"/>
    <w:pitch w:val="default"/>
    <w:sig w:usb0="00000287" w:usb1="080F0000" w:usb2="00000000" w:usb3="00000000" w:csb0="0004009F" w:csb1="DFD70000"/>
  </w:font>
  <w:font w:name="Hiragino Sans">
    <w:panose1 w:val="020B0700000000000000"/>
    <w:charset w:val="80"/>
    <w:family w:val="auto"/>
    <w:pitch w:val="default"/>
    <w:sig w:usb0="800002CF" w:usb1="6AC7FCFC" w:usb2="00000012" w:usb3="00000000" w:csb0="0002000D"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1"/>
                            <w:jc w:val="center"/>
                          </w:pPr>
                          <w:r>
                            <w:fldChar w:fldCharType="begin"/>
                          </w:r>
                          <w:r>
                            <w:instrText xml:space="preserve">PAGE   \* MERGEFORMAT</w:instrText>
                          </w:r>
                          <w:r>
                            <w:fldChar w:fldCharType="separate"/>
                          </w:r>
                          <w:r>
                            <w:rPr>
                              <w:lang w:val="zh-CN"/>
                            </w:rPr>
                            <w:t>1</w:t>
                          </w:r>
                          <w: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BoaYJL0wAAAAUBAAAPAAAA&#10;AAAAAAEAIAAAADgAAABkcnMvZG93bnJldi54bWxQSwECFAAUAAAACACHTuJAtAC3aMsBAACXAwAA&#10;DgAAAAAAAAABACAAAAA4AQAAZHJzL2Uyb0RvYy54bWxQSwUGAAAAAAYABgBZAQAAdQUAAAAA&#10;">
              <v:fill on="f" focussize="0,0"/>
              <v:stroke on="f" weight="1.25pt"/>
              <v:imagedata o:title=""/>
              <o:lock v:ext="edit" aspectratio="f"/>
              <v:textbox inset="0mm,0mm,0mm,0mm" style="mso-fit-shape-to-text:t;">
                <w:txbxContent>
                  <w:p>
                    <w:pPr>
                      <w:pStyle w:val="31"/>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5"/>
      </w:rPr>
    </w:pPr>
    <w:r>
      <w:fldChar w:fldCharType="begin"/>
    </w:r>
    <w:r>
      <w:rPr>
        <w:rStyle w:val="55"/>
      </w:rPr>
      <w:instrText xml:space="preserve">PAGE  </w:instrText>
    </w:r>
    <w:r>
      <w:fldChar w:fldCharType="end"/>
    </w:r>
  </w:p>
  <w:p>
    <w:pPr>
      <w:pStyle w:val="3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4410"/>
        <w:tab w:val="clear" w:pos="4153"/>
        <w:tab w:val="clear" w:pos="8306"/>
      </w:tabs>
      <w:ind w:right="360"/>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1"/>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aGmCS9MAAAAFAQAADwAA&#10;AAAAAAABACAAAAA4AAAAZHJzL2Rvd25yZXYueG1sUEsBAhQAFAAAAAgAh07iQPScy6/MAQAAmQMA&#10;AA4AAAAAAAAAAQAgAAAAOAEAAGRycy9lMm9Eb2MueG1sUEsFBgAAAAAGAAYAWQEAAHYFAAAAAA==&#10;">
              <v:fill on="f" focussize="0,0"/>
              <v:stroke on="f" weight="1.25pt"/>
              <v:imagedata o:title=""/>
              <o:lock v:ext="edit" aspectratio="f"/>
              <v:textbox inset="0mm,0mm,0mm,0mm" style="mso-fit-shape-to-text:t;">
                <w:txbxContent>
                  <w:p>
                    <w:pPr>
                      <w:pStyle w:val="3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1"/>
                            <w:jc w:val="center"/>
                          </w:pPr>
                          <w:r>
                            <w:fldChar w:fldCharType="begin"/>
                          </w:r>
                          <w:r>
                            <w:instrText xml:space="preserve">PAGE   \* MERGEFORMAT</w:instrText>
                          </w:r>
                          <w:r>
                            <w:fldChar w:fldCharType="separate"/>
                          </w:r>
                          <w:r>
                            <w:rPr>
                              <w:lang w:val="zh-CN"/>
                            </w:rPr>
                            <w:t>4</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BoaYJL0wAAAAUBAAAPAAAA&#10;AAAAAAEAIAAAADgAAABkcnMvZG93bnJldi54bWxQSwECFAAUAAAACACHTuJAYgrAhcsBAACXAwAA&#10;DgAAAAAAAAABACAAAAA4AQAAZHJzL2Uyb0RvYy54bWxQSwUGAAAAAAYABgBZAQAAdQUAAAAA&#10;">
              <v:fill on="f" focussize="0,0"/>
              <v:stroke on="f" weight="1.25pt"/>
              <v:imagedata o:title=""/>
              <o:lock v:ext="edit" aspectratio="f"/>
              <v:textbox inset="0mm,0mm,0mm,0mm" style="mso-fit-shape-to-text:t;">
                <w:txbxContent>
                  <w:p>
                    <w:pPr>
                      <w:pStyle w:val="31"/>
                      <w:jc w:val="center"/>
                    </w:pPr>
                    <w:r>
                      <w:fldChar w:fldCharType="begin"/>
                    </w:r>
                    <w:r>
                      <w:instrText xml:space="preserve">PAGE   \* MERGEFORMAT</w:instrText>
                    </w:r>
                    <w:r>
                      <w:fldChar w:fldCharType="separate"/>
                    </w:r>
                    <w:r>
                      <w:rPr>
                        <w:lang w:val="zh-CN"/>
                      </w:rP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1"/>
                          </w:pPr>
                          <w:r>
                            <w:fldChar w:fldCharType="begin"/>
                          </w:r>
                          <w:r>
                            <w:instrText xml:space="preserve"> PAGE  \* MERGEFORMAT </w:instrText>
                          </w:r>
                          <w:r>
                            <w:fldChar w:fldCharType="separate"/>
                          </w:r>
                          <w:r>
                            <w:t>34</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GmCS9MAAAAF&#10;AQAADwAAAAAAAAABACAAAAA4AAAAZHJzL2Rvd25yZXYueG1sUEsBAhQAFAAAAAgAh07iQJe16dLS&#10;AQAAowMAAA4AAAAAAAAAAQAgAAAAOAEAAGRycy9lMm9Eb2MueG1sUEsFBgAAAAAGAAYAWQEAAHwF&#10;AAAAAA==&#10;">
              <v:fill on="f" focussize="0,0"/>
              <v:stroke on="f" weight="1.25pt"/>
              <v:imagedata o:title=""/>
              <o:lock v:ext="edit" aspectratio="f"/>
              <v:textbox inset="0mm,0mm,0mm,0mm" style="mso-fit-shape-to-text:t;">
                <w:txbxContent>
                  <w:p>
                    <w:pPr>
                      <w:pStyle w:val="31"/>
                    </w:pPr>
                    <w:r>
                      <w:fldChar w:fldCharType="begin"/>
                    </w:r>
                    <w:r>
                      <w:instrText xml:space="preserve"> PAGE  \* MERGEFORMAT </w:instrText>
                    </w:r>
                    <w:r>
                      <w:fldChar w:fldCharType="separate"/>
                    </w:r>
                    <w:r>
                      <w:t>34</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oaYJL0wAAAAUB&#10;AAAPAAAAAAAAAAEAIAAAADgAAABkcnMvZG93bnJldi54bWxQSwECFAAUAAAACACHTuJATT0USNEB&#10;AAClAwAADgAAAAAAAAABACAAAAA4AQAAZHJzL2Uyb0RvYy54bWxQSwUGAAAAAAYABgBZAQAAewUA&#10;AAAA&#10;">
              <v:fill on="f" focussize="0,0"/>
              <v:stroke on="f" weight="1.25pt"/>
              <v:imagedata o:title=""/>
              <o:lock v:ext="edit" aspectratio="f"/>
              <v:textbox inset="0mm,0mm,0mm,0mm" style="mso-fit-shape-to-text:t;">
                <w:txbxConten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1"/>
                          </w:pPr>
                          <w:r>
                            <w:fldChar w:fldCharType="begin"/>
                          </w:r>
                          <w:r>
                            <w:instrText xml:space="preserve"> PAGE  \* MERGEFORMAT </w:instrText>
                          </w:r>
                          <w:r>
                            <w:fldChar w:fldCharType="separate"/>
                          </w:r>
                          <w:r>
                            <w:t>59</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GmCS9MAAAAF&#10;AQAADwAAAAAAAAABACAAAAA4AAAAZHJzL2Rvd25yZXYueG1sUEsBAhQAFAAAAAgAh07iQFUda8HS&#10;AQAApAMAAA4AAAAAAAAAAQAgAAAAOAEAAGRycy9lMm9Eb2MueG1sUEsFBgAAAAAGAAYAWQEAAHwF&#10;AAAAAA==&#10;">
              <v:fill on="f" focussize="0,0"/>
              <v:stroke on="f" weight="1.25pt"/>
              <v:imagedata o:title=""/>
              <o:lock v:ext="edit" aspectratio="f"/>
              <v:textbox inset="0mm,0mm,0mm,0mm" style="mso-fit-shape-to-text:t;">
                <w:txbxContent>
                  <w:p>
                    <w:pPr>
                      <w:pStyle w:val="31"/>
                    </w:pPr>
                    <w:r>
                      <w:fldChar w:fldCharType="begin"/>
                    </w:r>
                    <w:r>
                      <w:instrText xml:space="preserve"> PAGE  \* MERGEFORMAT </w:instrText>
                    </w:r>
                    <w:r>
                      <w:fldChar w:fldCharType="separate"/>
                    </w:r>
                    <w:r>
                      <w:t>59</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oaYJL0wAAAAUB&#10;AAAPAAAAAAAAAAEAIAAAADgAAABkcnMvZG93bnJldi54bWxQSwECFAAUAAAACACHTuJAtDVjiNEB&#10;AACmAwAADgAAAAAAAAABACAAAAA4AQAAZHJzL2Uyb0RvYy54bWxQSwUGAAAAAAYABgBZAQAAewUA&#10;AAAA&#10;">
              <v:fill on="f" focussize="0,0"/>
              <v:stroke on="f" weight="1.25pt"/>
              <v:imagedata o:title=""/>
              <o:lock v:ext="edit" aspectratio="f"/>
              <v:textbox inset="0mm,0mm,0mm,0mm" style="mso-fit-shape-to-text:t;">
                <w:txbxContent>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5"/>
      </w:rPr>
    </w:pPr>
    <w:r>
      <w:fldChar w:fldCharType="begin"/>
    </w:r>
    <w:r>
      <w:rPr>
        <w:rStyle w:val="55"/>
      </w:rPr>
      <w:instrText xml:space="preserve">PAGE  </w:instrText>
    </w:r>
    <w:r>
      <w:fldChar w:fldCharType="end"/>
    </w:r>
  </w:p>
  <w:p>
    <w:pPr>
      <w:pStyle w:val="31"/>
      <w:ind w:right="360"/>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1"/>
                          </w:pPr>
                          <w:r>
                            <w:fldChar w:fldCharType="begin"/>
                          </w:r>
                          <w:r>
                            <w:instrText xml:space="preserve"> PAGE  \* MERGEFORMAT </w:instrText>
                          </w:r>
                          <w:r>
                            <w:fldChar w:fldCharType="separate"/>
                          </w:r>
                          <w:r>
                            <w:t>97</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GmCS9MAAAAF&#10;AQAADwAAAAAAAAABACAAAAA4AAAAZHJzL2Rvd25yZXYueG1sUEsBAhQAFAAAAAgAh07iQL56ngfS&#10;AQAApAMAAA4AAAAAAAAAAQAgAAAAOAEAAGRycy9lMm9Eb2MueG1sUEsFBgAAAAAGAAYAWQEAAHwF&#10;AAAAAA==&#10;">
              <v:fill on="f" focussize="0,0"/>
              <v:stroke on="f" weight="1.25pt"/>
              <v:imagedata o:title=""/>
              <o:lock v:ext="edit" aspectratio="f"/>
              <v:textbox inset="0mm,0mm,0mm,0mm" style="mso-fit-shape-to-text:t;">
                <w:txbxContent>
                  <w:p>
                    <w:pPr>
                      <w:pStyle w:val="31"/>
                    </w:pPr>
                    <w:r>
                      <w:fldChar w:fldCharType="begin"/>
                    </w:r>
                    <w:r>
                      <w:instrText xml:space="preserve"> PAGE  \* MERGEFORMAT </w:instrText>
                    </w:r>
                    <w:r>
                      <w:fldChar w:fldCharType="separate"/>
                    </w:r>
                    <w:r>
                      <w:t>97</w:t>
                    </w:r>
                    <w: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31"/>
                            <w:jc w:val="center"/>
                          </w:pPr>
                        </w:p>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GhpgkvTAAAABQEA&#10;AA8AAAAAAAAAAQAgAAAAOAAAAGRycy9kb3ducmV2LnhtbFBLAQIUABQAAAAIAIdO4kAae8bh0AEA&#10;AKYDAAAOAAAAAAAAAAEAIAAAADgBAABkcnMvZTJvRG9jLnhtbFBLBQYAAAAABgAGAFkBAAB6BQAA&#10;AAA=&#10;">
              <v:fill on="f" focussize="0,0"/>
              <v:stroke on="f" weight="1.25pt"/>
              <v:imagedata o:title=""/>
              <o:lock v:ext="edit" aspectratio="f"/>
              <v:textbox inset="0mm,0mm,0mm,0mm" style="mso-fit-shape-to-text:t;">
                <w:txbxContent>
                  <w:p>
                    <w:pPr>
                      <w:pStyle w:val="31"/>
                      <w:jc w:val="center"/>
                    </w:pPr>
                  </w:p>
                  <w:p/>
                </w:txbxContent>
              </v:textbox>
            </v:shape>
          </w:pict>
        </mc:Fallback>
      </mc:AlternateContent>
    </w: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5"/>
      </w:rPr>
    </w:pPr>
    <w:r>
      <w:fldChar w:fldCharType="begin"/>
    </w:r>
    <w:r>
      <w:rPr>
        <w:rStyle w:val="55"/>
      </w:rPr>
      <w:instrText xml:space="preserve">PAGE  </w:instrText>
    </w:r>
    <w:r>
      <w:fldChar w:fldCharType="separate"/>
    </w:r>
    <w:r>
      <w:rPr>
        <w:rStyle w:val="55"/>
      </w:rPr>
      <w:t>70</w:t>
    </w:r>
    <w:r>
      <w:fldChar w:fldCharType="end"/>
    </w:r>
  </w:p>
  <w:p>
    <w:pPr>
      <w:pStyle w:val="31"/>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jc w:val="both"/>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7A29B"/>
    <w:multiLevelType w:val="singleLevel"/>
    <w:tmpl w:val="8727A29B"/>
    <w:lvl w:ilvl="0" w:tentative="0">
      <w:start w:val="4"/>
      <w:numFmt w:val="chineseCounting"/>
      <w:suff w:val="space"/>
      <w:lvlText w:val="第%1部分"/>
      <w:lvlJc w:val="left"/>
      <w:rPr>
        <w:rFonts w:hint="eastAsia"/>
      </w:rPr>
    </w:lvl>
  </w:abstractNum>
  <w:abstractNum w:abstractNumId="1">
    <w:nsid w:val="98592BFC"/>
    <w:multiLevelType w:val="singleLevel"/>
    <w:tmpl w:val="98592BFC"/>
    <w:lvl w:ilvl="0" w:tentative="0">
      <w:start w:val="1"/>
      <w:numFmt w:val="decimal"/>
      <w:suff w:val="space"/>
      <w:lvlText w:val="%1."/>
      <w:lvlJc w:val="left"/>
      <w:pPr>
        <w:ind w:left="-11" w:hanging="425"/>
      </w:pPr>
      <w:rPr>
        <w:rFonts w:hint="default"/>
        <w:b/>
        <w:bCs/>
      </w:rPr>
    </w:lvl>
  </w:abstractNum>
  <w:abstractNum w:abstractNumId="2">
    <w:nsid w:val="9B271ABB"/>
    <w:multiLevelType w:val="singleLevel"/>
    <w:tmpl w:val="9B271ABB"/>
    <w:lvl w:ilvl="0" w:tentative="0">
      <w:start w:val="1"/>
      <w:numFmt w:val="decimal"/>
      <w:suff w:val="space"/>
      <w:lvlText w:val="%1."/>
      <w:lvlJc w:val="left"/>
      <w:pPr>
        <w:ind w:left="-11" w:hanging="425"/>
      </w:pPr>
      <w:rPr>
        <w:rFonts w:hint="default"/>
        <w:b/>
        <w:bCs/>
      </w:rPr>
    </w:lvl>
  </w:abstractNum>
  <w:abstractNum w:abstractNumId="3">
    <w:nsid w:val="9DADE209"/>
    <w:multiLevelType w:val="singleLevel"/>
    <w:tmpl w:val="9DADE209"/>
    <w:lvl w:ilvl="0" w:tentative="0">
      <w:start w:val="1"/>
      <w:numFmt w:val="decimal"/>
      <w:suff w:val="space"/>
      <w:lvlText w:val="%1."/>
      <w:lvlJc w:val="left"/>
      <w:pPr>
        <w:ind w:left="1055" w:hanging="425"/>
      </w:pPr>
      <w:rPr>
        <w:rFonts w:hint="default"/>
        <w:b/>
        <w:bCs/>
      </w:rPr>
    </w:lvl>
  </w:abstractNum>
  <w:abstractNum w:abstractNumId="4">
    <w:nsid w:val="BAA959E0"/>
    <w:multiLevelType w:val="singleLevel"/>
    <w:tmpl w:val="BAA959E0"/>
    <w:lvl w:ilvl="0" w:tentative="0">
      <w:start w:val="1"/>
      <w:numFmt w:val="decimal"/>
      <w:suff w:val="space"/>
      <w:lvlText w:val="%1."/>
      <w:lvlJc w:val="left"/>
      <w:pPr>
        <w:ind w:left="1055" w:hanging="425"/>
      </w:pPr>
      <w:rPr>
        <w:rFonts w:hint="default"/>
        <w:b/>
        <w:bCs/>
      </w:rPr>
    </w:lvl>
  </w:abstractNum>
  <w:abstractNum w:abstractNumId="5">
    <w:nsid w:val="C015DA42"/>
    <w:multiLevelType w:val="singleLevel"/>
    <w:tmpl w:val="C015DA42"/>
    <w:lvl w:ilvl="0" w:tentative="0">
      <w:start w:val="1"/>
      <w:numFmt w:val="decimal"/>
      <w:suff w:val="space"/>
      <w:lvlText w:val="%1."/>
      <w:lvlJc w:val="left"/>
      <w:pPr>
        <w:ind w:left="708" w:hanging="425"/>
      </w:pPr>
      <w:rPr>
        <w:rFonts w:hint="default"/>
        <w:b/>
        <w:bCs/>
      </w:rPr>
    </w:lvl>
  </w:abstractNum>
  <w:abstractNum w:abstractNumId="6">
    <w:nsid w:val="C8E2D94E"/>
    <w:multiLevelType w:val="singleLevel"/>
    <w:tmpl w:val="C8E2D94E"/>
    <w:lvl w:ilvl="0" w:tentative="0">
      <w:start w:val="1"/>
      <w:numFmt w:val="decimal"/>
      <w:lvlText w:val="(%1)"/>
      <w:lvlJc w:val="left"/>
      <w:pPr>
        <w:ind w:left="425" w:hanging="425"/>
      </w:pPr>
      <w:rPr>
        <w:rFonts w:hint="default"/>
      </w:rPr>
    </w:lvl>
  </w:abstractNum>
  <w:abstractNum w:abstractNumId="7">
    <w:nsid w:val="D69C38B9"/>
    <w:multiLevelType w:val="singleLevel"/>
    <w:tmpl w:val="D69C38B9"/>
    <w:lvl w:ilvl="0" w:tentative="0">
      <w:start w:val="1"/>
      <w:numFmt w:val="bullet"/>
      <w:lvlText w:val=""/>
      <w:lvlJc w:val="left"/>
      <w:pPr>
        <w:ind w:left="420" w:hanging="420"/>
      </w:pPr>
      <w:rPr>
        <w:rFonts w:hint="default" w:ascii="Wingdings" w:hAnsi="Wingdings"/>
      </w:rPr>
    </w:lvl>
  </w:abstractNum>
  <w:abstractNum w:abstractNumId="8">
    <w:nsid w:val="E408C702"/>
    <w:multiLevelType w:val="singleLevel"/>
    <w:tmpl w:val="E408C702"/>
    <w:lvl w:ilvl="0" w:tentative="0">
      <w:start w:val="6"/>
      <w:numFmt w:val="chineseCounting"/>
      <w:suff w:val="nothing"/>
      <w:lvlText w:val="%1、"/>
      <w:lvlJc w:val="left"/>
      <w:rPr>
        <w:rFonts w:hint="eastAsia"/>
      </w:rPr>
    </w:lvl>
  </w:abstractNum>
  <w:abstractNum w:abstractNumId="9">
    <w:nsid w:val="FC0F993F"/>
    <w:multiLevelType w:val="singleLevel"/>
    <w:tmpl w:val="FC0F993F"/>
    <w:lvl w:ilvl="0" w:tentative="0">
      <w:start w:val="7"/>
      <w:numFmt w:val="chineseCounting"/>
      <w:suff w:val="space"/>
      <w:lvlText w:val="第%1部分"/>
      <w:lvlJc w:val="left"/>
      <w:rPr>
        <w:rFonts w:hint="eastAsia"/>
      </w:rPr>
    </w:lvl>
  </w:abstractNum>
  <w:abstractNum w:abstractNumId="10">
    <w:nsid w:val="FC6E14CE"/>
    <w:multiLevelType w:val="multilevel"/>
    <w:tmpl w:val="FC6E14CE"/>
    <w:lvl w:ilvl="0" w:tentative="0">
      <w:start w:val="1"/>
      <w:numFmt w:val="decimal"/>
      <w:lvlText w:val="(%1)"/>
      <w:lvlJc w:val="left"/>
      <w:pPr>
        <w:ind w:left="425" w:hanging="425"/>
      </w:pPr>
      <w:rPr>
        <w:rFonts w:hint="default"/>
      </w:rPr>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1">
    <w:nsid w:val="00000024"/>
    <w:multiLevelType w:val="multilevel"/>
    <w:tmpl w:val="00000024"/>
    <w:lvl w:ilvl="0" w:tentative="0">
      <w:start w:val="1"/>
      <w:numFmt w:val="decimal"/>
      <w:lvlText w:val="%1."/>
      <w:lvlJc w:val="left"/>
      <w:pPr>
        <w:tabs>
          <w:tab w:val="left" w:pos="1134"/>
        </w:tabs>
        <w:ind w:left="1134" w:hanging="1134"/>
      </w:pPr>
      <w:rPr>
        <w:rFonts w:hint="eastAsia" w:cs="Times New Roman"/>
      </w:rPr>
    </w:lvl>
    <w:lvl w:ilvl="1" w:tentative="0">
      <w:start w:val="1"/>
      <w:numFmt w:val="decimal"/>
      <w:lvlText w:val="6.%2"/>
      <w:lvlJc w:val="left"/>
      <w:pPr>
        <w:tabs>
          <w:tab w:val="left" w:pos="1134"/>
        </w:tabs>
        <w:ind w:left="1134" w:hanging="1134"/>
      </w:pPr>
      <w:rPr>
        <w:rFonts w:hint="eastAsia"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none"/>
      <w:lvlText w:val=""/>
      <w:lvlJc w:val="left"/>
      <w:pPr>
        <w:tabs>
          <w:tab w:val="left" w:pos="360"/>
        </w:tabs>
      </w:pPr>
      <w:rPr>
        <w:rFonts w:cs="Times New Roman"/>
      </w:rPr>
    </w:lvl>
    <w:lvl w:ilvl="5" w:tentative="0">
      <w:start w:val="0"/>
      <w:numFmt w:val="none"/>
      <w:lvlText w:val=""/>
      <w:lvlJc w:val="left"/>
      <w:pPr>
        <w:tabs>
          <w:tab w:val="left" w:pos="360"/>
        </w:tabs>
      </w:pPr>
      <w:rPr>
        <w:rFonts w:cs="Times New Roman"/>
      </w:rPr>
    </w:lvl>
    <w:lvl w:ilvl="6" w:tentative="0">
      <w:start w:val="0"/>
      <w:numFmt w:val="none"/>
      <w:lvlText w:val=""/>
      <w:lvlJc w:val="left"/>
      <w:pPr>
        <w:tabs>
          <w:tab w:val="left" w:pos="360"/>
        </w:tabs>
      </w:pPr>
      <w:rPr>
        <w:rFonts w:cs="Times New Roman"/>
      </w:rPr>
    </w:lvl>
    <w:lvl w:ilvl="7" w:tentative="0">
      <w:start w:val="0"/>
      <w:numFmt w:val="none"/>
      <w:lvlText w:val=""/>
      <w:lvlJc w:val="left"/>
      <w:pPr>
        <w:tabs>
          <w:tab w:val="left" w:pos="360"/>
        </w:tabs>
      </w:pPr>
      <w:rPr>
        <w:rFonts w:cs="Times New Roman"/>
      </w:rPr>
    </w:lvl>
    <w:lvl w:ilvl="8" w:tentative="0">
      <w:start w:val="0"/>
      <w:numFmt w:val="none"/>
      <w:lvlText w:val=""/>
      <w:lvlJc w:val="left"/>
      <w:pPr>
        <w:tabs>
          <w:tab w:val="left" w:pos="360"/>
        </w:tabs>
      </w:pPr>
      <w:rPr>
        <w:rFonts w:cs="Times New Roman"/>
      </w:rPr>
    </w:lvl>
  </w:abstractNum>
  <w:abstractNum w:abstractNumId="12">
    <w:nsid w:val="00000036"/>
    <w:multiLevelType w:val="multilevel"/>
    <w:tmpl w:val="00000036"/>
    <w:lvl w:ilvl="0" w:tentative="0">
      <w:start w:val="1"/>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0"/>
        </w:tabs>
        <w:ind w:left="0" w:firstLine="0"/>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3">
    <w:nsid w:val="00000047"/>
    <w:multiLevelType w:val="multilevel"/>
    <w:tmpl w:val="00000047"/>
    <w:lvl w:ilvl="0" w:tentative="0">
      <w:start w:val="3"/>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0"/>
        </w:tabs>
        <w:ind w:left="0" w:firstLine="0"/>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4">
    <w:nsid w:val="00000094"/>
    <w:multiLevelType w:val="multilevel"/>
    <w:tmpl w:val="00000094"/>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0"/>
        </w:tabs>
        <w:ind w:left="0" w:firstLine="0"/>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5">
    <w:nsid w:val="000000A4"/>
    <w:multiLevelType w:val="multilevel"/>
    <w:tmpl w:val="000000A4"/>
    <w:lvl w:ilvl="0" w:tentative="0">
      <w:start w:val="1"/>
      <w:numFmt w:val="decimal"/>
      <w:lvlText w:val="%1."/>
      <w:lvlJc w:val="left"/>
      <w:pPr>
        <w:tabs>
          <w:tab w:val="left" w:pos="0"/>
        </w:tabs>
        <w:ind w:left="0" w:firstLine="0"/>
      </w:pPr>
      <w:rPr>
        <w:rFonts w:hint="eastAsia" w:ascii="宋体" w:hAnsi="宋体" w:eastAsia="宋体" w:cs="Times New Roman"/>
        <w:b/>
        <w:i w:val="0"/>
        <w:sz w:val="21"/>
      </w:rPr>
    </w:lvl>
    <w:lvl w:ilvl="1" w:tentative="0">
      <w:start w:val="1"/>
      <w:numFmt w:val="lowerLetter"/>
      <w:lvlText w:val="%2)"/>
      <w:lvlJc w:val="left"/>
      <w:pPr>
        <w:tabs>
          <w:tab w:val="left" w:pos="840"/>
        </w:tabs>
        <w:ind w:left="840" w:hanging="420"/>
      </w:pPr>
      <w:rPr>
        <w:rFonts w:hint="eastAsia" w:cs="Times New Roman"/>
      </w:rPr>
    </w:lvl>
    <w:lvl w:ilvl="2" w:tentative="0">
      <w:start w:val="1"/>
      <w:numFmt w:val="lowerRoman"/>
      <w:lvlText w:val="%3."/>
      <w:lvlJc w:val="right"/>
      <w:pPr>
        <w:tabs>
          <w:tab w:val="left" w:pos="1260"/>
        </w:tabs>
        <w:ind w:left="1260" w:hanging="420"/>
      </w:pPr>
      <w:rPr>
        <w:rFonts w:hint="eastAsia" w:cs="Times New Roman"/>
      </w:rPr>
    </w:lvl>
    <w:lvl w:ilvl="3" w:tentative="0">
      <w:start w:val="1"/>
      <w:numFmt w:val="decimal"/>
      <w:lvlText w:val="%4."/>
      <w:lvlJc w:val="left"/>
      <w:pPr>
        <w:tabs>
          <w:tab w:val="left" w:pos="1680"/>
        </w:tabs>
        <w:ind w:left="1680" w:hanging="420"/>
      </w:pPr>
      <w:rPr>
        <w:rFonts w:hint="eastAsia" w:cs="Times New Roman"/>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16">
    <w:nsid w:val="000000B1"/>
    <w:multiLevelType w:val="multilevel"/>
    <w:tmpl w:val="000000B1"/>
    <w:lvl w:ilvl="0" w:tentative="0">
      <w:start w:val="1"/>
      <w:numFmt w:val="decimal"/>
      <w:lvlText w:val="7.%1"/>
      <w:lvlJc w:val="left"/>
      <w:pPr>
        <w:tabs>
          <w:tab w:val="left" w:pos="0"/>
        </w:tabs>
        <w:ind w:left="0" w:firstLine="0"/>
      </w:pPr>
      <w:rPr>
        <w:rFonts w:hint="eastAsia" w:cs="Times New Roman"/>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hint="eastAsia" w:cs="Times New Roman"/>
      </w:rPr>
    </w:lvl>
    <w:lvl w:ilvl="3" w:tentative="0">
      <w:start w:val="1"/>
      <w:numFmt w:val="decimal"/>
      <w:lvlText w:val="%4."/>
      <w:lvlJc w:val="left"/>
      <w:pPr>
        <w:tabs>
          <w:tab w:val="left" w:pos="1680"/>
        </w:tabs>
        <w:ind w:left="1680" w:hanging="420"/>
      </w:pPr>
      <w:rPr>
        <w:rFonts w:hint="eastAsia" w:cs="Times New Roman"/>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17">
    <w:nsid w:val="000000B2"/>
    <w:multiLevelType w:val="multilevel"/>
    <w:tmpl w:val="000000B2"/>
    <w:lvl w:ilvl="0" w:tentative="0">
      <w:start w:val="2"/>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0"/>
        </w:tabs>
        <w:ind w:left="0" w:firstLine="0"/>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8">
    <w:nsid w:val="000000DB"/>
    <w:multiLevelType w:val="multilevel"/>
    <w:tmpl w:val="000000DB"/>
    <w:lvl w:ilvl="0" w:tentative="0">
      <w:start w:val="1"/>
      <w:numFmt w:val="decimal"/>
      <w:lvlText w:val="2.%1"/>
      <w:lvlJc w:val="left"/>
      <w:pPr>
        <w:tabs>
          <w:tab w:val="left" w:pos="1134"/>
        </w:tabs>
        <w:ind w:left="1134" w:hanging="1134"/>
      </w:pPr>
      <w:rPr>
        <w:rFonts w:hint="eastAsia" w:cs="Times New Roman"/>
      </w:rPr>
    </w:lvl>
    <w:lvl w:ilvl="1" w:tentative="0">
      <w:start w:val="1"/>
      <w:numFmt w:val="lowerLetter"/>
      <w:lvlText w:val="%2)"/>
      <w:lvlJc w:val="left"/>
      <w:pPr>
        <w:tabs>
          <w:tab w:val="left" w:pos="840"/>
        </w:tabs>
        <w:ind w:left="840" w:hanging="420"/>
      </w:pPr>
      <w:rPr>
        <w:rFonts w:hint="eastAsia" w:cs="Times New Roman"/>
      </w:rPr>
    </w:lvl>
    <w:lvl w:ilvl="2" w:tentative="0">
      <w:start w:val="1"/>
      <w:numFmt w:val="lowerRoman"/>
      <w:lvlText w:val="%3."/>
      <w:lvlJc w:val="right"/>
      <w:pPr>
        <w:tabs>
          <w:tab w:val="left" w:pos="1260"/>
        </w:tabs>
        <w:ind w:left="1260" w:hanging="420"/>
      </w:pPr>
      <w:rPr>
        <w:rFonts w:hint="eastAsia" w:cs="Times New Roman"/>
      </w:rPr>
    </w:lvl>
    <w:lvl w:ilvl="3" w:tentative="0">
      <w:start w:val="1"/>
      <w:numFmt w:val="decimal"/>
      <w:lvlText w:val="%4."/>
      <w:lvlJc w:val="left"/>
      <w:pPr>
        <w:tabs>
          <w:tab w:val="left" w:pos="1680"/>
        </w:tabs>
        <w:ind w:left="1680" w:hanging="420"/>
      </w:pPr>
      <w:rPr>
        <w:rFonts w:hint="eastAsia" w:cs="Times New Roman"/>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19">
    <w:nsid w:val="132B404A"/>
    <w:multiLevelType w:val="multilevel"/>
    <w:tmpl w:val="132B404A"/>
    <w:lvl w:ilvl="0" w:tentative="0">
      <w:start w:val="1"/>
      <w:numFmt w:val="decimal"/>
      <w:lvlText w:val="(%1)"/>
      <w:lvlJc w:val="left"/>
      <w:pPr>
        <w:ind w:left="425" w:hanging="425"/>
      </w:pPr>
      <w:rPr>
        <w:rFonts w:hint="default"/>
      </w:rPr>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0">
    <w:nsid w:val="1FFA38FC"/>
    <w:multiLevelType w:val="singleLevel"/>
    <w:tmpl w:val="1FFA38FC"/>
    <w:lvl w:ilvl="0" w:tentative="0">
      <w:start w:val="1"/>
      <w:numFmt w:val="decimal"/>
      <w:suff w:val="space"/>
      <w:lvlText w:val="%1."/>
      <w:lvlJc w:val="left"/>
      <w:pPr>
        <w:ind w:left="1055" w:hanging="425"/>
      </w:pPr>
      <w:rPr>
        <w:rFonts w:hint="default"/>
        <w:b/>
        <w:bCs/>
      </w:rPr>
    </w:lvl>
  </w:abstractNum>
  <w:abstractNum w:abstractNumId="21">
    <w:nsid w:val="2C08B602"/>
    <w:multiLevelType w:val="singleLevel"/>
    <w:tmpl w:val="2C08B602"/>
    <w:lvl w:ilvl="0" w:tentative="0">
      <w:start w:val="1"/>
      <w:numFmt w:val="decimal"/>
      <w:lvlText w:val="(%1)"/>
      <w:lvlJc w:val="left"/>
      <w:pPr>
        <w:ind w:left="425" w:hanging="425"/>
      </w:pPr>
      <w:rPr>
        <w:rFonts w:hint="default"/>
      </w:rPr>
    </w:lvl>
  </w:abstractNum>
  <w:abstractNum w:abstractNumId="22">
    <w:nsid w:val="30FED0EB"/>
    <w:multiLevelType w:val="singleLevel"/>
    <w:tmpl w:val="30FED0EB"/>
    <w:lvl w:ilvl="0" w:tentative="0">
      <w:start w:val="1"/>
      <w:numFmt w:val="decimal"/>
      <w:suff w:val="space"/>
      <w:lvlText w:val="%1."/>
      <w:lvlJc w:val="left"/>
      <w:pPr>
        <w:ind w:left="1055" w:hanging="425"/>
      </w:pPr>
      <w:rPr>
        <w:rFonts w:hint="default"/>
        <w:b/>
        <w:bCs/>
      </w:rPr>
    </w:lvl>
  </w:abstractNum>
  <w:abstractNum w:abstractNumId="23">
    <w:nsid w:val="3CB94BE9"/>
    <w:multiLevelType w:val="multilevel"/>
    <w:tmpl w:val="3CB94BE9"/>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5.%2"/>
      <w:lvlJc w:val="left"/>
      <w:pPr>
        <w:tabs>
          <w:tab w:val="left" w:pos="0"/>
        </w:tabs>
        <w:ind w:left="0" w:firstLine="0"/>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4">
    <w:nsid w:val="42F27F32"/>
    <w:multiLevelType w:val="multilevel"/>
    <w:tmpl w:val="42F27F32"/>
    <w:lvl w:ilvl="0" w:tentative="0">
      <w:start w:val="1"/>
      <w:numFmt w:val="decimal"/>
      <w:lvlText w:val="(%1)"/>
      <w:lvlJc w:val="left"/>
      <w:pPr>
        <w:ind w:left="425" w:hanging="425"/>
      </w:pPr>
      <w:rPr>
        <w:rFonts w:hint="default"/>
      </w:rPr>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5">
    <w:nsid w:val="487820BB"/>
    <w:multiLevelType w:val="singleLevel"/>
    <w:tmpl w:val="487820BB"/>
    <w:lvl w:ilvl="0" w:tentative="0">
      <w:start w:val="1"/>
      <w:numFmt w:val="decimal"/>
      <w:suff w:val="space"/>
      <w:lvlText w:val="%1."/>
      <w:lvlJc w:val="left"/>
      <w:pPr>
        <w:ind w:left="1055" w:hanging="425"/>
      </w:pPr>
      <w:rPr>
        <w:rFonts w:hint="default"/>
        <w:b/>
        <w:bCs/>
      </w:rPr>
    </w:lvl>
  </w:abstractNum>
  <w:abstractNum w:abstractNumId="26">
    <w:nsid w:val="4F048879"/>
    <w:multiLevelType w:val="singleLevel"/>
    <w:tmpl w:val="4F048879"/>
    <w:lvl w:ilvl="0" w:tentative="0">
      <w:start w:val="1"/>
      <w:numFmt w:val="decimal"/>
      <w:suff w:val="nothing"/>
      <w:lvlText w:val="%1、"/>
      <w:lvlJc w:val="left"/>
    </w:lvl>
  </w:abstractNum>
  <w:abstractNum w:abstractNumId="27">
    <w:nsid w:val="508E4172"/>
    <w:multiLevelType w:val="singleLevel"/>
    <w:tmpl w:val="508E4172"/>
    <w:lvl w:ilvl="0" w:tentative="0">
      <w:start w:val="1"/>
      <w:numFmt w:val="decimal"/>
      <w:suff w:val="space"/>
      <w:lvlText w:val="%1."/>
      <w:lvlJc w:val="left"/>
      <w:pPr>
        <w:ind w:left="-11" w:hanging="425"/>
      </w:pPr>
      <w:rPr>
        <w:rFonts w:hint="default"/>
        <w:b/>
        <w:bCs/>
      </w:rPr>
    </w:lvl>
  </w:abstractNum>
  <w:abstractNum w:abstractNumId="28">
    <w:nsid w:val="532C6D9C"/>
    <w:multiLevelType w:val="singleLevel"/>
    <w:tmpl w:val="532C6D9C"/>
    <w:lvl w:ilvl="0" w:tentative="0">
      <w:start w:val="1"/>
      <w:numFmt w:val="decimal"/>
      <w:suff w:val="space"/>
      <w:lvlText w:val="（%1）"/>
      <w:lvlJc w:val="left"/>
    </w:lvl>
  </w:abstractNum>
  <w:abstractNum w:abstractNumId="29">
    <w:nsid w:val="56208FEB"/>
    <w:multiLevelType w:val="multilevel"/>
    <w:tmpl w:val="56208FEB"/>
    <w:lvl w:ilvl="0" w:tentative="0">
      <w:start w:val="1"/>
      <w:numFmt w:val="decimal"/>
      <w:lvlText w:val="7.3.%1"/>
      <w:lvlJc w:val="left"/>
      <w:pPr>
        <w:tabs>
          <w:tab w:val="left" w:pos="0"/>
        </w:tabs>
        <w:ind w:left="0" w:firstLine="0"/>
      </w:pPr>
      <w:rPr>
        <w:rFonts w:hint="default" w:ascii="宋体" w:hAnsi="宋体" w:eastAsia="宋体" w:cs="宋体"/>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hint="eastAsia" w:cs="Times New Roman"/>
      </w:rPr>
    </w:lvl>
    <w:lvl w:ilvl="3" w:tentative="0">
      <w:start w:val="1"/>
      <w:numFmt w:val="decimal"/>
      <w:lvlText w:val="%4."/>
      <w:lvlJc w:val="left"/>
      <w:pPr>
        <w:tabs>
          <w:tab w:val="left" w:pos="1680"/>
        </w:tabs>
        <w:ind w:left="1680" w:hanging="420"/>
      </w:pPr>
      <w:rPr>
        <w:rFonts w:hint="eastAsia" w:cs="Times New Roman"/>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30">
    <w:nsid w:val="56209061"/>
    <w:multiLevelType w:val="multilevel"/>
    <w:tmpl w:val="56209061"/>
    <w:lvl w:ilvl="0" w:tentative="0">
      <w:start w:val="1"/>
      <w:numFmt w:val="decimal"/>
      <w:lvlText w:val="7.5.%1"/>
      <w:lvlJc w:val="left"/>
      <w:pPr>
        <w:tabs>
          <w:tab w:val="left" w:pos="0"/>
        </w:tabs>
        <w:ind w:left="0" w:firstLine="0"/>
      </w:pPr>
      <w:rPr>
        <w:rFonts w:hint="default" w:ascii="宋体" w:hAnsi="宋体" w:eastAsia="宋体" w:cs="宋体"/>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hint="eastAsia" w:cs="Times New Roman"/>
      </w:rPr>
    </w:lvl>
    <w:lvl w:ilvl="3" w:tentative="0">
      <w:start w:val="1"/>
      <w:numFmt w:val="decimal"/>
      <w:lvlText w:val="%4."/>
      <w:lvlJc w:val="left"/>
      <w:pPr>
        <w:tabs>
          <w:tab w:val="left" w:pos="1680"/>
        </w:tabs>
        <w:ind w:left="1680" w:hanging="420"/>
      </w:pPr>
      <w:rPr>
        <w:rFonts w:hint="eastAsia" w:cs="Times New Roman"/>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31">
    <w:nsid w:val="62B5D468"/>
    <w:multiLevelType w:val="singleLevel"/>
    <w:tmpl w:val="62B5D468"/>
    <w:lvl w:ilvl="0" w:tentative="0">
      <w:start w:val="1"/>
      <w:numFmt w:val="decimal"/>
      <w:suff w:val="space"/>
      <w:lvlText w:val="%1."/>
      <w:lvlJc w:val="left"/>
      <w:pPr>
        <w:ind w:left="68" w:hanging="425"/>
      </w:pPr>
      <w:rPr>
        <w:rFonts w:hint="default"/>
        <w:b/>
        <w:bCs/>
      </w:rPr>
    </w:lvl>
  </w:abstractNum>
  <w:abstractNum w:abstractNumId="32">
    <w:nsid w:val="6CD649EE"/>
    <w:multiLevelType w:val="singleLevel"/>
    <w:tmpl w:val="6CD649EE"/>
    <w:lvl w:ilvl="0" w:tentative="0">
      <w:start w:val="1"/>
      <w:numFmt w:val="decimal"/>
      <w:suff w:val="space"/>
      <w:lvlText w:val="%1."/>
      <w:lvlJc w:val="left"/>
      <w:pPr>
        <w:ind w:left="1055" w:hanging="425"/>
      </w:pPr>
      <w:rPr>
        <w:rFonts w:hint="default"/>
        <w:b/>
        <w:bCs/>
      </w:rPr>
    </w:lvl>
  </w:abstractNum>
  <w:abstractNum w:abstractNumId="33">
    <w:nsid w:val="6FD1BDE5"/>
    <w:multiLevelType w:val="singleLevel"/>
    <w:tmpl w:val="6FD1BDE5"/>
    <w:lvl w:ilvl="0" w:tentative="0">
      <w:start w:val="1"/>
      <w:numFmt w:val="decimal"/>
      <w:suff w:val="space"/>
      <w:lvlText w:val="%1."/>
      <w:lvlJc w:val="left"/>
      <w:pPr>
        <w:ind w:left="425" w:hanging="425"/>
      </w:pPr>
      <w:rPr>
        <w:rFonts w:hint="default"/>
        <w:b/>
        <w:bCs/>
      </w:rPr>
    </w:lvl>
  </w:abstractNum>
  <w:abstractNum w:abstractNumId="34">
    <w:nsid w:val="7538E3F0"/>
    <w:multiLevelType w:val="singleLevel"/>
    <w:tmpl w:val="7538E3F0"/>
    <w:lvl w:ilvl="0" w:tentative="0">
      <w:start w:val="1"/>
      <w:numFmt w:val="decimal"/>
      <w:suff w:val="space"/>
      <w:lvlText w:val="%1."/>
      <w:lvlJc w:val="left"/>
      <w:pPr>
        <w:ind w:left="1055" w:hanging="425"/>
      </w:pPr>
      <w:rPr>
        <w:rFonts w:hint="default"/>
        <w:b/>
        <w:bCs/>
      </w:rPr>
    </w:lvl>
  </w:abstractNum>
  <w:abstractNum w:abstractNumId="35">
    <w:nsid w:val="77E72D25"/>
    <w:multiLevelType w:val="singleLevel"/>
    <w:tmpl w:val="77E72D25"/>
    <w:lvl w:ilvl="0" w:tentative="0">
      <w:start w:val="1"/>
      <w:numFmt w:val="decimal"/>
      <w:suff w:val="space"/>
      <w:lvlText w:val="%1."/>
      <w:lvlJc w:val="left"/>
      <w:pPr>
        <w:ind w:left="1055" w:hanging="425"/>
      </w:pPr>
      <w:rPr>
        <w:rFonts w:hint="default"/>
        <w:b/>
        <w:bCs/>
      </w:rPr>
    </w:lvl>
  </w:abstractNum>
  <w:num w:numId="1">
    <w:abstractNumId w:val="18"/>
  </w:num>
  <w:num w:numId="2">
    <w:abstractNumId w:val="28"/>
  </w:num>
  <w:num w:numId="3">
    <w:abstractNumId w:val="8"/>
  </w:num>
  <w:num w:numId="4">
    <w:abstractNumId w:val="15"/>
  </w:num>
  <w:num w:numId="5">
    <w:abstractNumId w:val="12"/>
  </w:num>
  <w:num w:numId="6">
    <w:abstractNumId w:val="12"/>
    <w:lvlOverride w:ilvl="0">
      <w:lvl w:ilvl="0" w:tentative="1">
        <w:start w:val="1"/>
        <w:numFmt w:val="decimal"/>
        <w:lvlText w:val="%1"/>
        <w:lvlJc w:val="left"/>
        <w:pPr>
          <w:tabs>
            <w:tab w:val="left" w:pos="540"/>
          </w:tabs>
          <w:ind w:left="540" w:hanging="540"/>
        </w:pPr>
        <w:rPr>
          <w:rFonts w:hint="eastAsia" w:cs="Times New Roman"/>
        </w:rPr>
      </w:lvl>
    </w:lvlOverride>
    <w:lvlOverride w:ilvl="1">
      <w:lvl w:ilvl="1" w:tentative="1">
        <w:start w:val="1"/>
        <w:numFmt w:val="decimal"/>
        <w:lvlText w:val="%1.%2"/>
        <w:lvlJc w:val="left"/>
        <w:pPr>
          <w:tabs>
            <w:tab w:val="left" w:pos="0"/>
          </w:tabs>
          <w:ind w:left="0" w:firstLine="0"/>
        </w:pPr>
        <w:rPr>
          <w:rFonts w:hint="eastAsia" w:cs="Times New Roman"/>
        </w:rPr>
      </w:lvl>
    </w:lvlOverride>
    <w:lvlOverride w:ilvl="2">
      <w:lvl w:ilvl="2" w:tentative="1">
        <w:start w:val="1"/>
        <w:numFmt w:val="decimal"/>
        <w:lvlText w:val="%1.%2.%3"/>
        <w:lvlJc w:val="left"/>
        <w:pPr>
          <w:tabs>
            <w:tab w:val="left" w:pos="0"/>
            <w:tab w:val="left" w:pos="1134"/>
          </w:tabs>
          <w:ind w:left="0" w:firstLine="0"/>
        </w:pPr>
        <w:rPr>
          <w:rFonts w:hint="eastAsia" w:cs="Times New Roman"/>
        </w:rPr>
      </w:lvl>
    </w:lvlOverride>
    <w:lvlOverride w:ilvl="3">
      <w:lvl w:ilvl="3" w:tentative="1">
        <w:start w:val="1"/>
        <w:numFmt w:val="decimal"/>
        <w:lvlText w:val="%1.%2.%3.%4"/>
        <w:lvlJc w:val="left"/>
        <w:pPr>
          <w:tabs>
            <w:tab w:val="left" w:pos="720"/>
          </w:tabs>
          <w:ind w:left="720" w:hanging="720"/>
        </w:pPr>
        <w:rPr>
          <w:rFonts w:hint="eastAsia" w:cs="Times New Roman"/>
        </w:rPr>
      </w:lvl>
    </w:lvlOverride>
    <w:lvlOverride w:ilvl="4">
      <w:lvl w:ilvl="4" w:tentative="1">
        <w:start w:val="1"/>
        <w:numFmt w:val="decimal"/>
        <w:lvlText w:val="%1.%2.%3.%4.%5"/>
        <w:lvlJc w:val="left"/>
        <w:pPr>
          <w:tabs>
            <w:tab w:val="left" w:pos="1080"/>
          </w:tabs>
          <w:ind w:left="1080" w:hanging="1080"/>
        </w:pPr>
        <w:rPr>
          <w:rFonts w:hint="eastAsia" w:cs="Times New Roman"/>
        </w:rPr>
      </w:lvl>
    </w:lvlOverride>
    <w:lvlOverride w:ilvl="5">
      <w:lvl w:ilvl="5" w:tentative="1">
        <w:start w:val="1"/>
        <w:numFmt w:val="decimal"/>
        <w:lvlText w:val="%1.%2.%3.%4.%5.%6"/>
        <w:lvlJc w:val="left"/>
        <w:pPr>
          <w:tabs>
            <w:tab w:val="left" w:pos="1080"/>
          </w:tabs>
          <w:ind w:left="1080" w:hanging="1080"/>
        </w:pPr>
        <w:rPr>
          <w:rFonts w:hint="eastAsia" w:cs="Times New Roman"/>
        </w:rPr>
      </w:lvl>
    </w:lvlOverride>
    <w:lvlOverride w:ilvl="6">
      <w:lvl w:ilvl="6" w:tentative="1">
        <w:start w:val="1"/>
        <w:numFmt w:val="decimal"/>
        <w:lvlText w:val="%1.%2.%3.%4.%5.%6.%7"/>
        <w:lvlJc w:val="left"/>
        <w:pPr>
          <w:tabs>
            <w:tab w:val="left" w:pos="1440"/>
          </w:tabs>
          <w:ind w:left="1440" w:hanging="1440"/>
        </w:pPr>
        <w:rPr>
          <w:rFonts w:hint="eastAsia" w:cs="Times New Roman"/>
        </w:rPr>
      </w:lvl>
    </w:lvlOverride>
    <w:lvlOverride w:ilvl="7">
      <w:lvl w:ilvl="7" w:tentative="1">
        <w:start w:val="1"/>
        <w:numFmt w:val="decimal"/>
        <w:lvlText w:val="%1.%2.%3.%4.%5.%6.%7.%8"/>
        <w:lvlJc w:val="left"/>
        <w:pPr>
          <w:tabs>
            <w:tab w:val="left" w:pos="1440"/>
          </w:tabs>
          <w:ind w:left="1440" w:hanging="1440"/>
        </w:pPr>
        <w:rPr>
          <w:rFonts w:hint="eastAsia" w:cs="Times New Roman"/>
        </w:rPr>
      </w:lvl>
    </w:lvlOverride>
    <w:lvlOverride w:ilvl="8">
      <w:lvl w:ilvl="8" w:tentative="1">
        <w:start w:val="1"/>
        <w:numFmt w:val="decimal"/>
        <w:lvlText w:val="%1.%2.%3.%4.%5.%6.%7.%8.%9"/>
        <w:lvlJc w:val="left"/>
        <w:pPr>
          <w:tabs>
            <w:tab w:val="left" w:pos="1800"/>
          </w:tabs>
          <w:ind w:left="1800" w:hanging="1800"/>
        </w:pPr>
        <w:rPr>
          <w:rFonts w:hint="eastAsia" w:cs="Times New Roman"/>
        </w:rPr>
      </w:lvl>
    </w:lvlOverride>
  </w:num>
  <w:num w:numId="7">
    <w:abstractNumId w:val="12"/>
    <w:lvlOverride w:ilvl="0">
      <w:lvl w:ilvl="0" w:tentative="1">
        <w:start w:val="1"/>
        <w:numFmt w:val="decimal"/>
        <w:lvlText w:val="%1"/>
        <w:lvlJc w:val="left"/>
        <w:pPr>
          <w:tabs>
            <w:tab w:val="left" w:pos="540"/>
          </w:tabs>
          <w:ind w:left="540" w:hanging="540"/>
        </w:pPr>
        <w:rPr>
          <w:rFonts w:hint="eastAsia" w:cs="Times New Roman"/>
        </w:rPr>
      </w:lvl>
    </w:lvlOverride>
    <w:lvlOverride w:ilvl="1">
      <w:lvl w:ilvl="1" w:tentative="1">
        <w:start w:val="1"/>
        <w:numFmt w:val="decimal"/>
        <w:lvlText w:val="%1.%2"/>
        <w:lvlJc w:val="left"/>
        <w:pPr>
          <w:tabs>
            <w:tab w:val="left" w:pos="0"/>
          </w:tabs>
          <w:ind w:left="0" w:firstLine="0"/>
        </w:pPr>
        <w:rPr>
          <w:rFonts w:hint="eastAsia" w:cs="Times New Roman"/>
        </w:rPr>
      </w:lvl>
    </w:lvlOverride>
    <w:lvlOverride w:ilvl="2">
      <w:lvl w:ilvl="2" w:tentative="1">
        <w:start w:val="1"/>
        <w:numFmt w:val="decimal"/>
        <w:lvlText w:val="%1.%2.%3"/>
        <w:lvlJc w:val="left"/>
        <w:pPr>
          <w:tabs>
            <w:tab w:val="left" w:pos="0"/>
            <w:tab w:val="left" w:pos="1134"/>
          </w:tabs>
          <w:ind w:left="0" w:firstLine="0"/>
        </w:pPr>
        <w:rPr>
          <w:rFonts w:hint="eastAsia" w:cs="Times New Roman"/>
        </w:rPr>
      </w:lvl>
    </w:lvlOverride>
    <w:lvlOverride w:ilvl="3">
      <w:lvl w:ilvl="3" w:tentative="1">
        <w:start w:val="1"/>
        <w:numFmt w:val="decimal"/>
        <w:lvlText w:val="%1.%2.%3.%4"/>
        <w:lvlJc w:val="left"/>
        <w:pPr>
          <w:tabs>
            <w:tab w:val="left" w:pos="720"/>
          </w:tabs>
          <w:ind w:left="720" w:hanging="720"/>
        </w:pPr>
        <w:rPr>
          <w:rFonts w:hint="eastAsia" w:cs="Times New Roman"/>
        </w:rPr>
      </w:lvl>
    </w:lvlOverride>
    <w:lvlOverride w:ilvl="4">
      <w:lvl w:ilvl="4" w:tentative="1">
        <w:start w:val="1"/>
        <w:numFmt w:val="decimal"/>
        <w:lvlText w:val="%1.%2.%3.%4.%5"/>
        <w:lvlJc w:val="left"/>
        <w:pPr>
          <w:tabs>
            <w:tab w:val="left" w:pos="1080"/>
          </w:tabs>
          <w:ind w:left="1080" w:hanging="1080"/>
        </w:pPr>
        <w:rPr>
          <w:rFonts w:hint="eastAsia" w:cs="Times New Roman"/>
        </w:rPr>
      </w:lvl>
    </w:lvlOverride>
    <w:lvlOverride w:ilvl="5">
      <w:lvl w:ilvl="5" w:tentative="1">
        <w:start w:val="1"/>
        <w:numFmt w:val="decimal"/>
        <w:lvlText w:val="%1.%2.%3.%4.%5.%6"/>
        <w:lvlJc w:val="left"/>
        <w:pPr>
          <w:tabs>
            <w:tab w:val="left" w:pos="1080"/>
          </w:tabs>
          <w:ind w:left="1080" w:hanging="1080"/>
        </w:pPr>
        <w:rPr>
          <w:rFonts w:hint="eastAsia" w:cs="Times New Roman"/>
        </w:rPr>
      </w:lvl>
    </w:lvlOverride>
    <w:lvlOverride w:ilvl="6">
      <w:lvl w:ilvl="6" w:tentative="1">
        <w:start w:val="1"/>
        <w:numFmt w:val="decimal"/>
        <w:lvlText w:val="%1.%2.%3.%4.%5.%6.%7"/>
        <w:lvlJc w:val="left"/>
        <w:pPr>
          <w:tabs>
            <w:tab w:val="left" w:pos="1440"/>
          </w:tabs>
          <w:ind w:left="1440" w:hanging="1440"/>
        </w:pPr>
        <w:rPr>
          <w:rFonts w:hint="eastAsia" w:cs="Times New Roman"/>
        </w:rPr>
      </w:lvl>
    </w:lvlOverride>
    <w:lvlOverride w:ilvl="7">
      <w:lvl w:ilvl="7" w:tentative="1">
        <w:start w:val="1"/>
        <w:numFmt w:val="decimal"/>
        <w:lvlText w:val="%1.%2.%3.%4.%5.%6.%7.%8"/>
        <w:lvlJc w:val="left"/>
        <w:pPr>
          <w:tabs>
            <w:tab w:val="left" w:pos="1440"/>
          </w:tabs>
          <w:ind w:left="1440" w:hanging="1440"/>
        </w:pPr>
        <w:rPr>
          <w:rFonts w:hint="eastAsia" w:cs="Times New Roman"/>
        </w:rPr>
      </w:lvl>
    </w:lvlOverride>
    <w:lvlOverride w:ilvl="8">
      <w:lvl w:ilvl="8" w:tentative="1">
        <w:start w:val="1"/>
        <w:numFmt w:val="decimal"/>
        <w:lvlText w:val="%1.%2.%3.%4.%5.%6.%7.%8.%9"/>
        <w:lvlJc w:val="left"/>
        <w:pPr>
          <w:tabs>
            <w:tab w:val="left" w:pos="1800"/>
          </w:tabs>
          <w:ind w:left="1800" w:hanging="1800"/>
        </w:pPr>
        <w:rPr>
          <w:rFonts w:hint="eastAsia" w:cs="Times New Roman"/>
        </w:rPr>
      </w:lvl>
    </w:lvlOverride>
  </w:num>
  <w:num w:numId="8">
    <w:abstractNumId w:val="17"/>
  </w:num>
  <w:num w:numId="9">
    <w:abstractNumId w:val="13"/>
  </w:num>
  <w:num w:numId="10">
    <w:abstractNumId w:val="14"/>
  </w:num>
  <w:num w:numId="11">
    <w:abstractNumId w:val="23"/>
  </w:num>
  <w:num w:numId="12">
    <w:abstractNumId w:val="11"/>
  </w:num>
  <w:num w:numId="13">
    <w:abstractNumId w:val="11"/>
    <w:lvlOverride w:ilvl="0">
      <w:lvl w:ilvl="0" w:tentative="1">
        <w:start w:val="1"/>
        <w:numFmt w:val="decimal"/>
        <w:lvlText w:val="%1."/>
        <w:lvlJc w:val="left"/>
        <w:pPr>
          <w:tabs>
            <w:tab w:val="left" w:pos="1134"/>
          </w:tabs>
          <w:ind w:left="1134" w:hanging="1134"/>
        </w:pPr>
        <w:rPr>
          <w:rFonts w:hint="eastAsia" w:cs="Times New Roman"/>
        </w:rPr>
      </w:lvl>
    </w:lvlOverride>
    <w:lvlOverride w:ilvl="1">
      <w:lvl w:ilvl="1" w:tentative="1">
        <w:start w:val="1"/>
        <w:numFmt w:val="decimal"/>
        <w:lvlText w:val="6.%2"/>
        <w:lvlJc w:val="left"/>
        <w:pPr>
          <w:tabs>
            <w:tab w:val="left" w:pos="0"/>
            <w:tab w:val="left" w:pos="1134"/>
          </w:tabs>
          <w:ind w:left="0" w:firstLine="0"/>
        </w:pPr>
        <w:rPr>
          <w:rFonts w:hint="eastAsia" w:cs="Times New Roman"/>
        </w:rPr>
      </w:lvl>
    </w:lvlOverride>
    <w:lvlOverride w:ilvl="2">
      <w:lvl w:ilvl="2" w:tentative="1">
        <w:start w:val="0"/>
        <w:numFmt w:val="none"/>
        <w:lvlText w:val=""/>
        <w:lvlJc w:val="left"/>
        <w:pPr>
          <w:tabs>
            <w:tab w:val="left" w:pos="360"/>
          </w:tabs>
          <w:ind w:left="0" w:firstLine="0"/>
        </w:pPr>
        <w:rPr>
          <w:rFonts w:hint="eastAsia" w:cs="Times New Roman"/>
        </w:rPr>
      </w:lvl>
    </w:lvlOverride>
    <w:lvlOverride w:ilvl="3">
      <w:lvl w:ilvl="3" w:tentative="1">
        <w:start w:val="0"/>
        <w:numFmt w:val="none"/>
        <w:lvlText w:val=""/>
        <w:lvlJc w:val="left"/>
        <w:pPr>
          <w:tabs>
            <w:tab w:val="left" w:pos="360"/>
          </w:tabs>
          <w:ind w:left="0" w:firstLine="0"/>
        </w:pPr>
        <w:rPr>
          <w:rFonts w:hint="eastAsia" w:cs="Times New Roman"/>
        </w:rPr>
      </w:lvl>
    </w:lvlOverride>
    <w:lvlOverride w:ilvl="4">
      <w:lvl w:ilvl="4" w:tentative="1">
        <w:start w:val="0"/>
        <w:numFmt w:val="none"/>
        <w:lvlText w:val=""/>
        <w:lvlJc w:val="left"/>
        <w:pPr>
          <w:tabs>
            <w:tab w:val="left" w:pos="360"/>
          </w:tabs>
          <w:ind w:left="0" w:firstLine="0"/>
        </w:pPr>
        <w:rPr>
          <w:rFonts w:hint="eastAsia" w:cs="Times New Roman"/>
        </w:rPr>
      </w:lvl>
    </w:lvlOverride>
    <w:lvlOverride w:ilvl="5">
      <w:lvl w:ilvl="5" w:tentative="1">
        <w:start w:val="0"/>
        <w:numFmt w:val="none"/>
        <w:lvlText w:val=""/>
        <w:lvlJc w:val="left"/>
        <w:pPr>
          <w:tabs>
            <w:tab w:val="left" w:pos="360"/>
          </w:tabs>
          <w:ind w:left="0" w:firstLine="0"/>
        </w:pPr>
        <w:rPr>
          <w:rFonts w:hint="eastAsia" w:cs="Times New Roman"/>
        </w:rPr>
      </w:lvl>
    </w:lvlOverride>
    <w:lvlOverride w:ilvl="6">
      <w:lvl w:ilvl="6" w:tentative="1">
        <w:start w:val="0"/>
        <w:numFmt w:val="none"/>
        <w:lvlText w:val=""/>
        <w:lvlJc w:val="left"/>
        <w:pPr>
          <w:tabs>
            <w:tab w:val="left" w:pos="360"/>
          </w:tabs>
          <w:ind w:left="0" w:firstLine="0"/>
        </w:pPr>
        <w:rPr>
          <w:rFonts w:hint="eastAsia" w:cs="Times New Roman"/>
        </w:rPr>
      </w:lvl>
    </w:lvlOverride>
    <w:lvlOverride w:ilvl="7">
      <w:lvl w:ilvl="7" w:tentative="1">
        <w:start w:val="0"/>
        <w:numFmt w:val="none"/>
        <w:lvlText w:val=""/>
        <w:lvlJc w:val="left"/>
        <w:pPr>
          <w:tabs>
            <w:tab w:val="left" w:pos="360"/>
          </w:tabs>
          <w:ind w:left="0" w:firstLine="0"/>
        </w:pPr>
        <w:rPr>
          <w:rFonts w:hint="eastAsia" w:cs="Times New Roman"/>
        </w:rPr>
      </w:lvl>
    </w:lvlOverride>
    <w:lvlOverride w:ilvl="8">
      <w:lvl w:ilvl="8" w:tentative="1">
        <w:start w:val="0"/>
        <w:numFmt w:val="none"/>
        <w:lvlText w:val=""/>
        <w:lvlJc w:val="left"/>
        <w:pPr>
          <w:tabs>
            <w:tab w:val="left" w:pos="360"/>
          </w:tabs>
          <w:ind w:left="0" w:firstLine="0"/>
        </w:pPr>
        <w:rPr>
          <w:rFonts w:hint="eastAsia" w:cs="Times New Roman"/>
        </w:rPr>
      </w:lvl>
    </w:lvlOverride>
  </w:num>
  <w:num w:numId="14">
    <w:abstractNumId w:val="16"/>
  </w:num>
  <w:num w:numId="15">
    <w:abstractNumId w:val="29"/>
  </w:num>
  <w:num w:numId="16">
    <w:abstractNumId w:val="30"/>
  </w:num>
  <w:num w:numId="17">
    <w:abstractNumId w:val="0"/>
  </w:num>
  <w:num w:numId="18">
    <w:abstractNumId w:val="9"/>
  </w:num>
  <w:num w:numId="19">
    <w:abstractNumId w:val="33"/>
  </w:num>
  <w:num w:numId="20">
    <w:abstractNumId w:val="5"/>
  </w:num>
  <w:num w:numId="21">
    <w:abstractNumId w:val="31"/>
  </w:num>
  <w:num w:numId="22">
    <w:abstractNumId w:val="20"/>
  </w:num>
  <w:num w:numId="23">
    <w:abstractNumId w:val="7"/>
  </w:num>
  <w:num w:numId="24">
    <w:abstractNumId w:val="32"/>
  </w:num>
  <w:num w:numId="25">
    <w:abstractNumId w:val="22"/>
  </w:num>
  <w:num w:numId="26">
    <w:abstractNumId w:val="4"/>
  </w:num>
  <w:num w:numId="27">
    <w:abstractNumId w:val="35"/>
  </w:num>
  <w:num w:numId="28">
    <w:abstractNumId w:val="3"/>
  </w:num>
  <w:num w:numId="29">
    <w:abstractNumId w:val="6"/>
  </w:num>
  <w:num w:numId="30">
    <w:abstractNumId w:val="21"/>
  </w:num>
  <w:num w:numId="31">
    <w:abstractNumId w:val="34"/>
  </w:num>
  <w:num w:numId="32">
    <w:abstractNumId w:val="10"/>
  </w:num>
  <w:num w:numId="33">
    <w:abstractNumId w:val="2"/>
  </w:num>
  <w:num w:numId="34">
    <w:abstractNumId w:val="27"/>
  </w:num>
  <w:num w:numId="35">
    <w:abstractNumId w:val="1"/>
  </w:num>
  <w:num w:numId="36">
    <w:abstractNumId w:val="19"/>
  </w:num>
  <w:num w:numId="37">
    <w:abstractNumId w:val="24"/>
  </w:num>
  <w:num w:numId="38">
    <w:abstractNumId w:val="2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s>
  <w:rsids>
    <w:rsidRoot w:val="00172A27"/>
    <w:rsid w:val="00000611"/>
    <w:rsid w:val="00000B84"/>
    <w:rsid w:val="000022DB"/>
    <w:rsid w:val="00002301"/>
    <w:rsid w:val="0000267A"/>
    <w:rsid w:val="0000294E"/>
    <w:rsid w:val="00002B54"/>
    <w:rsid w:val="00003A39"/>
    <w:rsid w:val="00003ACE"/>
    <w:rsid w:val="00004FD6"/>
    <w:rsid w:val="00005887"/>
    <w:rsid w:val="00005921"/>
    <w:rsid w:val="0000609E"/>
    <w:rsid w:val="00007DFF"/>
    <w:rsid w:val="00010521"/>
    <w:rsid w:val="000115E3"/>
    <w:rsid w:val="00011B44"/>
    <w:rsid w:val="00011E58"/>
    <w:rsid w:val="0001320A"/>
    <w:rsid w:val="00013218"/>
    <w:rsid w:val="00014128"/>
    <w:rsid w:val="00014205"/>
    <w:rsid w:val="000144D2"/>
    <w:rsid w:val="00015C5D"/>
    <w:rsid w:val="00017700"/>
    <w:rsid w:val="000179E9"/>
    <w:rsid w:val="00020AA9"/>
    <w:rsid w:val="00023E76"/>
    <w:rsid w:val="00023EEC"/>
    <w:rsid w:val="000244EA"/>
    <w:rsid w:val="00027580"/>
    <w:rsid w:val="00027C51"/>
    <w:rsid w:val="00027ECA"/>
    <w:rsid w:val="000309A9"/>
    <w:rsid w:val="00030A4E"/>
    <w:rsid w:val="00031670"/>
    <w:rsid w:val="00034E92"/>
    <w:rsid w:val="00035922"/>
    <w:rsid w:val="000363CA"/>
    <w:rsid w:val="0003648D"/>
    <w:rsid w:val="00036854"/>
    <w:rsid w:val="00037156"/>
    <w:rsid w:val="0004047D"/>
    <w:rsid w:val="00040635"/>
    <w:rsid w:val="00040F4A"/>
    <w:rsid w:val="00041CAC"/>
    <w:rsid w:val="00041EC5"/>
    <w:rsid w:val="00041FDF"/>
    <w:rsid w:val="00044FC3"/>
    <w:rsid w:val="0004552D"/>
    <w:rsid w:val="000456F9"/>
    <w:rsid w:val="00045862"/>
    <w:rsid w:val="00045E9D"/>
    <w:rsid w:val="00045FE3"/>
    <w:rsid w:val="00047599"/>
    <w:rsid w:val="0005053F"/>
    <w:rsid w:val="00050CF8"/>
    <w:rsid w:val="00051C07"/>
    <w:rsid w:val="00051D2B"/>
    <w:rsid w:val="00051DC1"/>
    <w:rsid w:val="00052E2E"/>
    <w:rsid w:val="00053E7D"/>
    <w:rsid w:val="000547C0"/>
    <w:rsid w:val="0005597B"/>
    <w:rsid w:val="00056585"/>
    <w:rsid w:val="000565CF"/>
    <w:rsid w:val="00061641"/>
    <w:rsid w:val="00062373"/>
    <w:rsid w:val="0006340E"/>
    <w:rsid w:val="0006418C"/>
    <w:rsid w:val="0006555A"/>
    <w:rsid w:val="00066643"/>
    <w:rsid w:val="00066C41"/>
    <w:rsid w:val="00066D0B"/>
    <w:rsid w:val="000707EB"/>
    <w:rsid w:val="00070A0D"/>
    <w:rsid w:val="00070DF2"/>
    <w:rsid w:val="00070E5F"/>
    <w:rsid w:val="000710AD"/>
    <w:rsid w:val="000714E3"/>
    <w:rsid w:val="00073528"/>
    <w:rsid w:val="00074152"/>
    <w:rsid w:val="00074A01"/>
    <w:rsid w:val="00074BA4"/>
    <w:rsid w:val="0007532F"/>
    <w:rsid w:val="000762FB"/>
    <w:rsid w:val="00077A87"/>
    <w:rsid w:val="00077C65"/>
    <w:rsid w:val="00080354"/>
    <w:rsid w:val="0008295B"/>
    <w:rsid w:val="0008514F"/>
    <w:rsid w:val="0008555E"/>
    <w:rsid w:val="000862EC"/>
    <w:rsid w:val="000866FD"/>
    <w:rsid w:val="0008682E"/>
    <w:rsid w:val="000908AC"/>
    <w:rsid w:val="00090E0C"/>
    <w:rsid w:val="0009110A"/>
    <w:rsid w:val="0009150F"/>
    <w:rsid w:val="000922D4"/>
    <w:rsid w:val="0009284C"/>
    <w:rsid w:val="00093D08"/>
    <w:rsid w:val="00095C0E"/>
    <w:rsid w:val="000978C1"/>
    <w:rsid w:val="000A0DF3"/>
    <w:rsid w:val="000A45E4"/>
    <w:rsid w:val="000A5031"/>
    <w:rsid w:val="000A565E"/>
    <w:rsid w:val="000A7338"/>
    <w:rsid w:val="000B0218"/>
    <w:rsid w:val="000B047B"/>
    <w:rsid w:val="000B05EF"/>
    <w:rsid w:val="000B06C9"/>
    <w:rsid w:val="000B1111"/>
    <w:rsid w:val="000B2493"/>
    <w:rsid w:val="000B25E7"/>
    <w:rsid w:val="000B2841"/>
    <w:rsid w:val="000B2CB6"/>
    <w:rsid w:val="000B438A"/>
    <w:rsid w:val="000B4903"/>
    <w:rsid w:val="000B4FC9"/>
    <w:rsid w:val="000B74EB"/>
    <w:rsid w:val="000B7842"/>
    <w:rsid w:val="000B79A0"/>
    <w:rsid w:val="000B7ED6"/>
    <w:rsid w:val="000B7EFA"/>
    <w:rsid w:val="000C023F"/>
    <w:rsid w:val="000C0BFD"/>
    <w:rsid w:val="000C49DC"/>
    <w:rsid w:val="000C5A14"/>
    <w:rsid w:val="000C5BCC"/>
    <w:rsid w:val="000C5D40"/>
    <w:rsid w:val="000C67FA"/>
    <w:rsid w:val="000C788A"/>
    <w:rsid w:val="000C7F48"/>
    <w:rsid w:val="000D05CC"/>
    <w:rsid w:val="000D0ADC"/>
    <w:rsid w:val="000D105D"/>
    <w:rsid w:val="000D1CB1"/>
    <w:rsid w:val="000D35BB"/>
    <w:rsid w:val="000D4386"/>
    <w:rsid w:val="000D5A08"/>
    <w:rsid w:val="000D657E"/>
    <w:rsid w:val="000D6598"/>
    <w:rsid w:val="000D70ED"/>
    <w:rsid w:val="000E06B0"/>
    <w:rsid w:val="000E08D1"/>
    <w:rsid w:val="000E0B20"/>
    <w:rsid w:val="000E1357"/>
    <w:rsid w:val="000E1C41"/>
    <w:rsid w:val="000E233B"/>
    <w:rsid w:val="000E2A07"/>
    <w:rsid w:val="000E398A"/>
    <w:rsid w:val="000E44D6"/>
    <w:rsid w:val="000E5000"/>
    <w:rsid w:val="000E6825"/>
    <w:rsid w:val="000E71B0"/>
    <w:rsid w:val="000E74B3"/>
    <w:rsid w:val="000E777F"/>
    <w:rsid w:val="000E7EE0"/>
    <w:rsid w:val="000E7EED"/>
    <w:rsid w:val="000F07F8"/>
    <w:rsid w:val="000F0F30"/>
    <w:rsid w:val="000F116C"/>
    <w:rsid w:val="000F1415"/>
    <w:rsid w:val="000F430F"/>
    <w:rsid w:val="000F729A"/>
    <w:rsid w:val="001004E6"/>
    <w:rsid w:val="001005BA"/>
    <w:rsid w:val="00100A68"/>
    <w:rsid w:val="00100FC3"/>
    <w:rsid w:val="0010149C"/>
    <w:rsid w:val="001018E7"/>
    <w:rsid w:val="00102F03"/>
    <w:rsid w:val="00106EE8"/>
    <w:rsid w:val="001073FA"/>
    <w:rsid w:val="001078FF"/>
    <w:rsid w:val="00107F2A"/>
    <w:rsid w:val="0011134B"/>
    <w:rsid w:val="0011306F"/>
    <w:rsid w:val="001130C1"/>
    <w:rsid w:val="001154B7"/>
    <w:rsid w:val="0011649C"/>
    <w:rsid w:val="00116654"/>
    <w:rsid w:val="001173D5"/>
    <w:rsid w:val="00120720"/>
    <w:rsid w:val="0012236D"/>
    <w:rsid w:val="00123DF6"/>
    <w:rsid w:val="0012558A"/>
    <w:rsid w:val="00126F27"/>
    <w:rsid w:val="00127588"/>
    <w:rsid w:val="00130E36"/>
    <w:rsid w:val="00131342"/>
    <w:rsid w:val="00131472"/>
    <w:rsid w:val="001318FD"/>
    <w:rsid w:val="00134088"/>
    <w:rsid w:val="00134DD6"/>
    <w:rsid w:val="0013570E"/>
    <w:rsid w:val="00136A4F"/>
    <w:rsid w:val="00136E71"/>
    <w:rsid w:val="00137734"/>
    <w:rsid w:val="00140B5E"/>
    <w:rsid w:val="00140E4F"/>
    <w:rsid w:val="00141443"/>
    <w:rsid w:val="00144FCB"/>
    <w:rsid w:val="0014627C"/>
    <w:rsid w:val="00146CA3"/>
    <w:rsid w:val="00147B9A"/>
    <w:rsid w:val="00147E2B"/>
    <w:rsid w:val="00147E2F"/>
    <w:rsid w:val="00150093"/>
    <w:rsid w:val="00150247"/>
    <w:rsid w:val="00150B6A"/>
    <w:rsid w:val="001510C8"/>
    <w:rsid w:val="001510F9"/>
    <w:rsid w:val="00151297"/>
    <w:rsid w:val="00151F1A"/>
    <w:rsid w:val="00153ECB"/>
    <w:rsid w:val="001546F1"/>
    <w:rsid w:val="00155A19"/>
    <w:rsid w:val="0015739E"/>
    <w:rsid w:val="00157A0E"/>
    <w:rsid w:val="00161561"/>
    <w:rsid w:val="00161A78"/>
    <w:rsid w:val="00161BBC"/>
    <w:rsid w:val="0016240A"/>
    <w:rsid w:val="001624A4"/>
    <w:rsid w:val="00162A08"/>
    <w:rsid w:val="00162D11"/>
    <w:rsid w:val="00163A66"/>
    <w:rsid w:val="00163F1F"/>
    <w:rsid w:val="00163F5D"/>
    <w:rsid w:val="0016474F"/>
    <w:rsid w:val="00165161"/>
    <w:rsid w:val="001700D0"/>
    <w:rsid w:val="001704C6"/>
    <w:rsid w:val="00171225"/>
    <w:rsid w:val="001714F9"/>
    <w:rsid w:val="00171F59"/>
    <w:rsid w:val="00171FC5"/>
    <w:rsid w:val="00172A27"/>
    <w:rsid w:val="00173291"/>
    <w:rsid w:val="00173F86"/>
    <w:rsid w:val="00174F4C"/>
    <w:rsid w:val="001752B7"/>
    <w:rsid w:val="00176B7F"/>
    <w:rsid w:val="00176C26"/>
    <w:rsid w:val="00176DBD"/>
    <w:rsid w:val="00177C24"/>
    <w:rsid w:val="001803D7"/>
    <w:rsid w:val="00180655"/>
    <w:rsid w:val="001808EB"/>
    <w:rsid w:val="00180F79"/>
    <w:rsid w:val="00181184"/>
    <w:rsid w:val="001814F9"/>
    <w:rsid w:val="00181CA6"/>
    <w:rsid w:val="00182391"/>
    <w:rsid w:val="00183922"/>
    <w:rsid w:val="00183A8B"/>
    <w:rsid w:val="00183E47"/>
    <w:rsid w:val="00184658"/>
    <w:rsid w:val="00185138"/>
    <w:rsid w:val="001859FC"/>
    <w:rsid w:val="00187C18"/>
    <w:rsid w:val="00187D19"/>
    <w:rsid w:val="001907C7"/>
    <w:rsid w:val="00192AD3"/>
    <w:rsid w:val="00192E08"/>
    <w:rsid w:val="00192E33"/>
    <w:rsid w:val="001936D2"/>
    <w:rsid w:val="0019378C"/>
    <w:rsid w:val="00193A66"/>
    <w:rsid w:val="001952A3"/>
    <w:rsid w:val="0019556C"/>
    <w:rsid w:val="00195F3C"/>
    <w:rsid w:val="0019634E"/>
    <w:rsid w:val="00196A74"/>
    <w:rsid w:val="001A01B0"/>
    <w:rsid w:val="001A19BA"/>
    <w:rsid w:val="001A1EC0"/>
    <w:rsid w:val="001A2042"/>
    <w:rsid w:val="001A33B9"/>
    <w:rsid w:val="001A3489"/>
    <w:rsid w:val="001A35C1"/>
    <w:rsid w:val="001A38B5"/>
    <w:rsid w:val="001A4AC3"/>
    <w:rsid w:val="001A5DC6"/>
    <w:rsid w:val="001A638E"/>
    <w:rsid w:val="001A6D50"/>
    <w:rsid w:val="001A7052"/>
    <w:rsid w:val="001A7E57"/>
    <w:rsid w:val="001B01AF"/>
    <w:rsid w:val="001B0C0B"/>
    <w:rsid w:val="001B1AD6"/>
    <w:rsid w:val="001B4A49"/>
    <w:rsid w:val="001B4B78"/>
    <w:rsid w:val="001B4BA0"/>
    <w:rsid w:val="001B56D9"/>
    <w:rsid w:val="001B6E3B"/>
    <w:rsid w:val="001B6E8B"/>
    <w:rsid w:val="001C02F1"/>
    <w:rsid w:val="001C0926"/>
    <w:rsid w:val="001C0CF9"/>
    <w:rsid w:val="001C0D83"/>
    <w:rsid w:val="001C1196"/>
    <w:rsid w:val="001C188A"/>
    <w:rsid w:val="001C195F"/>
    <w:rsid w:val="001C1994"/>
    <w:rsid w:val="001C2248"/>
    <w:rsid w:val="001C266B"/>
    <w:rsid w:val="001C276A"/>
    <w:rsid w:val="001C2CCD"/>
    <w:rsid w:val="001C2D26"/>
    <w:rsid w:val="001C32EA"/>
    <w:rsid w:val="001C4494"/>
    <w:rsid w:val="001C5373"/>
    <w:rsid w:val="001C6039"/>
    <w:rsid w:val="001D0678"/>
    <w:rsid w:val="001D0AB5"/>
    <w:rsid w:val="001D1E28"/>
    <w:rsid w:val="001D277A"/>
    <w:rsid w:val="001D28E4"/>
    <w:rsid w:val="001D622F"/>
    <w:rsid w:val="001D710E"/>
    <w:rsid w:val="001D71B9"/>
    <w:rsid w:val="001E0B7F"/>
    <w:rsid w:val="001E1261"/>
    <w:rsid w:val="001E23D9"/>
    <w:rsid w:val="001E2BC7"/>
    <w:rsid w:val="001E406F"/>
    <w:rsid w:val="001E439C"/>
    <w:rsid w:val="001E6682"/>
    <w:rsid w:val="001E72FB"/>
    <w:rsid w:val="001F04B2"/>
    <w:rsid w:val="001F0F2F"/>
    <w:rsid w:val="001F1524"/>
    <w:rsid w:val="001F28E0"/>
    <w:rsid w:val="001F396B"/>
    <w:rsid w:val="001F3CFF"/>
    <w:rsid w:val="001F58ED"/>
    <w:rsid w:val="001F6338"/>
    <w:rsid w:val="001F67C4"/>
    <w:rsid w:val="001F67D8"/>
    <w:rsid w:val="00200A85"/>
    <w:rsid w:val="002015D4"/>
    <w:rsid w:val="00201698"/>
    <w:rsid w:val="00201AC2"/>
    <w:rsid w:val="00202DFD"/>
    <w:rsid w:val="00203206"/>
    <w:rsid w:val="00204280"/>
    <w:rsid w:val="00204FE3"/>
    <w:rsid w:val="00205030"/>
    <w:rsid w:val="002079FB"/>
    <w:rsid w:val="00210AAB"/>
    <w:rsid w:val="00210D7A"/>
    <w:rsid w:val="00212315"/>
    <w:rsid w:val="002128A9"/>
    <w:rsid w:val="002128DE"/>
    <w:rsid w:val="002129DE"/>
    <w:rsid w:val="002132C4"/>
    <w:rsid w:val="002135C6"/>
    <w:rsid w:val="00214ED3"/>
    <w:rsid w:val="00215201"/>
    <w:rsid w:val="0021747F"/>
    <w:rsid w:val="0021767B"/>
    <w:rsid w:val="002177A4"/>
    <w:rsid w:val="002200E6"/>
    <w:rsid w:val="002202BA"/>
    <w:rsid w:val="002213F1"/>
    <w:rsid w:val="002218D0"/>
    <w:rsid w:val="00221AE8"/>
    <w:rsid w:val="002227AF"/>
    <w:rsid w:val="002229A9"/>
    <w:rsid w:val="00222C90"/>
    <w:rsid w:val="0022378B"/>
    <w:rsid w:val="00223AEB"/>
    <w:rsid w:val="00223D3E"/>
    <w:rsid w:val="00224F07"/>
    <w:rsid w:val="0022526C"/>
    <w:rsid w:val="002257D4"/>
    <w:rsid w:val="002276EC"/>
    <w:rsid w:val="00227FBF"/>
    <w:rsid w:val="00230339"/>
    <w:rsid w:val="00230C65"/>
    <w:rsid w:val="00231366"/>
    <w:rsid w:val="0023144B"/>
    <w:rsid w:val="00232575"/>
    <w:rsid w:val="00232B51"/>
    <w:rsid w:val="00232C83"/>
    <w:rsid w:val="00236001"/>
    <w:rsid w:val="002360DF"/>
    <w:rsid w:val="002361A6"/>
    <w:rsid w:val="00237556"/>
    <w:rsid w:val="00237AEE"/>
    <w:rsid w:val="002414B3"/>
    <w:rsid w:val="00241843"/>
    <w:rsid w:val="002425D9"/>
    <w:rsid w:val="002432F3"/>
    <w:rsid w:val="00243ACD"/>
    <w:rsid w:val="002450AA"/>
    <w:rsid w:val="00245718"/>
    <w:rsid w:val="00245BC4"/>
    <w:rsid w:val="002469D4"/>
    <w:rsid w:val="00247637"/>
    <w:rsid w:val="00247C15"/>
    <w:rsid w:val="002504D1"/>
    <w:rsid w:val="00250EA1"/>
    <w:rsid w:val="00251727"/>
    <w:rsid w:val="00251E1F"/>
    <w:rsid w:val="002527BB"/>
    <w:rsid w:val="00253022"/>
    <w:rsid w:val="00253C6C"/>
    <w:rsid w:val="00255A58"/>
    <w:rsid w:val="00256052"/>
    <w:rsid w:val="002573B4"/>
    <w:rsid w:val="00257571"/>
    <w:rsid w:val="002604B6"/>
    <w:rsid w:val="002604CC"/>
    <w:rsid w:val="002610CA"/>
    <w:rsid w:val="00261FF6"/>
    <w:rsid w:val="00262381"/>
    <w:rsid w:val="002638F4"/>
    <w:rsid w:val="00263ED0"/>
    <w:rsid w:val="0026499B"/>
    <w:rsid w:val="00264DE4"/>
    <w:rsid w:val="00265A4A"/>
    <w:rsid w:val="002662A4"/>
    <w:rsid w:val="0026683A"/>
    <w:rsid w:val="00267BA2"/>
    <w:rsid w:val="002704D1"/>
    <w:rsid w:val="00270924"/>
    <w:rsid w:val="002709E4"/>
    <w:rsid w:val="00270D1F"/>
    <w:rsid w:val="00271A7C"/>
    <w:rsid w:val="00271D39"/>
    <w:rsid w:val="00272F5C"/>
    <w:rsid w:val="00273D5F"/>
    <w:rsid w:val="00274F84"/>
    <w:rsid w:val="00275745"/>
    <w:rsid w:val="00275B22"/>
    <w:rsid w:val="00275B89"/>
    <w:rsid w:val="00277250"/>
    <w:rsid w:val="002774A6"/>
    <w:rsid w:val="002806BF"/>
    <w:rsid w:val="00280FC6"/>
    <w:rsid w:val="00281CC0"/>
    <w:rsid w:val="00281EC7"/>
    <w:rsid w:val="002821E3"/>
    <w:rsid w:val="002829B2"/>
    <w:rsid w:val="00284AC4"/>
    <w:rsid w:val="00286460"/>
    <w:rsid w:val="00286856"/>
    <w:rsid w:val="00286B1E"/>
    <w:rsid w:val="0028765A"/>
    <w:rsid w:val="00287CD5"/>
    <w:rsid w:val="00292536"/>
    <w:rsid w:val="00294270"/>
    <w:rsid w:val="002946A8"/>
    <w:rsid w:val="00294A75"/>
    <w:rsid w:val="002953B2"/>
    <w:rsid w:val="002961F1"/>
    <w:rsid w:val="00296E37"/>
    <w:rsid w:val="002971B0"/>
    <w:rsid w:val="0029782C"/>
    <w:rsid w:val="00297FCA"/>
    <w:rsid w:val="002A096C"/>
    <w:rsid w:val="002A299C"/>
    <w:rsid w:val="002A381E"/>
    <w:rsid w:val="002A3C13"/>
    <w:rsid w:val="002A5080"/>
    <w:rsid w:val="002A6269"/>
    <w:rsid w:val="002A6643"/>
    <w:rsid w:val="002A7BAA"/>
    <w:rsid w:val="002A7D2A"/>
    <w:rsid w:val="002B0753"/>
    <w:rsid w:val="002B310A"/>
    <w:rsid w:val="002B3A25"/>
    <w:rsid w:val="002B3BAF"/>
    <w:rsid w:val="002B3E5B"/>
    <w:rsid w:val="002B5CA4"/>
    <w:rsid w:val="002B5EC3"/>
    <w:rsid w:val="002B67EB"/>
    <w:rsid w:val="002B6856"/>
    <w:rsid w:val="002B6B47"/>
    <w:rsid w:val="002B6B63"/>
    <w:rsid w:val="002B6E3A"/>
    <w:rsid w:val="002B6F07"/>
    <w:rsid w:val="002B707A"/>
    <w:rsid w:val="002B708B"/>
    <w:rsid w:val="002C054F"/>
    <w:rsid w:val="002C182D"/>
    <w:rsid w:val="002C1BAB"/>
    <w:rsid w:val="002C2D61"/>
    <w:rsid w:val="002C2E0D"/>
    <w:rsid w:val="002C3B7F"/>
    <w:rsid w:val="002C498A"/>
    <w:rsid w:val="002C548E"/>
    <w:rsid w:val="002C59E4"/>
    <w:rsid w:val="002C6E52"/>
    <w:rsid w:val="002C75DB"/>
    <w:rsid w:val="002D0855"/>
    <w:rsid w:val="002D30F7"/>
    <w:rsid w:val="002D59D7"/>
    <w:rsid w:val="002D6233"/>
    <w:rsid w:val="002D7CEB"/>
    <w:rsid w:val="002E0C4F"/>
    <w:rsid w:val="002E0CB1"/>
    <w:rsid w:val="002E0F1D"/>
    <w:rsid w:val="002E2588"/>
    <w:rsid w:val="002E2CE4"/>
    <w:rsid w:val="002E3DEF"/>
    <w:rsid w:val="002E57E2"/>
    <w:rsid w:val="002E5F9C"/>
    <w:rsid w:val="002E7026"/>
    <w:rsid w:val="002F034E"/>
    <w:rsid w:val="002F1214"/>
    <w:rsid w:val="002F1B54"/>
    <w:rsid w:val="002F2673"/>
    <w:rsid w:val="002F46A6"/>
    <w:rsid w:val="002F5770"/>
    <w:rsid w:val="002F5C45"/>
    <w:rsid w:val="002F5D29"/>
    <w:rsid w:val="002F693E"/>
    <w:rsid w:val="003005DF"/>
    <w:rsid w:val="003008C6"/>
    <w:rsid w:val="00301F45"/>
    <w:rsid w:val="00302222"/>
    <w:rsid w:val="00302BE9"/>
    <w:rsid w:val="003040B8"/>
    <w:rsid w:val="0030482F"/>
    <w:rsid w:val="003051AE"/>
    <w:rsid w:val="003077A6"/>
    <w:rsid w:val="0030795F"/>
    <w:rsid w:val="00307A12"/>
    <w:rsid w:val="00311321"/>
    <w:rsid w:val="00311C66"/>
    <w:rsid w:val="003126C8"/>
    <w:rsid w:val="00312CEA"/>
    <w:rsid w:val="00313A05"/>
    <w:rsid w:val="00314630"/>
    <w:rsid w:val="00317DE8"/>
    <w:rsid w:val="003212E9"/>
    <w:rsid w:val="0032163F"/>
    <w:rsid w:val="003218C4"/>
    <w:rsid w:val="003229C1"/>
    <w:rsid w:val="00323248"/>
    <w:rsid w:val="0032420B"/>
    <w:rsid w:val="00325DB0"/>
    <w:rsid w:val="00325EF6"/>
    <w:rsid w:val="003266AB"/>
    <w:rsid w:val="00327654"/>
    <w:rsid w:val="00327788"/>
    <w:rsid w:val="003278DD"/>
    <w:rsid w:val="003279EB"/>
    <w:rsid w:val="00327B34"/>
    <w:rsid w:val="00330839"/>
    <w:rsid w:val="003311C9"/>
    <w:rsid w:val="003316DB"/>
    <w:rsid w:val="0033184F"/>
    <w:rsid w:val="00333DDB"/>
    <w:rsid w:val="003353C7"/>
    <w:rsid w:val="003359C3"/>
    <w:rsid w:val="00336728"/>
    <w:rsid w:val="00337100"/>
    <w:rsid w:val="003375CF"/>
    <w:rsid w:val="003379E0"/>
    <w:rsid w:val="00337C6F"/>
    <w:rsid w:val="00340B77"/>
    <w:rsid w:val="00343A89"/>
    <w:rsid w:val="00343C45"/>
    <w:rsid w:val="0034455D"/>
    <w:rsid w:val="003465AE"/>
    <w:rsid w:val="00346E65"/>
    <w:rsid w:val="00346EC7"/>
    <w:rsid w:val="003476E6"/>
    <w:rsid w:val="00350566"/>
    <w:rsid w:val="003509D6"/>
    <w:rsid w:val="003521B9"/>
    <w:rsid w:val="003526B6"/>
    <w:rsid w:val="003533D7"/>
    <w:rsid w:val="003539F2"/>
    <w:rsid w:val="003539FD"/>
    <w:rsid w:val="0035405C"/>
    <w:rsid w:val="0035479B"/>
    <w:rsid w:val="00354CB6"/>
    <w:rsid w:val="00354E4D"/>
    <w:rsid w:val="00355BEF"/>
    <w:rsid w:val="00355EF1"/>
    <w:rsid w:val="00356941"/>
    <w:rsid w:val="00356EA4"/>
    <w:rsid w:val="0035736A"/>
    <w:rsid w:val="003602B1"/>
    <w:rsid w:val="00360400"/>
    <w:rsid w:val="00361535"/>
    <w:rsid w:val="00361A24"/>
    <w:rsid w:val="00364AD0"/>
    <w:rsid w:val="0036575C"/>
    <w:rsid w:val="00365BA8"/>
    <w:rsid w:val="00365C14"/>
    <w:rsid w:val="00366779"/>
    <w:rsid w:val="003669B0"/>
    <w:rsid w:val="00367F1A"/>
    <w:rsid w:val="00371487"/>
    <w:rsid w:val="003725E9"/>
    <w:rsid w:val="003728AC"/>
    <w:rsid w:val="00372A95"/>
    <w:rsid w:val="00373A4F"/>
    <w:rsid w:val="0037510E"/>
    <w:rsid w:val="00375459"/>
    <w:rsid w:val="003755CB"/>
    <w:rsid w:val="00375899"/>
    <w:rsid w:val="00375951"/>
    <w:rsid w:val="00375E91"/>
    <w:rsid w:val="00375EA8"/>
    <w:rsid w:val="00375EF4"/>
    <w:rsid w:val="00376BDC"/>
    <w:rsid w:val="00376D77"/>
    <w:rsid w:val="00376F38"/>
    <w:rsid w:val="003801E2"/>
    <w:rsid w:val="00380498"/>
    <w:rsid w:val="003813F7"/>
    <w:rsid w:val="00382F1C"/>
    <w:rsid w:val="00383A4B"/>
    <w:rsid w:val="003847FF"/>
    <w:rsid w:val="00384B50"/>
    <w:rsid w:val="00384E58"/>
    <w:rsid w:val="00385565"/>
    <w:rsid w:val="0038564E"/>
    <w:rsid w:val="00386CB4"/>
    <w:rsid w:val="003874A8"/>
    <w:rsid w:val="00390A87"/>
    <w:rsid w:val="00391C11"/>
    <w:rsid w:val="003924EE"/>
    <w:rsid w:val="00394373"/>
    <w:rsid w:val="00394415"/>
    <w:rsid w:val="003947B7"/>
    <w:rsid w:val="0039575C"/>
    <w:rsid w:val="00395E97"/>
    <w:rsid w:val="003964AB"/>
    <w:rsid w:val="00397364"/>
    <w:rsid w:val="003979F0"/>
    <w:rsid w:val="003A00EA"/>
    <w:rsid w:val="003A1C2E"/>
    <w:rsid w:val="003A1EFF"/>
    <w:rsid w:val="003A208D"/>
    <w:rsid w:val="003A20AF"/>
    <w:rsid w:val="003A317A"/>
    <w:rsid w:val="003A3548"/>
    <w:rsid w:val="003A36DA"/>
    <w:rsid w:val="003A652F"/>
    <w:rsid w:val="003A79BD"/>
    <w:rsid w:val="003B05D5"/>
    <w:rsid w:val="003B07A4"/>
    <w:rsid w:val="003B10F6"/>
    <w:rsid w:val="003B2108"/>
    <w:rsid w:val="003B4776"/>
    <w:rsid w:val="003B4D33"/>
    <w:rsid w:val="003B4F40"/>
    <w:rsid w:val="003B5820"/>
    <w:rsid w:val="003B5C58"/>
    <w:rsid w:val="003B7248"/>
    <w:rsid w:val="003B7D2F"/>
    <w:rsid w:val="003B7D88"/>
    <w:rsid w:val="003C0380"/>
    <w:rsid w:val="003C123C"/>
    <w:rsid w:val="003C2F77"/>
    <w:rsid w:val="003C3640"/>
    <w:rsid w:val="003C4157"/>
    <w:rsid w:val="003C46BF"/>
    <w:rsid w:val="003C580E"/>
    <w:rsid w:val="003C65C6"/>
    <w:rsid w:val="003C6C50"/>
    <w:rsid w:val="003C71B5"/>
    <w:rsid w:val="003C73B2"/>
    <w:rsid w:val="003C75C0"/>
    <w:rsid w:val="003D02B7"/>
    <w:rsid w:val="003D0712"/>
    <w:rsid w:val="003D15DE"/>
    <w:rsid w:val="003D15FA"/>
    <w:rsid w:val="003D2A69"/>
    <w:rsid w:val="003D3AD8"/>
    <w:rsid w:val="003D3D7C"/>
    <w:rsid w:val="003D720B"/>
    <w:rsid w:val="003D7A2D"/>
    <w:rsid w:val="003D7BBA"/>
    <w:rsid w:val="003D7BF9"/>
    <w:rsid w:val="003E0FA6"/>
    <w:rsid w:val="003E1F4C"/>
    <w:rsid w:val="003E1FCF"/>
    <w:rsid w:val="003E2388"/>
    <w:rsid w:val="003E239D"/>
    <w:rsid w:val="003E29B0"/>
    <w:rsid w:val="003E3966"/>
    <w:rsid w:val="003E4710"/>
    <w:rsid w:val="003E483F"/>
    <w:rsid w:val="003E4E33"/>
    <w:rsid w:val="003E58B6"/>
    <w:rsid w:val="003E627A"/>
    <w:rsid w:val="003E68F7"/>
    <w:rsid w:val="003F05FD"/>
    <w:rsid w:val="003F12A6"/>
    <w:rsid w:val="003F1CDE"/>
    <w:rsid w:val="003F37CB"/>
    <w:rsid w:val="003F4CEB"/>
    <w:rsid w:val="003F5598"/>
    <w:rsid w:val="003F5CD7"/>
    <w:rsid w:val="003F625E"/>
    <w:rsid w:val="003F68C3"/>
    <w:rsid w:val="003F7696"/>
    <w:rsid w:val="00400A6F"/>
    <w:rsid w:val="00401056"/>
    <w:rsid w:val="00401E92"/>
    <w:rsid w:val="00402472"/>
    <w:rsid w:val="00402A7A"/>
    <w:rsid w:val="00403AAB"/>
    <w:rsid w:val="00403BAC"/>
    <w:rsid w:val="00404332"/>
    <w:rsid w:val="00404881"/>
    <w:rsid w:val="00404912"/>
    <w:rsid w:val="00405862"/>
    <w:rsid w:val="00405C4D"/>
    <w:rsid w:val="004069C5"/>
    <w:rsid w:val="00407073"/>
    <w:rsid w:val="004074C9"/>
    <w:rsid w:val="00407C5D"/>
    <w:rsid w:val="004101F5"/>
    <w:rsid w:val="00410364"/>
    <w:rsid w:val="004105A7"/>
    <w:rsid w:val="004109A5"/>
    <w:rsid w:val="004110BD"/>
    <w:rsid w:val="004114F6"/>
    <w:rsid w:val="00412640"/>
    <w:rsid w:val="00412798"/>
    <w:rsid w:val="00413115"/>
    <w:rsid w:val="0041330A"/>
    <w:rsid w:val="00414A31"/>
    <w:rsid w:val="004151D5"/>
    <w:rsid w:val="004155EF"/>
    <w:rsid w:val="00415E22"/>
    <w:rsid w:val="00416363"/>
    <w:rsid w:val="00417591"/>
    <w:rsid w:val="00422883"/>
    <w:rsid w:val="00422E8E"/>
    <w:rsid w:val="0042431F"/>
    <w:rsid w:val="00424781"/>
    <w:rsid w:val="00425B03"/>
    <w:rsid w:val="004262BA"/>
    <w:rsid w:val="00426BCB"/>
    <w:rsid w:val="00430723"/>
    <w:rsid w:val="004316DF"/>
    <w:rsid w:val="0043272C"/>
    <w:rsid w:val="00432769"/>
    <w:rsid w:val="00433514"/>
    <w:rsid w:val="004338EF"/>
    <w:rsid w:val="00433E6E"/>
    <w:rsid w:val="00433F5A"/>
    <w:rsid w:val="00433FCD"/>
    <w:rsid w:val="00434F26"/>
    <w:rsid w:val="00435E16"/>
    <w:rsid w:val="00436A42"/>
    <w:rsid w:val="00437DA8"/>
    <w:rsid w:val="00440B3C"/>
    <w:rsid w:val="00442075"/>
    <w:rsid w:val="00442E83"/>
    <w:rsid w:val="004430D7"/>
    <w:rsid w:val="00443C77"/>
    <w:rsid w:val="00444D40"/>
    <w:rsid w:val="00444E23"/>
    <w:rsid w:val="00444FD6"/>
    <w:rsid w:val="00446AF5"/>
    <w:rsid w:val="004474DE"/>
    <w:rsid w:val="0045222F"/>
    <w:rsid w:val="00457641"/>
    <w:rsid w:val="00457DF5"/>
    <w:rsid w:val="0046175E"/>
    <w:rsid w:val="00461E9E"/>
    <w:rsid w:val="004621EE"/>
    <w:rsid w:val="00462513"/>
    <w:rsid w:val="00462DEB"/>
    <w:rsid w:val="004632F3"/>
    <w:rsid w:val="004649D9"/>
    <w:rsid w:val="00464CB4"/>
    <w:rsid w:val="00464E01"/>
    <w:rsid w:val="004655CF"/>
    <w:rsid w:val="004664C9"/>
    <w:rsid w:val="004669CA"/>
    <w:rsid w:val="004708D8"/>
    <w:rsid w:val="00471E14"/>
    <w:rsid w:val="00471E70"/>
    <w:rsid w:val="00472340"/>
    <w:rsid w:val="00473BD3"/>
    <w:rsid w:val="00473E47"/>
    <w:rsid w:val="00474054"/>
    <w:rsid w:val="00474170"/>
    <w:rsid w:val="004742B8"/>
    <w:rsid w:val="00476AB6"/>
    <w:rsid w:val="00476F4C"/>
    <w:rsid w:val="00477440"/>
    <w:rsid w:val="004807EE"/>
    <w:rsid w:val="00484BD5"/>
    <w:rsid w:val="004914D1"/>
    <w:rsid w:val="00491D73"/>
    <w:rsid w:val="004921FB"/>
    <w:rsid w:val="0049257F"/>
    <w:rsid w:val="00493724"/>
    <w:rsid w:val="0049515A"/>
    <w:rsid w:val="00496370"/>
    <w:rsid w:val="00497233"/>
    <w:rsid w:val="00497E6C"/>
    <w:rsid w:val="004A1443"/>
    <w:rsid w:val="004A2228"/>
    <w:rsid w:val="004A4B27"/>
    <w:rsid w:val="004A6AA1"/>
    <w:rsid w:val="004A7129"/>
    <w:rsid w:val="004A72C2"/>
    <w:rsid w:val="004A7BE6"/>
    <w:rsid w:val="004B01F9"/>
    <w:rsid w:val="004B0AA8"/>
    <w:rsid w:val="004B1B42"/>
    <w:rsid w:val="004B229D"/>
    <w:rsid w:val="004B3321"/>
    <w:rsid w:val="004B5A27"/>
    <w:rsid w:val="004B66EC"/>
    <w:rsid w:val="004B6AEF"/>
    <w:rsid w:val="004C1B4C"/>
    <w:rsid w:val="004C278E"/>
    <w:rsid w:val="004C3E5A"/>
    <w:rsid w:val="004C4C23"/>
    <w:rsid w:val="004C6521"/>
    <w:rsid w:val="004C7891"/>
    <w:rsid w:val="004C7ECA"/>
    <w:rsid w:val="004D0737"/>
    <w:rsid w:val="004D0A12"/>
    <w:rsid w:val="004D1B92"/>
    <w:rsid w:val="004D1DEC"/>
    <w:rsid w:val="004D2EA5"/>
    <w:rsid w:val="004D30C6"/>
    <w:rsid w:val="004D55E2"/>
    <w:rsid w:val="004D568C"/>
    <w:rsid w:val="004D59E9"/>
    <w:rsid w:val="004D5E2E"/>
    <w:rsid w:val="004E0BDC"/>
    <w:rsid w:val="004E146C"/>
    <w:rsid w:val="004E20B5"/>
    <w:rsid w:val="004E2C94"/>
    <w:rsid w:val="004E2D4D"/>
    <w:rsid w:val="004E2DE3"/>
    <w:rsid w:val="004E2FC9"/>
    <w:rsid w:val="004E3903"/>
    <w:rsid w:val="004E3B4A"/>
    <w:rsid w:val="004E41A8"/>
    <w:rsid w:val="004E495F"/>
    <w:rsid w:val="004E5F46"/>
    <w:rsid w:val="004E6610"/>
    <w:rsid w:val="004E6750"/>
    <w:rsid w:val="004E6805"/>
    <w:rsid w:val="004E6FD5"/>
    <w:rsid w:val="004E7EE1"/>
    <w:rsid w:val="004F02D2"/>
    <w:rsid w:val="004F05FD"/>
    <w:rsid w:val="004F114F"/>
    <w:rsid w:val="004F13DA"/>
    <w:rsid w:val="004F2151"/>
    <w:rsid w:val="004F31E8"/>
    <w:rsid w:val="004F35DF"/>
    <w:rsid w:val="004F3814"/>
    <w:rsid w:val="004F4A04"/>
    <w:rsid w:val="004F4B9A"/>
    <w:rsid w:val="0050038E"/>
    <w:rsid w:val="00501312"/>
    <w:rsid w:val="00502DF2"/>
    <w:rsid w:val="00502E64"/>
    <w:rsid w:val="00503255"/>
    <w:rsid w:val="00503712"/>
    <w:rsid w:val="00506C8A"/>
    <w:rsid w:val="00506DA6"/>
    <w:rsid w:val="005073B5"/>
    <w:rsid w:val="00507500"/>
    <w:rsid w:val="005076F4"/>
    <w:rsid w:val="005104AE"/>
    <w:rsid w:val="00510E53"/>
    <w:rsid w:val="00510F0E"/>
    <w:rsid w:val="00512D82"/>
    <w:rsid w:val="00512FD0"/>
    <w:rsid w:val="00513F74"/>
    <w:rsid w:val="005165EA"/>
    <w:rsid w:val="00517175"/>
    <w:rsid w:val="00517D87"/>
    <w:rsid w:val="00520C67"/>
    <w:rsid w:val="00520F55"/>
    <w:rsid w:val="0052181A"/>
    <w:rsid w:val="00522691"/>
    <w:rsid w:val="00523064"/>
    <w:rsid w:val="0052366D"/>
    <w:rsid w:val="0052391E"/>
    <w:rsid w:val="00524053"/>
    <w:rsid w:val="005244BB"/>
    <w:rsid w:val="00525E49"/>
    <w:rsid w:val="005273F4"/>
    <w:rsid w:val="0053007B"/>
    <w:rsid w:val="0053100E"/>
    <w:rsid w:val="00531786"/>
    <w:rsid w:val="00531C4C"/>
    <w:rsid w:val="00531EA1"/>
    <w:rsid w:val="0053290D"/>
    <w:rsid w:val="00534697"/>
    <w:rsid w:val="00534A15"/>
    <w:rsid w:val="00534EC0"/>
    <w:rsid w:val="00535608"/>
    <w:rsid w:val="005356C8"/>
    <w:rsid w:val="00537CA4"/>
    <w:rsid w:val="00541980"/>
    <w:rsid w:val="00544D53"/>
    <w:rsid w:val="005455E9"/>
    <w:rsid w:val="00545C1B"/>
    <w:rsid w:val="0054658A"/>
    <w:rsid w:val="00553634"/>
    <w:rsid w:val="00553956"/>
    <w:rsid w:val="00553E1C"/>
    <w:rsid w:val="00554F97"/>
    <w:rsid w:val="00555765"/>
    <w:rsid w:val="00555E82"/>
    <w:rsid w:val="00557DBB"/>
    <w:rsid w:val="00563091"/>
    <w:rsid w:val="005652F3"/>
    <w:rsid w:val="00565BF3"/>
    <w:rsid w:val="00566794"/>
    <w:rsid w:val="00570312"/>
    <w:rsid w:val="00570547"/>
    <w:rsid w:val="00570ADB"/>
    <w:rsid w:val="00570D50"/>
    <w:rsid w:val="005732DF"/>
    <w:rsid w:val="0057370D"/>
    <w:rsid w:val="005744A0"/>
    <w:rsid w:val="00574AF0"/>
    <w:rsid w:val="005753A3"/>
    <w:rsid w:val="005761EA"/>
    <w:rsid w:val="00576451"/>
    <w:rsid w:val="005767A4"/>
    <w:rsid w:val="00577577"/>
    <w:rsid w:val="005779EA"/>
    <w:rsid w:val="0058029B"/>
    <w:rsid w:val="00580971"/>
    <w:rsid w:val="005827C2"/>
    <w:rsid w:val="005829AE"/>
    <w:rsid w:val="0058319C"/>
    <w:rsid w:val="0058378A"/>
    <w:rsid w:val="00584679"/>
    <w:rsid w:val="00586069"/>
    <w:rsid w:val="00586CE3"/>
    <w:rsid w:val="00586DD9"/>
    <w:rsid w:val="005873C1"/>
    <w:rsid w:val="00587CEB"/>
    <w:rsid w:val="00592080"/>
    <w:rsid w:val="00592EDD"/>
    <w:rsid w:val="00593CBC"/>
    <w:rsid w:val="00594AEA"/>
    <w:rsid w:val="0059688D"/>
    <w:rsid w:val="00597784"/>
    <w:rsid w:val="005A0CBF"/>
    <w:rsid w:val="005A275F"/>
    <w:rsid w:val="005A2A15"/>
    <w:rsid w:val="005A2E9E"/>
    <w:rsid w:val="005A3C01"/>
    <w:rsid w:val="005A3E2D"/>
    <w:rsid w:val="005A42CC"/>
    <w:rsid w:val="005A5038"/>
    <w:rsid w:val="005A5CCE"/>
    <w:rsid w:val="005A641B"/>
    <w:rsid w:val="005A659F"/>
    <w:rsid w:val="005B0D9D"/>
    <w:rsid w:val="005B1127"/>
    <w:rsid w:val="005B3E1E"/>
    <w:rsid w:val="005B46DB"/>
    <w:rsid w:val="005B5BAE"/>
    <w:rsid w:val="005B683D"/>
    <w:rsid w:val="005B755A"/>
    <w:rsid w:val="005C0632"/>
    <w:rsid w:val="005C0A45"/>
    <w:rsid w:val="005C2223"/>
    <w:rsid w:val="005C2C68"/>
    <w:rsid w:val="005C338C"/>
    <w:rsid w:val="005C3474"/>
    <w:rsid w:val="005C3633"/>
    <w:rsid w:val="005C48BD"/>
    <w:rsid w:val="005C58F6"/>
    <w:rsid w:val="005C5ADB"/>
    <w:rsid w:val="005C6A3E"/>
    <w:rsid w:val="005C6B70"/>
    <w:rsid w:val="005C71F8"/>
    <w:rsid w:val="005D2D8D"/>
    <w:rsid w:val="005D2F1B"/>
    <w:rsid w:val="005D4429"/>
    <w:rsid w:val="005D4B29"/>
    <w:rsid w:val="005D502D"/>
    <w:rsid w:val="005D5FC1"/>
    <w:rsid w:val="005D634D"/>
    <w:rsid w:val="005E03AC"/>
    <w:rsid w:val="005E10B0"/>
    <w:rsid w:val="005E4163"/>
    <w:rsid w:val="005E4FD7"/>
    <w:rsid w:val="005E57B4"/>
    <w:rsid w:val="005E5D1A"/>
    <w:rsid w:val="005E6566"/>
    <w:rsid w:val="005E689A"/>
    <w:rsid w:val="005F0720"/>
    <w:rsid w:val="005F0F43"/>
    <w:rsid w:val="005F0F93"/>
    <w:rsid w:val="005F2004"/>
    <w:rsid w:val="005F236E"/>
    <w:rsid w:val="005F2479"/>
    <w:rsid w:val="005F4D0E"/>
    <w:rsid w:val="005F6639"/>
    <w:rsid w:val="005F6673"/>
    <w:rsid w:val="005F6B5B"/>
    <w:rsid w:val="005F7AA6"/>
    <w:rsid w:val="0060047A"/>
    <w:rsid w:val="00600910"/>
    <w:rsid w:val="00603C3D"/>
    <w:rsid w:val="006048C6"/>
    <w:rsid w:val="00604BCE"/>
    <w:rsid w:val="00605610"/>
    <w:rsid w:val="00605A79"/>
    <w:rsid w:val="00606113"/>
    <w:rsid w:val="0060619A"/>
    <w:rsid w:val="0060715D"/>
    <w:rsid w:val="00607204"/>
    <w:rsid w:val="00607360"/>
    <w:rsid w:val="00607744"/>
    <w:rsid w:val="00610502"/>
    <w:rsid w:val="00610509"/>
    <w:rsid w:val="00610AB9"/>
    <w:rsid w:val="00610AC7"/>
    <w:rsid w:val="00610CA1"/>
    <w:rsid w:val="00611E44"/>
    <w:rsid w:val="006121A8"/>
    <w:rsid w:val="00612D42"/>
    <w:rsid w:val="00612DF0"/>
    <w:rsid w:val="006133B5"/>
    <w:rsid w:val="00613A0D"/>
    <w:rsid w:val="006164C2"/>
    <w:rsid w:val="006165D4"/>
    <w:rsid w:val="00617FAE"/>
    <w:rsid w:val="00620E4B"/>
    <w:rsid w:val="00621107"/>
    <w:rsid w:val="00622541"/>
    <w:rsid w:val="0062329D"/>
    <w:rsid w:val="00623A6C"/>
    <w:rsid w:val="00623DFA"/>
    <w:rsid w:val="00624E39"/>
    <w:rsid w:val="00625D81"/>
    <w:rsid w:val="0062626E"/>
    <w:rsid w:val="00627547"/>
    <w:rsid w:val="00630FC7"/>
    <w:rsid w:val="006316C5"/>
    <w:rsid w:val="006321F2"/>
    <w:rsid w:val="00632259"/>
    <w:rsid w:val="00632897"/>
    <w:rsid w:val="006367CD"/>
    <w:rsid w:val="00636E9B"/>
    <w:rsid w:val="00641100"/>
    <w:rsid w:val="0064136F"/>
    <w:rsid w:val="00641466"/>
    <w:rsid w:val="006426CE"/>
    <w:rsid w:val="0064287A"/>
    <w:rsid w:val="006445B3"/>
    <w:rsid w:val="0064463E"/>
    <w:rsid w:val="00644DAA"/>
    <w:rsid w:val="00645479"/>
    <w:rsid w:val="0064592E"/>
    <w:rsid w:val="00645F9C"/>
    <w:rsid w:val="0064614A"/>
    <w:rsid w:val="00646584"/>
    <w:rsid w:val="006465AC"/>
    <w:rsid w:val="0064759F"/>
    <w:rsid w:val="006475CB"/>
    <w:rsid w:val="00647E09"/>
    <w:rsid w:val="006500B4"/>
    <w:rsid w:val="00650EFB"/>
    <w:rsid w:val="00652E8F"/>
    <w:rsid w:val="0065427E"/>
    <w:rsid w:val="00655D6F"/>
    <w:rsid w:val="00657142"/>
    <w:rsid w:val="00657DC8"/>
    <w:rsid w:val="00661599"/>
    <w:rsid w:val="00663149"/>
    <w:rsid w:val="00663BE9"/>
    <w:rsid w:val="0066634E"/>
    <w:rsid w:val="00666F58"/>
    <w:rsid w:val="00667E29"/>
    <w:rsid w:val="006703A2"/>
    <w:rsid w:val="00671B0D"/>
    <w:rsid w:val="00671EC7"/>
    <w:rsid w:val="006726F8"/>
    <w:rsid w:val="006727B0"/>
    <w:rsid w:val="00672C1C"/>
    <w:rsid w:val="00673622"/>
    <w:rsid w:val="00673818"/>
    <w:rsid w:val="0067391D"/>
    <w:rsid w:val="006759B1"/>
    <w:rsid w:val="006759B8"/>
    <w:rsid w:val="00675A24"/>
    <w:rsid w:val="00675A31"/>
    <w:rsid w:val="00676894"/>
    <w:rsid w:val="006772D1"/>
    <w:rsid w:val="006800E4"/>
    <w:rsid w:val="0068084F"/>
    <w:rsid w:val="006827F8"/>
    <w:rsid w:val="00682FE6"/>
    <w:rsid w:val="006833B0"/>
    <w:rsid w:val="00683D09"/>
    <w:rsid w:val="00684CED"/>
    <w:rsid w:val="00685A4B"/>
    <w:rsid w:val="0068715C"/>
    <w:rsid w:val="00687AAA"/>
    <w:rsid w:val="00687DC3"/>
    <w:rsid w:val="00690514"/>
    <w:rsid w:val="00690CB9"/>
    <w:rsid w:val="00691BA6"/>
    <w:rsid w:val="006924B7"/>
    <w:rsid w:val="00693F01"/>
    <w:rsid w:val="006949D1"/>
    <w:rsid w:val="006964A5"/>
    <w:rsid w:val="00696F04"/>
    <w:rsid w:val="006979EC"/>
    <w:rsid w:val="006A0168"/>
    <w:rsid w:val="006A089D"/>
    <w:rsid w:val="006A0BA2"/>
    <w:rsid w:val="006A1E17"/>
    <w:rsid w:val="006A2CAC"/>
    <w:rsid w:val="006A3194"/>
    <w:rsid w:val="006A3248"/>
    <w:rsid w:val="006A3C6A"/>
    <w:rsid w:val="006A4A6A"/>
    <w:rsid w:val="006A4E46"/>
    <w:rsid w:val="006A6B1C"/>
    <w:rsid w:val="006A6F50"/>
    <w:rsid w:val="006A7305"/>
    <w:rsid w:val="006A7E64"/>
    <w:rsid w:val="006B1774"/>
    <w:rsid w:val="006B3CF9"/>
    <w:rsid w:val="006B4203"/>
    <w:rsid w:val="006B492B"/>
    <w:rsid w:val="006B4985"/>
    <w:rsid w:val="006B55EE"/>
    <w:rsid w:val="006B6FD1"/>
    <w:rsid w:val="006B7937"/>
    <w:rsid w:val="006B7B01"/>
    <w:rsid w:val="006C1077"/>
    <w:rsid w:val="006C1F10"/>
    <w:rsid w:val="006C2382"/>
    <w:rsid w:val="006C3AB9"/>
    <w:rsid w:val="006C4326"/>
    <w:rsid w:val="006C483E"/>
    <w:rsid w:val="006C52C1"/>
    <w:rsid w:val="006C582D"/>
    <w:rsid w:val="006C6594"/>
    <w:rsid w:val="006C66BB"/>
    <w:rsid w:val="006C696E"/>
    <w:rsid w:val="006C6ADB"/>
    <w:rsid w:val="006C6F47"/>
    <w:rsid w:val="006C7ACA"/>
    <w:rsid w:val="006C7FE0"/>
    <w:rsid w:val="006D029E"/>
    <w:rsid w:val="006D05A1"/>
    <w:rsid w:val="006D0D7D"/>
    <w:rsid w:val="006D1970"/>
    <w:rsid w:val="006D5703"/>
    <w:rsid w:val="006D66ED"/>
    <w:rsid w:val="006D756E"/>
    <w:rsid w:val="006E134E"/>
    <w:rsid w:val="006E1894"/>
    <w:rsid w:val="006E33D3"/>
    <w:rsid w:val="006E3DB2"/>
    <w:rsid w:val="006E7246"/>
    <w:rsid w:val="006F0D65"/>
    <w:rsid w:val="006F167F"/>
    <w:rsid w:val="006F20A0"/>
    <w:rsid w:val="006F266C"/>
    <w:rsid w:val="006F2C16"/>
    <w:rsid w:val="006F2CA2"/>
    <w:rsid w:val="006F30F4"/>
    <w:rsid w:val="006F33B4"/>
    <w:rsid w:val="006F3C83"/>
    <w:rsid w:val="006F4354"/>
    <w:rsid w:val="006F4AD4"/>
    <w:rsid w:val="006F580D"/>
    <w:rsid w:val="006F6E6D"/>
    <w:rsid w:val="0070048E"/>
    <w:rsid w:val="00701010"/>
    <w:rsid w:val="0070210A"/>
    <w:rsid w:val="00703292"/>
    <w:rsid w:val="0070369C"/>
    <w:rsid w:val="0070397F"/>
    <w:rsid w:val="00707905"/>
    <w:rsid w:val="00707A5D"/>
    <w:rsid w:val="00710794"/>
    <w:rsid w:val="00711A70"/>
    <w:rsid w:val="0071220C"/>
    <w:rsid w:val="007133DB"/>
    <w:rsid w:val="007142F5"/>
    <w:rsid w:val="0071475E"/>
    <w:rsid w:val="00714F79"/>
    <w:rsid w:val="00716867"/>
    <w:rsid w:val="00717888"/>
    <w:rsid w:val="00717D1E"/>
    <w:rsid w:val="0072052D"/>
    <w:rsid w:val="007205AA"/>
    <w:rsid w:val="007205D5"/>
    <w:rsid w:val="00720CC7"/>
    <w:rsid w:val="00720DDA"/>
    <w:rsid w:val="007213B9"/>
    <w:rsid w:val="00724023"/>
    <w:rsid w:val="00724E41"/>
    <w:rsid w:val="007260B7"/>
    <w:rsid w:val="00727959"/>
    <w:rsid w:val="00730A4D"/>
    <w:rsid w:val="00732327"/>
    <w:rsid w:val="0073369F"/>
    <w:rsid w:val="00734251"/>
    <w:rsid w:val="00734788"/>
    <w:rsid w:val="007352A2"/>
    <w:rsid w:val="007352EB"/>
    <w:rsid w:val="0074044B"/>
    <w:rsid w:val="00741075"/>
    <w:rsid w:val="007420DF"/>
    <w:rsid w:val="00742189"/>
    <w:rsid w:val="00742D16"/>
    <w:rsid w:val="007464FB"/>
    <w:rsid w:val="00746830"/>
    <w:rsid w:val="00746F49"/>
    <w:rsid w:val="00750ACF"/>
    <w:rsid w:val="00751320"/>
    <w:rsid w:val="007516EC"/>
    <w:rsid w:val="0075178B"/>
    <w:rsid w:val="00752254"/>
    <w:rsid w:val="00754695"/>
    <w:rsid w:val="007546B1"/>
    <w:rsid w:val="007554AB"/>
    <w:rsid w:val="007565EC"/>
    <w:rsid w:val="00756795"/>
    <w:rsid w:val="0075715F"/>
    <w:rsid w:val="0075716D"/>
    <w:rsid w:val="00761170"/>
    <w:rsid w:val="00761274"/>
    <w:rsid w:val="007612A9"/>
    <w:rsid w:val="00761E1D"/>
    <w:rsid w:val="00761F26"/>
    <w:rsid w:val="00762062"/>
    <w:rsid w:val="00762A4A"/>
    <w:rsid w:val="00762DDB"/>
    <w:rsid w:val="00762FA6"/>
    <w:rsid w:val="007638CB"/>
    <w:rsid w:val="00764518"/>
    <w:rsid w:val="007649C8"/>
    <w:rsid w:val="00765B34"/>
    <w:rsid w:val="007666B2"/>
    <w:rsid w:val="007674F6"/>
    <w:rsid w:val="00767D57"/>
    <w:rsid w:val="0077074C"/>
    <w:rsid w:val="00772359"/>
    <w:rsid w:val="00772BE3"/>
    <w:rsid w:val="00773638"/>
    <w:rsid w:val="00773A9F"/>
    <w:rsid w:val="00774C2C"/>
    <w:rsid w:val="00774EE4"/>
    <w:rsid w:val="0077541E"/>
    <w:rsid w:val="007757CC"/>
    <w:rsid w:val="00775AA5"/>
    <w:rsid w:val="00777E14"/>
    <w:rsid w:val="0078023E"/>
    <w:rsid w:val="007808C9"/>
    <w:rsid w:val="0078389B"/>
    <w:rsid w:val="00783EC8"/>
    <w:rsid w:val="00784069"/>
    <w:rsid w:val="0078594A"/>
    <w:rsid w:val="0078641D"/>
    <w:rsid w:val="007912FD"/>
    <w:rsid w:val="007913DF"/>
    <w:rsid w:val="00791D64"/>
    <w:rsid w:val="00791E6D"/>
    <w:rsid w:val="00792461"/>
    <w:rsid w:val="007928CB"/>
    <w:rsid w:val="007937EC"/>
    <w:rsid w:val="00793BDF"/>
    <w:rsid w:val="007956B3"/>
    <w:rsid w:val="0079570C"/>
    <w:rsid w:val="0079577D"/>
    <w:rsid w:val="00795EC8"/>
    <w:rsid w:val="00796A04"/>
    <w:rsid w:val="00796D52"/>
    <w:rsid w:val="007A0F44"/>
    <w:rsid w:val="007A12FF"/>
    <w:rsid w:val="007A1302"/>
    <w:rsid w:val="007A1E90"/>
    <w:rsid w:val="007A4209"/>
    <w:rsid w:val="007A65B4"/>
    <w:rsid w:val="007A69D7"/>
    <w:rsid w:val="007A7312"/>
    <w:rsid w:val="007A783D"/>
    <w:rsid w:val="007B02DD"/>
    <w:rsid w:val="007B27DB"/>
    <w:rsid w:val="007B2C46"/>
    <w:rsid w:val="007B314E"/>
    <w:rsid w:val="007B330D"/>
    <w:rsid w:val="007B3846"/>
    <w:rsid w:val="007B3C9D"/>
    <w:rsid w:val="007B4285"/>
    <w:rsid w:val="007B430D"/>
    <w:rsid w:val="007B585D"/>
    <w:rsid w:val="007B6505"/>
    <w:rsid w:val="007B74C5"/>
    <w:rsid w:val="007B791D"/>
    <w:rsid w:val="007C0542"/>
    <w:rsid w:val="007C1087"/>
    <w:rsid w:val="007C1A2A"/>
    <w:rsid w:val="007C2B77"/>
    <w:rsid w:val="007C36A8"/>
    <w:rsid w:val="007C7429"/>
    <w:rsid w:val="007C7670"/>
    <w:rsid w:val="007D05EC"/>
    <w:rsid w:val="007D0C87"/>
    <w:rsid w:val="007D17C8"/>
    <w:rsid w:val="007D181C"/>
    <w:rsid w:val="007D22EE"/>
    <w:rsid w:val="007D2321"/>
    <w:rsid w:val="007D2B47"/>
    <w:rsid w:val="007D2E92"/>
    <w:rsid w:val="007D512C"/>
    <w:rsid w:val="007D551B"/>
    <w:rsid w:val="007D6F40"/>
    <w:rsid w:val="007D70F2"/>
    <w:rsid w:val="007D72E0"/>
    <w:rsid w:val="007D76CF"/>
    <w:rsid w:val="007E0111"/>
    <w:rsid w:val="007E0762"/>
    <w:rsid w:val="007E0B3E"/>
    <w:rsid w:val="007E0D70"/>
    <w:rsid w:val="007E241D"/>
    <w:rsid w:val="007E26CF"/>
    <w:rsid w:val="007E2A1B"/>
    <w:rsid w:val="007E33D5"/>
    <w:rsid w:val="007E35EF"/>
    <w:rsid w:val="007E4F87"/>
    <w:rsid w:val="007E599A"/>
    <w:rsid w:val="007E6EA4"/>
    <w:rsid w:val="007E7FF2"/>
    <w:rsid w:val="007F0851"/>
    <w:rsid w:val="007F0FEC"/>
    <w:rsid w:val="007F14A3"/>
    <w:rsid w:val="007F1A6D"/>
    <w:rsid w:val="007F2D9F"/>
    <w:rsid w:val="007F565B"/>
    <w:rsid w:val="008008D0"/>
    <w:rsid w:val="00802228"/>
    <w:rsid w:val="0080235C"/>
    <w:rsid w:val="008023E6"/>
    <w:rsid w:val="008033B8"/>
    <w:rsid w:val="00804A93"/>
    <w:rsid w:val="00805FDF"/>
    <w:rsid w:val="008062FB"/>
    <w:rsid w:val="008063F1"/>
    <w:rsid w:val="008073C3"/>
    <w:rsid w:val="00810595"/>
    <w:rsid w:val="00810CCC"/>
    <w:rsid w:val="008111CC"/>
    <w:rsid w:val="00811709"/>
    <w:rsid w:val="00811E0B"/>
    <w:rsid w:val="00812E45"/>
    <w:rsid w:val="00813D04"/>
    <w:rsid w:val="00813DDB"/>
    <w:rsid w:val="00814103"/>
    <w:rsid w:val="0081521C"/>
    <w:rsid w:val="008158FF"/>
    <w:rsid w:val="00815930"/>
    <w:rsid w:val="00815A8E"/>
    <w:rsid w:val="00815F85"/>
    <w:rsid w:val="0081648C"/>
    <w:rsid w:val="008166EF"/>
    <w:rsid w:val="00816A20"/>
    <w:rsid w:val="00816A3B"/>
    <w:rsid w:val="008219C9"/>
    <w:rsid w:val="008222BB"/>
    <w:rsid w:val="00824535"/>
    <w:rsid w:val="0082497D"/>
    <w:rsid w:val="00825E88"/>
    <w:rsid w:val="00826394"/>
    <w:rsid w:val="008267E1"/>
    <w:rsid w:val="008269B2"/>
    <w:rsid w:val="00826E00"/>
    <w:rsid w:val="00827EB5"/>
    <w:rsid w:val="00827EC0"/>
    <w:rsid w:val="008301A8"/>
    <w:rsid w:val="00831CF7"/>
    <w:rsid w:val="008336A2"/>
    <w:rsid w:val="00834134"/>
    <w:rsid w:val="00834358"/>
    <w:rsid w:val="008343FB"/>
    <w:rsid w:val="00834519"/>
    <w:rsid w:val="008349D5"/>
    <w:rsid w:val="0083513F"/>
    <w:rsid w:val="00836027"/>
    <w:rsid w:val="008361D1"/>
    <w:rsid w:val="008402B2"/>
    <w:rsid w:val="00841455"/>
    <w:rsid w:val="00841605"/>
    <w:rsid w:val="00841FE9"/>
    <w:rsid w:val="00842D4B"/>
    <w:rsid w:val="0084358F"/>
    <w:rsid w:val="00843B39"/>
    <w:rsid w:val="00845453"/>
    <w:rsid w:val="00845E53"/>
    <w:rsid w:val="00846F60"/>
    <w:rsid w:val="008470FA"/>
    <w:rsid w:val="00847C03"/>
    <w:rsid w:val="0085012E"/>
    <w:rsid w:val="00852CA7"/>
    <w:rsid w:val="00853004"/>
    <w:rsid w:val="00853532"/>
    <w:rsid w:val="00855405"/>
    <w:rsid w:val="008558DD"/>
    <w:rsid w:val="00856570"/>
    <w:rsid w:val="00857611"/>
    <w:rsid w:val="008577DE"/>
    <w:rsid w:val="00860CBC"/>
    <w:rsid w:val="0086296D"/>
    <w:rsid w:val="00865EA6"/>
    <w:rsid w:val="00865F56"/>
    <w:rsid w:val="008668A2"/>
    <w:rsid w:val="00867279"/>
    <w:rsid w:val="0087064F"/>
    <w:rsid w:val="008706C3"/>
    <w:rsid w:val="008722B0"/>
    <w:rsid w:val="00872319"/>
    <w:rsid w:val="00872967"/>
    <w:rsid w:val="008733E3"/>
    <w:rsid w:val="00874D43"/>
    <w:rsid w:val="00875EBA"/>
    <w:rsid w:val="008775E6"/>
    <w:rsid w:val="00877DA1"/>
    <w:rsid w:val="008803CC"/>
    <w:rsid w:val="00880866"/>
    <w:rsid w:val="008825C5"/>
    <w:rsid w:val="008825D6"/>
    <w:rsid w:val="008827C0"/>
    <w:rsid w:val="008850F7"/>
    <w:rsid w:val="00885F89"/>
    <w:rsid w:val="00887190"/>
    <w:rsid w:val="00893407"/>
    <w:rsid w:val="00893F73"/>
    <w:rsid w:val="00894E1C"/>
    <w:rsid w:val="00895A4D"/>
    <w:rsid w:val="00897471"/>
    <w:rsid w:val="008979DE"/>
    <w:rsid w:val="008A183C"/>
    <w:rsid w:val="008A2647"/>
    <w:rsid w:val="008A2A76"/>
    <w:rsid w:val="008A2E44"/>
    <w:rsid w:val="008A43BC"/>
    <w:rsid w:val="008A65BC"/>
    <w:rsid w:val="008A6DDA"/>
    <w:rsid w:val="008A7F00"/>
    <w:rsid w:val="008B0C99"/>
    <w:rsid w:val="008B3E7B"/>
    <w:rsid w:val="008B66C4"/>
    <w:rsid w:val="008C0B3A"/>
    <w:rsid w:val="008C0CC9"/>
    <w:rsid w:val="008C0D57"/>
    <w:rsid w:val="008C1A49"/>
    <w:rsid w:val="008C2223"/>
    <w:rsid w:val="008C329E"/>
    <w:rsid w:val="008C4E8D"/>
    <w:rsid w:val="008C66B5"/>
    <w:rsid w:val="008C6A7F"/>
    <w:rsid w:val="008C761E"/>
    <w:rsid w:val="008C7EF2"/>
    <w:rsid w:val="008D4073"/>
    <w:rsid w:val="008D43CC"/>
    <w:rsid w:val="008D6B76"/>
    <w:rsid w:val="008D79F5"/>
    <w:rsid w:val="008E0C2C"/>
    <w:rsid w:val="008E2BBF"/>
    <w:rsid w:val="008E30CB"/>
    <w:rsid w:val="008E3390"/>
    <w:rsid w:val="008E3462"/>
    <w:rsid w:val="008E38A6"/>
    <w:rsid w:val="008E4DD3"/>
    <w:rsid w:val="008E79E3"/>
    <w:rsid w:val="008E7B6E"/>
    <w:rsid w:val="008E7C71"/>
    <w:rsid w:val="008F0A5D"/>
    <w:rsid w:val="008F1CA9"/>
    <w:rsid w:val="008F2BFE"/>
    <w:rsid w:val="008F382D"/>
    <w:rsid w:val="008F3E65"/>
    <w:rsid w:val="008F4EE4"/>
    <w:rsid w:val="00900623"/>
    <w:rsid w:val="00901EF3"/>
    <w:rsid w:val="00902983"/>
    <w:rsid w:val="009032FD"/>
    <w:rsid w:val="00903521"/>
    <w:rsid w:val="00903F04"/>
    <w:rsid w:val="00904D86"/>
    <w:rsid w:val="0090511B"/>
    <w:rsid w:val="00905480"/>
    <w:rsid w:val="00905D6E"/>
    <w:rsid w:val="00905F21"/>
    <w:rsid w:val="009072A6"/>
    <w:rsid w:val="009072B6"/>
    <w:rsid w:val="009101E1"/>
    <w:rsid w:val="0091055D"/>
    <w:rsid w:val="00910698"/>
    <w:rsid w:val="00910F7F"/>
    <w:rsid w:val="009118F4"/>
    <w:rsid w:val="00911E53"/>
    <w:rsid w:val="009122BE"/>
    <w:rsid w:val="00914CE2"/>
    <w:rsid w:val="00914E48"/>
    <w:rsid w:val="0092344F"/>
    <w:rsid w:val="009302E4"/>
    <w:rsid w:val="00931602"/>
    <w:rsid w:val="00931CC0"/>
    <w:rsid w:val="009344CC"/>
    <w:rsid w:val="009366C6"/>
    <w:rsid w:val="00937510"/>
    <w:rsid w:val="00940A14"/>
    <w:rsid w:val="00940B8A"/>
    <w:rsid w:val="00940CA9"/>
    <w:rsid w:val="00942CAC"/>
    <w:rsid w:val="00942F41"/>
    <w:rsid w:val="00945FB6"/>
    <w:rsid w:val="009469C1"/>
    <w:rsid w:val="00946A24"/>
    <w:rsid w:val="00947EAD"/>
    <w:rsid w:val="0095053C"/>
    <w:rsid w:val="00951345"/>
    <w:rsid w:val="00952023"/>
    <w:rsid w:val="009524F3"/>
    <w:rsid w:val="009525DC"/>
    <w:rsid w:val="0095264A"/>
    <w:rsid w:val="00952693"/>
    <w:rsid w:val="009527A9"/>
    <w:rsid w:val="00952905"/>
    <w:rsid w:val="00953C30"/>
    <w:rsid w:val="00956D6B"/>
    <w:rsid w:val="00957D09"/>
    <w:rsid w:val="00960435"/>
    <w:rsid w:val="00960453"/>
    <w:rsid w:val="00960A89"/>
    <w:rsid w:val="00961D0B"/>
    <w:rsid w:val="00961FA7"/>
    <w:rsid w:val="0096297D"/>
    <w:rsid w:val="0096379E"/>
    <w:rsid w:val="00965FE7"/>
    <w:rsid w:val="00966140"/>
    <w:rsid w:val="00966F6D"/>
    <w:rsid w:val="00967E3A"/>
    <w:rsid w:val="00971644"/>
    <w:rsid w:val="0097312A"/>
    <w:rsid w:val="00973931"/>
    <w:rsid w:val="009742D6"/>
    <w:rsid w:val="0097437F"/>
    <w:rsid w:val="00975A0C"/>
    <w:rsid w:val="00975BDC"/>
    <w:rsid w:val="00976353"/>
    <w:rsid w:val="009779D2"/>
    <w:rsid w:val="00977C28"/>
    <w:rsid w:val="0098018A"/>
    <w:rsid w:val="00980F44"/>
    <w:rsid w:val="00982E20"/>
    <w:rsid w:val="0098317F"/>
    <w:rsid w:val="00984095"/>
    <w:rsid w:val="00984AA7"/>
    <w:rsid w:val="00985F58"/>
    <w:rsid w:val="00986C54"/>
    <w:rsid w:val="0098712F"/>
    <w:rsid w:val="00987646"/>
    <w:rsid w:val="0099005F"/>
    <w:rsid w:val="0099099D"/>
    <w:rsid w:val="00991EEC"/>
    <w:rsid w:val="00992550"/>
    <w:rsid w:val="0099262D"/>
    <w:rsid w:val="00993884"/>
    <w:rsid w:val="009948BE"/>
    <w:rsid w:val="0099572B"/>
    <w:rsid w:val="00995778"/>
    <w:rsid w:val="00996289"/>
    <w:rsid w:val="00996F95"/>
    <w:rsid w:val="009A0F5E"/>
    <w:rsid w:val="009A167A"/>
    <w:rsid w:val="009A19FA"/>
    <w:rsid w:val="009A270D"/>
    <w:rsid w:val="009A3947"/>
    <w:rsid w:val="009A420F"/>
    <w:rsid w:val="009A4279"/>
    <w:rsid w:val="009A7415"/>
    <w:rsid w:val="009B0129"/>
    <w:rsid w:val="009B3B18"/>
    <w:rsid w:val="009B3BF9"/>
    <w:rsid w:val="009B4801"/>
    <w:rsid w:val="009B561A"/>
    <w:rsid w:val="009B7EE9"/>
    <w:rsid w:val="009C1BBC"/>
    <w:rsid w:val="009C2147"/>
    <w:rsid w:val="009C2DEF"/>
    <w:rsid w:val="009C33C8"/>
    <w:rsid w:val="009C40B1"/>
    <w:rsid w:val="009C526D"/>
    <w:rsid w:val="009C72C2"/>
    <w:rsid w:val="009D08C9"/>
    <w:rsid w:val="009D1D4C"/>
    <w:rsid w:val="009D2252"/>
    <w:rsid w:val="009D23C9"/>
    <w:rsid w:val="009D36D0"/>
    <w:rsid w:val="009D4386"/>
    <w:rsid w:val="009D6397"/>
    <w:rsid w:val="009D65C7"/>
    <w:rsid w:val="009D66C1"/>
    <w:rsid w:val="009E0B99"/>
    <w:rsid w:val="009E1727"/>
    <w:rsid w:val="009E185A"/>
    <w:rsid w:val="009E1D5E"/>
    <w:rsid w:val="009E1F83"/>
    <w:rsid w:val="009E24E4"/>
    <w:rsid w:val="009E3162"/>
    <w:rsid w:val="009E31FD"/>
    <w:rsid w:val="009E4EE4"/>
    <w:rsid w:val="009E510C"/>
    <w:rsid w:val="009E53CA"/>
    <w:rsid w:val="009E56B1"/>
    <w:rsid w:val="009E5AC7"/>
    <w:rsid w:val="009F01DE"/>
    <w:rsid w:val="009F0B6A"/>
    <w:rsid w:val="009F2770"/>
    <w:rsid w:val="009F3993"/>
    <w:rsid w:val="009F3FE9"/>
    <w:rsid w:val="009F45ED"/>
    <w:rsid w:val="009F52F0"/>
    <w:rsid w:val="009F65C3"/>
    <w:rsid w:val="009F65EA"/>
    <w:rsid w:val="009F6F25"/>
    <w:rsid w:val="00A000F4"/>
    <w:rsid w:val="00A006F0"/>
    <w:rsid w:val="00A0131C"/>
    <w:rsid w:val="00A0266F"/>
    <w:rsid w:val="00A0283F"/>
    <w:rsid w:val="00A033F6"/>
    <w:rsid w:val="00A041DE"/>
    <w:rsid w:val="00A04691"/>
    <w:rsid w:val="00A04714"/>
    <w:rsid w:val="00A0484B"/>
    <w:rsid w:val="00A04AB0"/>
    <w:rsid w:val="00A04BEA"/>
    <w:rsid w:val="00A07315"/>
    <w:rsid w:val="00A12297"/>
    <w:rsid w:val="00A12DC3"/>
    <w:rsid w:val="00A14AF9"/>
    <w:rsid w:val="00A14B06"/>
    <w:rsid w:val="00A15388"/>
    <w:rsid w:val="00A15903"/>
    <w:rsid w:val="00A16236"/>
    <w:rsid w:val="00A20DA3"/>
    <w:rsid w:val="00A2185B"/>
    <w:rsid w:val="00A23C6C"/>
    <w:rsid w:val="00A27349"/>
    <w:rsid w:val="00A3080A"/>
    <w:rsid w:val="00A30BC2"/>
    <w:rsid w:val="00A31EE0"/>
    <w:rsid w:val="00A3255E"/>
    <w:rsid w:val="00A32B81"/>
    <w:rsid w:val="00A33905"/>
    <w:rsid w:val="00A35170"/>
    <w:rsid w:val="00A36015"/>
    <w:rsid w:val="00A36AAE"/>
    <w:rsid w:val="00A36DCB"/>
    <w:rsid w:val="00A375AB"/>
    <w:rsid w:val="00A3760E"/>
    <w:rsid w:val="00A376FD"/>
    <w:rsid w:val="00A37B60"/>
    <w:rsid w:val="00A37D88"/>
    <w:rsid w:val="00A4074A"/>
    <w:rsid w:val="00A42A90"/>
    <w:rsid w:val="00A42C7D"/>
    <w:rsid w:val="00A4311E"/>
    <w:rsid w:val="00A43582"/>
    <w:rsid w:val="00A44807"/>
    <w:rsid w:val="00A44D43"/>
    <w:rsid w:val="00A4565C"/>
    <w:rsid w:val="00A459D1"/>
    <w:rsid w:val="00A463D6"/>
    <w:rsid w:val="00A5101C"/>
    <w:rsid w:val="00A510F6"/>
    <w:rsid w:val="00A52069"/>
    <w:rsid w:val="00A522FE"/>
    <w:rsid w:val="00A529A8"/>
    <w:rsid w:val="00A52CF3"/>
    <w:rsid w:val="00A53B4B"/>
    <w:rsid w:val="00A54763"/>
    <w:rsid w:val="00A547DA"/>
    <w:rsid w:val="00A551E1"/>
    <w:rsid w:val="00A55CCF"/>
    <w:rsid w:val="00A566DF"/>
    <w:rsid w:val="00A61B8A"/>
    <w:rsid w:val="00A63057"/>
    <w:rsid w:val="00A64468"/>
    <w:rsid w:val="00A64D42"/>
    <w:rsid w:val="00A64EA5"/>
    <w:rsid w:val="00A65510"/>
    <w:rsid w:val="00A66973"/>
    <w:rsid w:val="00A6747E"/>
    <w:rsid w:val="00A67E64"/>
    <w:rsid w:val="00A70EA3"/>
    <w:rsid w:val="00A736DD"/>
    <w:rsid w:val="00A7378E"/>
    <w:rsid w:val="00A737E9"/>
    <w:rsid w:val="00A74F1B"/>
    <w:rsid w:val="00A761E4"/>
    <w:rsid w:val="00A77E4B"/>
    <w:rsid w:val="00A83DA6"/>
    <w:rsid w:val="00A84E39"/>
    <w:rsid w:val="00A8509D"/>
    <w:rsid w:val="00A85567"/>
    <w:rsid w:val="00A8585B"/>
    <w:rsid w:val="00A85E07"/>
    <w:rsid w:val="00A9054C"/>
    <w:rsid w:val="00A90A44"/>
    <w:rsid w:val="00A91071"/>
    <w:rsid w:val="00A921C1"/>
    <w:rsid w:val="00A923A4"/>
    <w:rsid w:val="00A92C48"/>
    <w:rsid w:val="00A941A6"/>
    <w:rsid w:val="00A94496"/>
    <w:rsid w:val="00A95474"/>
    <w:rsid w:val="00A96763"/>
    <w:rsid w:val="00A97513"/>
    <w:rsid w:val="00A97C18"/>
    <w:rsid w:val="00AA0894"/>
    <w:rsid w:val="00AA244F"/>
    <w:rsid w:val="00AA27FE"/>
    <w:rsid w:val="00AA2FC8"/>
    <w:rsid w:val="00AA6219"/>
    <w:rsid w:val="00AA65ED"/>
    <w:rsid w:val="00AA6615"/>
    <w:rsid w:val="00AA7783"/>
    <w:rsid w:val="00AB00AC"/>
    <w:rsid w:val="00AB08F6"/>
    <w:rsid w:val="00AB1099"/>
    <w:rsid w:val="00AB1EB2"/>
    <w:rsid w:val="00AB2363"/>
    <w:rsid w:val="00AB2597"/>
    <w:rsid w:val="00AB29BA"/>
    <w:rsid w:val="00AB3402"/>
    <w:rsid w:val="00AB4081"/>
    <w:rsid w:val="00AB5846"/>
    <w:rsid w:val="00AB786C"/>
    <w:rsid w:val="00AC063D"/>
    <w:rsid w:val="00AC09B4"/>
    <w:rsid w:val="00AC12DD"/>
    <w:rsid w:val="00AC1518"/>
    <w:rsid w:val="00AC1A71"/>
    <w:rsid w:val="00AC1BFB"/>
    <w:rsid w:val="00AC2554"/>
    <w:rsid w:val="00AC2909"/>
    <w:rsid w:val="00AC2F39"/>
    <w:rsid w:val="00AC39B2"/>
    <w:rsid w:val="00AC3C20"/>
    <w:rsid w:val="00AC500E"/>
    <w:rsid w:val="00AC541E"/>
    <w:rsid w:val="00AC5638"/>
    <w:rsid w:val="00AC5C82"/>
    <w:rsid w:val="00AC65A6"/>
    <w:rsid w:val="00AC6DDE"/>
    <w:rsid w:val="00AC6E01"/>
    <w:rsid w:val="00AC79CC"/>
    <w:rsid w:val="00AC7D0B"/>
    <w:rsid w:val="00AD0097"/>
    <w:rsid w:val="00AD2073"/>
    <w:rsid w:val="00AD2EDC"/>
    <w:rsid w:val="00AD307C"/>
    <w:rsid w:val="00AD31D1"/>
    <w:rsid w:val="00AD33C6"/>
    <w:rsid w:val="00AD356E"/>
    <w:rsid w:val="00AD4F1F"/>
    <w:rsid w:val="00AD5126"/>
    <w:rsid w:val="00AD59F2"/>
    <w:rsid w:val="00AD5C2D"/>
    <w:rsid w:val="00AD6AEB"/>
    <w:rsid w:val="00AD7A8D"/>
    <w:rsid w:val="00AE02C9"/>
    <w:rsid w:val="00AE1DC9"/>
    <w:rsid w:val="00AE21B6"/>
    <w:rsid w:val="00AE2D25"/>
    <w:rsid w:val="00AE3804"/>
    <w:rsid w:val="00AE38DC"/>
    <w:rsid w:val="00AE4295"/>
    <w:rsid w:val="00AE4DDA"/>
    <w:rsid w:val="00AE4FDD"/>
    <w:rsid w:val="00AE5926"/>
    <w:rsid w:val="00AF039B"/>
    <w:rsid w:val="00AF1571"/>
    <w:rsid w:val="00AF28A1"/>
    <w:rsid w:val="00AF2A57"/>
    <w:rsid w:val="00AF42FC"/>
    <w:rsid w:val="00AF6360"/>
    <w:rsid w:val="00AF7189"/>
    <w:rsid w:val="00B0125C"/>
    <w:rsid w:val="00B03D59"/>
    <w:rsid w:val="00B04568"/>
    <w:rsid w:val="00B05613"/>
    <w:rsid w:val="00B05659"/>
    <w:rsid w:val="00B058BE"/>
    <w:rsid w:val="00B05D53"/>
    <w:rsid w:val="00B05EC2"/>
    <w:rsid w:val="00B06AE1"/>
    <w:rsid w:val="00B0767C"/>
    <w:rsid w:val="00B07BF8"/>
    <w:rsid w:val="00B1009F"/>
    <w:rsid w:val="00B10BF0"/>
    <w:rsid w:val="00B12E4E"/>
    <w:rsid w:val="00B12FA8"/>
    <w:rsid w:val="00B1673C"/>
    <w:rsid w:val="00B16E45"/>
    <w:rsid w:val="00B17DDD"/>
    <w:rsid w:val="00B21A1B"/>
    <w:rsid w:val="00B21F03"/>
    <w:rsid w:val="00B23784"/>
    <w:rsid w:val="00B24A52"/>
    <w:rsid w:val="00B24D6C"/>
    <w:rsid w:val="00B24FDF"/>
    <w:rsid w:val="00B25F9F"/>
    <w:rsid w:val="00B26DBD"/>
    <w:rsid w:val="00B27024"/>
    <w:rsid w:val="00B27707"/>
    <w:rsid w:val="00B279E7"/>
    <w:rsid w:val="00B30CBE"/>
    <w:rsid w:val="00B30F47"/>
    <w:rsid w:val="00B31101"/>
    <w:rsid w:val="00B31361"/>
    <w:rsid w:val="00B31993"/>
    <w:rsid w:val="00B31B1D"/>
    <w:rsid w:val="00B31F31"/>
    <w:rsid w:val="00B354B2"/>
    <w:rsid w:val="00B3780E"/>
    <w:rsid w:val="00B40724"/>
    <w:rsid w:val="00B41392"/>
    <w:rsid w:val="00B4180B"/>
    <w:rsid w:val="00B41ED7"/>
    <w:rsid w:val="00B42993"/>
    <w:rsid w:val="00B42BCD"/>
    <w:rsid w:val="00B436C7"/>
    <w:rsid w:val="00B44374"/>
    <w:rsid w:val="00B44870"/>
    <w:rsid w:val="00B45A15"/>
    <w:rsid w:val="00B4657A"/>
    <w:rsid w:val="00B47336"/>
    <w:rsid w:val="00B47570"/>
    <w:rsid w:val="00B508D2"/>
    <w:rsid w:val="00B51534"/>
    <w:rsid w:val="00B51A59"/>
    <w:rsid w:val="00B52BCF"/>
    <w:rsid w:val="00B55313"/>
    <w:rsid w:val="00B5689A"/>
    <w:rsid w:val="00B5753D"/>
    <w:rsid w:val="00B57599"/>
    <w:rsid w:val="00B60766"/>
    <w:rsid w:val="00B6142C"/>
    <w:rsid w:val="00B618BD"/>
    <w:rsid w:val="00B62C9E"/>
    <w:rsid w:val="00B640BC"/>
    <w:rsid w:val="00B65F2B"/>
    <w:rsid w:val="00B66842"/>
    <w:rsid w:val="00B66AA9"/>
    <w:rsid w:val="00B70EB7"/>
    <w:rsid w:val="00B7106B"/>
    <w:rsid w:val="00B7167F"/>
    <w:rsid w:val="00B718E6"/>
    <w:rsid w:val="00B71B78"/>
    <w:rsid w:val="00B726FD"/>
    <w:rsid w:val="00B72D14"/>
    <w:rsid w:val="00B73BD3"/>
    <w:rsid w:val="00B75414"/>
    <w:rsid w:val="00B777A8"/>
    <w:rsid w:val="00B800AF"/>
    <w:rsid w:val="00B8079E"/>
    <w:rsid w:val="00B815F8"/>
    <w:rsid w:val="00B816D9"/>
    <w:rsid w:val="00B81B95"/>
    <w:rsid w:val="00B83331"/>
    <w:rsid w:val="00B83A98"/>
    <w:rsid w:val="00B83F29"/>
    <w:rsid w:val="00B8475D"/>
    <w:rsid w:val="00B848DC"/>
    <w:rsid w:val="00B85CE3"/>
    <w:rsid w:val="00B85FB2"/>
    <w:rsid w:val="00B86351"/>
    <w:rsid w:val="00B8674E"/>
    <w:rsid w:val="00B8771C"/>
    <w:rsid w:val="00B87AE1"/>
    <w:rsid w:val="00B90C70"/>
    <w:rsid w:val="00B94728"/>
    <w:rsid w:val="00B959B4"/>
    <w:rsid w:val="00B96AE3"/>
    <w:rsid w:val="00B97D3D"/>
    <w:rsid w:val="00B97FBC"/>
    <w:rsid w:val="00BA11F3"/>
    <w:rsid w:val="00BA245C"/>
    <w:rsid w:val="00BA24FD"/>
    <w:rsid w:val="00BA27D8"/>
    <w:rsid w:val="00BA27E7"/>
    <w:rsid w:val="00BA2E1B"/>
    <w:rsid w:val="00BA3141"/>
    <w:rsid w:val="00BA3594"/>
    <w:rsid w:val="00BA3981"/>
    <w:rsid w:val="00BA447D"/>
    <w:rsid w:val="00BA4CE1"/>
    <w:rsid w:val="00BA5590"/>
    <w:rsid w:val="00BA6115"/>
    <w:rsid w:val="00BA7903"/>
    <w:rsid w:val="00BB0C7A"/>
    <w:rsid w:val="00BB1B63"/>
    <w:rsid w:val="00BB27C6"/>
    <w:rsid w:val="00BB287A"/>
    <w:rsid w:val="00BB375F"/>
    <w:rsid w:val="00BB4109"/>
    <w:rsid w:val="00BB4401"/>
    <w:rsid w:val="00BB5E18"/>
    <w:rsid w:val="00BB69B4"/>
    <w:rsid w:val="00BB7A05"/>
    <w:rsid w:val="00BC0728"/>
    <w:rsid w:val="00BC0F2B"/>
    <w:rsid w:val="00BC13BE"/>
    <w:rsid w:val="00BC265C"/>
    <w:rsid w:val="00BC2E8A"/>
    <w:rsid w:val="00BC4FA4"/>
    <w:rsid w:val="00BC5677"/>
    <w:rsid w:val="00BC5DA0"/>
    <w:rsid w:val="00BC60C7"/>
    <w:rsid w:val="00BC6172"/>
    <w:rsid w:val="00BC6EA6"/>
    <w:rsid w:val="00BC762C"/>
    <w:rsid w:val="00BD086A"/>
    <w:rsid w:val="00BD1872"/>
    <w:rsid w:val="00BD1DB4"/>
    <w:rsid w:val="00BD4A77"/>
    <w:rsid w:val="00BD4A7C"/>
    <w:rsid w:val="00BD5166"/>
    <w:rsid w:val="00BD63E7"/>
    <w:rsid w:val="00BD7C70"/>
    <w:rsid w:val="00BE04A3"/>
    <w:rsid w:val="00BE0C70"/>
    <w:rsid w:val="00BE1143"/>
    <w:rsid w:val="00BE158D"/>
    <w:rsid w:val="00BE1935"/>
    <w:rsid w:val="00BE1F28"/>
    <w:rsid w:val="00BE20E3"/>
    <w:rsid w:val="00BE22FB"/>
    <w:rsid w:val="00BE284E"/>
    <w:rsid w:val="00BE5B31"/>
    <w:rsid w:val="00BE6A80"/>
    <w:rsid w:val="00BE7DE0"/>
    <w:rsid w:val="00BF01E6"/>
    <w:rsid w:val="00BF0576"/>
    <w:rsid w:val="00BF0C03"/>
    <w:rsid w:val="00BF189E"/>
    <w:rsid w:val="00BF1E02"/>
    <w:rsid w:val="00BF24C4"/>
    <w:rsid w:val="00BF3717"/>
    <w:rsid w:val="00BF456C"/>
    <w:rsid w:val="00BF768D"/>
    <w:rsid w:val="00C00D17"/>
    <w:rsid w:val="00C0140C"/>
    <w:rsid w:val="00C03989"/>
    <w:rsid w:val="00C03F0F"/>
    <w:rsid w:val="00C043C0"/>
    <w:rsid w:val="00C049E9"/>
    <w:rsid w:val="00C056B7"/>
    <w:rsid w:val="00C1027D"/>
    <w:rsid w:val="00C10F71"/>
    <w:rsid w:val="00C11B7D"/>
    <w:rsid w:val="00C11D52"/>
    <w:rsid w:val="00C12AD9"/>
    <w:rsid w:val="00C1396C"/>
    <w:rsid w:val="00C14863"/>
    <w:rsid w:val="00C14D94"/>
    <w:rsid w:val="00C15C39"/>
    <w:rsid w:val="00C167C2"/>
    <w:rsid w:val="00C172F8"/>
    <w:rsid w:val="00C174FD"/>
    <w:rsid w:val="00C1783E"/>
    <w:rsid w:val="00C17876"/>
    <w:rsid w:val="00C20499"/>
    <w:rsid w:val="00C2127A"/>
    <w:rsid w:val="00C21B0C"/>
    <w:rsid w:val="00C2314A"/>
    <w:rsid w:val="00C237DB"/>
    <w:rsid w:val="00C23DB2"/>
    <w:rsid w:val="00C261B7"/>
    <w:rsid w:val="00C26874"/>
    <w:rsid w:val="00C26E83"/>
    <w:rsid w:val="00C27C9D"/>
    <w:rsid w:val="00C308BB"/>
    <w:rsid w:val="00C30C04"/>
    <w:rsid w:val="00C317B0"/>
    <w:rsid w:val="00C31AF7"/>
    <w:rsid w:val="00C321C5"/>
    <w:rsid w:val="00C322E8"/>
    <w:rsid w:val="00C32AC6"/>
    <w:rsid w:val="00C32CD7"/>
    <w:rsid w:val="00C33EAA"/>
    <w:rsid w:val="00C343A4"/>
    <w:rsid w:val="00C35A0E"/>
    <w:rsid w:val="00C360E0"/>
    <w:rsid w:val="00C3620E"/>
    <w:rsid w:val="00C3626D"/>
    <w:rsid w:val="00C37DD2"/>
    <w:rsid w:val="00C408D9"/>
    <w:rsid w:val="00C4155E"/>
    <w:rsid w:val="00C447D7"/>
    <w:rsid w:val="00C4506A"/>
    <w:rsid w:val="00C45219"/>
    <w:rsid w:val="00C4573F"/>
    <w:rsid w:val="00C45D82"/>
    <w:rsid w:val="00C47701"/>
    <w:rsid w:val="00C47851"/>
    <w:rsid w:val="00C5061B"/>
    <w:rsid w:val="00C50669"/>
    <w:rsid w:val="00C510EA"/>
    <w:rsid w:val="00C522FD"/>
    <w:rsid w:val="00C52F47"/>
    <w:rsid w:val="00C52FE2"/>
    <w:rsid w:val="00C53EC1"/>
    <w:rsid w:val="00C546FB"/>
    <w:rsid w:val="00C54E64"/>
    <w:rsid w:val="00C55251"/>
    <w:rsid w:val="00C563BE"/>
    <w:rsid w:val="00C56852"/>
    <w:rsid w:val="00C56860"/>
    <w:rsid w:val="00C5730C"/>
    <w:rsid w:val="00C60B25"/>
    <w:rsid w:val="00C61CAA"/>
    <w:rsid w:val="00C63BAA"/>
    <w:rsid w:val="00C642BB"/>
    <w:rsid w:val="00C64301"/>
    <w:rsid w:val="00C6525B"/>
    <w:rsid w:val="00C65FAF"/>
    <w:rsid w:val="00C70D02"/>
    <w:rsid w:val="00C70FFE"/>
    <w:rsid w:val="00C72100"/>
    <w:rsid w:val="00C72315"/>
    <w:rsid w:val="00C72F47"/>
    <w:rsid w:val="00C7375B"/>
    <w:rsid w:val="00C74592"/>
    <w:rsid w:val="00C748D2"/>
    <w:rsid w:val="00C76A75"/>
    <w:rsid w:val="00C76E80"/>
    <w:rsid w:val="00C819BD"/>
    <w:rsid w:val="00C825D4"/>
    <w:rsid w:val="00C8312D"/>
    <w:rsid w:val="00C8318D"/>
    <w:rsid w:val="00C8325E"/>
    <w:rsid w:val="00C83D84"/>
    <w:rsid w:val="00C8462B"/>
    <w:rsid w:val="00C86D9E"/>
    <w:rsid w:val="00C871F4"/>
    <w:rsid w:val="00C904C0"/>
    <w:rsid w:val="00C90ABD"/>
    <w:rsid w:val="00C90EE0"/>
    <w:rsid w:val="00C91865"/>
    <w:rsid w:val="00C91F1F"/>
    <w:rsid w:val="00C92C61"/>
    <w:rsid w:val="00C94892"/>
    <w:rsid w:val="00C948BA"/>
    <w:rsid w:val="00C95011"/>
    <w:rsid w:val="00C960B4"/>
    <w:rsid w:val="00C971B8"/>
    <w:rsid w:val="00CA0580"/>
    <w:rsid w:val="00CA06BC"/>
    <w:rsid w:val="00CA156C"/>
    <w:rsid w:val="00CA1614"/>
    <w:rsid w:val="00CA3643"/>
    <w:rsid w:val="00CA4093"/>
    <w:rsid w:val="00CA4C8C"/>
    <w:rsid w:val="00CA5103"/>
    <w:rsid w:val="00CA6254"/>
    <w:rsid w:val="00CA6B11"/>
    <w:rsid w:val="00CB14C8"/>
    <w:rsid w:val="00CB38A7"/>
    <w:rsid w:val="00CB53A9"/>
    <w:rsid w:val="00CB5BE3"/>
    <w:rsid w:val="00CB67FA"/>
    <w:rsid w:val="00CB6DB0"/>
    <w:rsid w:val="00CB71A3"/>
    <w:rsid w:val="00CB77C4"/>
    <w:rsid w:val="00CC0C82"/>
    <w:rsid w:val="00CC0CCA"/>
    <w:rsid w:val="00CC3E16"/>
    <w:rsid w:val="00CC41F2"/>
    <w:rsid w:val="00CC47F1"/>
    <w:rsid w:val="00CC4B02"/>
    <w:rsid w:val="00CC5361"/>
    <w:rsid w:val="00CC56C3"/>
    <w:rsid w:val="00CC7076"/>
    <w:rsid w:val="00CC72C9"/>
    <w:rsid w:val="00CC7865"/>
    <w:rsid w:val="00CC7AE2"/>
    <w:rsid w:val="00CD0605"/>
    <w:rsid w:val="00CD06CA"/>
    <w:rsid w:val="00CD2293"/>
    <w:rsid w:val="00CD22AB"/>
    <w:rsid w:val="00CD27FB"/>
    <w:rsid w:val="00CD2942"/>
    <w:rsid w:val="00CD355C"/>
    <w:rsid w:val="00CD58C2"/>
    <w:rsid w:val="00CD68EB"/>
    <w:rsid w:val="00CD6E54"/>
    <w:rsid w:val="00CD717F"/>
    <w:rsid w:val="00CD7473"/>
    <w:rsid w:val="00CD7588"/>
    <w:rsid w:val="00CD759D"/>
    <w:rsid w:val="00CD7CC5"/>
    <w:rsid w:val="00CE0F95"/>
    <w:rsid w:val="00CE16ED"/>
    <w:rsid w:val="00CE263E"/>
    <w:rsid w:val="00CE2812"/>
    <w:rsid w:val="00CE3F45"/>
    <w:rsid w:val="00CE59F4"/>
    <w:rsid w:val="00CE5E99"/>
    <w:rsid w:val="00CE6129"/>
    <w:rsid w:val="00CE738F"/>
    <w:rsid w:val="00CE7659"/>
    <w:rsid w:val="00CE79C3"/>
    <w:rsid w:val="00CE7AB0"/>
    <w:rsid w:val="00CF1037"/>
    <w:rsid w:val="00CF13CA"/>
    <w:rsid w:val="00CF195A"/>
    <w:rsid w:val="00CF3169"/>
    <w:rsid w:val="00CF4350"/>
    <w:rsid w:val="00CF45CE"/>
    <w:rsid w:val="00CF4C4F"/>
    <w:rsid w:val="00CF56EB"/>
    <w:rsid w:val="00CF5DAC"/>
    <w:rsid w:val="00CF5F3E"/>
    <w:rsid w:val="00CF744F"/>
    <w:rsid w:val="00D01113"/>
    <w:rsid w:val="00D02083"/>
    <w:rsid w:val="00D024D8"/>
    <w:rsid w:val="00D024F6"/>
    <w:rsid w:val="00D0276F"/>
    <w:rsid w:val="00D02FB6"/>
    <w:rsid w:val="00D03E4B"/>
    <w:rsid w:val="00D045AB"/>
    <w:rsid w:val="00D0677D"/>
    <w:rsid w:val="00D1023E"/>
    <w:rsid w:val="00D12616"/>
    <w:rsid w:val="00D14709"/>
    <w:rsid w:val="00D16455"/>
    <w:rsid w:val="00D16CFC"/>
    <w:rsid w:val="00D200AE"/>
    <w:rsid w:val="00D2072A"/>
    <w:rsid w:val="00D207A2"/>
    <w:rsid w:val="00D210FA"/>
    <w:rsid w:val="00D21AE8"/>
    <w:rsid w:val="00D23211"/>
    <w:rsid w:val="00D23288"/>
    <w:rsid w:val="00D23E69"/>
    <w:rsid w:val="00D250D9"/>
    <w:rsid w:val="00D253C4"/>
    <w:rsid w:val="00D26013"/>
    <w:rsid w:val="00D273F2"/>
    <w:rsid w:val="00D276C4"/>
    <w:rsid w:val="00D30B13"/>
    <w:rsid w:val="00D31464"/>
    <w:rsid w:val="00D3174E"/>
    <w:rsid w:val="00D33992"/>
    <w:rsid w:val="00D34478"/>
    <w:rsid w:val="00D35CF0"/>
    <w:rsid w:val="00D36B8A"/>
    <w:rsid w:val="00D4026A"/>
    <w:rsid w:val="00D40C7B"/>
    <w:rsid w:val="00D4111C"/>
    <w:rsid w:val="00D41223"/>
    <w:rsid w:val="00D43328"/>
    <w:rsid w:val="00D43945"/>
    <w:rsid w:val="00D440FF"/>
    <w:rsid w:val="00D444CA"/>
    <w:rsid w:val="00D45688"/>
    <w:rsid w:val="00D462DB"/>
    <w:rsid w:val="00D47288"/>
    <w:rsid w:val="00D472B3"/>
    <w:rsid w:val="00D478EF"/>
    <w:rsid w:val="00D5076F"/>
    <w:rsid w:val="00D51BE9"/>
    <w:rsid w:val="00D51CEF"/>
    <w:rsid w:val="00D527A4"/>
    <w:rsid w:val="00D52C81"/>
    <w:rsid w:val="00D54509"/>
    <w:rsid w:val="00D56A3B"/>
    <w:rsid w:val="00D57061"/>
    <w:rsid w:val="00D601D1"/>
    <w:rsid w:val="00D61D91"/>
    <w:rsid w:val="00D62392"/>
    <w:rsid w:val="00D6255F"/>
    <w:rsid w:val="00D62AB2"/>
    <w:rsid w:val="00D6327C"/>
    <w:rsid w:val="00D6329D"/>
    <w:rsid w:val="00D634F0"/>
    <w:rsid w:val="00D6439F"/>
    <w:rsid w:val="00D648EB"/>
    <w:rsid w:val="00D64EB6"/>
    <w:rsid w:val="00D65306"/>
    <w:rsid w:val="00D65469"/>
    <w:rsid w:val="00D655B0"/>
    <w:rsid w:val="00D65C7F"/>
    <w:rsid w:val="00D67F11"/>
    <w:rsid w:val="00D7008B"/>
    <w:rsid w:val="00D70FE5"/>
    <w:rsid w:val="00D711A3"/>
    <w:rsid w:val="00D71DAA"/>
    <w:rsid w:val="00D7232A"/>
    <w:rsid w:val="00D7261C"/>
    <w:rsid w:val="00D72998"/>
    <w:rsid w:val="00D73070"/>
    <w:rsid w:val="00D73F76"/>
    <w:rsid w:val="00D7553F"/>
    <w:rsid w:val="00D75E05"/>
    <w:rsid w:val="00D76C2D"/>
    <w:rsid w:val="00D80FF6"/>
    <w:rsid w:val="00D817BF"/>
    <w:rsid w:val="00D81D58"/>
    <w:rsid w:val="00D830E6"/>
    <w:rsid w:val="00D83674"/>
    <w:rsid w:val="00D8421D"/>
    <w:rsid w:val="00D84830"/>
    <w:rsid w:val="00D84A78"/>
    <w:rsid w:val="00D84E8B"/>
    <w:rsid w:val="00D866E2"/>
    <w:rsid w:val="00D86E8E"/>
    <w:rsid w:val="00D87249"/>
    <w:rsid w:val="00D90314"/>
    <w:rsid w:val="00D9056B"/>
    <w:rsid w:val="00D90939"/>
    <w:rsid w:val="00D90D16"/>
    <w:rsid w:val="00D91203"/>
    <w:rsid w:val="00D91F6A"/>
    <w:rsid w:val="00D93760"/>
    <w:rsid w:val="00D94BCE"/>
    <w:rsid w:val="00D9537B"/>
    <w:rsid w:val="00D955C8"/>
    <w:rsid w:val="00D9725B"/>
    <w:rsid w:val="00DA2971"/>
    <w:rsid w:val="00DA33FE"/>
    <w:rsid w:val="00DA372B"/>
    <w:rsid w:val="00DA4BEB"/>
    <w:rsid w:val="00DA644B"/>
    <w:rsid w:val="00DB09E4"/>
    <w:rsid w:val="00DB3D1B"/>
    <w:rsid w:val="00DB44B7"/>
    <w:rsid w:val="00DB5DDD"/>
    <w:rsid w:val="00DB7821"/>
    <w:rsid w:val="00DC03A4"/>
    <w:rsid w:val="00DC03B6"/>
    <w:rsid w:val="00DC0609"/>
    <w:rsid w:val="00DC1C3D"/>
    <w:rsid w:val="00DC21CE"/>
    <w:rsid w:val="00DC2CB0"/>
    <w:rsid w:val="00DC2CE8"/>
    <w:rsid w:val="00DC3232"/>
    <w:rsid w:val="00DC35F3"/>
    <w:rsid w:val="00DC42D9"/>
    <w:rsid w:val="00DC4C69"/>
    <w:rsid w:val="00DC5C8E"/>
    <w:rsid w:val="00DC665A"/>
    <w:rsid w:val="00DC6D9C"/>
    <w:rsid w:val="00DC7430"/>
    <w:rsid w:val="00DC7B06"/>
    <w:rsid w:val="00DD04AD"/>
    <w:rsid w:val="00DD362F"/>
    <w:rsid w:val="00DD3B20"/>
    <w:rsid w:val="00DD3B73"/>
    <w:rsid w:val="00DD5EED"/>
    <w:rsid w:val="00DD641F"/>
    <w:rsid w:val="00DD6663"/>
    <w:rsid w:val="00DD6BAA"/>
    <w:rsid w:val="00DD777B"/>
    <w:rsid w:val="00DE2197"/>
    <w:rsid w:val="00DE23FB"/>
    <w:rsid w:val="00DE3980"/>
    <w:rsid w:val="00DE41AE"/>
    <w:rsid w:val="00DE4842"/>
    <w:rsid w:val="00DE6102"/>
    <w:rsid w:val="00DE6334"/>
    <w:rsid w:val="00DE71FF"/>
    <w:rsid w:val="00DE745A"/>
    <w:rsid w:val="00DE7800"/>
    <w:rsid w:val="00DE78C7"/>
    <w:rsid w:val="00DE7FC2"/>
    <w:rsid w:val="00DF0815"/>
    <w:rsid w:val="00DF0C9D"/>
    <w:rsid w:val="00DF0F8C"/>
    <w:rsid w:val="00DF10E9"/>
    <w:rsid w:val="00DF1EA1"/>
    <w:rsid w:val="00DF2B82"/>
    <w:rsid w:val="00DF33F1"/>
    <w:rsid w:val="00DF62E4"/>
    <w:rsid w:val="00DF6DA6"/>
    <w:rsid w:val="00E0105D"/>
    <w:rsid w:val="00E03BE5"/>
    <w:rsid w:val="00E059D9"/>
    <w:rsid w:val="00E05C01"/>
    <w:rsid w:val="00E073A2"/>
    <w:rsid w:val="00E07A29"/>
    <w:rsid w:val="00E07BB3"/>
    <w:rsid w:val="00E07C83"/>
    <w:rsid w:val="00E1047C"/>
    <w:rsid w:val="00E112C0"/>
    <w:rsid w:val="00E13117"/>
    <w:rsid w:val="00E14425"/>
    <w:rsid w:val="00E14906"/>
    <w:rsid w:val="00E16259"/>
    <w:rsid w:val="00E17E69"/>
    <w:rsid w:val="00E2019B"/>
    <w:rsid w:val="00E21DB5"/>
    <w:rsid w:val="00E21F5B"/>
    <w:rsid w:val="00E23045"/>
    <w:rsid w:val="00E23B0A"/>
    <w:rsid w:val="00E24442"/>
    <w:rsid w:val="00E24723"/>
    <w:rsid w:val="00E27690"/>
    <w:rsid w:val="00E30033"/>
    <w:rsid w:val="00E311B4"/>
    <w:rsid w:val="00E3176B"/>
    <w:rsid w:val="00E31B5D"/>
    <w:rsid w:val="00E31D5B"/>
    <w:rsid w:val="00E31E1E"/>
    <w:rsid w:val="00E31E84"/>
    <w:rsid w:val="00E337E2"/>
    <w:rsid w:val="00E33CA5"/>
    <w:rsid w:val="00E33D0C"/>
    <w:rsid w:val="00E33D78"/>
    <w:rsid w:val="00E33DF8"/>
    <w:rsid w:val="00E34090"/>
    <w:rsid w:val="00E34A22"/>
    <w:rsid w:val="00E37D1C"/>
    <w:rsid w:val="00E40BC0"/>
    <w:rsid w:val="00E41322"/>
    <w:rsid w:val="00E41B94"/>
    <w:rsid w:val="00E429AF"/>
    <w:rsid w:val="00E4363D"/>
    <w:rsid w:val="00E439ED"/>
    <w:rsid w:val="00E43F70"/>
    <w:rsid w:val="00E4402A"/>
    <w:rsid w:val="00E456A5"/>
    <w:rsid w:val="00E45FD0"/>
    <w:rsid w:val="00E461B6"/>
    <w:rsid w:val="00E47A40"/>
    <w:rsid w:val="00E47CDB"/>
    <w:rsid w:val="00E50805"/>
    <w:rsid w:val="00E50E24"/>
    <w:rsid w:val="00E526B7"/>
    <w:rsid w:val="00E53FE5"/>
    <w:rsid w:val="00E55EF4"/>
    <w:rsid w:val="00E60078"/>
    <w:rsid w:val="00E606F1"/>
    <w:rsid w:val="00E61147"/>
    <w:rsid w:val="00E61608"/>
    <w:rsid w:val="00E62297"/>
    <w:rsid w:val="00E63056"/>
    <w:rsid w:val="00E642EA"/>
    <w:rsid w:val="00E65417"/>
    <w:rsid w:val="00E65924"/>
    <w:rsid w:val="00E667A5"/>
    <w:rsid w:val="00E66F13"/>
    <w:rsid w:val="00E7118E"/>
    <w:rsid w:val="00E72CCA"/>
    <w:rsid w:val="00E73BD0"/>
    <w:rsid w:val="00E73EBB"/>
    <w:rsid w:val="00E7634C"/>
    <w:rsid w:val="00E76B32"/>
    <w:rsid w:val="00E77358"/>
    <w:rsid w:val="00E8012F"/>
    <w:rsid w:val="00E801DB"/>
    <w:rsid w:val="00E80ABA"/>
    <w:rsid w:val="00E80D9A"/>
    <w:rsid w:val="00E80E7E"/>
    <w:rsid w:val="00E8434A"/>
    <w:rsid w:val="00E84876"/>
    <w:rsid w:val="00E850CE"/>
    <w:rsid w:val="00E86D1F"/>
    <w:rsid w:val="00E875EF"/>
    <w:rsid w:val="00E87A17"/>
    <w:rsid w:val="00E902E8"/>
    <w:rsid w:val="00E90F83"/>
    <w:rsid w:val="00E91F6B"/>
    <w:rsid w:val="00E92A6F"/>
    <w:rsid w:val="00E93226"/>
    <w:rsid w:val="00E93309"/>
    <w:rsid w:val="00E93A37"/>
    <w:rsid w:val="00E93A47"/>
    <w:rsid w:val="00E945C4"/>
    <w:rsid w:val="00E95200"/>
    <w:rsid w:val="00E95C80"/>
    <w:rsid w:val="00E966E3"/>
    <w:rsid w:val="00E9676E"/>
    <w:rsid w:val="00E96D40"/>
    <w:rsid w:val="00E97660"/>
    <w:rsid w:val="00E97C2C"/>
    <w:rsid w:val="00EA029C"/>
    <w:rsid w:val="00EA14DE"/>
    <w:rsid w:val="00EA14E8"/>
    <w:rsid w:val="00EA1686"/>
    <w:rsid w:val="00EA2023"/>
    <w:rsid w:val="00EA2AE9"/>
    <w:rsid w:val="00EA2F75"/>
    <w:rsid w:val="00EA2F9A"/>
    <w:rsid w:val="00EA423A"/>
    <w:rsid w:val="00EA4875"/>
    <w:rsid w:val="00EA4BBA"/>
    <w:rsid w:val="00EA4F3B"/>
    <w:rsid w:val="00EA591D"/>
    <w:rsid w:val="00EA6D37"/>
    <w:rsid w:val="00EA74FF"/>
    <w:rsid w:val="00EA7611"/>
    <w:rsid w:val="00EA7A5C"/>
    <w:rsid w:val="00EA7B73"/>
    <w:rsid w:val="00EB166B"/>
    <w:rsid w:val="00EB1714"/>
    <w:rsid w:val="00EB1D1C"/>
    <w:rsid w:val="00EB1DE1"/>
    <w:rsid w:val="00EB3EB5"/>
    <w:rsid w:val="00EB4EE6"/>
    <w:rsid w:val="00EB4F85"/>
    <w:rsid w:val="00EB58C6"/>
    <w:rsid w:val="00EB59D9"/>
    <w:rsid w:val="00EB7DF5"/>
    <w:rsid w:val="00EC0530"/>
    <w:rsid w:val="00EC0FD4"/>
    <w:rsid w:val="00EC1E91"/>
    <w:rsid w:val="00EC30B4"/>
    <w:rsid w:val="00EC38B5"/>
    <w:rsid w:val="00ED055D"/>
    <w:rsid w:val="00ED0FE8"/>
    <w:rsid w:val="00ED2CAA"/>
    <w:rsid w:val="00ED6270"/>
    <w:rsid w:val="00ED62A8"/>
    <w:rsid w:val="00ED649E"/>
    <w:rsid w:val="00ED6703"/>
    <w:rsid w:val="00ED71E9"/>
    <w:rsid w:val="00EE0425"/>
    <w:rsid w:val="00EE0545"/>
    <w:rsid w:val="00EE1E28"/>
    <w:rsid w:val="00EE1ECE"/>
    <w:rsid w:val="00EE2099"/>
    <w:rsid w:val="00EE3ADB"/>
    <w:rsid w:val="00EE4233"/>
    <w:rsid w:val="00EE4A84"/>
    <w:rsid w:val="00EE598C"/>
    <w:rsid w:val="00EE5AD9"/>
    <w:rsid w:val="00EE5B10"/>
    <w:rsid w:val="00EE5D6B"/>
    <w:rsid w:val="00EE63BC"/>
    <w:rsid w:val="00EE712A"/>
    <w:rsid w:val="00EF2B1B"/>
    <w:rsid w:val="00EF389A"/>
    <w:rsid w:val="00EF4609"/>
    <w:rsid w:val="00EF5A5D"/>
    <w:rsid w:val="00EF5D4C"/>
    <w:rsid w:val="00EF7B33"/>
    <w:rsid w:val="00F008CC"/>
    <w:rsid w:val="00F00A1E"/>
    <w:rsid w:val="00F00B34"/>
    <w:rsid w:val="00F00F7A"/>
    <w:rsid w:val="00F01A25"/>
    <w:rsid w:val="00F01A67"/>
    <w:rsid w:val="00F027C7"/>
    <w:rsid w:val="00F039D4"/>
    <w:rsid w:val="00F05C4F"/>
    <w:rsid w:val="00F07E0E"/>
    <w:rsid w:val="00F102DF"/>
    <w:rsid w:val="00F10541"/>
    <w:rsid w:val="00F107CE"/>
    <w:rsid w:val="00F10CEB"/>
    <w:rsid w:val="00F110B9"/>
    <w:rsid w:val="00F13157"/>
    <w:rsid w:val="00F1324C"/>
    <w:rsid w:val="00F149D0"/>
    <w:rsid w:val="00F14BBD"/>
    <w:rsid w:val="00F17EC1"/>
    <w:rsid w:val="00F20A80"/>
    <w:rsid w:val="00F21518"/>
    <w:rsid w:val="00F218B9"/>
    <w:rsid w:val="00F21C5A"/>
    <w:rsid w:val="00F21FFD"/>
    <w:rsid w:val="00F2392F"/>
    <w:rsid w:val="00F2451E"/>
    <w:rsid w:val="00F24C8C"/>
    <w:rsid w:val="00F27EFF"/>
    <w:rsid w:val="00F305CA"/>
    <w:rsid w:val="00F31110"/>
    <w:rsid w:val="00F32302"/>
    <w:rsid w:val="00F33849"/>
    <w:rsid w:val="00F33CC0"/>
    <w:rsid w:val="00F34F73"/>
    <w:rsid w:val="00F35035"/>
    <w:rsid w:val="00F35298"/>
    <w:rsid w:val="00F36D77"/>
    <w:rsid w:val="00F36FD2"/>
    <w:rsid w:val="00F42EFB"/>
    <w:rsid w:val="00F44083"/>
    <w:rsid w:val="00F47055"/>
    <w:rsid w:val="00F514BD"/>
    <w:rsid w:val="00F5290E"/>
    <w:rsid w:val="00F52BCC"/>
    <w:rsid w:val="00F53B45"/>
    <w:rsid w:val="00F54178"/>
    <w:rsid w:val="00F5423F"/>
    <w:rsid w:val="00F55ABF"/>
    <w:rsid w:val="00F55BE9"/>
    <w:rsid w:val="00F55C97"/>
    <w:rsid w:val="00F55D52"/>
    <w:rsid w:val="00F55F42"/>
    <w:rsid w:val="00F56B93"/>
    <w:rsid w:val="00F6013B"/>
    <w:rsid w:val="00F6126D"/>
    <w:rsid w:val="00F61B4E"/>
    <w:rsid w:val="00F63130"/>
    <w:rsid w:val="00F63C1D"/>
    <w:rsid w:val="00F65CB5"/>
    <w:rsid w:val="00F66103"/>
    <w:rsid w:val="00F66757"/>
    <w:rsid w:val="00F67B2D"/>
    <w:rsid w:val="00F70AE8"/>
    <w:rsid w:val="00F710C9"/>
    <w:rsid w:val="00F71B82"/>
    <w:rsid w:val="00F71F96"/>
    <w:rsid w:val="00F7217F"/>
    <w:rsid w:val="00F734B2"/>
    <w:rsid w:val="00F73918"/>
    <w:rsid w:val="00F7393C"/>
    <w:rsid w:val="00F74478"/>
    <w:rsid w:val="00F75751"/>
    <w:rsid w:val="00F7613D"/>
    <w:rsid w:val="00F76AA8"/>
    <w:rsid w:val="00F77669"/>
    <w:rsid w:val="00F77733"/>
    <w:rsid w:val="00F80D35"/>
    <w:rsid w:val="00F815E4"/>
    <w:rsid w:val="00F82F21"/>
    <w:rsid w:val="00F85218"/>
    <w:rsid w:val="00F90CB7"/>
    <w:rsid w:val="00F917B1"/>
    <w:rsid w:val="00F918D5"/>
    <w:rsid w:val="00F9225E"/>
    <w:rsid w:val="00F92F26"/>
    <w:rsid w:val="00F930F6"/>
    <w:rsid w:val="00F93349"/>
    <w:rsid w:val="00F94EEE"/>
    <w:rsid w:val="00F95520"/>
    <w:rsid w:val="00F97855"/>
    <w:rsid w:val="00FA05AF"/>
    <w:rsid w:val="00FA1267"/>
    <w:rsid w:val="00FA16F1"/>
    <w:rsid w:val="00FA1D63"/>
    <w:rsid w:val="00FA26B2"/>
    <w:rsid w:val="00FA2777"/>
    <w:rsid w:val="00FA5856"/>
    <w:rsid w:val="00FA5B8C"/>
    <w:rsid w:val="00FA5D87"/>
    <w:rsid w:val="00FA6C90"/>
    <w:rsid w:val="00FB01D3"/>
    <w:rsid w:val="00FB07BF"/>
    <w:rsid w:val="00FB09DC"/>
    <w:rsid w:val="00FB0A18"/>
    <w:rsid w:val="00FB0B54"/>
    <w:rsid w:val="00FB1110"/>
    <w:rsid w:val="00FB1C0D"/>
    <w:rsid w:val="00FB1EEC"/>
    <w:rsid w:val="00FB29BC"/>
    <w:rsid w:val="00FB2E49"/>
    <w:rsid w:val="00FB2F13"/>
    <w:rsid w:val="00FB6787"/>
    <w:rsid w:val="00FB6933"/>
    <w:rsid w:val="00FB6A48"/>
    <w:rsid w:val="00FB71B5"/>
    <w:rsid w:val="00FB72F2"/>
    <w:rsid w:val="00FB737A"/>
    <w:rsid w:val="00FB7DE2"/>
    <w:rsid w:val="00FC0DF5"/>
    <w:rsid w:val="00FC306A"/>
    <w:rsid w:val="00FC3160"/>
    <w:rsid w:val="00FC3278"/>
    <w:rsid w:val="00FC36E3"/>
    <w:rsid w:val="00FC3C0A"/>
    <w:rsid w:val="00FC45BD"/>
    <w:rsid w:val="00FC52AF"/>
    <w:rsid w:val="00FC6825"/>
    <w:rsid w:val="00FC6965"/>
    <w:rsid w:val="00FC7152"/>
    <w:rsid w:val="00FD0055"/>
    <w:rsid w:val="00FD0130"/>
    <w:rsid w:val="00FD02CF"/>
    <w:rsid w:val="00FD0919"/>
    <w:rsid w:val="00FD09ED"/>
    <w:rsid w:val="00FD0C50"/>
    <w:rsid w:val="00FD1C60"/>
    <w:rsid w:val="00FD21C9"/>
    <w:rsid w:val="00FD25A8"/>
    <w:rsid w:val="00FD2A05"/>
    <w:rsid w:val="00FD3070"/>
    <w:rsid w:val="00FD356F"/>
    <w:rsid w:val="00FD36ED"/>
    <w:rsid w:val="00FD5355"/>
    <w:rsid w:val="00FD5685"/>
    <w:rsid w:val="00FD5BC3"/>
    <w:rsid w:val="00FD6A52"/>
    <w:rsid w:val="00FD7A77"/>
    <w:rsid w:val="00FE0048"/>
    <w:rsid w:val="00FE0853"/>
    <w:rsid w:val="00FE424A"/>
    <w:rsid w:val="00FE4650"/>
    <w:rsid w:val="00FE527B"/>
    <w:rsid w:val="00FE53DE"/>
    <w:rsid w:val="00FE7C57"/>
    <w:rsid w:val="00FF0639"/>
    <w:rsid w:val="00FF0FFF"/>
    <w:rsid w:val="00FF106E"/>
    <w:rsid w:val="00FF19F8"/>
    <w:rsid w:val="00FF1AA9"/>
    <w:rsid w:val="00FF20C5"/>
    <w:rsid w:val="00FF2BE6"/>
    <w:rsid w:val="00FF33FF"/>
    <w:rsid w:val="00FF3AE1"/>
    <w:rsid w:val="00FF6829"/>
    <w:rsid w:val="00FF6FD0"/>
    <w:rsid w:val="012355A4"/>
    <w:rsid w:val="012B6C55"/>
    <w:rsid w:val="01452E40"/>
    <w:rsid w:val="015C37A5"/>
    <w:rsid w:val="01676D4E"/>
    <w:rsid w:val="017137AA"/>
    <w:rsid w:val="0174308A"/>
    <w:rsid w:val="01781CA2"/>
    <w:rsid w:val="01925A73"/>
    <w:rsid w:val="01B601D6"/>
    <w:rsid w:val="01C23D51"/>
    <w:rsid w:val="01E84CD3"/>
    <w:rsid w:val="01F14C48"/>
    <w:rsid w:val="02254797"/>
    <w:rsid w:val="02260041"/>
    <w:rsid w:val="023B5020"/>
    <w:rsid w:val="024776AE"/>
    <w:rsid w:val="02483A9D"/>
    <w:rsid w:val="02590843"/>
    <w:rsid w:val="025A5EC0"/>
    <w:rsid w:val="026222AB"/>
    <w:rsid w:val="027E150D"/>
    <w:rsid w:val="02A84D90"/>
    <w:rsid w:val="02B37893"/>
    <w:rsid w:val="02B52441"/>
    <w:rsid w:val="02C52C3F"/>
    <w:rsid w:val="02F562F3"/>
    <w:rsid w:val="030B2E44"/>
    <w:rsid w:val="03122573"/>
    <w:rsid w:val="033C035B"/>
    <w:rsid w:val="03436A03"/>
    <w:rsid w:val="035D153E"/>
    <w:rsid w:val="037309B8"/>
    <w:rsid w:val="037826DD"/>
    <w:rsid w:val="03795007"/>
    <w:rsid w:val="03AF602E"/>
    <w:rsid w:val="03BE52E6"/>
    <w:rsid w:val="03CF690E"/>
    <w:rsid w:val="03D22900"/>
    <w:rsid w:val="03D310B6"/>
    <w:rsid w:val="03F25788"/>
    <w:rsid w:val="040B5640"/>
    <w:rsid w:val="040C182E"/>
    <w:rsid w:val="040F0373"/>
    <w:rsid w:val="042B1F12"/>
    <w:rsid w:val="043709F1"/>
    <w:rsid w:val="047E7698"/>
    <w:rsid w:val="04A6692A"/>
    <w:rsid w:val="04EC5BC3"/>
    <w:rsid w:val="04F041F2"/>
    <w:rsid w:val="04FB4EBF"/>
    <w:rsid w:val="05065F1C"/>
    <w:rsid w:val="05181418"/>
    <w:rsid w:val="054D3B5D"/>
    <w:rsid w:val="057B3A71"/>
    <w:rsid w:val="058713C8"/>
    <w:rsid w:val="059D6F42"/>
    <w:rsid w:val="059E3B5D"/>
    <w:rsid w:val="05AA48C2"/>
    <w:rsid w:val="05AD4B54"/>
    <w:rsid w:val="05C1395F"/>
    <w:rsid w:val="05E43DCA"/>
    <w:rsid w:val="05F76E76"/>
    <w:rsid w:val="0602781C"/>
    <w:rsid w:val="060519C4"/>
    <w:rsid w:val="060B4C94"/>
    <w:rsid w:val="065920D4"/>
    <w:rsid w:val="06AA0817"/>
    <w:rsid w:val="06BC2BCC"/>
    <w:rsid w:val="06C91180"/>
    <w:rsid w:val="06DC202F"/>
    <w:rsid w:val="06DF3CD6"/>
    <w:rsid w:val="06E4137C"/>
    <w:rsid w:val="06F66EBC"/>
    <w:rsid w:val="072338A2"/>
    <w:rsid w:val="07303EE3"/>
    <w:rsid w:val="073E2106"/>
    <w:rsid w:val="075F0600"/>
    <w:rsid w:val="07672DD5"/>
    <w:rsid w:val="077136B9"/>
    <w:rsid w:val="07953776"/>
    <w:rsid w:val="0797132F"/>
    <w:rsid w:val="07971533"/>
    <w:rsid w:val="07C521D7"/>
    <w:rsid w:val="07C806A5"/>
    <w:rsid w:val="07D20C5E"/>
    <w:rsid w:val="07EA58FB"/>
    <w:rsid w:val="08015303"/>
    <w:rsid w:val="08244F14"/>
    <w:rsid w:val="082645F7"/>
    <w:rsid w:val="08296CCE"/>
    <w:rsid w:val="08585FB9"/>
    <w:rsid w:val="08640056"/>
    <w:rsid w:val="088A1839"/>
    <w:rsid w:val="088A6469"/>
    <w:rsid w:val="089B7FFE"/>
    <w:rsid w:val="08AB053C"/>
    <w:rsid w:val="08DC2EB0"/>
    <w:rsid w:val="08DC6EF7"/>
    <w:rsid w:val="08F91DC6"/>
    <w:rsid w:val="090B5B19"/>
    <w:rsid w:val="09223ADA"/>
    <w:rsid w:val="098119F4"/>
    <w:rsid w:val="09B946E5"/>
    <w:rsid w:val="0A0E50FF"/>
    <w:rsid w:val="0A116D9C"/>
    <w:rsid w:val="0A193F95"/>
    <w:rsid w:val="0A2045E1"/>
    <w:rsid w:val="0A205806"/>
    <w:rsid w:val="0A2C4036"/>
    <w:rsid w:val="0A4A3D63"/>
    <w:rsid w:val="0A77327D"/>
    <w:rsid w:val="0A8156E5"/>
    <w:rsid w:val="0AA939A6"/>
    <w:rsid w:val="0B1615C6"/>
    <w:rsid w:val="0B225DC4"/>
    <w:rsid w:val="0B375527"/>
    <w:rsid w:val="0B3E0850"/>
    <w:rsid w:val="0B5350BA"/>
    <w:rsid w:val="0B5D76C3"/>
    <w:rsid w:val="0B5F6DB7"/>
    <w:rsid w:val="0B6D2119"/>
    <w:rsid w:val="0B7675F8"/>
    <w:rsid w:val="0BC46C75"/>
    <w:rsid w:val="0BF57FD2"/>
    <w:rsid w:val="0BFD4BE7"/>
    <w:rsid w:val="0C0B3586"/>
    <w:rsid w:val="0C364D5F"/>
    <w:rsid w:val="0C461BF1"/>
    <w:rsid w:val="0C9F4C07"/>
    <w:rsid w:val="0CBB34E0"/>
    <w:rsid w:val="0CD85F0B"/>
    <w:rsid w:val="0CE854FE"/>
    <w:rsid w:val="0CEA1379"/>
    <w:rsid w:val="0D0F660F"/>
    <w:rsid w:val="0D1C59D4"/>
    <w:rsid w:val="0D266728"/>
    <w:rsid w:val="0D321D89"/>
    <w:rsid w:val="0D3273DB"/>
    <w:rsid w:val="0D6E1535"/>
    <w:rsid w:val="0D876B24"/>
    <w:rsid w:val="0D9B23A3"/>
    <w:rsid w:val="0DAD79B5"/>
    <w:rsid w:val="0DBA733B"/>
    <w:rsid w:val="0DCE397C"/>
    <w:rsid w:val="0DCF06DB"/>
    <w:rsid w:val="0DDD2BD1"/>
    <w:rsid w:val="0DF23E64"/>
    <w:rsid w:val="0E356BF4"/>
    <w:rsid w:val="0E451044"/>
    <w:rsid w:val="0E48372E"/>
    <w:rsid w:val="0E5C057E"/>
    <w:rsid w:val="0EA8654A"/>
    <w:rsid w:val="0EB12C35"/>
    <w:rsid w:val="0EB4197F"/>
    <w:rsid w:val="0EBD083F"/>
    <w:rsid w:val="0EC4460A"/>
    <w:rsid w:val="0F0C2578"/>
    <w:rsid w:val="0F10558F"/>
    <w:rsid w:val="0F2D2430"/>
    <w:rsid w:val="0F3307C4"/>
    <w:rsid w:val="0F3C173B"/>
    <w:rsid w:val="0F445EAF"/>
    <w:rsid w:val="0F593C92"/>
    <w:rsid w:val="0F6505DF"/>
    <w:rsid w:val="0F734460"/>
    <w:rsid w:val="0F772426"/>
    <w:rsid w:val="0F865924"/>
    <w:rsid w:val="0F907180"/>
    <w:rsid w:val="0FD06DFE"/>
    <w:rsid w:val="0FEA7FC1"/>
    <w:rsid w:val="0FF9679C"/>
    <w:rsid w:val="0FFD223D"/>
    <w:rsid w:val="102D7CF9"/>
    <w:rsid w:val="10403D3F"/>
    <w:rsid w:val="10635A93"/>
    <w:rsid w:val="108F6BDA"/>
    <w:rsid w:val="10B423AA"/>
    <w:rsid w:val="10BB53DE"/>
    <w:rsid w:val="10BC0569"/>
    <w:rsid w:val="10D66437"/>
    <w:rsid w:val="10EF6B1B"/>
    <w:rsid w:val="10F54520"/>
    <w:rsid w:val="11057D02"/>
    <w:rsid w:val="11480C7E"/>
    <w:rsid w:val="115D5DC0"/>
    <w:rsid w:val="11796744"/>
    <w:rsid w:val="118019BC"/>
    <w:rsid w:val="11847B14"/>
    <w:rsid w:val="119254DD"/>
    <w:rsid w:val="11943BFC"/>
    <w:rsid w:val="119623D0"/>
    <w:rsid w:val="11A53309"/>
    <w:rsid w:val="11E36820"/>
    <w:rsid w:val="12100D66"/>
    <w:rsid w:val="12274B6F"/>
    <w:rsid w:val="122776DB"/>
    <w:rsid w:val="127204AF"/>
    <w:rsid w:val="129D4B3D"/>
    <w:rsid w:val="12B122A7"/>
    <w:rsid w:val="12B6249F"/>
    <w:rsid w:val="12C15C8B"/>
    <w:rsid w:val="13144FF5"/>
    <w:rsid w:val="13207E3A"/>
    <w:rsid w:val="1330447C"/>
    <w:rsid w:val="1339631B"/>
    <w:rsid w:val="13BB257F"/>
    <w:rsid w:val="13F15DE4"/>
    <w:rsid w:val="140C66B1"/>
    <w:rsid w:val="140D7CAF"/>
    <w:rsid w:val="14397761"/>
    <w:rsid w:val="145C4176"/>
    <w:rsid w:val="145F0613"/>
    <w:rsid w:val="146E38A7"/>
    <w:rsid w:val="147E04E2"/>
    <w:rsid w:val="148122C4"/>
    <w:rsid w:val="148417F0"/>
    <w:rsid w:val="14877B41"/>
    <w:rsid w:val="14906B5C"/>
    <w:rsid w:val="14A02CE8"/>
    <w:rsid w:val="14A64831"/>
    <w:rsid w:val="14CA3D51"/>
    <w:rsid w:val="14E014E7"/>
    <w:rsid w:val="150143A0"/>
    <w:rsid w:val="15021428"/>
    <w:rsid w:val="150A0EBD"/>
    <w:rsid w:val="15174054"/>
    <w:rsid w:val="152647B1"/>
    <w:rsid w:val="152C2AC9"/>
    <w:rsid w:val="152C2AE4"/>
    <w:rsid w:val="152C6A81"/>
    <w:rsid w:val="152E570F"/>
    <w:rsid w:val="154803A1"/>
    <w:rsid w:val="15511932"/>
    <w:rsid w:val="15572432"/>
    <w:rsid w:val="156B31A0"/>
    <w:rsid w:val="15810065"/>
    <w:rsid w:val="15C31722"/>
    <w:rsid w:val="15C643F3"/>
    <w:rsid w:val="15D921A6"/>
    <w:rsid w:val="15E716FD"/>
    <w:rsid w:val="160639E4"/>
    <w:rsid w:val="16150DD5"/>
    <w:rsid w:val="162F799E"/>
    <w:rsid w:val="16AD3819"/>
    <w:rsid w:val="16D81AEB"/>
    <w:rsid w:val="16E935D6"/>
    <w:rsid w:val="170700D1"/>
    <w:rsid w:val="17084BB7"/>
    <w:rsid w:val="17200A75"/>
    <w:rsid w:val="173514D7"/>
    <w:rsid w:val="17365CCB"/>
    <w:rsid w:val="17456BC3"/>
    <w:rsid w:val="17464751"/>
    <w:rsid w:val="17657BFD"/>
    <w:rsid w:val="176F1213"/>
    <w:rsid w:val="17B12EA7"/>
    <w:rsid w:val="17BA6CE2"/>
    <w:rsid w:val="17ED55F0"/>
    <w:rsid w:val="17EE2C63"/>
    <w:rsid w:val="17F06730"/>
    <w:rsid w:val="18074F72"/>
    <w:rsid w:val="180F4A2D"/>
    <w:rsid w:val="180F5E0C"/>
    <w:rsid w:val="18245FE1"/>
    <w:rsid w:val="182C6AFC"/>
    <w:rsid w:val="184001E3"/>
    <w:rsid w:val="184A148E"/>
    <w:rsid w:val="184B3C08"/>
    <w:rsid w:val="184D722E"/>
    <w:rsid w:val="18513D29"/>
    <w:rsid w:val="1852553F"/>
    <w:rsid w:val="18587FE0"/>
    <w:rsid w:val="18686495"/>
    <w:rsid w:val="18A938F4"/>
    <w:rsid w:val="18BE1E57"/>
    <w:rsid w:val="18CA085C"/>
    <w:rsid w:val="18D27064"/>
    <w:rsid w:val="18D439BB"/>
    <w:rsid w:val="190A07B7"/>
    <w:rsid w:val="191839EA"/>
    <w:rsid w:val="196A6FFE"/>
    <w:rsid w:val="197D05E0"/>
    <w:rsid w:val="199210B6"/>
    <w:rsid w:val="19BD2ADF"/>
    <w:rsid w:val="19C1793B"/>
    <w:rsid w:val="19D7212B"/>
    <w:rsid w:val="19F34452"/>
    <w:rsid w:val="1A23674F"/>
    <w:rsid w:val="1A342D86"/>
    <w:rsid w:val="1A8B55CA"/>
    <w:rsid w:val="1A9026DA"/>
    <w:rsid w:val="1AAD7B18"/>
    <w:rsid w:val="1ABF2E90"/>
    <w:rsid w:val="1AC355FA"/>
    <w:rsid w:val="1B165C7C"/>
    <w:rsid w:val="1B254838"/>
    <w:rsid w:val="1B445A4A"/>
    <w:rsid w:val="1B821235"/>
    <w:rsid w:val="1B8666C1"/>
    <w:rsid w:val="1B941112"/>
    <w:rsid w:val="1BB36BBD"/>
    <w:rsid w:val="1BB9207E"/>
    <w:rsid w:val="1C21675F"/>
    <w:rsid w:val="1C245244"/>
    <w:rsid w:val="1C2E11AD"/>
    <w:rsid w:val="1C4B6275"/>
    <w:rsid w:val="1C5D48C9"/>
    <w:rsid w:val="1C862906"/>
    <w:rsid w:val="1CA151F2"/>
    <w:rsid w:val="1CBE1415"/>
    <w:rsid w:val="1CDE2FA7"/>
    <w:rsid w:val="1D0B15FB"/>
    <w:rsid w:val="1D0E1E2E"/>
    <w:rsid w:val="1D2F269E"/>
    <w:rsid w:val="1D32494F"/>
    <w:rsid w:val="1D4A3F64"/>
    <w:rsid w:val="1D4A51D6"/>
    <w:rsid w:val="1D6D7D0F"/>
    <w:rsid w:val="1D862D2D"/>
    <w:rsid w:val="1D8A2851"/>
    <w:rsid w:val="1D8C2307"/>
    <w:rsid w:val="1D92049C"/>
    <w:rsid w:val="1D983BF0"/>
    <w:rsid w:val="1DE6679E"/>
    <w:rsid w:val="1DEB423A"/>
    <w:rsid w:val="1DEB556E"/>
    <w:rsid w:val="1DF64B4B"/>
    <w:rsid w:val="1DF75C3F"/>
    <w:rsid w:val="1E1E4AE1"/>
    <w:rsid w:val="1E1F45CD"/>
    <w:rsid w:val="1E2E1E33"/>
    <w:rsid w:val="1E3B66C4"/>
    <w:rsid w:val="1E5F2E26"/>
    <w:rsid w:val="1E6B6E09"/>
    <w:rsid w:val="1E7A6829"/>
    <w:rsid w:val="1E840791"/>
    <w:rsid w:val="1E8F5F26"/>
    <w:rsid w:val="1EA15FCC"/>
    <w:rsid w:val="1EA63523"/>
    <w:rsid w:val="1EB13EE6"/>
    <w:rsid w:val="1EB46E1A"/>
    <w:rsid w:val="1ECE09A7"/>
    <w:rsid w:val="1F07193D"/>
    <w:rsid w:val="1F2E4FE5"/>
    <w:rsid w:val="1F2F08D8"/>
    <w:rsid w:val="1F353ADA"/>
    <w:rsid w:val="1F3F4EAE"/>
    <w:rsid w:val="1F725A08"/>
    <w:rsid w:val="1F7A3837"/>
    <w:rsid w:val="1F7D25B7"/>
    <w:rsid w:val="1F870A02"/>
    <w:rsid w:val="1F943AD4"/>
    <w:rsid w:val="1F9B23CA"/>
    <w:rsid w:val="1FAD2379"/>
    <w:rsid w:val="1FBC6755"/>
    <w:rsid w:val="1FE435EE"/>
    <w:rsid w:val="200B7E34"/>
    <w:rsid w:val="201D4B97"/>
    <w:rsid w:val="2029147E"/>
    <w:rsid w:val="202E1D38"/>
    <w:rsid w:val="204038F4"/>
    <w:rsid w:val="20495AE6"/>
    <w:rsid w:val="205A7D52"/>
    <w:rsid w:val="20682AE4"/>
    <w:rsid w:val="20731E20"/>
    <w:rsid w:val="20765220"/>
    <w:rsid w:val="20861719"/>
    <w:rsid w:val="208A4352"/>
    <w:rsid w:val="209B233E"/>
    <w:rsid w:val="209C2ECB"/>
    <w:rsid w:val="20A7116B"/>
    <w:rsid w:val="20CD258D"/>
    <w:rsid w:val="20D24967"/>
    <w:rsid w:val="20DA50C0"/>
    <w:rsid w:val="20F379F5"/>
    <w:rsid w:val="210C5DEC"/>
    <w:rsid w:val="211A6854"/>
    <w:rsid w:val="212E7933"/>
    <w:rsid w:val="216C24A0"/>
    <w:rsid w:val="217E5FBF"/>
    <w:rsid w:val="218606DD"/>
    <w:rsid w:val="21900B78"/>
    <w:rsid w:val="21A44AF1"/>
    <w:rsid w:val="21B424D9"/>
    <w:rsid w:val="21C53E7F"/>
    <w:rsid w:val="21E362A5"/>
    <w:rsid w:val="221D2285"/>
    <w:rsid w:val="22203DB1"/>
    <w:rsid w:val="22244B28"/>
    <w:rsid w:val="222F2042"/>
    <w:rsid w:val="223635A3"/>
    <w:rsid w:val="22696F0B"/>
    <w:rsid w:val="226F72F8"/>
    <w:rsid w:val="22766E2F"/>
    <w:rsid w:val="22905F8B"/>
    <w:rsid w:val="229A2E2A"/>
    <w:rsid w:val="22A20EEC"/>
    <w:rsid w:val="22C15D18"/>
    <w:rsid w:val="22E44DC1"/>
    <w:rsid w:val="22F001CE"/>
    <w:rsid w:val="22F55274"/>
    <w:rsid w:val="23050218"/>
    <w:rsid w:val="23082F57"/>
    <w:rsid w:val="2319253B"/>
    <w:rsid w:val="23254C74"/>
    <w:rsid w:val="232D2DC8"/>
    <w:rsid w:val="232E69FA"/>
    <w:rsid w:val="233B0F02"/>
    <w:rsid w:val="234912D9"/>
    <w:rsid w:val="236873DD"/>
    <w:rsid w:val="23865D24"/>
    <w:rsid w:val="23995561"/>
    <w:rsid w:val="23A4429B"/>
    <w:rsid w:val="23CE231C"/>
    <w:rsid w:val="23F2175A"/>
    <w:rsid w:val="23F827B0"/>
    <w:rsid w:val="242C55C6"/>
    <w:rsid w:val="24433EDB"/>
    <w:rsid w:val="244453A9"/>
    <w:rsid w:val="246942FD"/>
    <w:rsid w:val="24A40E11"/>
    <w:rsid w:val="24AA4030"/>
    <w:rsid w:val="24AF6C51"/>
    <w:rsid w:val="24CF5192"/>
    <w:rsid w:val="25136A2C"/>
    <w:rsid w:val="25276D8D"/>
    <w:rsid w:val="25295ACF"/>
    <w:rsid w:val="253315C5"/>
    <w:rsid w:val="25490BCB"/>
    <w:rsid w:val="254D4D20"/>
    <w:rsid w:val="25963238"/>
    <w:rsid w:val="25A705AF"/>
    <w:rsid w:val="25A97A7B"/>
    <w:rsid w:val="26070682"/>
    <w:rsid w:val="261241BA"/>
    <w:rsid w:val="26706409"/>
    <w:rsid w:val="269758A4"/>
    <w:rsid w:val="26AB4836"/>
    <w:rsid w:val="26BECA8D"/>
    <w:rsid w:val="26C32665"/>
    <w:rsid w:val="26EC0ACC"/>
    <w:rsid w:val="26F62BEB"/>
    <w:rsid w:val="272325A0"/>
    <w:rsid w:val="2739217A"/>
    <w:rsid w:val="27441166"/>
    <w:rsid w:val="275B1B91"/>
    <w:rsid w:val="276A3F74"/>
    <w:rsid w:val="278353FC"/>
    <w:rsid w:val="27AB3D3C"/>
    <w:rsid w:val="27BF301E"/>
    <w:rsid w:val="27CE502B"/>
    <w:rsid w:val="27F47F16"/>
    <w:rsid w:val="27FB2AD3"/>
    <w:rsid w:val="281D3992"/>
    <w:rsid w:val="283D229F"/>
    <w:rsid w:val="28552BDE"/>
    <w:rsid w:val="287D5AA0"/>
    <w:rsid w:val="28843855"/>
    <w:rsid w:val="28990C19"/>
    <w:rsid w:val="28A52679"/>
    <w:rsid w:val="28C227B0"/>
    <w:rsid w:val="28C752FB"/>
    <w:rsid w:val="28E316B7"/>
    <w:rsid w:val="28E90425"/>
    <w:rsid w:val="291F4B60"/>
    <w:rsid w:val="293F0683"/>
    <w:rsid w:val="294D46AB"/>
    <w:rsid w:val="294F3F1D"/>
    <w:rsid w:val="29650099"/>
    <w:rsid w:val="296830FB"/>
    <w:rsid w:val="29807E53"/>
    <w:rsid w:val="298A768E"/>
    <w:rsid w:val="298D2933"/>
    <w:rsid w:val="29BA4F07"/>
    <w:rsid w:val="29E16806"/>
    <w:rsid w:val="29ED5E31"/>
    <w:rsid w:val="29FD3180"/>
    <w:rsid w:val="2A2A7CEC"/>
    <w:rsid w:val="2A3C0E9B"/>
    <w:rsid w:val="2A3E1C32"/>
    <w:rsid w:val="2A617B3F"/>
    <w:rsid w:val="2A6E7F60"/>
    <w:rsid w:val="2A70332C"/>
    <w:rsid w:val="2A7D64BD"/>
    <w:rsid w:val="2A900CF4"/>
    <w:rsid w:val="2A9036E6"/>
    <w:rsid w:val="2AB27F18"/>
    <w:rsid w:val="2AEF60C3"/>
    <w:rsid w:val="2B0C5540"/>
    <w:rsid w:val="2B307A17"/>
    <w:rsid w:val="2B3666A1"/>
    <w:rsid w:val="2B636CD2"/>
    <w:rsid w:val="2B8366B6"/>
    <w:rsid w:val="2B8563B9"/>
    <w:rsid w:val="2B8E71B1"/>
    <w:rsid w:val="2BAE7370"/>
    <w:rsid w:val="2BBB5651"/>
    <w:rsid w:val="2BE62421"/>
    <w:rsid w:val="2BF30CBD"/>
    <w:rsid w:val="2BF6127F"/>
    <w:rsid w:val="2C126D0F"/>
    <w:rsid w:val="2C200B69"/>
    <w:rsid w:val="2C404777"/>
    <w:rsid w:val="2C4E6175"/>
    <w:rsid w:val="2C524149"/>
    <w:rsid w:val="2C595DB5"/>
    <w:rsid w:val="2C623A1A"/>
    <w:rsid w:val="2C7F11FB"/>
    <w:rsid w:val="2C84323B"/>
    <w:rsid w:val="2CAC5C21"/>
    <w:rsid w:val="2CC214CD"/>
    <w:rsid w:val="2CCF2B37"/>
    <w:rsid w:val="2D25282F"/>
    <w:rsid w:val="2D2C7892"/>
    <w:rsid w:val="2D3179C8"/>
    <w:rsid w:val="2D3C4642"/>
    <w:rsid w:val="2D451845"/>
    <w:rsid w:val="2D536CD6"/>
    <w:rsid w:val="2D7261E4"/>
    <w:rsid w:val="2D7566A4"/>
    <w:rsid w:val="2D7858AF"/>
    <w:rsid w:val="2D905016"/>
    <w:rsid w:val="2DB617E4"/>
    <w:rsid w:val="2DBE707E"/>
    <w:rsid w:val="2DE51F5F"/>
    <w:rsid w:val="2DFBF2A4"/>
    <w:rsid w:val="2E0E2301"/>
    <w:rsid w:val="2E126BD5"/>
    <w:rsid w:val="2E136E43"/>
    <w:rsid w:val="2E3E45E8"/>
    <w:rsid w:val="2E4E71BC"/>
    <w:rsid w:val="2E597423"/>
    <w:rsid w:val="2E601F6B"/>
    <w:rsid w:val="2E616E03"/>
    <w:rsid w:val="2E6E2063"/>
    <w:rsid w:val="2EC47713"/>
    <w:rsid w:val="2EEC0378"/>
    <w:rsid w:val="2F0543A3"/>
    <w:rsid w:val="2F25284B"/>
    <w:rsid w:val="2F2E7E33"/>
    <w:rsid w:val="2F4D362F"/>
    <w:rsid w:val="2F544545"/>
    <w:rsid w:val="2F657C37"/>
    <w:rsid w:val="2F6B0813"/>
    <w:rsid w:val="2F6C023B"/>
    <w:rsid w:val="2F713AA3"/>
    <w:rsid w:val="2F734A93"/>
    <w:rsid w:val="2F897CF3"/>
    <w:rsid w:val="2FA605B5"/>
    <w:rsid w:val="2FA65310"/>
    <w:rsid w:val="2FB34539"/>
    <w:rsid w:val="2FD2010B"/>
    <w:rsid w:val="300F1DCF"/>
    <w:rsid w:val="304C1097"/>
    <w:rsid w:val="30807EB8"/>
    <w:rsid w:val="308714DC"/>
    <w:rsid w:val="30A050E6"/>
    <w:rsid w:val="30C50D32"/>
    <w:rsid w:val="30DA3939"/>
    <w:rsid w:val="30E8698D"/>
    <w:rsid w:val="30F42280"/>
    <w:rsid w:val="31077F81"/>
    <w:rsid w:val="31134FBD"/>
    <w:rsid w:val="313A4DE0"/>
    <w:rsid w:val="315901AB"/>
    <w:rsid w:val="315D36A0"/>
    <w:rsid w:val="317927AC"/>
    <w:rsid w:val="31894235"/>
    <w:rsid w:val="319D236E"/>
    <w:rsid w:val="31C954A1"/>
    <w:rsid w:val="31DF245B"/>
    <w:rsid w:val="31ED180F"/>
    <w:rsid w:val="31FE2D6B"/>
    <w:rsid w:val="3200319D"/>
    <w:rsid w:val="32036F25"/>
    <w:rsid w:val="32104DEA"/>
    <w:rsid w:val="324423ED"/>
    <w:rsid w:val="32535A93"/>
    <w:rsid w:val="32576401"/>
    <w:rsid w:val="326742AA"/>
    <w:rsid w:val="327F1BDB"/>
    <w:rsid w:val="328A248E"/>
    <w:rsid w:val="328D7E82"/>
    <w:rsid w:val="32967F22"/>
    <w:rsid w:val="32B17AB6"/>
    <w:rsid w:val="33011BF3"/>
    <w:rsid w:val="33034DAD"/>
    <w:rsid w:val="334E2754"/>
    <w:rsid w:val="33583D31"/>
    <w:rsid w:val="336C401D"/>
    <w:rsid w:val="33843D28"/>
    <w:rsid w:val="33CE2821"/>
    <w:rsid w:val="33CE6BB7"/>
    <w:rsid w:val="33EE4CF1"/>
    <w:rsid w:val="33FA7DD1"/>
    <w:rsid w:val="344D703D"/>
    <w:rsid w:val="348E7785"/>
    <w:rsid w:val="34AF61E9"/>
    <w:rsid w:val="34C12776"/>
    <w:rsid w:val="34E45595"/>
    <w:rsid w:val="350D4B00"/>
    <w:rsid w:val="3514605D"/>
    <w:rsid w:val="351F36A9"/>
    <w:rsid w:val="352C3F90"/>
    <w:rsid w:val="353F1BCD"/>
    <w:rsid w:val="354D23B5"/>
    <w:rsid w:val="3552114B"/>
    <w:rsid w:val="35585F3B"/>
    <w:rsid w:val="35A20240"/>
    <w:rsid w:val="35DD1A4F"/>
    <w:rsid w:val="35DF1819"/>
    <w:rsid w:val="360B2CBE"/>
    <w:rsid w:val="362EAE83"/>
    <w:rsid w:val="363540C7"/>
    <w:rsid w:val="363F21F7"/>
    <w:rsid w:val="3642601E"/>
    <w:rsid w:val="36654A0E"/>
    <w:rsid w:val="36853DD2"/>
    <w:rsid w:val="36963DEF"/>
    <w:rsid w:val="36A3121D"/>
    <w:rsid w:val="370B3DA5"/>
    <w:rsid w:val="37256EBC"/>
    <w:rsid w:val="37285C31"/>
    <w:rsid w:val="37316E50"/>
    <w:rsid w:val="373C7AA9"/>
    <w:rsid w:val="374E7899"/>
    <w:rsid w:val="375E138C"/>
    <w:rsid w:val="37644007"/>
    <w:rsid w:val="37645489"/>
    <w:rsid w:val="37727832"/>
    <w:rsid w:val="37861566"/>
    <w:rsid w:val="37BE75B8"/>
    <w:rsid w:val="37C22E69"/>
    <w:rsid w:val="37CD31CF"/>
    <w:rsid w:val="37D2608F"/>
    <w:rsid w:val="37D3697D"/>
    <w:rsid w:val="37FC15D8"/>
    <w:rsid w:val="38066ABA"/>
    <w:rsid w:val="3833394B"/>
    <w:rsid w:val="384004B6"/>
    <w:rsid w:val="384645B9"/>
    <w:rsid w:val="384768E4"/>
    <w:rsid w:val="38515636"/>
    <w:rsid w:val="38970C93"/>
    <w:rsid w:val="389E3083"/>
    <w:rsid w:val="38B278E7"/>
    <w:rsid w:val="38B668DE"/>
    <w:rsid w:val="38D2659F"/>
    <w:rsid w:val="394818FF"/>
    <w:rsid w:val="39692660"/>
    <w:rsid w:val="396E0176"/>
    <w:rsid w:val="3970375D"/>
    <w:rsid w:val="39816555"/>
    <w:rsid w:val="39A93F0B"/>
    <w:rsid w:val="39C10F53"/>
    <w:rsid w:val="39C34271"/>
    <w:rsid w:val="39E210C2"/>
    <w:rsid w:val="3A0B7B66"/>
    <w:rsid w:val="3A0F16F2"/>
    <w:rsid w:val="3A1868CB"/>
    <w:rsid w:val="3A1E5597"/>
    <w:rsid w:val="3A27650D"/>
    <w:rsid w:val="3A2D188D"/>
    <w:rsid w:val="3A3449D1"/>
    <w:rsid w:val="3A670030"/>
    <w:rsid w:val="3A675A7B"/>
    <w:rsid w:val="3A705C13"/>
    <w:rsid w:val="3A8914AF"/>
    <w:rsid w:val="3AAD03A9"/>
    <w:rsid w:val="3AD74633"/>
    <w:rsid w:val="3B1971BC"/>
    <w:rsid w:val="3B616DBF"/>
    <w:rsid w:val="3B790063"/>
    <w:rsid w:val="3B9B5332"/>
    <w:rsid w:val="3BAC8AF2"/>
    <w:rsid w:val="3BB045E5"/>
    <w:rsid w:val="3BBF2FCB"/>
    <w:rsid w:val="3BE52F64"/>
    <w:rsid w:val="3BE96F9D"/>
    <w:rsid w:val="3BF35EA0"/>
    <w:rsid w:val="3BF87331"/>
    <w:rsid w:val="3BFD39BA"/>
    <w:rsid w:val="3C01362C"/>
    <w:rsid w:val="3C057B00"/>
    <w:rsid w:val="3C1146C6"/>
    <w:rsid w:val="3C2123DD"/>
    <w:rsid w:val="3C3B1949"/>
    <w:rsid w:val="3C515C88"/>
    <w:rsid w:val="3C9E4618"/>
    <w:rsid w:val="3CA15757"/>
    <w:rsid w:val="3CAC29B4"/>
    <w:rsid w:val="3CBC7E30"/>
    <w:rsid w:val="3CDC26A0"/>
    <w:rsid w:val="3CDD5D0A"/>
    <w:rsid w:val="3CDE66F6"/>
    <w:rsid w:val="3CE54EE8"/>
    <w:rsid w:val="3CEF663F"/>
    <w:rsid w:val="3D1B49A8"/>
    <w:rsid w:val="3D1D4AE8"/>
    <w:rsid w:val="3D40450C"/>
    <w:rsid w:val="3D7512FC"/>
    <w:rsid w:val="3DA6119F"/>
    <w:rsid w:val="3DCF625D"/>
    <w:rsid w:val="3DDA5B4D"/>
    <w:rsid w:val="3E4275E4"/>
    <w:rsid w:val="3EB17050"/>
    <w:rsid w:val="3EB22106"/>
    <w:rsid w:val="3EB96F61"/>
    <w:rsid w:val="3EBD6873"/>
    <w:rsid w:val="3EC74F15"/>
    <w:rsid w:val="3EC8268A"/>
    <w:rsid w:val="3EC97E3F"/>
    <w:rsid w:val="3EEC19F1"/>
    <w:rsid w:val="3F203782"/>
    <w:rsid w:val="3F2F15A1"/>
    <w:rsid w:val="3F2F1880"/>
    <w:rsid w:val="3F3E3276"/>
    <w:rsid w:val="3F4140C6"/>
    <w:rsid w:val="3F455B7C"/>
    <w:rsid w:val="3F64104A"/>
    <w:rsid w:val="3FAA616E"/>
    <w:rsid w:val="3FACAA99"/>
    <w:rsid w:val="3FCE12D4"/>
    <w:rsid w:val="3FE034E4"/>
    <w:rsid w:val="3FE1611A"/>
    <w:rsid w:val="3FF67245"/>
    <w:rsid w:val="4003379A"/>
    <w:rsid w:val="40103BD8"/>
    <w:rsid w:val="402D1FF6"/>
    <w:rsid w:val="40566206"/>
    <w:rsid w:val="405916AE"/>
    <w:rsid w:val="406425E6"/>
    <w:rsid w:val="409470D3"/>
    <w:rsid w:val="40C86066"/>
    <w:rsid w:val="40C94909"/>
    <w:rsid w:val="40D5234F"/>
    <w:rsid w:val="414E0CCE"/>
    <w:rsid w:val="414F6A56"/>
    <w:rsid w:val="416673FB"/>
    <w:rsid w:val="416D26C0"/>
    <w:rsid w:val="419351C5"/>
    <w:rsid w:val="41D759CF"/>
    <w:rsid w:val="420618EE"/>
    <w:rsid w:val="420D7169"/>
    <w:rsid w:val="420E065B"/>
    <w:rsid w:val="420F3BB4"/>
    <w:rsid w:val="421E45DC"/>
    <w:rsid w:val="422F5F27"/>
    <w:rsid w:val="42625DC2"/>
    <w:rsid w:val="427F1EA9"/>
    <w:rsid w:val="42B11D34"/>
    <w:rsid w:val="42C12D22"/>
    <w:rsid w:val="42D01C95"/>
    <w:rsid w:val="42D55BC5"/>
    <w:rsid w:val="42EF0D5D"/>
    <w:rsid w:val="430C405D"/>
    <w:rsid w:val="430E4FBA"/>
    <w:rsid w:val="43194DFB"/>
    <w:rsid w:val="431A7B82"/>
    <w:rsid w:val="432438F6"/>
    <w:rsid w:val="432E1E55"/>
    <w:rsid w:val="43420F00"/>
    <w:rsid w:val="435439BE"/>
    <w:rsid w:val="43560B8E"/>
    <w:rsid w:val="435A2FE8"/>
    <w:rsid w:val="439000C8"/>
    <w:rsid w:val="439D6DD1"/>
    <w:rsid w:val="439E2AEB"/>
    <w:rsid w:val="440139DB"/>
    <w:rsid w:val="44135269"/>
    <w:rsid w:val="441713AB"/>
    <w:rsid w:val="441E766A"/>
    <w:rsid w:val="44544FE5"/>
    <w:rsid w:val="445604C1"/>
    <w:rsid w:val="448C37BD"/>
    <w:rsid w:val="448C521B"/>
    <w:rsid w:val="449421AD"/>
    <w:rsid w:val="44961374"/>
    <w:rsid w:val="44A64D02"/>
    <w:rsid w:val="44AE308E"/>
    <w:rsid w:val="44BA252D"/>
    <w:rsid w:val="44E80571"/>
    <w:rsid w:val="450375C9"/>
    <w:rsid w:val="450E2D12"/>
    <w:rsid w:val="452442FF"/>
    <w:rsid w:val="45403EA8"/>
    <w:rsid w:val="4559296E"/>
    <w:rsid w:val="455D0279"/>
    <w:rsid w:val="455E07D4"/>
    <w:rsid w:val="456846BA"/>
    <w:rsid w:val="456C23D4"/>
    <w:rsid w:val="457246F9"/>
    <w:rsid w:val="45C71F67"/>
    <w:rsid w:val="45E21D87"/>
    <w:rsid w:val="45EF6BF6"/>
    <w:rsid w:val="46072836"/>
    <w:rsid w:val="4634729E"/>
    <w:rsid w:val="463806ED"/>
    <w:rsid w:val="46707156"/>
    <w:rsid w:val="467B07B9"/>
    <w:rsid w:val="468328CD"/>
    <w:rsid w:val="468A6973"/>
    <w:rsid w:val="468E6B13"/>
    <w:rsid w:val="46910740"/>
    <w:rsid w:val="46A42030"/>
    <w:rsid w:val="46A47C72"/>
    <w:rsid w:val="46AA0164"/>
    <w:rsid w:val="46D257E4"/>
    <w:rsid w:val="46DD2AE1"/>
    <w:rsid w:val="46EF40BE"/>
    <w:rsid w:val="46F846EC"/>
    <w:rsid w:val="47396946"/>
    <w:rsid w:val="477105B8"/>
    <w:rsid w:val="47904B3D"/>
    <w:rsid w:val="47D50C84"/>
    <w:rsid w:val="47D83E2E"/>
    <w:rsid w:val="48040C75"/>
    <w:rsid w:val="48147880"/>
    <w:rsid w:val="48541BEF"/>
    <w:rsid w:val="48676E0F"/>
    <w:rsid w:val="48755FCD"/>
    <w:rsid w:val="48866F14"/>
    <w:rsid w:val="488F68B3"/>
    <w:rsid w:val="48945339"/>
    <w:rsid w:val="48C12B85"/>
    <w:rsid w:val="48F542B1"/>
    <w:rsid w:val="48F85E50"/>
    <w:rsid w:val="490219B4"/>
    <w:rsid w:val="490E2F15"/>
    <w:rsid w:val="493045FA"/>
    <w:rsid w:val="49376664"/>
    <w:rsid w:val="49422508"/>
    <w:rsid w:val="494345B8"/>
    <w:rsid w:val="495D5B28"/>
    <w:rsid w:val="49694114"/>
    <w:rsid w:val="497201DF"/>
    <w:rsid w:val="49746873"/>
    <w:rsid w:val="499F6739"/>
    <w:rsid w:val="49C03436"/>
    <w:rsid w:val="49D24C1C"/>
    <w:rsid w:val="49FD5D00"/>
    <w:rsid w:val="4A0D6F79"/>
    <w:rsid w:val="4A1C5470"/>
    <w:rsid w:val="4A414DED"/>
    <w:rsid w:val="4A5359BB"/>
    <w:rsid w:val="4A5434F4"/>
    <w:rsid w:val="4A5A0473"/>
    <w:rsid w:val="4A706E4F"/>
    <w:rsid w:val="4A742F4C"/>
    <w:rsid w:val="4A950D54"/>
    <w:rsid w:val="4AB4478E"/>
    <w:rsid w:val="4AC920F5"/>
    <w:rsid w:val="4B025DC2"/>
    <w:rsid w:val="4B3B5FD3"/>
    <w:rsid w:val="4B561689"/>
    <w:rsid w:val="4B677537"/>
    <w:rsid w:val="4B706BFC"/>
    <w:rsid w:val="4B944B64"/>
    <w:rsid w:val="4BAF3A1D"/>
    <w:rsid w:val="4BB17DE5"/>
    <w:rsid w:val="4BBA29B1"/>
    <w:rsid w:val="4C0249ED"/>
    <w:rsid w:val="4C03411B"/>
    <w:rsid w:val="4C1E2EF1"/>
    <w:rsid w:val="4C21339D"/>
    <w:rsid w:val="4C2C70A6"/>
    <w:rsid w:val="4C6C769A"/>
    <w:rsid w:val="4C6E28AC"/>
    <w:rsid w:val="4C90211B"/>
    <w:rsid w:val="4C9B1E24"/>
    <w:rsid w:val="4CA61048"/>
    <w:rsid w:val="4CB639CD"/>
    <w:rsid w:val="4CBB122D"/>
    <w:rsid w:val="4CE2083A"/>
    <w:rsid w:val="4D017AAA"/>
    <w:rsid w:val="4D071D2C"/>
    <w:rsid w:val="4D116A78"/>
    <w:rsid w:val="4D1D7B5E"/>
    <w:rsid w:val="4D2272DB"/>
    <w:rsid w:val="4D283BA9"/>
    <w:rsid w:val="4D3D47B0"/>
    <w:rsid w:val="4D5A48E5"/>
    <w:rsid w:val="4D827643"/>
    <w:rsid w:val="4D937D34"/>
    <w:rsid w:val="4D9C3753"/>
    <w:rsid w:val="4DAB6217"/>
    <w:rsid w:val="4DB05D4A"/>
    <w:rsid w:val="4DC75626"/>
    <w:rsid w:val="4DD51BBB"/>
    <w:rsid w:val="4DF56355"/>
    <w:rsid w:val="4E014F57"/>
    <w:rsid w:val="4E2115B5"/>
    <w:rsid w:val="4E2C5EF9"/>
    <w:rsid w:val="4E540B7A"/>
    <w:rsid w:val="4E545BBA"/>
    <w:rsid w:val="4E6739A8"/>
    <w:rsid w:val="4ECF57C5"/>
    <w:rsid w:val="4EE33EED"/>
    <w:rsid w:val="4F3A2194"/>
    <w:rsid w:val="4F587128"/>
    <w:rsid w:val="4F6239A8"/>
    <w:rsid w:val="4F7B5FE5"/>
    <w:rsid w:val="4F955389"/>
    <w:rsid w:val="4F9D1E0B"/>
    <w:rsid w:val="4FB54591"/>
    <w:rsid w:val="4FEC7613"/>
    <w:rsid w:val="502D1AB1"/>
    <w:rsid w:val="504373A3"/>
    <w:rsid w:val="5046686A"/>
    <w:rsid w:val="505A51AF"/>
    <w:rsid w:val="50836E98"/>
    <w:rsid w:val="50B80D86"/>
    <w:rsid w:val="50BA402F"/>
    <w:rsid w:val="50CD545E"/>
    <w:rsid w:val="51081011"/>
    <w:rsid w:val="513E0F69"/>
    <w:rsid w:val="51477EEB"/>
    <w:rsid w:val="51507FF3"/>
    <w:rsid w:val="51635754"/>
    <w:rsid w:val="51684408"/>
    <w:rsid w:val="516E2A5F"/>
    <w:rsid w:val="517D7C21"/>
    <w:rsid w:val="51825080"/>
    <w:rsid w:val="51971C2C"/>
    <w:rsid w:val="51977AB5"/>
    <w:rsid w:val="51A212BC"/>
    <w:rsid w:val="51C87DE6"/>
    <w:rsid w:val="51E25573"/>
    <w:rsid w:val="51FF0979"/>
    <w:rsid w:val="52045352"/>
    <w:rsid w:val="522026DB"/>
    <w:rsid w:val="522142DA"/>
    <w:rsid w:val="52322BFD"/>
    <w:rsid w:val="52477016"/>
    <w:rsid w:val="525B26DF"/>
    <w:rsid w:val="527E60D2"/>
    <w:rsid w:val="527F68E9"/>
    <w:rsid w:val="52AF52B2"/>
    <w:rsid w:val="52D71C0A"/>
    <w:rsid w:val="530A076A"/>
    <w:rsid w:val="531644AB"/>
    <w:rsid w:val="53175BDF"/>
    <w:rsid w:val="532D5FC1"/>
    <w:rsid w:val="5333550F"/>
    <w:rsid w:val="53451C14"/>
    <w:rsid w:val="534660F3"/>
    <w:rsid w:val="53476745"/>
    <w:rsid w:val="535B3264"/>
    <w:rsid w:val="53760DD8"/>
    <w:rsid w:val="53883F7E"/>
    <w:rsid w:val="538E784F"/>
    <w:rsid w:val="53BE1551"/>
    <w:rsid w:val="53D84A33"/>
    <w:rsid w:val="53E834EC"/>
    <w:rsid w:val="54197D4F"/>
    <w:rsid w:val="543006A9"/>
    <w:rsid w:val="54341B49"/>
    <w:rsid w:val="545F65FE"/>
    <w:rsid w:val="54675BFB"/>
    <w:rsid w:val="546B027D"/>
    <w:rsid w:val="54890B4F"/>
    <w:rsid w:val="548F1289"/>
    <w:rsid w:val="54903FEA"/>
    <w:rsid w:val="549112DC"/>
    <w:rsid w:val="549935C6"/>
    <w:rsid w:val="54C94F5D"/>
    <w:rsid w:val="54CF573C"/>
    <w:rsid w:val="54E17AD3"/>
    <w:rsid w:val="54EE3960"/>
    <w:rsid w:val="55125C75"/>
    <w:rsid w:val="553E2227"/>
    <w:rsid w:val="55430467"/>
    <w:rsid w:val="5560176F"/>
    <w:rsid w:val="55602646"/>
    <w:rsid w:val="55835522"/>
    <w:rsid w:val="558F3537"/>
    <w:rsid w:val="55CE5FA0"/>
    <w:rsid w:val="55D62A23"/>
    <w:rsid w:val="55E52EE7"/>
    <w:rsid w:val="55E52FAE"/>
    <w:rsid w:val="55FC75D9"/>
    <w:rsid w:val="5609334C"/>
    <w:rsid w:val="56197CAE"/>
    <w:rsid w:val="561B13C3"/>
    <w:rsid w:val="561C275C"/>
    <w:rsid w:val="561F7C0C"/>
    <w:rsid w:val="56222B52"/>
    <w:rsid w:val="563C2D75"/>
    <w:rsid w:val="563C5042"/>
    <w:rsid w:val="564D6AFA"/>
    <w:rsid w:val="566B7C4B"/>
    <w:rsid w:val="566D0271"/>
    <w:rsid w:val="567D6B7D"/>
    <w:rsid w:val="567F069E"/>
    <w:rsid w:val="568235FA"/>
    <w:rsid w:val="56B90097"/>
    <w:rsid w:val="56CD4643"/>
    <w:rsid w:val="56DB3426"/>
    <w:rsid w:val="56E827BF"/>
    <w:rsid w:val="56FC6CB4"/>
    <w:rsid w:val="57074365"/>
    <w:rsid w:val="574A6C8B"/>
    <w:rsid w:val="574D4E57"/>
    <w:rsid w:val="57AC4ADA"/>
    <w:rsid w:val="57C36C68"/>
    <w:rsid w:val="57C86BF6"/>
    <w:rsid w:val="57D64101"/>
    <w:rsid w:val="58132C50"/>
    <w:rsid w:val="58132DFA"/>
    <w:rsid w:val="58183BED"/>
    <w:rsid w:val="582E3159"/>
    <w:rsid w:val="58384E2E"/>
    <w:rsid w:val="5885065F"/>
    <w:rsid w:val="588E735E"/>
    <w:rsid w:val="58B779E7"/>
    <w:rsid w:val="58BA39C0"/>
    <w:rsid w:val="58D414C7"/>
    <w:rsid w:val="58DD1021"/>
    <w:rsid w:val="58E972C8"/>
    <w:rsid w:val="58EA0FD9"/>
    <w:rsid w:val="59200C93"/>
    <w:rsid w:val="593D668D"/>
    <w:rsid w:val="5940245D"/>
    <w:rsid w:val="59787D57"/>
    <w:rsid w:val="597D4F92"/>
    <w:rsid w:val="59AE2AE6"/>
    <w:rsid w:val="59AF2C4A"/>
    <w:rsid w:val="59B25FBD"/>
    <w:rsid w:val="59CB0F76"/>
    <w:rsid w:val="59D4155E"/>
    <w:rsid w:val="59E371DB"/>
    <w:rsid w:val="5A0E52CA"/>
    <w:rsid w:val="5A3A1C1B"/>
    <w:rsid w:val="5A595197"/>
    <w:rsid w:val="5A7E7CA7"/>
    <w:rsid w:val="5A8B7AC0"/>
    <w:rsid w:val="5AA2386B"/>
    <w:rsid w:val="5AA51ED6"/>
    <w:rsid w:val="5AC01F04"/>
    <w:rsid w:val="5AD73F68"/>
    <w:rsid w:val="5B022AD5"/>
    <w:rsid w:val="5B0D74F5"/>
    <w:rsid w:val="5B1C219F"/>
    <w:rsid w:val="5B224FD8"/>
    <w:rsid w:val="5B256AC2"/>
    <w:rsid w:val="5B510B0B"/>
    <w:rsid w:val="5B571C93"/>
    <w:rsid w:val="5B7158FB"/>
    <w:rsid w:val="5BAD0A59"/>
    <w:rsid w:val="5BC055B6"/>
    <w:rsid w:val="5BC7488E"/>
    <w:rsid w:val="5BD9483B"/>
    <w:rsid w:val="5BE21647"/>
    <w:rsid w:val="5BFA5F24"/>
    <w:rsid w:val="5C2D762B"/>
    <w:rsid w:val="5C3E1678"/>
    <w:rsid w:val="5C5A1D6F"/>
    <w:rsid w:val="5C9856B2"/>
    <w:rsid w:val="5CD14ABE"/>
    <w:rsid w:val="5CD941BE"/>
    <w:rsid w:val="5D1A7EFC"/>
    <w:rsid w:val="5D23425D"/>
    <w:rsid w:val="5D625DF3"/>
    <w:rsid w:val="5D895245"/>
    <w:rsid w:val="5D8F557D"/>
    <w:rsid w:val="5DB7264F"/>
    <w:rsid w:val="5DFE5C52"/>
    <w:rsid w:val="5E204E81"/>
    <w:rsid w:val="5E3C60B5"/>
    <w:rsid w:val="5E672B53"/>
    <w:rsid w:val="5E6F2370"/>
    <w:rsid w:val="5EA82DCB"/>
    <w:rsid w:val="5EB029DF"/>
    <w:rsid w:val="5EDC63B8"/>
    <w:rsid w:val="5F31725C"/>
    <w:rsid w:val="5F3F395E"/>
    <w:rsid w:val="5F4C6E2D"/>
    <w:rsid w:val="5F590FC3"/>
    <w:rsid w:val="5F67746C"/>
    <w:rsid w:val="5F7B4B6A"/>
    <w:rsid w:val="5F894CC4"/>
    <w:rsid w:val="5F940159"/>
    <w:rsid w:val="60064905"/>
    <w:rsid w:val="60390126"/>
    <w:rsid w:val="605D139C"/>
    <w:rsid w:val="60606BAC"/>
    <w:rsid w:val="60693105"/>
    <w:rsid w:val="60833A94"/>
    <w:rsid w:val="60851CB0"/>
    <w:rsid w:val="60B22CAB"/>
    <w:rsid w:val="60C96F27"/>
    <w:rsid w:val="60DA3F13"/>
    <w:rsid w:val="610D5C68"/>
    <w:rsid w:val="610F3F85"/>
    <w:rsid w:val="61263CDD"/>
    <w:rsid w:val="612E2CA5"/>
    <w:rsid w:val="613830A7"/>
    <w:rsid w:val="61497763"/>
    <w:rsid w:val="619351A0"/>
    <w:rsid w:val="619F1802"/>
    <w:rsid w:val="61B7538A"/>
    <w:rsid w:val="61C824F4"/>
    <w:rsid w:val="62114DA1"/>
    <w:rsid w:val="62131AA6"/>
    <w:rsid w:val="622445FC"/>
    <w:rsid w:val="62393F1A"/>
    <w:rsid w:val="62406275"/>
    <w:rsid w:val="624A5757"/>
    <w:rsid w:val="625052B0"/>
    <w:rsid w:val="625C1B13"/>
    <w:rsid w:val="62642DBE"/>
    <w:rsid w:val="62844D4B"/>
    <w:rsid w:val="6285212E"/>
    <w:rsid w:val="62B56CD6"/>
    <w:rsid w:val="62BB4DAB"/>
    <w:rsid w:val="62D5388A"/>
    <w:rsid w:val="62E61243"/>
    <w:rsid w:val="63037CCC"/>
    <w:rsid w:val="63264671"/>
    <w:rsid w:val="633739BA"/>
    <w:rsid w:val="633A5898"/>
    <w:rsid w:val="634921AE"/>
    <w:rsid w:val="636109BD"/>
    <w:rsid w:val="638A523F"/>
    <w:rsid w:val="6397012B"/>
    <w:rsid w:val="63A36A58"/>
    <w:rsid w:val="63A554C7"/>
    <w:rsid w:val="63BC45EB"/>
    <w:rsid w:val="63D501BB"/>
    <w:rsid w:val="641C247F"/>
    <w:rsid w:val="64337685"/>
    <w:rsid w:val="64455949"/>
    <w:rsid w:val="6453193C"/>
    <w:rsid w:val="648660B3"/>
    <w:rsid w:val="649C17B6"/>
    <w:rsid w:val="64D17DB4"/>
    <w:rsid w:val="654F56C0"/>
    <w:rsid w:val="65B775B5"/>
    <w:rsid w:val="65BD00C8"/>
    <w:rsid w:val="65D14CBE"/>
    <w:rsid w:val="65D850EB"/>
    <w:rsid w:val="65E35236"/>
    <w:rsid w:val="65F5088A"/>
    <w:rsid w:val="66112B6E"/>
    <w:rsid w:val="661C0342"/>
    <w:rsid w:val="66573892"/>
    <w:rsid w:val="668A047E"/>
    <w:rsid w:val="668C55D9"/>
    <w:rsid w:val="66A717A0"/>
    <w:rsid w:val="66BE59C2"/>
    <w:rsid w:val="66C131D0"/>
    <w:rsid w:val="66FD5617"/>
    <w:rsid w:val="67090CDF"/>
    <w:rsid w:val="6730089F"/>
    <w:rsid w:val="674A3FF1"/>
    <w:rsid w:val="6762359B"/>
    <w:rsid w:val="67A13F0A"/>
    <w:rsid w:val="67AA4DFA"/>
    <w:rsid w:val="67B83F93"/>
    <w:rsid w:val="67B86DEE"/>
    <w:rsid w:val="67BD6B7E"/>
    <w:rsid w:val="67CE40A4"/>
    <w:rsid w:val="67E618DB"/>
    <w:rsid w:val="67E77FBA"/>
    <w:rsid w:val="67F624B5"/>
    <w:rsid w:val="681B1FC2"/>
    <w:rsid w:val="682656D3"/>
    <w:rsid w:val="68433D5F"/>
    <w:rsid w:val="687E6674"/>
    <w:rsid w:val="68994F7F"/>
    <w:rsid w:val="68A723CC"/>
    <w:rsid w:val="68A95833"/>
    <w:rsid w:val="68AD36B1"/>
    <w:rsid w:val="68D67EC9"/>
    <w:rsid w:val="690D3B1A"/>
    <w:rsid w:val="692A62CD"/>
    <w:rsid w:val="694B286F"/>
    <w:rsid w:val="696B6F4D"/>
    <w:rsid w:val="698E3C86"/>
    <w:rsid w:val="69B664BA"/>
    <w:rsid w:val="69BD1FCB"/>
    <w:rsid w:val="69BE1521"/>
    <w:rsid w:val="69C063D9"/>
    <w:rsid w:val="69F53BEE"/>
    <w:rsid w:val="6A1559E3"/>
    <w:rsid w:val="6A167E66"/>
    <w:rsid w:val="6A536CFE"/>
    <w:rsid w:val="6A685818"/>
    <w:rsid w:val="6A6A72A7"/>
    <w:rsid w:val="6A8950C8"/>
    <w:rsid w:val="6AFA1013"/>
    <w:rsid w:val="6B0F149F"/>
    <w:rsid w:val="6B1A727F"/>
    <w:rsid w:val="6B303514"/>
    <w:rsid w:val="6B6B087C"/>
    <w:rsid w:val="6B787B08"/>
    <w:rsid w:val="6B8A0744"/>
    <w:rsid w:val="6BB62C49"/>
    <w:rsid w:val="6BC10557"/>
    <w:rsid w:val="6BD255AD"/>
    <w:rsid w:val="6BE30258"/>
    <w:rsid w:val="6BF331B9"/>
    <w:rsid w:val="6BF65B8B"/>
    <w:rsid w:val="6BFB3869"/>
    <w:rsid w:val="6C067593"/>
    <w:rsid w:val="6C0D19CB"/>
    <w:rsid w:val="6CC47C8A"/>
    <w:rsid w:val="6CCB190D"/>
    <w:rsid w:val="6CCC3AAC"/>
    <w:rsid w:val="6CD21CED"/>
    <w:rsid w:val="6CE834E1"/>
    <w:rsid w:val="6CFA142C"/>
    <w:rsid w:val="6D011E69"/>
    <w:rsid w:val="6D2F6269"/>
    <w:rsid w:val="6D441C44"/>
    <w:rsid w:val="6D480E2C"/>
    <w:rsid w:val="6D875F32"/>
    <w:rsid w:val="6DB05355"/>
    <w:rsid w:val="6DBB5734"/>
    <w:rsid w:val="6DC36B34"/>
    <w:rsid w:val="6E096D5A"/>
    <w:rsid w:val="6E1F3971"/>
    <w:rsid w:val="6E4309E8"/>
    <w:rsid w:val="6E475935"/>
    <w:rsid w:val="6E67524C"/>
    <w:rsid w:val="6E982B0C"/>
    <w:rsid w:val="6EC12092"/>
    <w:rsid w:val="6EC97E25"/>
    <w:rsid w:val="6EFAD360"/>
    <w:rsid w:val="6F2C0229"/>
    <w:rsid w:val="6F6C077A"/>
    <w:rsid w:val="6F867899"/>
    <w:rsid w:val="6FA1224D"/>
    <w:rsid w:val="6FCF70B9"/>
    <w:rsid w:val="6FD21025"/>
    <w:rsid w:val="6FF47D6A"/>
    <w:rsid w:val="700E4E85"/>
    <w:rsid w:val="700F4963"/>
    <w:rsid w:val="70253EB4"/>
    <w:rsid w:val="70303F33"/>
    <w:rsid w:val="703A3C29"/>
    <w:rsid w:val="70414A91"/>
    <w:rsid w:val="70522343"/>
    <w:rsid w:val="70567B70"/>
    <w:rsid w:val="705E52F6"/>
    <w:rsid w:val="705F156B"/>
    <w:rsid w:val="708446D1"/>
    <w:rsid w:val="70A37EE3"/>
    <w:rsid w:val="70AA461F"/>
    <w:rsid w:val="70BB012D"/>
    <w:rsid w:val="70D736F9"/>
    <w:rsid w:val="7181236D"/>
    <w:rsid w:val="71951CE6"/>
    <w:rsid w:val="71C2026D"/>
    <w:rsid w:val="71C9261D"/>
    <w:rsid w:val="720767C6"/>
    <w:rsid w:val="721C502C"/>
    <w:rsid w:val="72282781"/>
    <w:rsid w:val="722B4A7B"/>
    <w:rsid w:val="72542852"/>
    <w:rsid w:val="7263685A"/>
    <w:rsid w:val="72C83663"/>
    <w:rsid w:val="72F53DEA"/>
    <w:rsid w:val="730E35A0"/>
    <w:rsid w:val="733702F8"/>
    <w:rsid w:val="734B767D"/>
    <w:rsid w:val="73AB136D"/>
    <w:rsid w:val="73B9725E"/>
    <w:rsid w:val="73C518C2"/>
    <w:rsid w:val="73C80D84"/>
    <w:rsid w:val="73CD1EF7"/>
    <w:rsid w:val="73E77ED8"/>
    <w:rsid w:val="73F67C86"/>
    <w:rsid w:val="740966B1"/>
    <w:rsid w:val="74127B23"/>
    <w:rsid w:val="74306E1E"/>
    <w:rsid w:val="749742AE"/>
    <w:rsid w:val="749B459A"/>
    <w:rsid w:val="74D65630"/>
    <w:rsid w:val="74D91EFC"/>
    <w:rsid w:val="74FB11DF"/>
    <w:rsid w:val="751D7B8D"/>
    <w:rsid w:val="7536648D"/>
    <w:rsid w:val="754937FF"/>
    <w:rsid w:val="75497780"/>
    <w:rsid w:val="755C3850"/>
    <w:rsid w:val="757967BC"/>
    <w:rsid w:val="758D4B30"/>
    <w:rsid w:val="758E30C0"/>
    <w:rsid w:val="75B34C3F"/>
    <w:rsid w:val="75D11EB0"/>
    <w:rsid w:val="75FD6DD4"/>
    <w:rsid w:val="761F46E6"/>
    <w:rsid w:val="7638680A"/>
    <w:rsid w:val="764B7DA6"/>
    <w:rsid w:val="76812D84"/>
    <w:rsid w:val="76914555"/>
    <w:rsid w:val="76CF42A8"/>
    <w:rsid w:val="76D37565"/>
    <w:rsid w:val="76D51C9E"/>
    <w:rsid w:val="76E95EB9"/>
    <w:rsid w:val="76F874F0"/>
    <w:rsid w:val="770C4B99"/>
    <w:rsid w:val="7721366B"/>
    <w:rsid w:val="77461C76"/>
    <w:rsid w:val="77555376"/>
    <w:rsid w:val="77762010"/>
    <w:rsid w:val="77766926"/>
    <w:rsid w:val="779A6C95"/>
    <w:rsid w:val="779D35B8"/>
    <w:rsid w:val="77A3512A"/>
    <w:rsid w:val="77B431F6"/>
    <w:rsid w:val="77FC7743"/>
    <w:rsid w:val="782D1B66"/>
    <w:rsid w:val="78397B5B"/>
    <w:rsid w:val="786D6EEE"/>
    <w:rsid w:val="788B5149"/>
    <w:rsid w:val="789C408B"/>
    <w:rsid w:val="78B11DC7"/>
    <w:rsid w:val="78B76D8F"/>
    <w:rsid w:val="78C17C08"/>
    <w:rsid w:val="78DC3076"/>
    <w:rsid w:val="78E31F71"/>
    <w:rsid w:val="78F4703E"/>
    <w:rsid w:val="790B2CEF"/>
    <w:rsid w:val="793E76C9"/>
    <w:rsid w:val="794366DD"/>
    <w:rsid w:val="79561C17"/>
    <w:rsid w:val="795F5CE7"/>
    <w:rsid w:val="796A3B6D"/>
    <w:rsid w:val="796E2262"/>
    <w:rsid w:val="79877CF0"/>
    <w:rsid w:val="79957FF5"/>
    <w:rsid w:val="799B611A"/>
    <w:rsid w:val="799C3289"/>
    <w:rsid w:val="79A16266"/>
    <w:rsid w:val="79D10D9C"/>
    <w:rsid w:val="79EF5AC0"/>
    <w:rsid w:val="79FD46D5"/>
    <w:rsid w:val="79FE2718"/>
    <w:rsid w:val="7A1C3829"/>
    <w:rsid w:val="7A2134D3"/>
    <w:rsid w:val="7A253A2E"/>
    <w:rsid w:val="7A510AB4"/>
    <w:rsid w:val="7A881804"/>
    <w:rsid w:val="7A9B5930"/>
    <w:rsid w:val="7AA91E6E"/>
    <w:rsid w:val="7ACE27CD"/>
    <w:rsid w:val="7AE27761"/>
    <w:rsid w:val="7B0973AE"/>
    <w:rsid w:val="7B1122A4"/>
    <w:rsid w:val="7B175723"/>
    <w:rsid w:val="7B345C24"/>
    <w:rsid w:val="7B570BB9"/>
    <w:rsid w:val="7B624783"/>
    <w:rsid w:val="7B754A7B"/>
    <w:rsid w:val="7B902027"/>
    <w:rsid w:val="7B910F18"/>
    <w:rsid w:val="7B9F2F83"/>
    <w:rsid w:val="7BAC49AC"/>
    <w:rsid w:val="7BCC3D7E"/>
    <w:rsid w:val="7BCD1574"/>
    <w:rsid w:val="7BD437CD"/>
    <w:rsid w:val="7C0455B9"/>
    <w:rsid w:val="7C094584"/>
    <w:rsid w:val="7C12121D"/>
    <w:rsid w:val="7C377426"/>
    <w:rsid w:val="7C4302CA"/>
    <w:rsid w:val="7C4A7A5E"/>
    <w:rsid w:val="7C664C6C"/>
    <w:rsid w:val="7C6C39FA"/>
    <w:rsid w:val="7C731F2B"/>
    <w:rsid w:val="7CA11B1E"/>
    <w:rsid w:val="7CA43FD9"/>
    <w:rsid w:val="7CB72135"/>
    <w:rsid w:val="7CB97566"/>
    <w:rsid w:val="7CCB5861"/>
    <w:rsid w:val="7CEE32E5"/>
    <w:rsid w:val="7D1240AA"/>
    <w:rsid w:val="7D131B68"/>
    <w:rsid w:val="7D223046"/>
    <w:rsid w:val="7D240032"/>
    <w:rsid w:val="7D240D74"/>
    <w:rsid w:val="7D263A84"/>
    <w:rsid w:val="7D445668"/>
    <w:rsid w:val="7D511676"/>
    <w:rsid w:val="7D530B1F"/>
    <w:rsid w:val="7D6019A4"/>
    <w:rsid w:val="7D6670EF"/>
    <w:rsid w:val="7DE50AF2"/>
    <w:rsid w:val="7DEA144B"/>
    <w:rsid w:val="7E0B7D7E"/>
    <w:rsid w:val="7E1371B0"/>
    <w:rsid w:val="7E1A0A5B"/>
    <w:rsid w:val="7E3B4CF1"/>
    <w:rsid w:val="7E4C621C"/>
    <w:rsid w:val="7E903DD5"/>
    <w:rsid w:val="7EC42817"/>
    <w:rsid w:val="7EC630D4"/>
    <w:rsid w:val="7ECD5D00"/>
    <w:rsid w:val="7EF16E7A"/>
    <w:rsid w:val="7F0D4028"/>
    <w:rsid w:val="7F622041"/>
    <w:rsid w:val="7F735AF3"/>
    <w:rsid w:val="7F7A3C17"/>
    <w:rsid w:val="7F8C6F76"/>
    <w:rsid w:val="7FCA7B2D"/>
    <w:rsid w:val="7FD92D45"/>
    <w:rsid w:val="7FDF0F35"/>
    <w:rsid w:val="7FEA1FC0"/>
    <w:rsid w:val="7FEA5812"/>
    <w:rsid w:val="7FEF3A0E"/>
    <w:rsid w:val="7FF7D01C"/>
    <w:rsid w:val="DFF75857"/>
    <w:rsid w:val="E3FC1A55"/>
    <w:rsid w:val="EE7D2CC6"/>
    <w:rsid w:val="FEF68AD2"/>
    <w:rsid w:val="FF7FFDC4"/>
    <w:rsid w:val="FFF7C85B"/>
    <w:rsid w:val="FFFF5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iPriority="99" w:name="index 2"/>
    <w:lsdException w:uiPriority="99" w:name="index 3"/>
    <w:lsdException w:uiPriority="99" w:name="index 4"/>
    <w:lsdException w:qFormat="1" w:unhideWhenUsed="0" w:uiPriority="99" w:semiHidden="0" w:name="index 5"/>
    <w:lsdException w:qFormat="1" w:unhideWhenUsed="0" w:uiPriority="99"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0" w:semiHidden="0"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iPriority="0" w:semiHidden="0" w:name="HTML Typewriter"/>
    <w:lsdException w:qFormat="1" w:uiPriority="0" w:semiHidden="0"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0"/>
    <w:qFormat/>
    <w:uiPriority w:val="9"/>
    <w:pPr>
      <w:keepNext/>
      <w:keepLines/>
      <w:spacing w:before="340" w:after="330" w:line="576" w:lineRule="auto"/>
      <w:outlineLvl w:val="0"/>
    </w:pPr>
    <w:rPr>
      <w:b/>
      <w:bCs/>
      <w:kern w:val="44"/>
      <w:sz w:val="44"/>
      <w:szCs w:val="44"/>
    </w:rPr>
  </w:style>
  <w:style w:type="paragraph" w:styleId="3">
    <w:name w:val="heading 2"/>
    <w:basedOn w:val="1"/>
    <w:next w:val="4"/>
    <w:link w:val="7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72"/>
    <w:qFormat/>
    <w:uiPriority w:val="0"/>
    <w:pPr>
      <w:spacing w:line="440" w:lineRule="atLeast"/>
      <w:outlineLvl w:val="2"/>
    </w:pPr>
    <w:rPr>
      <w:b/>
      <w:bCs/>
      <w:sz w:val="32"/>
      <w:szCs w:val="32"/>
    </w:rPr>
  </w:style>
  <w:style w:type="paragraph" w:styleId="6">
    <w:name w:val="heading 4"/>
    <w:basedOn w:val="1"/>
    <w:next w:val="1"/>
    <w:link w:val="73"/>
    <w:qFormat/>
    <w:uiPriority w:val="0"/>
    <w:pPr>
      <w:keepNext/>
      <w:keepLines/>
      <w:spacing w:before="280" w:after="290" w:line="374" w:lineRule="auto"/>
      <w:outlineLvl w:val="3"/>
    </w:pPr>
    <w:rPr>
      <w:rFonts w:ascii="Cambria" w:hAnsi="Cambria"/>
      <w:b/>
      <w:bCs/>
      <w:sz w:val="28"/>
      <w:szCs w:val="28"/>
    </w:rPr>
  </w:style>
  <w:style w:type="paragraph" w:styleId="7">
    <w:name w:val="heading 5"/>
    <w:basedOn w:val="1"/>
    <w:next w:val="1"/>
    <w:link w:val="74"/>
    <w:qFormat/>
    <w:uiPriority w:val="9"/>
    <w:pPr>
      <w:keepNext/>
      <w:keepLines/>
      <w:spacing w:before="280" w:after="290" w:line="374" w:lineRule="auto"/>
      <w:outlineLvl w:val="4"/>
    </w:pPr>
    <w:rPr>
      <w:b/>
      <w:bCs/>
      <w:sz w:val="28"/>
      <w:szCs w:val="28"/>
    </w:rPr>
  </w:style>
  <w:style w:type="paragraph" w:styleId="8">
    <w:name w:val="heading 6"/>
    <w:basedOn w:val="1"/>
    <w:next w:val="9"/>
    <w:link w:val="75"/>
    <w:qFormat/>
    <w:uiPriority w:val="9"/>
    <w:pPr>
      <w:keepNext/>
      <w:keepLines/>
      <w:snapToGrid w:val="0"/>
      <w:spacing w:before="240" w:after="64" w:line="317" w:lineRule="auto"/>
      <w:ind w:firstLine="510"/>
      <w:outlineLvl w:val="5"/>
    </w:pPr>
    <w:rPr>
      <w:rFonts w:ascii="Arial" w:hAnsi="Arial" w:eastAsia="黑体"/>
      <w:b/>
      <w:sz w:val="24"/>
      <w:szCs w:val="20"/>
    </w:rPr>
  </w:style>
  <w:style w:type="paragraph" w:styleId="10">
    <w:name w:val="heading 7"/>
    <w:basedOn w:val="1"/>
    <w:next w:val="1"/>
    <w:link w:val="77"/>
    <w:qFormat/>
    <w:uiPriority w:val="0"/>
    <w:pPr>
      <w:keepNext/>
      <w:keepLines/>
      <w:adjustRightInd w:val="0"/>
      <w:spacing w:before="240" w:after="64" w:line="320" w:lineRule="atLeast"/>
      <w:ind w:left="2975" w:hanging="425"/>
      <w:textAlignment w:val="baseline"/>
      <w:outlineLvl w:val="6"/>
    </w:pPr>
    <w:rPr>
      <w:b/>
      <w:bCs/>
      <w:sz w:val="24"/>
    </w:rPr>
  </w:style>
  <w:style w:type="paragraph" w:styleId="11">
    <w:name w:val="heading 8"/>
    <w:basedOn w:val="1"/>
    <w:next w:val="1"/>
    <w:link w:val="78"/>
    <w:qFormat/>
    <w:uiPriority w:val="9"/>
    <w:pPr>
      <w:keepNext/>
      <w:keepLines/>
      <w:adjustRightInd w:val="0"/>
      <w:spacing w:before="240" w:after="64" w:line="320" w:lineRule="atLeast"/>
      <w:ind w:left="3400" w:hanging="425"/>
      <w:textAlignment w:val="baseline"/>
      <w:outlineLvl w:val="7"/>
    </w:pPr>
    <w:rPr>
      <w:rFonts w:ascii="Arial" w:hAnsi="Arial" w:eastAsia="黑体"/>
      <w:kern w:val="0"/>
      <w:sz w:val="24"/>
      <w:szCs w:val="20"/>
    </w:rPr>
  </w:style>
  <w:style w:type="paragraph" w:styleId="12">
    <w:name w:val="heading 9"/>
    <w:basedOn w:val="1"/>
    <w:next w:val="1"/>
    <w:link w:val="79"/>
    <w:qFormat/>
    <w:uiPriority w:val="9"/>
    <w:pPr>
      <w:keepNext/>
      <w:keepLines/>
      <w:adjustRightInd w:val="0"/>
      <w:spacing w:before="240" w:after="64" w:line="320" w:lineRule="atLeast"/>
      <w:ind w:left="3825" w:hanging="425"/>
      <w:textAlignment w:val="baseline"/>
      <w:outlineLvl w:val="8"/>
    </w:pPr>
    <w:rPr>
      <w:rFonts w:ascii="Arial" w:hAnsi="Arial" w:eastAsia="黑体"/>
      <w:kern w:val="0"/>
      <w:szCs w:val="20"/>
    </w:rPr>
  </w:style>
  <w:style w:type="character" w:default="1" w:styleId="53">
    <w:name w:val="Default Paragraph Font"/>
    <w:semiHidden/>
    <w:unhideWhenUsed/>
    <w:uiPriority w:val="1"/>
  </w:style>
  <w:style w:type="table" w:default="1" w:styleId="51">
    <w:name w:val="Normal Table"/>
    <w:semiHidden/>
    <w:unhideWhenUsed/>
    <w:uiPriority w:val="99"/>
    <w:tblPr>
      <w:tblCellMar>
        <w:top w:w="0" w:type="dxa"/>
        <w:left w:w="108" w:type="dxa"/>
        <w:bottom w:w="0" w:type="dxa"/>
        <w:right w:w="108" w:type="dxa"/>
      </w:tblCellMar>
    </w:tblPr>
  </w:style>
  <w:style w:type="paragraph" w:styleId="4">
    <w:name w:val="Body Text"/>
    <w:basedOn w:val="1"/>
    <w:link w:val="69"/>
    <w:qFormat/>
    <w:uiPriority w:val="0"/>
    <w:pPr>
      <w:spacing w:after="120"/>
    </w:pPr>
  </w:style>
  <w:style w:type="paragraph" w:styleId="9">
    <w:name w:val="Normal Indent"/>
    <w:basedOn w:val="1"/>
    <w:link w:val="76"/>
    <w:qFormat/>
    <w:uiPriority w:val="0"/>
    <w:pPr>
      <w:ind w:firstLine="420"/>
    </w:pPr>
    <w:rPr>
      <w:szCs w:val="20"/>
    </w:rPr>
  </w:style>
  <w:style w:type="paragraph" w:styleId="13">
    <w:name w:val="toc 7"/>
    <w:basedOn w:val="1"/>
    <w:next w:val="1"/>
    <w:qFormat/>
    <w:uiPriority w:val="39"/>
    <w:pPr>
      <w:ind w:left="2520" w:leftChars="1200"/>
    </w:pPr>
  </w:style>
  <w:style w:type="paragraph" w:styleId="14">
    <w:name w:val="caption"/>
    <w:basedOn w:val="1"/>
    <w:next w:val="1"/>
    <w:qFormat/>
    <w:uiPriority w:val="35"/>
    <w:rPr>
      <w:rFonts w:ascii="Cambria" w:hAnsi="Cambria" w:eastAsia="黑体"/>
      <w:kern w:val="0"/>
      <w:sz w:val="20"/>
      <w:szCs w:val="20"/>
    </w:rPr>
  </w:style>
  <w:style w:type="paragraph" w:styleId="15">
    <w:name w:val="index 5"/>
    <w:basedOn w:val="1"/>
    <w:next w:val="1"/>
    <w:qFormat/>
    <w:uiPriority w:val="99"/>
    <w:pPr>
      <w:spacing w:beforeLines="50" w:line="360" w:lineRule="auto"/>
      <w:ind w:left="800" w:leftChars="800" w:right="-27" w:rightChars="-27" w:hanging="500" w:hangingChars="500"/>
    </w:pPr>
    <w:rPr>
      <w:sz w:val="24"/>
    </w:rPr>
  </w:style>
  <w:style w:type="paragraph" w:styleId="16">
    <w:name w:val="Document Map"/>
    <w:basedOn w:val="1"/>
    <w:link w:val="80"/>
    <w:qFormat/>
    <w:uiPriority w:val="99"/>
    <w:pPr>
      <w:shd w:val="clear" w:color="auto" w:fill="000080"/>
    </w:pPr>
    <w:rPr>
      <w:sz w:val="16"/>
      <w:szCs w:val="16"/>
    </w:rPr>
  </w:style>
  <w:style w:type="paragraph" w:styleId="17">
    <w:name w:val="toa heading"/>
    <w:basedOn w:val="1"/>
    <w:next w:val="1"/>
    <w:qFormat/>
    <w:uiPriority w:val="99"/>
    <w:pPr>
      <w:spacing w:before="120"/>
    </w:pPr>
    <w:rPr>
      <w:rFonts w:ascii="Arial" w:hAnsi="Arial" w:cs="Arial"/>
      <w:sz w:val="24"/>
    </w:rPr>
  </w:style>
  <w:style w:type="paragraph" w:styleId="18">
    <w:name w:val="annotation text"/>
    <w:basedOn w:val="1"/>
    <w:link w:val="81"/>
    <w:qFormat/>
    <w:uiPriority w:val="0"/>
    <w:pPr>
      <w:jc w:val="left"/>
    </w:pPr>
  </w:style>
  <w:style w:type="paragraph" w:styleId="19">
    <w:name w:val="index 6"/>
    <w:basedOn w:val="1"/>
    <w:next w:val="1"/>
    <w:qFormat/>
    <w:uiPriority w:val="99"/>
    <w:pPr>
      <w:spacing w:beforeLines="50" w:line="360" w:lineRule="auto"/>
      <w:ind w:left="1000" w:leftChars="1000" w:right="-27" w:rightChars="-27" w:hanging="709"/>
    </w:pPr>
  </w:style>
  <w:style w:type="paragraph" w:styleId="20">
    <w:name w:val="Salutation"/>
    <w:basedOn w:val="1"/>
    <w:next w:val="1"/>
    <w:link w:val="82"/>
    <w:qFormat/>
    <w:uiPriority w:val="99"/>
    <w:pPr>
      <w:spacing w:beforeLines="50" w:line="360" w:lineRule="auto"/>
      <w:ind w:left="709" w:right="-27" w:rightChars="-27" w:hanging="709"/>
    </w:pPr>
    <w:rPr>
      <w:sz w:val="24"/>
      <w:szCs w:val="20"/>
    </w:rPr>
  </w:style>
  <w:style w:type="paragraph" w:styleId="21">
    <w:name w:val="Body Text 3"/>
    <w:basedOn w:val="1"/>
    <w:link w:val="83"/>
    <w:qFormat/>
    <w:uiPriority w:val="99"/>
    <w:pPr>
      <w:spacing w:after="120"/>
    </w:pPr>
    <w:rPr>
      <w:sz w:val="16"/>
      <w:szCs w:val="16"/>
    </w:rPr>
  </w:style>
  <w:style w:type="paragraph" w:styleId="22">
    <w:name w:val="Body Text Indent"/>
    <w:basedOn w:val="1"/>
    <w:link w:val="84"/>
    <w:qFormat/>
    <w:uiPriority w:val="0"/>
    <w:pPr>
      <w:spacing w:line="480" w:lineRule="exact"/>
      <w:ind w:firstLine="560" w:firstLineChars="200"/>
    </w:pPr>
    <w:rPr>
      <w:sz w:val="24"/>
    </w:rPr>
  </w:style>
  <w:style w:type="paragraph" w:styleId="23">
    <w:name w:val="Block Text"/>
    <w:basedOn w:val="1"/>
    <w:qFormat/>
    <w:uiPriority w:val="99"/>
    <w:pPr>
      <w:tabs>
        <w:tab w:val="left" w:pos="8364"/>
      </w:tabs>
      <w:spacing w:beforeLines="50" w:line="360" w:lineRule="auto"/>
      <w:ind w:left="840" w:right="-57" w:rightChars="-27" w:hanging="300"/>
    </w:pPr>
    <w:rPr>
      <w:rFonts w:ascii="宋体"/>
      <w:szCs w:val="20"/>
    </w:rPr>
  </w:style>
  <w:style w:type="paragraph" w:styleId="24">
    <w:name w:val="toc 5"/>
    <w:basedOn w:val="1"/>
    <w:next w:val="1"/>
    <w:qFormat/>
    <w:uiPriority w:val="39"/>
    <w:pPr>
      <w:ind w:left="1680" w:leftChars="800"/>
    </w:pPr>
  </w:style>
  <w:style w:type="paragraph" w:styleId="25">
    <w:name w:val="toc 3"/>
    <w:basedOn w:val="1"/>
    <w:next w:val="1"/>
    <w:qFormat/>
    <w:uiPriority w:val="0"/>
    <w:pPr>
      <w:ind w:left="840" w:leftChars="400"/>
    </w:pPr>
  </w:style>
  <w:style w:type="paragraph" w:styleId="26">
    <w:name w:val="Plain Text"/>
    <w:basedOn w:val="1"/>
    <w:link w:val="85"/>
    <w:qFormat/>
    <w:uiPriority w:val="0"/>
    <w:rPr>
      <w:rFonts w:ascii="宋体" w:hAnsi="Courier New" w:cs="Courier New"/>
      <w:szCs w:val="21"/>
    </w:rPr>
  </w:style>
  <w:style w:type="paragraph" w:styleId="27">
    <w:name w:val="toc 8"/>
    <w:basedOn w:val="1"/>
    <w:next w:val="1"/>
    <w:qFormat/>
    <w:uiPriority w:val="39"/>
    <w:pPr>
      <w:ind w:left="2940" w:leftChars="1400"/>
    </w:pPr>
  </w:style>
  <w:style w:type="paragraph" w:styleId="28">
    <w:name w:val="Date"/>
    <w:basedOn w:val="1"/>
    <w:next w:val="1"/>
    <w:link w:val="86"/>
    <w:qFormat/>
    <w:uiPriority w:val="99"/>
    <w:pPr>
      <w:ind w:left="100" w:leftChars="2500"/>
    </w:pPr>
  </w:style>
  <w:style w:type="paragraph" w:styleId="29">
    <w:name w:val="Body Text Indent 2"/>
    <w:basedOn w:val="1"/>
    <w:link w:val="87"/>
    <w:qFormat/>
    <w:uiPriority w:val="99"/>
    <w:pPr>
      <w:spacing w:after="120" w:line="480" w:lineRule="auto"/>
      <w:ind w:left="420" w:leftChars="200"/>
    </w:pPr>
  </w:style>
  <w:style w:type="paragraph" w:styleId="30">
    <w:name w:val="Balloon Text"/>
    <w:basedOn w:val="1"/>
    <w:link w:val="88"/>
    <w:qFormat/>
    <w:uiPriority w:val="99"/>
    <w:rPr>
      <w:sz w:val="16"/>
      <w:szCs w:val="16"/>
    </w:rPr>
  </w:style>
  <w:style w:type="paragraph" w:styleId="31">
    <w:name w:val="footer"/>
    <w:basedOn w:val="1"/>
    <w:link w:val="89"/>
    <w:qFormat/>
    <w:uiPriority w:val="99"/>
    <w:pPr>
      <w:tabs>
        <w:tab w:val="center" w:pos="4153"/>
        <w:tab w:val="right" w:pos="8306"/>
      </w:tabs>
      <w:snapToGrid w:val="0"/>
      <w:jc w:val="left"/>
    </w:pPr>
    <w:rPr>
      <w:sz w:val="18"/>
      <w:szCs w:val="18"/>
    </w:rPr>
  </w:style>
  <w:style w:type="paragraph" w:styleId="32">
    <w:name w:val="header"/>
    <w:basedOn w:val="1"/>
    <w:link w:val="90"/>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style>
  <w:style w:type="paragraph" w:styleId="34">
    <w:name w:val="toc 4"/>
    <w:basedOn w:val="1"/>
    <w:next w:val="1"/>
    <w:qFormat/>
    <w:uiPriority w:val="39"/>
    <w:pPr>
      <w:ind w:left="1260" w:leftChars="600"/>
    </w:pPr>
  </w:style>
  <w:style w:type="paragraph" w:styleId="35">
    <w:name w:val="index heading"/>
    <w:basedOn w:val="1"/>
    <w:next w:val="36"/>
    <w:qFormat/>
    <w:uiPriority w:val="0"/>
    <w:pPr>
      <w:spacing w:beforeLines="50" w:line="360" w:lineRule="auto"/>
      <w:ind w:left="709" w:right="-27" w:rightChars="-27" w:hanging="709"/>
    </w:pPr>
  </w:style>
  <w:style w:type="paragraph" w:styleId="36">
    <w:name w:val="index 1"/>
    <w:basedOn w:val="1"/>
    <w:next w:val="1"/>
    <w:qFormat/>
    <w:uiPriority w:val="99"/>
    <w:pPr>
      <w:spacing w:line="400" w:lineRule="exact"/>
      <w:ind w:firstLine="420" w:firstLineChars="200"/>
    </w:pPr>
    <w:rPr>
      <w:rFonts w:ascii="宋体" w:hAnsi="Courier New"/>
      <w:b/>
      <w:szCs w:val="20"/>
    </w:rPr>
  </w:style>
  <w:style w:type="paragraph" w:styleId="37">
    <w:name w:val="Subtitle"/>
    <w:basedOn w:val="1"/>
    <w:link w:val="91"/>
    <w:qFormat/>
    <w:uiPriority w:val="11"/>
    <w:pPr>
      <w:spacing w:line="312" w:lineRule="auto"/>
      <w:jc w:val="center"/>
      <w:outlineLvl w:val="1"/>
    </w:pPr>
    <w:rPr>
      <w:rFonts w:ascii="Arial" w:hAnsi="Arial" w:eastAsia="Times New Roman"/>
      <w:b/>
      <w:bCs/>
      <w:kern w:val="28"/>
      <w:sz w:val="32"/>
      <w:szCs w:val="32"/>
    </w:rPr>
  </w:style>
  <w:style w:type="paragraph" w:styleId="38">
    <w:name w:val="footnote text"/>
    <w:basedOn w:val="1"/>
    <w:link w:val="92"/>
    <w:qFormat/>
    <w:uiPriority w:val="0"/>
    <w:pPr>
      <w:snapToGrid w:val="0"/>
      <w:jc w:val="left"/>
    </w:pPr>
    <w:rPr>
      <w:sz w:val="18"/>
      <w:szCs w:val="18"/>
    </w:rPr>
  </w:style>
  <w:style w:type="paragraph" w:styleId="39">
    <w:name w:val="toc 6"/>
    <w:basedOn w:val="1"/>
    <w:next w:val="1"/>
    <w:qFormat/>
    <w:uiPriority w:val="39"/>
    <w:pPr>
      <w:ind w:left="2100" w:leftChars="1000"/>
    </w:pPr>
  </w:style>
  <w:style w:type="paragraph" w:styleId="40">
    <w:name w:val="Body Text Indent 3"/>
    <w:basedOn w:val="1"/>
    <w:link w:val="93"/>
    <w:qFormat/>
    <w:uiPriority w:val="99"/>
    <w:pPr>
      <w:spacing w:line="540" w:lineRule="atLeast"/>
      <w:ind w:firstLine="480" w:firstLineChars="200"/>
    </w:pPr>
    <w:rPr>
      <w:sz w:val="16"/>
      <w:szCs w:val="16"/>
    </w:rPr>
  </w:style>
  <w:style w:type="paragraph" w:styleId="41">
    <w:name w:val="table of figures"/>
    <w:basedOn w:val="1"/>
    <w:next w:val="1"/>
    <w:qFormat/>
    <w:uiPriority w:val="0"/>
    <w:pPr>
      <w:ind w:left="200" w:leftChars="200" w:hanging="200" w:hangingChars="200"/>
    </w:pPr>
  </w:style>
  <w:style w:type="paragraph" w:styleId="42">
    <w:name w:val="toc 2"/>
    <w:basedOn w:val="1"/>
    <w:next w:val="1"/>
    <w:qFormat/>
    <w:uiPriority w:val="39"/>
    <w:pPr>
      <w:ind w:left="420" w:leftChars="200"/>
    </w:pPr>
  </w:style>
  <w:style w:type="paragraph" w:styleId="43">
    <w:name w:val="toc 9"/>
    <w:basedOn w:val="1"/>
    <w:next w:val="1"/>
    <w:qFormat/>
    <w:uiPriority w:val="39"/>
    <w:pPr>
      <w:ind w:left="3360" w:leftChars="1600"/>
    </w:pPr>
  </w:style>
  <w:style w:type="paragraph" w:styleId="44">
    <w:name w:val="Body Text 2"/>
    <w:basedOn w:val="1"/>
    <w:link w:val="94"/>
    <w:qFormat/>
    <w:uiPriority w:val="99"/>
    <w:pPr>
      <w:spacing w:after="120" w:line="480" w:lineRule="auto"/>
    </w:pPr>
  </w:style>
  <w:style w:type="paragraph" w:styleId="45">
    <w:name w:val="HTML Preformatted"/>
    <w:basedOn w:val="1"/>
    <w:link w:val="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szCs w:val="22"/>
    </w:rPr>
  </w:style>
  <w:style w:type="paragraph" w:styleId="46">
    <w:name w:val="Normal (Web)"/>
    <w:basedOn w:val="1"/>
    <w:qFormat/>
    <w:uiPriority w:val="99"/>
    <w:pPr>
      <w:widowControl/>
      <w:spacing w:before="100" w:beforeAutospacing="1" w:after="100" w:afterAutospacing="1"/>
      <w:jc w:val="left"/>
    </w:pPr>
    <w:rPr>
      <w:rFonts w:ascii="宋体" w:hAnsi="宋体"/>
      <w:kern w:val="0"/>
      <w:sz w:val="24"/>
    </w:rPr>
  </w:style>
  <w:style w:type="paragraph" w:styleId="47">
    <w:name w:val="Title"/>
    <w:basedOn w:val="1"/>
    <w:next w:val="1"/>
    <w:link w:val="96"/>
    <w:qFormat/>
    <w:uiPriority w:val="10"/>
    <w:pPr>
      <w:spacing w:before="240" w:after="60"/>
      <w:jc w:val="center"/>
      <w:outlineLvl w:val="0"/>
    </w:pPr>
    <w:rPr>
      <w:rFonts w:ascii="Cambria" w:hAnsi="Cambria"/>
      <w:b/>
      <w:bCs/>
      <w:sz w:val="32"/>
      <w:szCs w:val="32"/>
    </w:rPr>
  </w:style>
  <w:style w:type="paragraph" w:styleId="48">
    <w:name w:val="annotation subject"/>
    <w:basedOn w:val="18"/>
    <w:next w:val="18"/>
    <w:link w:val="97"/>
    <w:qFormat/>
    <w:uiPriority w:val="99"/>
    <w:rPr>
      <w:b/>
      <w:bCs/>
    </w:rPr>
  </w:style>
  <w:style w:type="paragraph" w:styleId="49">
    <w:name w:val="Body Text First Indent"/>
    <w:basedOn w:val="4"/>
    <w:link w:val="98"/>
    <w:qFormat/>
    <w:uiPriority w:val="0"/>
    <w:pPr>
      <w:ind w:firstLine="420" w:firstLineChars="100"/>
    </w:pPr>
  </w:style>
  <w:style w:type="paragraph" w:styleId="50">
    <w:name w:val="Body Text First Indent 2"/>
    <w:basedOn w:val="22"/>
    <w:link w:val="99"/>
    <w:unhideWhenUsed/>
    <w:qFormat/>
    <w:uiPriority w:val="99"/>
    <w:pPr>
      <w:spacing w:after="120" w:line="240" w:lineRule="auto"/>
      <w:ind w:left="420" w:leftChars="200" w:firstLine="420"/>
    </w:pPr>
    <w:rPr>
      <w:rFonts w:ascii="Calibri" w:hAnsi="Calibri" w:eastAsia="Times New Roman"/>
      <w:kern w:val="0"/>
    </w:rPr>
  </w:style>
  <w:style w:type="table" w:styleId="52">
    <w:name w:val="Table Grid"/>
    <w:basedOn w:val="5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22"/>
    <w:rPr>
      <w:b/>
      <w:bCs/>
    </w:rPr>
  </w:style>
  <w:style w:type="character" w:styleId="55">
    <w:name w:val="page number"/>
    <w:qFormat/>
    <w:uiPriority w:val="0"/>
    <w:rPr>
      <w:rFonts w:cs="Times New Roman"/>
    </w:rPr>
  </w:style>
  <w:style w:type="character" w:styleId="56">
    <w:name w:val="FollowedHyperlink"/>
    <w:qFormat/>
    <w:uiPriority w:val="99"/>
    <w:rPr>
      <w:rFonts w:cs="Times New Roman"/>
      <w:color w:val="800080"/>
      <w:u w:val="single"/>
    </w:rPr>
  </w:style>
  <w:style w:type="character" w:styleId="57">
    <w:name w:val="Emphasis"/>
    <w:qFormat/>
    <w:uiPriority w:val="0"/>
    <w:rPr>
      <w:i/>
      <w:iCs/>
    </w:rPr>
  </w:style>
  <w:style w:type="character" w:styleId="58">
    <w:name w:val="HTML Definition"/>
    <w:unhideWhenUsed/>
    <w:qFormat/>
    <w:uiPriority w:val="0"/>
  </w:style>
  <w:style w:type="character" w:styleId="59">
    <w:name w:val="HTML Typewriter"/>
    <w:unhideWhenUsed/>
    <w:qFormat/>
    <w:uiPriority w:val="0"/>
    <w:rPr>
      <w:rFonts w:hint="default" w:ascii="monospace" w:hAnsi="monospace" w:eastAsia="monospace" w:cs="monospace"/>
      <w:sz w:val="20"/>
    </w:rPr>
  </w:style>
  <w:style w:type="character" w:styleId="60">
    <w:name w:val="HTML Acronym"/>
    <w:unhideWhenUsed/>
    <w:qFormat/>
    <w:uiPriority w:val="0"/>
  </w:style>
  <w:style w:type="character" w:styleId="61">
    <w:name w:val="HTML Variable"/>
    <w:unhideWhenUsed/>
    <w:qFormat/>
    <w:uiPriority w:val="0"/>
  </w:style>
  <w:style w:type="character" w:styleId="62">
    <w:name w:val="Hyperlink"/>
    <w:qFormat/>
    <w:uiPriority w:val="99"/>
    <w:rPr>
      <w:rFonts w:cs="Times New Roman"/>
      <w:color w:val="0000FF"/>
      <w:u w:val="single"/>
    </w:rPr>
  </w:style>
  <w:style w:type="character" w:styleId="63">
    <w:name w:val="HTML Code"/>
    <w:unhideWhenUsed/>
    <w:qFormat/>
    <w:uiPriority w:val="0"/>
    <w:rPr>
      <w:rFonts w:ascii="monospace" w:hAnsi="monospace" w:eastAsia="monospace" w:cs="monospace"/>
      <w:sz w:val="20"/>
    </w:rPr>
  </w:style>
  <w:style w:type="character" w:styleId="64">
    <w:name w:val="annotation reference"/>
    <w:qFormat/>
    <w:uiPriority w:val="99"/>
    <w:rPr>
      <w:rFonts w:cs="Times New Roman"/>
      <w:sz w:val="21"/>
      <w:szCs w:val="21"/>
    </w:rPr>
  </w:style>
  <w:style w:type="character" w:styleId="65">
    <w:name w:val="HTML Cite"/>
    <w:unhideWhenUsed/>
    <w:qFormat/>
    <w:uiPriority w:val="0"/>
  </w:style>
  <w:style w:type="character" w:styleId="66">
    <w:name w:val="footnote reference"/>
    <w:unhideWhenUsed/>
    <w:qFormat/>
    <w:uiPriority w:val="99"/>
    <w:rPr>
      <w:vertAlign w:val="superscript"/>
    </w:rPr>
  </w:style>
  <w:style w:type="character" w:styleId="67">
    <w:name w:val="HTML Keyboard"/>
    <w:unhideWhenUsed/>
    <w:qFormat/>
    <w:uiPriority w:val="0"/>
    <w:rPr>
      <w:rFonts w:hint="default" w:ascii="monospace" w:hAnsi="monospace" w:eastAsia="monospace" w:cs="monospace"/>
      <w:sz w:val="20"/>
    </w:rPr>
  </w:style>
  <w:style w:type="character" w:styleId="68">
    <w:name w:val="HTML Sample"/>
    <w:unhideWhenUsed/>
    <w:qFormat/>
    <w:uiPriority w:val="0"/>
    <w:rPr>
      <w:rFonts w:hint="default" w:ascii="monospace" w:hAnsi="monospace" w:eastAsia="monospace" w:cs="monospace"/>
    </w:rPr>
  </w:style>
  <w:style w:type="character" w:customStyle="1" w:styleId="69">
    <w:name w:val="正文文本 字符1"/>
    <w:link w:val="4"/>
    <w:qFormat/>
    <w:uiPriority w:val="99"/>
    <w:rPr>
      <w:kern w:val="2"/>
      <w:sz w:val="21"/>
      <w:szCs w:val="24"/>
    </w:rPr>
  </w:style>
  <w:style w:type="character" w:customStyle="1" w:styleId="70">
    <w:name w:val="标题 1 字符1"/>
    <w:link w:val="2"/>
    <w:qFormat/>
    <w:uiPriority w:val="9"/>
    <w:rPr>
      <w:rFonts w:eastAsia="宋体" w:cs="Times New Roman"/>
      <w:b/>
      <w:bCs/>
      <w:kern w:val="44"/>
      <w:sz w:val="44"/>
      <w:szCs w:val="44"/>
      <w:lang w:val="en-US" w:eastAsia="zh-CN" w:bidi="ar-SA"/>
    </w:rPr>
  </w:style>
  <w:style w:type="character" w:customStyle="1" w:styleId="71">
    <w:name w:val="标题 2 字符1"/>
    <w:link w:val="3"/>
    <w:qFormat/>
    <w:uiPriority w:val="0"/>
    <w:rPr>
      <w:rFonts w:ascii="Arial" w:hAnsi="Arial" w:eastAsia="黑体" w:cs="Times New Roman"/>
      <w:b/>
      <w:bCs/>
      <w:kern w:val="2"/>
      <w:sz w:val="32"/>
      <w:szCs w:val="32"/>
      <w:lang w:val="en-US" w:eastAsia="zh-CN" w:bidi="ar-SA"/>
    </w:rPr>
  </w:style>
  <w:style w:type="character" w:customStyle="1" w:styleId="72">
    <w:name w:val="标题 3 字符1"/>
    <w:link w:val="5"/>
    <w:qFormat/>
    <w:uiPriority w:val="0"/>
    <w:rPr>
      <w:b/>
      <w:bCs/>
      <w:kern w:val="2"/>
      <w:sz w:val="32"/>
      <w:szCs w:val="32"/>
    </w:rPr>
  </w:style>
  <w:style w:type="character" w:customStyle="1" w:styleId="73">
    <w:name w:val="标题 4 字符1"/>
    <w:link w:val="6"/>
    <w:qFormat/>
    <w:uiPriority w:val="0"/>
    <w:rPr>
      <w:rFonts w:ascii="Cambria" w:hAnsi="Cambria" w:eastAsia="宋体" w:cs="Times New Roman"/>
      <w:b/>
      <w:bCs/>
      <w:kern w:val="2"/>
      <w:sz w:val="28"/>
      <w:szCs w:val="28"/>
    </w:rPr>
  </w:style>
  <w:style w:type="character" w:customStyle="1" w:styleId="74">
    <w:name w:val="标题 5 字符1"/>
    <w:link w:val="7"/>
    <w:qFormat/>
    <w:uiPriority w:val="9"/>
    <w:rPr>
      <w:rFonts w:eastAsia="宋体" w:cs="Times New Roman"/>
      <w:b/>
      <w:bCs/>
      <w:kern w:val="2"/>
      <w:sz w:val="28"/>
      <w:szCs w:val="28"/>
      <w:lang w:val="en-US" w:eastAsia="zh-CN" w:bidi="ar-SA"/>
    </w:rPr>
  </w:style>
  <w:style w:type="character" w:customStyle="1" w:styleId="75">
    <w:name w:val="标题 6 字符1"/>
    <w:link w:val="8"/>
    <w:qFormat/>
    <w:uiPriority w:val="0"/>
    <w:rPr>
      <w:rFonts w:ascii="Arial" w:hAnsi="Arial" w:eastAsia="黑体"/>
      <w:b/>
      <w:kern w:val="2"/>
      <w:sz w:val="24"/>
    </w:rPr>
  </w:style>
  <w:style w:type="character" w:customStyle="1" w:styleId="76">
    <w:name w:val="正文缩进 字符1"/>
    <w:link w:val="9"/>
    <w:qFormat/>
    <w:uiPriority w:val="0"/>
    <w:rPr>
      <w:rFonts w:eastAsia="宋体" w:cs="Times New Roman"/>
      <w:kern w:val="2"/>
      <w:sz w:val="21"/>
      <w:lang w:val="en-US" w:eastAsia="zh-CN" w:bidi="ar-SA"/>
    </w:rPr>
  </w:style>
  <w:style w:type="character" w:customStyle="1" w:styleId="77">
    <w:name w:val="标题 7 字符1"/>
    <w:link w:val="10"/>
    <w:qFormat/>
    <w:uiPriority w:val="0"/>
    <w:rPr>
      <w:b/>
      <w:bCs/>
      <w:kern w:val="2"/>
      <w:sz w:val="24"/>
      <w:szCs w:val="24"/>
    </w:rPr>
  </w:style>
  <w:style w:type="character" w:customStyle="1" w:styleId="78">
    <w:name w:val="标题 8 字符1"/>
    <w:link w:val="11"/>
    <w:qFormat/>
    <w:uiPriority w:val="9"/>
    <w:rPr>
      <w:rFonts w:ascii="Cambria" w:hAnsi="Cambria" w:eastAsia="宋体" w:cs="Times New Roman"/>
      <w:kern w:val="2"/>
      <w:sz w:val="24"/>
      <w:szCs w:val="24"/>
    </w:rPr>
  </w:style>
  <w:style w:type="character" w:customStyle="1" w:styleId="79">
    <w:name w:val="标题 9 字符1"/>
    <w:link w:val="12"/>
    <w:qFormat/>
    <w:uiPriority w:val="9"/>
    <w:rPr>
      <w:rFonts w:ascii="Cambria" w:hAnsi="Cambria" w:eastAsia="宋体" w:cs="Times New Roman"/>
      <w:kern w:val="2"/>
      <w:sz w:val="21"/>
      <w:szCs w:val="21"/>
    </w:rPr>
  </w:style>
  <w:style w:type="character" w:customStyle="1" w:styleId="80">
    <w:name w:val="文档结构图 字符1"/>
    <w:link w:val="16"/>
    <w:qFormat/>
    <w:uiPriority w:val="99"/>
    <w:rPr>
      <w:kern w:val="2"/>
      <w:sz w:val="16"/>
      <w:szCs w:val="0"/>
    </w:rPr>
  </w:style>
  <w:style w:type="character" w:customStyle="1" w:styleId="81">
    <w:name w:val="批注文字 字符1"/>
    <w:link w:val="18"/>
    <w:qFormat/>
    <w:uiPriority w:val="0"/>
    <w:rPr>
      <w:kern w:val="2"/>
      <w:sz w:val="21"/>
      <w:szCs w:val="24"/>
    </w:rPr>
  </w:style>
  <w:style w:type="character" w:customStyle="1" w:styleId="82">
    <w:name w:val="称呼 字符1"/>
    <w:link w:val="20"/>
    <w:qFormat/>
    <w:uiPriority w:val="99"/>
    <w:rPr>
      <w:kern w:val="2"/>
      <w:sz w:val="24"/>
    </w:rPr>
  </w:style>
  <w:style w:type="character" w:customStyle="1" w:styleId="83">
    <w:name w:val="正文文本 3 字符1"/>
    <w:link w:val="21"/>
    <w:qFormat/>
    <w:uiPriority w:val="99"/>
    <w:rPr>
      <w:kern w:val="2"/>
      <w:sz w:val="16"/>
      <w:szCs w:val="16"/>
    </w:rPr>
  </w:style>
  <w:style w:type="character" w:customStyle="1" w:styleId="84">
    <w:name w:val="正文文本缩进 字符1"/>
    <w:link w:val="22"/>
    <w:qFormat/>
    <w:uiPriority w:val="99"/>
    <w:rPr>
      <w:rFonts w:eastAsia="宋体" w:cs="Times New Roman"/>
      <w:kern w:val="2"/>
      <w:sz w:val="24"/>
      <w:szCs w:val="24"/>
      <w:lang w:val="en-US" w:eastAsia="zh-CN" w:bidi="ar-SA"/>
    </w:rPr>
  </w:style>
  <w:style w:type="character" w:customStyle="1" w:styleId="85">
    <w:name w:val="纯文本 字符1"/>
    <w:link w:val="26"/>
    <w:qFormat/>
    <w:uiPriority w:val="0"/>
    <w:rPr>
      <w:rFonts w:ascii="宋体" w:hAnsi="Courier New" w:eastAsia="宋体" w:cs="Courier New"/>
      <w:kern w:val="2"/>
      <w:sz w:val="21"/>
      <w:szCs w:val="21"/>
      <w:lang w:val="en-US" w:eastAsia="zh-CN" w:bidi="ar-SA"/>
    </w:rPr>
  </w:style>
  <w:style w:type="character" w:customStyle="1" w:styleId="86">
    <w:name w:val="日期 字符1"/>
    <w:link w:val="28"/>
    <w:qFormat/>
    <w:uiPriority w:val="99"/>
    <w:rPr>
      <w:kern w:val="2"/>
      <w:sz w:val="21"/>
      <w:szCs w:val="24"/>
    </w:rPr>
  </w:style>
  <w:style w:type="character" w:customStyle="1" w:styleId="87">
    <w:name w:val="正文文本缩进 2 字符1"/>
    <w:link w:val="29"/>
    <w:qFormat/>
    <w:uiPriority w:val="99"/>
    <w:rPr>
      <w:kern w:val="2"/>
      <w:sz w:val="21"/>
      <w:szCs w:val="24"/>
    </w:rPr>
  </w:style>
  <w:style w:type="character" w:customStyle="1" w:styleId="88">
    <w:name w:val="批注框文本 字符1"/>
    <w:link w:val="30"/>
    <w:qFormat/>
    <w:uiPriority w:val="99"/>
    <w:rPr>
      <w:kern w:val="2"/>
      <w:sz w:val="16"/>
      <w:szCs w:val="0"/>
    </w:rPr>
  </w:style>
  <w:style w:type="character" w:customStyle="1" w:styleId="89">
    <w:name w:val="页脚 字符1"/>
    <w:link w:val="31"/>
    <w:qFormat/>
    <w:uiPriority w:val="0"/>
    <w:rPr>
      <w:kern w:val="2"/>
      <w:sz w:val="18"/>
      <w:szCs w:val="18"/>
    </w:rPr>
  </w:style>
  <w:style w:type="character" w:customStyle="1" w:styleId="90">
    <w:name w:val="页眉 字符1"/>
    <w:link w:val="32"/>
    <w:qFormat/>
    <w:uiPriority w:val="99"/>
    <w:rPr>
      <w:rFonts w:eastAsia="宋体" w:cs="Times New Roman"/>
      <w:kern w:val="2"/>
      <w:sz w:val="18"/>
      <w:szCs w:val="18"/>
      <w:lang w:val="en-US" w:eastAsia="zh-CN" w:bidi="ar-SA"/>
    </w:rPr>
  </w:style>
  <w:style w:type="character" w:customStyle="1" w:styleId="91">
    <w:name w:val="副标题 字符1"/>
    <w:link w:val="37"/>
    <w:qFormat/>
    <w:uiPriority w:val="11"/>
    <w:rPr>
      <w:rFonts w:ascii="Arial" w:hAnsi="Arial" w:eastAsia="Times New Roman"/>
      <w:b/>
      <w:bCs/>
      <w:kern w:val="28"/>
      <w:sz w:val="32"/>
      <w:szCs w:val="32"/>
    </w:rPr>
  </w:style>
  <w:style w:type="character" w:customStyle="1" w:styleId="92">
    <w:name w:val="脚注文本 字符"/>
    <w:link w:val="38"/>
    <w:qFormat/>
    <w:uiPriority w:val="0"/>
    <w:rPr>
      <w:kern w:val="2"/>
      <w:sz w:val="18"/>
      <w:szCs w:val="18"/>
    </w:rPr>
  </w:style>
  <w:style w:type="character" w:customStyle="1" w:styleId="93">
    <w:name w:val="正文文本缩进 3 字符1"/>
    <w:link w:val="40"/>
    <w:qFormat/>
    <w:uiPriority w:val="99"/>
    <w:rPr>
      <w:kern w:val="2"/>
      <w:sz w:val="16"/>
      <w:szCs w:val="16"/>
    </w:rPr>
  </w:style>
  <w:style w:type="character" w:customStyle="1" w:styleId="94">
    <w:name w:val="正文文本 2 字符1"/>
    <w:link w:val="44"/>
    <w:qFormat/>
    <w:uiPriority w:val="99"/>
    <w:rPr>
      <w:kern w:val="2"/>
      <w:sz w:val="21"/>
      <w:szCs w:val="24"/>
    </w:rPr>
  </w:style>
  <w:style w:type="character" w:customStyle="1" w:styleId="95">
    <w:name w:val="HTML 预设格式 字符1"/>
    <w:link w:val="45"/>
    <w:qFormat/>
    <w:uiPriority w:val="0"/>
    <w:rPr>
      <w:rFonts w:ascii="宋体" w:hAnsi="宋体" w:eastAsia="宋体" w:cs="Times New Roman"/>
      <w:kern w:val="2"/>
      <w:sz w:val="24"/>
      <w:szCs w:val="22"/>
    </w:rPr>
  </w:style>
  <w:style w:type="character" w:customStyle="1" w:styleId="96">
    <w:name w:val="标题 字符1"/>
    <w:link w:val="47"/>
    <w:qFormat/>
    <w:uiPriority w:val="10"/>
    <w:rPr>
      <w:rFonts w:ascii="Cambria" w:hAnsi="Cambria"/>
      <w:b/>
      <w:bCs/>
      <w:kern w:val="2"/>
      <w:sz w:val="32"/>
      <w:szCs w:val="32"/>
    </w:rPr>
  </w:style>
  <w:style w:type="character" w:customStyle="1" w:styleId="97">
    <w:name w:val="批注主题 字符1"/>
    <w:link w:val="48"/>
    <w:qFormat/>
    <w:uiPriority w:val="99"/>
    <w:rPr>
      <w:b/>
      <w:bCs/>
      <w:kern w:val="2"/>
      <w:sz w:val="21"/>
      <w:szCs w:val="24"/>
    </w:rPr>
  </w:style>
  <w:style w:type="character" w:customStyle="1" w:styleId="98">
    <w:name w:val="正文首行缩进 字符"/>
    <w:link w:val="49"/>
    <w:qFormat/>
    <w:uiPriority w:val="0"/>
  </w:style>
  <w:style w:type="character" w:customStyle="1" w:styleId="99">
    <w:name w:val="正文首行缩进 2 字符"/>
    <w:link w:val="50"/>
    <w:qFormat/>
    <w:uiPriority w:val="0"/>
    <w:rPr>
      <w:rFonts w:hint="default" w:ascii="Calibri" w:hAnsi="Calibri" w:eastAsia="Times New Roman" w:cs="Times New Roman"/>
      <w:sz w:val="24"/>
      <w:szCs w:val="24"/>
    </w:rPr>
  </w:style>
  <w:style w:type="character" w:customStyle="1" w:styleId="100">
    <w:name w:val="正文（首行缩进两字） Char1"/>
    <w:qFormat/>
    <w:uiPriority w:val="0"/>
    <w:rPr>
      <w:rFonts w:eastAsia="宋体"/>
      <w:kern w:val="2"/>
      <w:sz w:val="21"/>
      <w:lang w:val="en-US" w:eastAsia="zh-CN" w:bidi="ar-SA"/>
    </w:rPr>
  </w:style>
  <w:style w:type="character" w:customStyle="1" w:styleId="101">
    <w:name w:val="z-窗体顶端 Char1"/>
    <w:qFormat/>
    <w:uiPriority w:val="0"/>
    <w:rPr>
      <w:rFonts w:ascii="Arial" w:hAnsi="Arial" w:eastAsia="宋体" w:cs="Arial"/>
      <w:vanish/>
      <w:sz w:val="16"/>
      <w:szCs w:val="16"/>
    </w:rPr>
  </w:style>
  <w:style w:type="character" w:customStyle="1" w:styleId="102">
    <w:name w:val="纯文本 字符"/>
    <w:qFormat/>
    <w:uiPriority w:val="99"/>
    <w:rPr>
      <w:rFonts w:ascii="宋体" w:hAnsi="Courier New" w:eastAsia="宋体" w:cs="Courier New"/>
      <w:kern w:val="2"/>
      <w:sz w:val="21"/>
      <w:szCs w:val="21"/>
      <w:lang w:val="en-US" w:eastAsia="zh-CN" w:bidi="ar-SA"/>
    </w:rPr>
  </w:style>
  <w:style w:type="character" w:customStyle="1" w:styleId="103">
    <w:name w:val="正文（首行缩进两字） Char Char"/>
    <w:qFormat/>
    <w:uiPriority w:val="0"/>
    <w:rPr>
      <w:kern w:val="2"/>
      <w:sz w:val="21"/>
    </w:rPr>
  </w:style>
  <w:style w:type="character" w:customStyle="1" w:styleId="104">
    <w:name w:val="标题 3 Char1"/>
    <w:qFormat/>
    <w:uiPriority w:val="0"/>
    <w:rPr>
      <w:rFonts w:eastAsia="宋体"/>
      <w:kern w:val="2"/>
      <w:sz w:val="24"/>
      <w:lang w:val="en-US" w:eastAsia="zh-CN"/>
    </w:rPr>
  </w:style>
  <w:style w:type="character" w:customStyle="1" w:styleId="105">
    <w:name w:val="标题 Char1"/>
    <w:qFormat/>
    <w:uiPriority w:val="0"/>
    <w:rPr>
      <w:rFonts w:ascii="Cambria" w:hAnsi="Cambria" w:eastAsia="宋体" w:cs="Times New Roman"/>
      <w:b/>
      <w:bCs/>
      <w:sz w:val="32"/>
      <w:szCs w:val="32"/>
    </w:rPr>
  </w:style>
  <w:style w:type="character" w:customStyle="1" w:styleId="106">
    <w:name w:val="标题 2 Char3"/>
    <w:qFormat/>
    <w:uiPriority w:val="0"/>
    <w:rPr>
      <w:rFonts w:ascii="Calibri Light" w:hAnsi="Calibri Light" w:eastAsia="宋体"/>
      <w:b/>
      <w:bCs/>
      <w:kern w:val="2"/>
      <w:sz w:val="32"/>
      <w:szCs w:val="32"/>
      <w:lang w:val="en-US" w:eastAsia="zh-CN" w:bidi="ar-SA"/>
    </w:rPr>
  </w:style>
  <w:style w:type="character" w:customStyle="1" w:styleId="107">
    <w:name w:val="正文首行缩进 Char1"/>
    <w:qFormat/>
    <w:uiPriority w:val="0"/>
  </w:style>
  <w:style w:type="character" w:customStyle="1" w:styleId="108">
    <w:name w:val="正文文本 Char1"/>
    <w:qFormat/>
    <w:uiPriority w:val="0"/>
    <w:rPr>
      <w:rFonts w:ascii="Times New Roman" w:hAnsi="Times New Roman" w:eastAsia="宋体" w:cs="Times New Roman"/>
      <w:szCs w:val="24"/>
    </w:rPr>
  </w:style>
  <w:style w:type="character" w:customStyle="1" w:styleId="109">
    <w:name w:val="正文文本缩进 2 Char1"/>
    <w:qFormat/>
    <w:uiPriority w:val="0"/>
    <w:rPr>
      <w:szCs w:val="24"/>
    </w:rPr>
  </w:style>
  <w:style w:type="character" w:customStyle="1" w:styleId="110">
    <w:name w:val="标题 9 Char1"/>
    <w:qFormat/>
    <w:uiPriority w:val="0"/>
    <w:rPr>
      <w:rFonts w:ascii="Arial" w:hAnsi="Arial" w:eastAsia="黑体"/>
      <w:sz w:val="21"/>
    </w:rPr>
  </w:style>
  <w:style w:type="character" w:customStyle="1" w:styleId="111">
    <w:name w:val="页脚 Char1"/>
    <w:qFormat/>
    <w:uiPriority w:val="0"/>
    <w:rPr>
      <w:rFonts w:ascii="Times New Roman" w:hAnsi="Times New Roman" w:eastAsia="宋体" w:cs="Times New Roman"/>
      <w:sz w:val="18"/>
      <w:szCs w:val="18"/>
    </w:rPr>
  </w:style>
  <w:style w:type="character" w:customStyle="1" w:styleId="112">
    <w:name w:val="font11"/>
    <w:qFormat/>
    <w:uiPriority w:val="0"/>
    <w:rPr>
      <w:rFonts w:hint="eastAsia" w:ascii="宋体" w:hAnsi="宋体" w:eastAsia="宋体" w:cs="宋体"/>
      <w:color w:val="000000"/>
      <w:sz w:val="20"/>
      <w:szCs w:val="20"/>
      <w:u w:val="none"/>
    </w:rPr>
  </w:style>
  <w:style w:type="character" w:customStyle="1" w:styleId="113">
    <w:name w:val="Char Char16"/>
    <w:qFormat/>
    <w:uiPriority w:val="0"/>
    <w:rPr>
      <w:rFonts w:eastAsia="宋体"/>
      <w:sz w:val="21"/>
      <w:lang w:val="en-US" w:eastAsia="zh-CN" w:bidi="ar-SA"/>
    </w:rPr>
  </w:style>
  <w:style w:type="character" w:customStyle="1" w:styleId="114">
    <w:name w:val="Char Char2"/>
    <w:qFormat/>
    <w:uiPriority w:val="0"/>
    <w:rPr>
      <w:rFonts w:ascii="宋体" w:hAnsi="Courier New"/>
      <w:kern w:val="2"/>
      <w:sz w:val="21"/>
    </w:rPr>
  </w:style>
  <w:style w:type="character" w:customStyle="1" w:styleId="115">
    <w:name w:val="标题 1 Char Char Char Char Char Char Char Char Char Char Char Char Char Char Char Char Char Char Char Char1"/>
    <w:qFormat/>
    <w:uiPriority w:val="0"/>
    <w:rPr>
      <w:rFonts w:eastAsia="宋体"/>
      <w:b/>
      <w:bCs/>
      <w:color w:val="FF0000"/>
      <w:kern w:val="2"/>
      <w:sz w:val="21"/>
      <w:szCs w:val="24"/>
      <w:lang w:val="en-US" w:eastAsia="zh-CN" w:bidi="ar-SA"/>
    </w:rPr>
  </w:style>
  <w:style w:type="character" w:customStyle="1" w:styleId="116">
    <w:name w:val="headline-content2"/>
    <w:qFormat/>
    <w:uiPriority w:val="0"/>
  </w:style>
  <w:style w:type="character" w:customStyle="1" w:styleId="117">
    <w:name w:val="列出段落 字符"/>
    <w:link w:val="118"/>
    <w:qFormat/>
    <w:uiPriority w:val="0"/>
    <w:rPr>
      <w:rFonts w:ascii="Calibri" w:hAnsi="Calibri"/>
      <w:kern w:val="2"/>
      <w:sz w:val="21"/>
      <w:szCs w:val="22"/>
    </w:rPr>
  </w:style>
  <w:style w:type="paragraph" w:styleId="118">
    <w:name w:val="List Paragraph"/>
    <w:basedOn w:val="1"/>
    <w:link w:val="117"/>
    <w:qFormat/>
    <w:uiPriority w:val="34"/>
    <w:pPr>
      <w:ind w:firstLine="420" w:firstLineChars="200"/>
    </w:pPr>
    <w:rPr>
      <w:rFonts w:ascii="Calibri" w:hAnsi="Calibri"/>
      <w:szCs w:val="22"/>
    </w:rPr>
  </w:style>
  <w:style w:type="character" w:customStyle="1" w:styleId="119">
    <w:name w:val="批注文字 字符"/>
    <w:qFormat/>
    <w:uiPriority w:val="99"/>
    <w:rPr>
      <w:kern w:val="2"/>
      <w:sz w:val="21"/>
      <w:szCs w:val="24"/>
    </w:rPr>
  </w:style>
  <w:style w:type="character" w:customStyle="1" w:styleId="120">
    <w:name w:val="正文文本 3 Char1"/>
    <w:qFormat/>
    <w:uiPriority w:val="0"/>
    <w:rPr>
      <w:sz w:val="16"/>
      <w:szCs w:val="16"/>
    </w:rPr>
  </w:style>
  <w:style w:type="character" w:customStyle="1" w:styleId="121">
    <w:name w:val="font91"/>
    <w:qFormat/>
    <w:uiPriority w:val="0"/>
    <w:rPr>
      <w:rFonts w:hint="eastAsia" w:ascii="宋体" w:hAnsi="宋体" w:eastAsia="宋体" w:cs="宋体"/>
      <w:color w:val="000000"/>
      <w:sz w:val="18"/>
      <w:szCs w:val="18"/>
      <w:u w:val="none"/>
    </w:rPr>
  </w:style>
  <w:style w:type="character" w:customStyle="1" w:styleId="122">
    <w:name w:val="表格正文 Char"/>
    <w:link w:val="123"/>
    <w:qFormat/>
    <w:uiPriority w:val="0"/>
    <w:rPr>
      <w:rFonts w:ascii="Times New Roman" w:hAnsi="Times New Roman" w:cs="Times"/>
      <w:sz w:val="21"/>
      <w:szCs w:val="21"/>
    </w:rPr>
  </w:style>
  <w:style w:type="paragraph" w:customStyle="1" w:styleId="123">
    <w:name w:val="表格正文"/>
    <w:basedOn w:val="1"/>
    <w:link w:val="122"/>
    <w:qFormat/>
    <w:uiPriority w:val="0"/>
    <w:pPr>
      <w:widowControl/>
      <w:spacing w:line="276" w:lineRule="auto"/>
      <w:jc w:val="left"/>
    </w:pPr>
    <w:rPr>
      <w:kern w:val="0"/>
      <w:szCs w:val="21"/>
    </w:rPr>
  </w:style>
  <w:style w:type="character" w:customStyle="1" w:styleId="124">
    <w:name w:val="编号1. Char Char Char"/>
    <w:link w:val="125"/>
    <w:qFormat/>
    <w:uiPriority w:val="0"/>
    <w:rPr>
      <w:rFonts w:eastAsia="宋体" w:cs="Times New Roman"/>
      <w:kern w:val="2"/>
      <w:sz w:val="24"/>
      <w:szCs w:val="24"/>
      <w:lang w:val="en-US" w:eastAsia="zh-CN" w:bidi="ar-SA"/>
    </w:rPr>
  </w:style>
  <w:style w:type="paragraph" w:customStyle="1" w:styleId="125">
    <w:name w:val="编号1."/>
    <w:basedOn w:val="1"/>
    <w:link w:val="124"/>
    <w:qFormat/>
    <w:uiPriority w:val="0"/>
    <w:pPr>
      <w:tabs>
        <w:tab w:val="left" w:pos="360"/>
        <w:tab w:val="left" w:pos="547"/>
        <w:tab w:val="left" w:pos="1080"/>
      </w:tabs>
      <w:spacing w:line="480" w:lineRule="atLeast"/>
      <w:ind w:left="360" w:hanging="360"/>
    </w:pPr>
    <w:rPr>
      <w:sz w:val="24"/>
    </w:rPr>
  </w:style>
  <w:style w:type="character" w:customStyle="1" w:styleId="126">
    <w:name w:val="Char Char1"/>
    <w:qFormat/>
    <w:uiPriority w:val="0"/>
    <w:rPr>
      <w:rFonts w:ascii="宋体" w:hAnsi="Courier New" w:eastAsia="宋体"/>
      <w:kern w:val="2"/>
      <w:sz w:val="21"/>
      <w:lang w:val="en-US" w:eastAsia="zh-CN" w:bidi="ar-SA"/>
    </w:rPr>
  </w:style>
  <w:style w:type="character" w:customStyle="1" w:styleId="127">
    <w:name w:val="纯文本 Char2"/>
    <w:qFormat/>
    <w:uiPriority w:val="0"/>
    <w:rPr>
      <w:rFonts w:ascii="宋体" w:hAnsi="Courier New" w:eastAsia="宋体" w:cs="Courier New"/>
      <w:kern w:val="2"/>
      <w:sz w:val="21"/>
      <w:szCs w:val="21"/>
    </w:rPr>
  </w:style>
  <w:style w:type="character" w:customStyle="1" w:styleId="128">
    <w:name w:val="正文（首行缩进两字） Char11"/>
    <w:qFormat/>
    <w:uiPriority w:val="0"/>
    <w:rPr>
      <w:rFonts w:eastAsia="宋体"/>
      <w:kern w:val="2"/>
      <w:sz w:val="21"/>
      <w:lang w:val="en-US" w:eastAsia="zh-CN" w:bidi="ar-SA"/>
    </w:rPr>
  </w:style>
  <w:style w:type="character" w:customStyle="1" w:styleId="129">
    <w:name w:val="正文文本缩进 Char1"/>
    <w:qFormat/>
    <w:uiPriority w:val="0"/>
    <w:rPr>
      <w:rFonts w:eastAsia="宋体" w:cs="Times New Roman"/>
      <w:sz w:val="24"/>
      <w:szCs w:val="24"/>
    </w:rPr>
  </w:style>
  <w:style w:type="character" w:customStyle="1" w:styleId="130">
    <w:name w:val="font21"/>
    <w:qFormat/>
    <w:uiPriority w:val="0"/>
    <w:rPr>
      <w:rFonts w:hint="eastAsia" w:ascii="宋体" w:hAnsi="宋体" w:eastAsia="宋体" w:cs="宋体"/>
      <w:color w:val="000000"/>
      <w:sz w:val="21"/>
      <w:szCs w:val="21"/>
      <w:u w:val="none"/>
    </w:rPr>
  </w:style>
  <w:style w:type="character" w:customStyle="1" w:styleId="131">
    <w:name w:val="正文缩进 字符"/>
    <w:qFormat/>
    <w:uiPriority w:val="0"/>
    <w:rPr>
      <w:rFonts w:eastAsia="宋体" w:cs="Times New Roman"/>
      <w:kern w:val="2"/>
      <w:sz w:val="21"/>
      <w:lang w:val="en-US" w:eastAsia="zh-CN" w:bidi="ar-SA"/>
    </w:rPr>
  </w:style>
  <w:style w:type="character" w:customStyle="1" w:styleId="132">
    <w:name w:val="表格文字图表文字 Char"/>
    <w:link w:val="133"/>
    <w:qFormat/>
    <w:uiPriority w:val="0"/>
    <w:rPr>
      <w:lang w:val="zh-CN"/>
    </w:rPr>
  </w:style>
  <w:style w:type="paragraph" w:customStyle="1" w:styleId="133">
    <w:name w:val="表格文字图表文字"/>
    <w:basedOn w:val="1"/>
    <w:link w:val="132"/>
    <w:qFormat/>
    <w:uiPriority w:val="0"/>
    <w:pPr>
      <w:snapToGrid w:val="0"/>
      <w:jc w:val="center"/>
    </w:pPr>
    <w:rPr>
      <w:kern w:val="0"/>
      <w:sz w:val="20"/>
      <w:szCs w:val="20"/>
      <w:lang w:val="zh-CN"/>
    </w:rPr>
  </w:style>
  <w:style w:type="character" w:customStyle="1" w:styleId="134">
    <w:name w:val="标题1 Char"/>
    <w:qFormat/>
    <w:locked/>
    <w:uiPriority w:val="0"/>
    <w:rPr>
      <w:rFonts w:eastAsia="宋体"/>
      <w:b/>
      <w:kern w:val="44"/>
      <w:sz w:val="32"/>
      <w:lang w:val="en-US" w:eastAsia="zh-CN"/>
    </w:rPr>
  </w:style>
  <w:style w:type="character" w:customStyle="1" w:styleId="135">
    <w:name w:val="样式 超链接 + 仿宋_GB2312 小四 加粗"/>
    <w:qFormat/>
    <w:uiPriority w:val="0"/>
    <w:rPr>
      <w:rFonts w:ascii="仿宋_GB2312" w:hAnsi="仿宋_GB2312" w:eastAsia="黑体"/>
      <w:b/>
      <w:bCs/>
      <w:color w:val="auto"/>
      <w:sz w:val="24"/>
      <w:u w:val="none"/>
    </w:rPr>
  </w:style>
  <w:style w:type="character" w:customStyle="1" w:styleId="136">
    <w:name w:val="style41"/>
    <w:qFormat/>
    <w:uiPriority w:val="0"/>
    <w:rPr>
      <w:rFonts w:hint="eastAsia" w:ascii="宋体" w:hAnsi="宋体" w:eastAsia="宋体"/>
      <w:sz w:val="18"/>
    </w:rPr>
  </w:style>
  <w:style w:type="character" w:customStyle="1" w:styleId="137">
    <w:name w:val="HTML 预设格式 Char"/>
    <w:qFormat/>
    <w:uiPriority w:val="0"/>
    <w:rPr>
      <w:rFonts w:ascii="Courier New" w:hAnsi="Courier New" w:cs="Courier New"/>
      <w:kern w:val="2"/>
    </w:rPr>
  </w:style>
  <w:style w:type="character" w:customStyle="1" w:styleId="138">
    <w:name w:val="z-窗体底端 字符"/>
    <w:link w:val="139"/>
    <w:qFormat/>
    <w:uiPriority w:val="99"/>
    <w:rPr>
      <w:rFonts w:ascii="Arial" w:hAnsi="Arial" w:cs="Arial"/>
      <w:vanish/>
      <w:kern w:val="2"/>
      <w:sz w:val="16"/>
      <w:szCs w:val="16"/>
    </w:rPr>
  </w:style>
  <w:style w:type="paragraph" w:customStyle="1" w:styleId="139">
    <w:name w:val="_Style 138"/>
    <w:basedOn w:val="1"/>
    <w:next w:val="1"/>
    <w:link w:val="138"/>
    <w:qFormat/>
    <w:uiPriority w:val="99"/>
    <w:pPr>
      <w:pBdr>
        <w:top w:val="single" w:color="auto" w:sz="6" w:space="1"/>
      </w:pBdr>
      <w:jc w:val="center"/>
    </w:pPr>
    <w:rPr>
      <w:rFonts w:ascii="Arial" w:hAnsi="Arial"/>
      <w:vanish/>
      <w:sz w:val="16"/>
      <w:szCs w:val="16"/>
    </w:rPr>
  </w:style>
  <w:style w:type="character" w:customStyle="1" w:styleId="140">
    <w:name w:val="标题 1 Char1"/>
    <w:qFormat/>
    <w:uiPriority w:val="0"/>
    <w:rPr>
      <w:rFonts w:eastAsia="宋体"/>
      <w:b/>
      <w:bCs/>
      <w:color w:val="FF0000"/>
      <w:kern w:val="2"/>
      <w:sz w:val="21"/>
      <w:szCs w:val="24"/>
      <w:lang w:val="en-US" w:eastAsia="zh-CN" w:bidi="ar-SA"/>
    </w:rPr>
  </w:style>
  <w:style w:type="character" w:customStyle="1" w:styleId="141">
    <w:name w:val="lb1"/>
    <w:qFormat/>
    <w:uiPriority w:val="0"/>
    <w:rPr>
      <w:rFonts w:hint="default"/>
      <w:b/>
      <w:bCs/>
      <w:color w:val="0851A5"/>
      <w:sz w:val="27"/>
      <w:szCs w:val="27"/>
    </w:rPr>
  </w:style>
  <w:style w:type="character" w:customStyle="1" w:styleId="142">
    <w:name w:val="z-窗体顶端 字符"/>
    <w:link w:val="143"/>
    <w:qFormat/>
    <w:uiPriority w:val="99"/>
    <w:rPr>
      <w:rFonts w:ascii="Arial" w:hAnsi="Arial" w:cs="Arial"/>
      <w:vanish/>
      <w:kern w:val="2"/>
      <w:sz w:val="16"/>
      <w:szCs w:val="16"/>
    </w:rPr>
  </w:style>
  <w:style w:type="paragraph" w:customStyle="1" w:styleId="143">
    <w:name w:val="_Style 142"/>
    <w:basedOn w:val="1"/>
    <w:next w:val="1"/>
    <w:link w:val="142"/>
    <w:qFormat/>
    <w:uiPriority w:val="99"/>
    <w:pPr>
      <w:pBdr>
        <w:bottom w:val="single" w:color="auto" w:sz="6" w:space="1"/>
      </w:pBdr>
      <w:jc w:val="center"/>
    </w:pPr>
    <w:rPr>
      <w:rFonts w:ascii="Arial" w:hAnsi="Arial"/>
      <w:vanish/>
      <w:sz w:val="16"/>
      <w:szCs w:val="16"/>
    </w:rPr>
  </w:style>
  <w:style w:type="character" w:customStyle="1" w:styleId="144">
    <w:name w:val="style6"/>
    <w:qFormat/>
    <w:uiPriority w:val="0"/>
  </w:style>
  <w:style w:type="character" w:customStyle="1" w:styleId="145">
    <w:name w:val="批注框文本 Char1"/>
    <w:qFormat/>
    <w:uiPriority w:val="0"/>
    <w:rPr>
      <w:sz w:val="18"/>
      <w:szCs w:val="18"/>
    </w:rPr>
  </w:style>
  <w:style w:type="character" w:customStyle="1" w:styleId="146">
    <w:name w:val="正文文本 字符"/>
    <w:qFormat/>
    <w:uiPriority w:val="99"/>
    <w:rPr>
      <w:kern w:val="2"/>
      <w:sz w:val="21"/>
      <w:szCs w:val="24"/>
    </w:rPr>
  </w:style>
  <w:style w:type="character" w:customStyle="1" w:styleId="147">
    <w:name w:val="style351"/>
    <w:qFormat/>
    <w:uiPriority w:val="0"/>
    <w:rPr>
      <w:sz w:val="15"/>
      <w:szCs w:val="15"/>
    </w:rPr>
  </w:style>
  <w:style w:type="character" w:customStyle="1" w:styleId="148">
    <w:name w:val="日期 Char1"/>
    <w:qFormat/>
    <w:uiPriority w:val="0"/>
    <w:rPr>
      <w:szCs w:val="24"/>
    </w:rPr>
  </w:style>
  <w:style w:type="character" w:customStyle="1" w:styleId="149">
    <w:name w:val="普通文字1 Char"/>
    <w:qFormat/>
    <w:uiPriority w:val="0"/>
    <w:rPr>
      <w:rFonts w:ascii="宋体" w:hAnsi="Courier New" w:eastAsia="宋体"/>
      <w:kern w:val="2"/>
      <w:sz w:val="21"/>
      <w:lang w:val="en-US" w:eastAsia="zh-CN" w:bidi="ar-SA"/>
    </w:rPr>
  </w:style>
  <w:style w:type="character" w:customStyle="1" w:styleId="150">
    <w:name w:val="脚注文本 Char2"/>
    <w:qFormat/>
    <w:uiPriority w:val="0"/>
    <w:rPr>
      <w:sz w:val="18"/>
      <w:szCs w:val="18"/>
    </w:rPr>
  </w:style>
  <w:style w:type="character" w:customStyle="1" w:styleId="151">
    <w:name w:val="正文文本缩进 3 Char1"/>
    <w:qFormat/>
    <w:uiPriority w:val="0"/>
    <w:rPr>
      <w:sz w:val="16"/>
      <w:szCs w:val="16"/>
    </w:rPr>
  </w:style>
  <w:style w:type="character" w:customStyle="1" w:styleId="152">
    <w:name w:val="Plain Text Char1"/>
    <w:qFormat/>
    <w:uiPriority w:val="99"/>
    <w:rPr>
      <w:rFonts w:ascii="宋体" w:hAnsi="Courier New" w:cs="Courier New"/>
      <w:kern w:val="2"/>
      <w:sz w:val="21"/>
      <w:szCs w:val="21"/>
    </w:rPr>
  </w:style>
  <w:style w:type="character" w:customStyle="1" w:styleId="153">
    <w:name w:val="标题 4 Char1"/>
    <w:qFormat/>
    <w:uiPriority w:val="0"/>
    <w:rPr>
      <w:rFonts w:ascii="Cambria" w:hAnsi="Cambria" w:eastAsia="宋体" w:cs="Times New Roman"/>
      <w:b/>
      <w:bCs/>
      <w:kern w:val="2"/>
      <w:sz w:val="28"/>
      <w:szCs w:val="28"/>
    </w:rPr>
  </w:style>
  <w:style w:type="character" w:customStyle="1" w:styleId="154">
    <w:name w:val="font71"/>
    <w:qFormat/>
    <w:uiPriority w:val="0"/>
    <w:rPr>
      <w:rFonts w:hint="default" w:ascii="Times New Roman" w:hAnsi="Times New Roman" w:cs="Times New Roman"/>
      <w:b/>
      <w:color w:val="000000"/>
      <w:sz w:val="18"/>
      <w:szCs w:val="18"/>
      <w:u w:val="none"/>
    </w:rPr>
  </w:style>
  <w:style w:type="character" w:customStyle="1" w:styleId="155">
    <w:name w:val="font81"/>
    <w:qFormat/>
    <w:uiPriority w:val="0"/>
    <w:rPr>
      <w:rFonts w:hint="eastAsia" w:ascii="宋体" w:hAnsi="宋体" w:eastAsia="宋体" w:cs="宋体"/>
      <w:color w:val="000000"/>
      <w:sz w:val="21"/>
      <w:szCs w:val="21"/>
      <w:u w:val="none"/>
      <w:vertAlign w:val="superscript"/>
    </w:rPr>
  </w:style>
  <w:style w:type="character" w:customStyle="1" w:styleId="156">
    <w:name w:val="font41"/>
    <w:qFormat/>
    <w:uiPriority w:val="0"/>
    <w:rPr>
      <w:rFonts w:hint="eastAsia" w:ascii="宋体" w:hAnsi="宋体" w:eastAsia="宋体" w:cs="宋体"/>
      <w:color w:val="000000"/>
      <w:sz w:val="21"/>
      <w:szCs w:val="21"/>
      <w:u w:val="none"/>
    </w:rPr>
  </w:style>
  <w:style w:type="character" w:customStyle="1" w:styleId="157">
    <w:name w:val="批注框文本 字符"/>
    <w:qFormat/>
    <w:uiPriority w:val="99"/>
    <w:rPr>
      <w:kern w:val="2"/>
      <w:sz w:val="16"/>
      <w:szCs w:val="0"/>
    </w:rPr>
  </w:style>
  <w:style w:type="character" w:customStyle="1" w:styleId="158">
    <w:name w:val="纯文本 Char1"/>
    <w:qFormat/>
    <w:uiPriority w:val="0"/>
    <w:rPr>
      <w:rFonts w:ascii="宋体" w:hAnsi="Courier New" w:eastAsia="宋体"/>
      <w:sz w:val="24"/>
      <w:szCs w:val="24"/>
    </w:rPr>
  </w:style>
  <w:style w:type="character" w:customStyle="1" w:styleId="159">
    <w:name w:val="HTML 预设格式 Char1"/>
    <w:qFormat/>
    <w:uiPriority w:val="0"/>
    <w:rPr>
      <w:rFonts w:ascii="宋体" w:hAnsi="宋体"/>
      <w:sz w:val="24"/>
    </w:rPr>
  </w:style>
  <w:style w:type="character" w:customStyle="1" w:styleId="160">
    <w:name w:val="文档结构图 Char1"/>
    <w:qFormat/>
    <w:uiPriority w:val="0"/>
    <w:rPr>
      <w:kern w:val="2"/>
      <w:sz w:val="16"/>
      <w:szCs w:val="16"/>
      <w:shd w:val="clear" w:color="auto" w:fill="000080"/>
    </w:rPr>
  </w:style>
  <w:style w:type="character" w:customStyle="1" w:styleId="161">
    <w:name w:val="脚注文本 Char1"/>
    <w:qFormat/>
    <w:uiPriority w:val="0"/>
    <w:rPr>
      <w:kern w:val="2"/>
      <w:sz w:val="18"/>
      <w:szCs w:val="18"/>
    </w:rPr>
  </w:style>
  <w:style w:type="character" w:customStyle="1" w:styleId="162">
    <w:name w:val="批注主题 Char1"/>
    <w:qFormat/>
    <w:uiPriority w:val="0"/>
  </w:style>
  <w:style w:type="character" w:customStyle="1" w:styleId="163">
    <w:name w:val="批注文字 Char1"/>
    <w:qFormat/>
    <w:uiPriority w:val="0"/>
    <w:rPr>
      <w:rFonts w:ascii="Times New Roman" w:hAnsi="Times New Roman" w:eastAsia="宋体" w:cs="Times New Roman"/>
      <w:szCs w:val="24"/>
    </w:rPr>
  </w:style>
  <w:style w:type="character" w:customStyle="1" w:styleId="164">
    <w:name w:val="font31"/>
    <w:qFormat/>
    <w:uiPriority w:val="0"/>
    <w:rPr>
      <w:rFonts w:hint="eastAsia" w:ascii="宋体" w:hAnsi="宋体" w:eastAsia="宋体" w:cs="宋体"/>
      <w:color w:val="000000"/>
      <w:sz w:val="18"/>
      <w:szCs w:val="18"/>
      <w:u w:val="none"/>
    </w:rPr>
  </w:style>
  <w:style w:type="character" w:customStyle="1" w:styleId="165">
    <w:name w:val="Header Char1"/>
    <w:qFormat/>
    <w:uiPriority w:val="99"/>
    <w:rPr>
      <w:kern w:val="2"/>
      <w:sz w:val="18"/>
      <w:szCs w:val="18"/>
    </w:rPr>
  </w:style>
  <w:style w:type="character" w:customStyle="1" w:styleId="166">
    <w:name w:val="正文缩进 Char Char"/>
    <w:qFormat/>
    <w:uiPriority w:val="0"/>
    <w:rPr>
      <w:rFonts w:eastAsia="宋体" w:cs="Times New Roman"/>
      <w:sz w:val="21"/>
      <w:lang w:val="en-US" w:eastAsia="zh-CN" w:bidi="ar-SA"/>
    </w:rPr>
  </w:style>
  <w:style w:type="character" w:customStyle="1" w:styleId="167">
    <w:name w:val="fontblank12"/>
    <w:qFormat/>
    <w:uiPriority w:val="0"/>
  </w:style>
  <w:style w:type="character" w:customStyle="1" w:styleId="168">
    <w:name w:val="标题 1 Char2"/>
    <w:qFormat/>
    <w:uiPriority w:val="0"/>
    <w:rPr>
      <w:rFonts w:ascii="Times New Roman" w:hAnsi="Times New Roman" w:eastAsia="宋体" w:cs="Times New Roman"/>
      <w:b/>
      <w:bCs/>
      <w:kern w:val="44"/>
      <w:sz w:val="44"/>
      <w:szCs w:val="44"/>
    </w:rPr>
  </w:style>
  <w:style w:type="character" w:customStyle="1" w:styleId="169">
    <w:name w:val="标题 6 Char"/>
    <w:qFormat/>
    <w:uiPriority w:val="9"/>
    <w:rPr>
      <w:rFonts w:ascii="Cambria" w:hAnsi="Cambria" w:eastAsia="宋体" w:cs="Times New Roman"/>
      <w:b/>
      <w:bCs/>
      <w:kern w:val="2"/>
      <w:sz w:val="24"/>
      <w:szCs w:val="24"/>
    </w:rPr>
  </w:style>
  <w:style w:type="character" w:customStyle="1" w:styleId="170">
    <w:name w:val="样式 样式 小四 行距: 固定值 27 磅 + 首行缩进:  2 字符 Char Char"/>
    <w:link w:val="171"/>
    <w:qFormat/>
    <w:uiPriority w:val="0"/>
    <w:rPr>
      <w:rFonts w:eastAsia="宋体" w:cs="Times New Roman"/>
      <w:kern w:val="2"/>
      <w:sz w:val="24"/>
      <w:lang w:val="en-US" w:eastAsia="zh-CN" w:bidi="ar-SA"/>
    </w:rPr>
  </w:style>
  <w:style w:type="paragraph" w:customStyle="1" w:styleId="171">
    <w:name w:val="样式 样式 小四 行距: 固定值 27 磅 + 首行缩进:  2 字符"/>
    <w:basedOn w:val="1"/>
    <w:link w:val="170"/>
    <w:qFormat/>
    <w:uiPriority w:val="0"/>
    <w:pPr>
      <w:spacing w:line="360" w:lineRule="auto"/>
      <w:ind w:firstLine="480" w:firstLineChars="200"/>
    </w:pPr>
    <w:rPr>
      <w:sz w:val="24"/>
      <w:szCs w:val="20"/>
    </w:rPr>
  </w:style>
  <w:style w:type="character" w:customStyle="1" w:styleId="172">
    <w:name w:val="font51"/>
    <w:qFormat/>
    <w:uiPriority w:val="0"/>
    <w:rPr>
      <w:rFonts w:hint="default" w:ascii="Calibri" w:hAnsi="Calibri" w:cs="Calibri"/>
      <w:color w:val="000000"/>
      <w:sz w:val="21"/>
      <w:szCs w:val="21"/>
      <w:u w:val="none"/>
    </w:rPr>
  </w:style>
  <w:style w:type="character" w:customStyle="1" w:styleId="173">
    <w:name w:val="批注文字 Char2"/>
    <w:qFormat/>
    <w:uiPriority w:val="0"/>
    <w:rPr>
      <w:sz w:val="21"/>
      <w:szCs w:val="24"/>
    </w:rPr>
  </w:style>
  <w:style w:type="character" w:customStyle="1" w:styleId="174">
    <w:name w:val="正文文本 2 Char1"/>
    <w:qFormat/>
    <w:uiPriority w:val="0"/>
    <w:rPr>
      <w:szCs w:val="24"/>
    </w:rPr>
  </w:style>
  <w:style w:type="character" w:customStyle="1" w:styleId="175">
    <w:name w:val="正文缩进 Char1"/>
    <w:qFormat/>
    <w:uiPriority w:val="0"/>
    <w:rPr>
      <w:rFonts w:eastAsia="宋体"/>
      <w:kern w:val="2"/>
      <w:sz w:val="21"/>
      <w:lang w:val="en-US" w:eastAsia="zh-CN" w:bidi="ar-SA"/>
    </w:rPr>
  </w:style>
  <w:style w:type="character" w:customStyle="1" w:styleId="176">
    <w:name w:val="正文（首行缩进两字） Char12"/>
    <w:qFormat/>
    <w:uiPriority w:val="0"/>
    <w:rPr>
      <w:rFonts w:eastAsia="宋体"/>
      <w:kern w:val="2"/>
      <w:sz w:val="21"/>
      <w:lang w:val="en-US" w:eastAsia="zh-CN" w:bidi="ar-SA"/>
    </w:rPr>
  </w:style>
  <w:style w:type="character" w:customStyle="1" w:styleId="177">
    <w:name w:val="font141"/>
    <w:qFormat/>
    <w:uiPriority w:val="0"/>
    <w:rPr>
      <w:rFonts w:hint="eastAsia" w:ascii="宋体" w:hAnsi="宋体" w:eastAsia="宋体" w:cs="宋体"/>
      <w:b/>
      <w:color w:val="000000"/>
      <w:sz w:val="18"/>
      <w:szCs w:val="18"/>
      <w:u w:val="none"/>
    </w:rPr>
  </w:style>
  <w:style w:type="character" w:customStyle="1" w:styleId="178">
    <w:name w:val="编号1. Char Char"/>
    <w:qFormat/>
    <w:uiPriority w:val="0"/>
    <w:rPr>
      <w:rFonts w:ascii="Times New Roman" w:hAnsi="Times New Roman" w:eastAsia="宋体" w:cs="Times New Roman"/>
      <w:sz w:val="24"/>
      <w:szCs w:val="24"/>
    </w:rPr>
  </w:style>
  <w:style w:type="character" w:customStyle="1" w:styleId="179">
    <w:name w:val="3zw"/>
    <w:qFormat/>
    <w:uiPriority w:val="0"/>
  </w:style>
  <w:style w:type="character" w:customStyle="1" w:styleId="180">
    <w:name w:val="不明显强调1"/>
    <w:qFormat/>
    <w:uiPriority w:val="0"/>
    <w:rPr>
      <w:i/>
      <w:iCs/>
      <w:color w:val="808080"/>
    </w:rPr>
  </w:style>
  <w:style w:type="character" w:customStyle="1" w:styleId="181">
    <w:name w:val="标题1"/>
    <w:qFormat/>
    <w:uiPriority w:val="0"/>
    <w:rPr>
      <w:rFonts w:ascii="隶书" w:eastAsia="宋体"/>
      <w:color w:val="000000"/>
      <w:sz w:val="24"/>
    </w:rPr>
  </w:style>
  <w:style w:type="character" w:customStyle="1" w:styleId="182">
    <w:name w:val="标题 5 Char1"/>
    <w:qFormat/>
    <w:uiPriority w:val="0"/>
    <w:rPr>
      <w:rFonts w:ascii="Times New Roman" w:hAnsi="Times New Roman" w:eastAsia="宋体" w:cs="Times New Roman"/>
      <w:b/>
      <w:bCs/>
      <w:kern w:val="2"/>
      <w:sz w:val="28"/>
      <w:szCs w:val="28"/>
    </w:rPr>
  </w:style>
  <w:style w:type="character" w:customStyle="1" w:styleId="183">
    <w:name w:val="main5"/>
    <w:qFormat/>
    <w:uiPriority w:val="0"/>
    <w:rPr>
      <w:color w:val="000000"/>
      <w:sz w:val="20"/>
      <w:szCs w:val="20"/>
    </w:rPr>
  </w:style>
  <w:style w:type="character" w:customStyle="1" w:styleId="184">
    <w:name w:val="标题 1.1 Char"/>
    <w:qFormat/>
    <w:uiPriority w:val="0"/>
    <w:rPr>
      <w:rFonts w:ascii="Arial" w:hAnsi="Arial" w:eastAsia="黑体" w:cs="Times New Roman"/>
      <w:b/>
      <w:bCs/>
      <w:kern w:val="2"/>
      <w:sz w:val="32"/>
      <w:szCs w:val="32"/>
      <w:lang w:val="en-US" w:eastAsia="zh-CN" w:bidi="ar-SA"/>
    </w:rPr>
  </w:style>
  <w:style w:type="character" w:customStyle="1" w:styleId="185">
    <w:name w:val="标题 7 Char1"/>
    <w:qFormat/>
    <w:uiPriority w:val="0"/>
    <w:rPr>
      <w:rFonts w:eastAsia="创艺简行楷"/>
      <w:b/>
      <w:sz w:val="24"/>
    </w:rPr>
  </w:style>
  <w:style w:type="character" w:customStyle="1" w:styleId="186">
    <w:name w:val="标题 8 Char1"/>
    <w:qFormat/>
    <w:uiPriority w:val="0"/>
    <w:rPr>
      <w:rFonts w:ascii="Arial" w:hAnsi="Arial" w:eastAsia="黑体"/>
      <w:sz w:val="24"/>
    </w:rPr>
  </w:style>
  <w:style w:type="character" w:customStyle="1" w:styleId="187">
    <w:name w:val="标题2"/>
    <w:qFormat/>
    <w:uiPriority w:val="0"/>
    <w:rPr>
      <w:rFonts w:ascii="隶书" w:eastAsia="隶书"/>
      <w:b/>
      <w:color w:val="000000"/>
      <w:sz w:val="36"/>
    </w:rPr>
  </w:style>
  <w:style w:type="character" w:customStyle="1" w:styleId="188">
    <w:name w:val="标题 2 字符"/>
    <w:qFormat/>
    <w:uiPriority w:val="9"/>
    <w:rPr>
      <w:rFonts w:ascii="Times New Roman" w:hAnsi="Times New Roman" w:eastAsia="宋体" w:cs="Times New Roman"/>
      <w:b/>
      <w:bCs/>
      <w:kern w:val="2"/>
      <w:sz w:val="24"/>
      <w:szCs w:val="32"/>
      <w:lang w:val="en-US" w:eastAsia="zh-CN" w:bidi="ar-SA"/>
    </w:rPr>
  </w:style>
  <w:style w:type="character" w:customStyle="1" w:styleId="189">
    <w:name w:val="font01"/>
    <w:qFormat/>
    <w:uiPriority w:val="0"/>
    <w:rPr>
      <w:rFonts w:hint="eastAsia" w:ascii="宋体" w:hAnsi="宋体" w:eastAsia="宋体" w:cs="宋体"/>
      <w:color w:val="000000"/>
      <w:sz w:val="18"/>
      <w:szCs w:val="18"/>
      <w:u w:val="none"/>
    </w:rPr>
  </w:style>
  <w:style w:type="character" w:customStyle="1" w:styleId="190">
    <w:name w:val="Body Text Indent Char1"/>
    <w:qFormat/>
    <w:uiPriority w:val="0"/>
    <w:rPr>
      <w:kern w:val="2"/>
      <w:sz w:val="21"/>
      <w:szCs w:val="24"/>
    </w:rPr>
  </w:style>
  <w:style w:type="character" w:customStyle="1" w:styleId="191">
    <w:name w:val="z-窗体底端 Char1"/>
    <w:qFormat/>
    <w:uiPriority w:val="0"/>
    <w:rPr>
      <w:rFonts w:ascii="Arial" w:hAnsi="Arial" w:eastAsia="宋体" w:cs="Arial"/>
      <w:vanish/>
      <w:sz w:val="16"/>
      <w:szCs w:val="16"/>
    </w:rPr>
  </w:style>
  <w:style w:type="character" w:customStyle="1" w:styleId="192">
    <w:name w:val="标题 3 Char3"/>
    <w:qFormat/>
    <w:uiPriority w:val="0"/>
    <w:rPr>
      <w:rFonts w:eastAsia="宋体"/>
      <w:kern w:val="2"/>
      <w:sz w:val="24"/>
      <w:lang w:val="en-US" w:eastAsia="zh-CN" w:bidi="ar-SA"/>
    </w:rPr>
  </w:style>
  <w:style w:type="paragraph" w:customStyle="1" w:styleId="193">
    <w:name w:val="font6"/>
    <w:basedOn w:val="1"/>
    <w:qFormat/>
    <w:uiPriority w:val="0"/>
    <w:pPr>
      <w:widowControl/>
      <w:spacing w:before="100" w:beforeAutospacing="1" w:after="100" w:afterAutospacing="1"/>
      <w:jc w:val="left"/>
    </w:pPr>
    <w:rPr>
      <w:rFonts w:eastAsia="Arial Unicode MS"/>
      <w:kern w:val="0"/>
      <w:sz w:val="20"/>
      <w:szCs w:val="20"/>
    </w:rPr>
  </w:style>
  <w:style w:type="paragraph" w:customStyle="1" w:styleId="194">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95">
    <w:name w:val="_Style 1"/>
    <w:basedOn w:val="1"/>
    <w:qFormat/>
    <w:uiPriority w:val="34"/>
    <w:pPr>
      <w:spacing w:line="360" w:lineRule="auto"/>
      <w:ind w:firstLine="420" w:firstLineChars="200"/>
    </w:pPr>
    <w:rPr>
      <w:rFonts w:ascii="宋体" w:hAnsi="宋体"/>
      <w:kern w:val="0"/>
    </w:rPr>
  </w:style>
  <w:style w:type="paragraph" w:customStyle="1" w:styleId="196">
    <w:name w:val="Char Char Char Char Char Char Char Char Char Char1"/>
    <w:basedOn w:val="1"/>
    <w:qFormat/>
    <w:uiPriority w:val="0"/>
    <w:pPr>
      <w:widowControl/>
      <w:spacing w:after="160" w:line="240" w:lineRule="exact"/>
      <w:jc w:val="left"/>
    </w:pPr>
    <w:rPr>
      <w:szCs w:val="20"/>
    </w:rPr>
  </w:style>
  <w:style w:type="paragraph" w:customStyle="1" w:styleId="197">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198">
    <w:name w:val="xl54"/>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99">
    <w:name w:val="Char Char Char Char Char Char Char11"/>
    <w:basedOn w:val="1"/>
    <w:qFormat/>
    <w:uiPriority w:val="0"/>
    <w:rPr>
      <w:rFonts w:ascii="Arial" w:hAnsi="Arial"/>
      <w:snapToGrid w:val="0"/>
      <w:szCs w:val="21"/>
    </w:rPr>
  </w:style>
  <w:style w:type="paragraph" w:customStyle="1" w:styleId="200">
    <w:name w:val="z-窗体顶端1"/>
    <w:basedOn w:val="1"/>
    <w:next w:val="1"/>
    <w:qFormat/>
    <w:uiPriority w:val="99"/>
    <w:pPr>
      <w:pBdr>
        <w:bottom w:val="single" w:color="auto" w:sz="6" w:space="1"/>
      </w:pBdr>
      <w:jc w:val="center"/>
    </w:pPr>
    <w:rPr>
      <w:rFonts w:ascii="Arial" w:hAnsi="Arial" w:cs="Arial"/>
      <w:vanish/>
      <w:sz w:val="16"/>
      <w:szCs w:val="16"/>
    </w:rPr>
  </w:style>
  <w:style w:type="paragraph" w:customStyle="1" w:styleId="201">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202">
    <w:name w:val="常规"/>
    <w:basedOn w:val="1"/>
    <w:qFormat/>
    <w:uiPriority w:val="0"/>
    <w:pPr>
      <w:widowControl/>
      <w:jc w:val="left"/>
    </w:pPr>
    <w:rPr>
      <w:rFonts w:ascii="Arial" w:hAnsi="Arial" w:cs="Arial"/>
      <w:color w:val="000000"/>
      <w:kern w:val="0"/>
      <w:sz w:val="20"/>
      <w:szCs w:val="20"/>
    </w:rPr>
  </w:style>
  <w:style w:type="paragraph" w:customStyle="1" w:styleId="203">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204">
    <w:name w:val="表中"/>
    <w:basedOn w:val="1"/>
    <w:qFormat/>
    <w:uiPriority w:val="0"/>
    <w:pPr>
      <w:adjustRightInd w:val="0"/>
      <w:spacing w:line="360" w:lineRule="atLeast"/>
      <w:jc w:val="center"/>
      <w:textAlignment w:val="baseline"/>
    </w:pPr>
    <w:rPr>
      <w:kern w:val="0"/>
      <w:szCs w:val="20"/>
    </w:rPr>
  </w:style>
  <w:style w:type="paragraph" w:customStyle="1" w:styleId="205">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06">
    <w:name w:val="z-窗体底端1"/>
    <w:basedOn w:val="1"/>
    <w:next w:val="1"/>
    <w:qFormat/>
    <w:uiPriority w:val="99"/>
    <w:pPr>
      <w:pBdr>
        <w:top w:val="single" w:color="auto" w:sz="6" w:space="1"/>
      </w:pBdr>
      <w:jc w:val="center"/>
    </w:pPr>
    <w:rPr>
      <w:rFonts w:ascii="Arial" w:hAnsi="Arial" w:cs="Arial"/>
      <w:vanish/>
      <w:sz w:val="16"/>
      <w:szCs w:val="16"/>
    </w:rPr>
  </w:style>
  <w:style w:type="paragraph" w:customStyle="1" w:styleId="207">
    <w:name w:val="0"/>
    <w:basedOn w:val="1"/>
    <w:qFormat/>
    <w:uiPriority w:val="0"/>
    <w:pPr>
      <w:widowControl/>
    </w:pPr>
    <w:rPr>
      <w:kern w:val="0"/>
      <w:szCs w:val="20"/>
    </w:rPr>
  </w:style>
  <w:style w:type="paragraph" w:customStyle="1" w:styleId="208">
    <w:name w:val="样式4"/>
    <w:basedOn w:val="6"/>
    <w:qFormat/>
    <w:uiPriority w:val="0"/>
    <w:pPr>
      <w:keepNext w:val="0"/>
      <w:keepLines w:val="0"/>
      <w:tabs>
        <w:tab w:val="left" w:pos="425"/>
        <w:tab w:val="left" w:pos="851"/>
      </w:tabs>
      <w:adjustRightInd w:val="0"/>
      <w:snapToGrid w:val="0"/>
      <w:spacing w:before="0" w:after="0" w:line="360" w:lineRule="auto"/>
      <w:ind w:left="425" w:hanging="425"/>
    </w:pPr>
    <w:rPr>
      <w:rFonts w:ascii="Times New Roman" w:hAnsi="Times New Roman"/>
      <w:bCs w:val="0"/>
      <w:sz w:val="24"/>
      <w:szCs w:val="20"/>
    </w:rPr>
  </w:style>
  <w:style w:type="paragraph" w:customStyle="1" w:styleId="209">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4"/>
      <w:szCs w:val="20"/>
    </w:rPr>
  </w:style>
  <w:style w:type="paragraph" w:customStyle="1" w:styleId="210">
    <w:name w:val="表格大标题"/>
    <w:qFormat/>
    <w:uiPriority w:val="0"/>
    <w:pPr>
      <w:jc w:val="center"/>
      <w:outlineLvl w:val="0"/>
    </w:pPr>
    <w:rPr>
      <w:rFonts w:ascii="Times New Roman" w:hAnsi="Times New Roman" w:eastAsia="方正小标宋简体" w:cs="Times New Roman"/>
      <w:bCs/>
      <w:sz w:val="36"/>
      <w:szCs w:val="36"/>
      <w:lang w:val="en-US" w:eastAsia="zh-CN" w:bidi="ar-SA"/>
    </w:rPr>
  </w:style>
  <w:style w:type="paragraph" w:customStyle="1" w:styleId="211">
    <w:name w:val="17"/>
    <w:basedOn w:val="1"/>
    <w:qFormat/>
    <w:uiPriority w:val="0"/>
    <w:pPr>
      <w:widowControl/>
      <w:spacing w:before="100" w:beforeAutospacing="1" w:after="100" w:afterAutospacing="1"/>
      <w:jc w:val="left"/>
    </w:pPr>
    <w:rPr>
      <w:kern w:val="0"/>
      <w:sz w:val="20"/>
      <w:szCs w:val="20"/>
    </w:rPr>
  </w:style>
  <w:style w:type="paragraph" w:customStyle="1" w:styleId="212">
    <w:name w:val="我的正文"/>
    <w:basedOn w:val="1"/>
    <w:qFormat/>
    <w:uiPriority w:val="0"/>
    <w:pPr>
      <w:spacing w:line="520" w:lineRule="exact"/>
      <w:ind w:firstLine="192" w:firstLineChars="192"/>
    </w:pPr>
    <w:rPr>
      <w:sz w:val="28"/>
      <w:szCs w:val="28"/>
    </w:rPr>
  </w:style>
  <w:style w:type="paragraph" w:customStyle="1" w:styleId="213">
    <w:name w:val="Char11"/>
    <w:basedOn w:val="1"/>
    <w:qFormat/>
    <w:uiPriority w:val="0"/>
    <w:pPr>
      <w:widowControl/>
      <w:spacing w:after="160" w:line="240" w:lineRule="exact"/>
      <w:jc w:val="left"/>
    </w:pPr>
    <w:rPr>
      <w:rFonts w:ascii="宋体"/>
      <w:kern w:val="0"/>
      <w:sz w:val="34"/>
      <w:szCs w:val="20"/>
    </w:rPr>
  </w:style>
  <w:style w:type="paragraph" w:customStyle="1" w:styleId="214">
    <w:name w:val="Char Char1 Char Char Char Char"/>
    <w:basedOn w:val="1"/>
    <w:qFormat/>
    <w:uiPriority w:val="0"/>
    <w:rPr>
      <w:szCs w:val="20"/>
    </w:rPr>
  </w:style>
  <w:style w:type="paragraph" w:customStyle="1" w:styleId="215">
    <w:name w:val="二级标"/>
    <w:basedOn w:val="1"/>
    <w:qFormat/>
    <w:uiPriority w:val="0"/>
    <w:pPr>
      <w:spacing w:line="300" w:lineRule="auto"/>
      <w:outlineLvl w:val="1"/>
    </w:pPr>
    <w:rPr>
      <w:rFonts w:ascii="宋体" w:hAnsi="宋体" w:eastAsia="隶书"/>
      <w:b/>
      <w:sz w:val="36"/>
      <w:szCs w:val="20"/>
    </w:rPr>
  </w:style>
  <w:style w:type="paragraph" w:customStyle="1" w:styleId="216">
    <w:name w:val="标书正文"/>
    <w:basedOn w:val="1"/>
    <w:qFormat/>
    <w:uiPriority w:val="0"/>
    <w:pPr>
      <w:spacing w:beforeLines="50" w:afterLines="50" w:line="276" w:lineRule="auto"/>
      <w:ind w:firstLine="480" w:firstLineChars="200"/>
    </w:pPr>
    <w:rPr>
      <w:rFonts w:ascii="Calibri" w:hAnsi="Calibri" w:eastAsia="Times New Roman"/>
      <w:kern w:val="0"/>
      <w:sz w:val="24"/>
    </w:rPr>
  </w:style>
  <w:style w:type="paragraph" w:customStyle="1" w:styleId="217">
    <w:name w:val="Char3"/>
    <w:basedOn w:val="1"/>
    <w:qFormat/>
    <w:uiPriority w:val="0"/>
    <w:pPr>
      <w:widowControl/>
      <w:spacing w:after="160" w:line="240" w:lineRule="exact"/>
      <w:jc w:val="left"/>
    </w:pPr>
    <w:rPr>
      <w:rFonts w:ascii="Tahoma" w:hAnsi="Tahoma"/>
      <w:kern w:val="0"/>
      <w:sz w:val="24"/>
      <w:lang w:eastAsia="en-US"/>
    </w:rPr>
  </w:style>
  <w:style w:type="paragraph" w:customStyle="1" w:styleId="218">
    <w:name w:val="xl3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19">
    <w:name w:val="Char Char Char Char Char Char Char"/>
    <w:basedOn w:val="1"/>
    <w:qFormat/>
    <w:uiPriority w:val="0"/>
    <w:pPr>
      <w:widowControl/>
      <w:spacing w:after="160" w:line="240" w:lineRule="exact"/>
      <w:jc w:val="left"/>
    </w:pPr>
    <w:rPr>
      <w:szCs w:val="20"/>
    </w:rPr>
  </w:style>
  <w:style w:type="paragraph" w:customStyle="1" w:styleId="220">
    <w:name w:val="xl61"/>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221">
    <w:name w:val="xl4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kern w:val="0"/>
      <w:sz w:val="20"/>
      <w:szCs w:val="20"/>
    </w:rPr>
  </w:style>
  <w:style w:type="paragraph" w:customStyle="1" w:styleId="222">
    <w:name w:val="Char Char Char Char"/>
    <w:basedOn w:val="1"/>
    <w:qFormat/>
    <w:uiPriority w:val="0"/>
    <w:rPr>
      <w:rFonts w:ascii="仿宋_GB2312" w:eastAsia="仿宋_GB2312"/>
      <w:b/>
      <w:sz w:val="32"/>
      <w:szCs w:val="32"/>
    </w:rPr>
  </w:style>
  <w:style w:type="paragraph" w:customStyle="1" w:styleId="223">
    <w:name w:val="xl59"/>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224">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25">
    <w:name w:val="表格文字"/>
    <w:qFormat/>
    <w:uiPriority w:val="0"/>
    <w:pPr>
      <w:autoSpaceDE w:val="0"/>
      <w:autoSpaceDN w:val="0"/>
      <w:adjustRightInd w:val="0"/>
      <w:snapToGrid w:val="0"/>
      <w:jc w:val="center"/>
    </w:pPr>
    <w:rPr>
      <w:rFonts w:ascii="宋体" w:hAnsi="Times New Roman" w:eastAsia="宋体" w:cs="Times New Roman"/>
      <w:sz w:val="24"/>
      <w:lang w:val="en-US" w:eastAsia="zh-CN" w:bidi="ar-SA"/>
    </w:rPr>
  </w:style>
  <w:style w:type="paragraph" w:customStyle="1" w:styleId="22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227">
    <w:name w:val="TOC 标题2"/>
    <w:basedOn w:val="2"/>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228">
    <w:name w:val="Char Char Char Char Char Char1 Char Char Char Char"/>
    <w:basedOn w:val="1"/>
    <w:qFormat/>
    <w:uiPriority w:val="0"/>
  </w:style>
  <w:style w:type="paragraph" w:customStyle="1" w:styleId="229">
    <w:name w:val="小五 宋体 居中"/>
    <w:basedOn w:val="1"/>
    <w:qFormat/>
    <w:uiPriority w:val="0"/>
    <w:pPr>
      <w:jc w:val="center"/>
    </w:pPr>
    <w:rPr>
      <w:sz w:val="18"/>
      <w:szCs w:val="20"/>
    </w:rPr>
  </w:style>
  <w:style w:type="paragraph" w:customStyle="1" w:styleId="230">
    <w:name w:val="1"/>
    <w:basedOn w:val="1"/>
    <w:next w:val="26"/>
    <w:qFormat/>
    <w:uiPriority w:val="0"/>
    <w:rPr>
      <w:rFonts w:ascii="宋体" w:hAnsi="Courier New"/>
      <w:szCs w:val="20"/>
    </w:rPr>
  </w:style>
  <w:style w:type="paragraph" w:customStyle="1" w:styleId="231">
    <w:name w:val="xl4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kern w:val="0"/>
      <w:sz w:val="20"/>
      <w:szCs w:val="20"/>
    </w:rPr>
  </w:style>
  <w:style w:type="paragraph" w:customStyle="1" w:styleId="2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3">
    <w:name w:val="Char111"/>
    <w:basedOn w:val="1"/>
    <w:qFormat/>
    <w:uiPriority w:val="0"/>
    <w:pPr>
      <w:widowControl/>
      <w:spacing w:after="160" w:line="240" w:lineRule="exact"/>
      <w:jc w:val="left"/>
    </w:pPr>
    <w:rPr>
      <w:rFonts w:ascii="宋体"/>
      <w:kern w:val="0"/>
      <w:sz w:val="34"/>
      <w:szCs w:val="20"/>
    </w:rPr>
  </w:style>
  <w:style w:type="paragraph" w:customStyle="1" w:styleId="234">
    <w:name w:val="样式 首行缩进:  2 字符"/>
    <w:basedOn w:val="1"/>
    <w:link w:val="235"/>
    <w:qFormat/>
    <w:uiPriority w:val="0"/>
    <w:pPr>
      <w:autoSpaceDE w:val="0"/>
      <w:autoSpaceDN w:val="0"/>
      <w:adjustRightInd w:val="0"/>
      <w:snapToGrid w:val="0"/>
      <w:ind w:firstLine="480"/>
    </w:pPr>
    <w:rPr>
      <w:rFonts w:ascii="Microsoft Sans Serif" w:hAnsi="Microsoft Sans Serif" w:cs="宋体"/>
      <w:sz w:val="24"/>
    </w:rPr>
  </w:style>
  <w:style w:type="character" w:customStyle="1" w:styleId="235">
    <w:name w:val="样式 首行缩进:  2 字符 Char1"/>
    <w:link w:val="234"/>
    <w:qFormat/>
    <w:locked/>
    <w:uiPriority w:val="0"/>
    <w:rPr>
      <w:rFonts w:ascii="Microsoft Sans Serif" w:hAnsi="Microsoft Sans Serif" w:cs="宋体"/>
      <w:kern w:val="2"/>
      <w:sz w:val="24"/>
      <w:szCs w:val="24"/>
    </w:rPr>
  </w:style>
  <w:style w:type="paragraph" w:customStyle="1" w:styleId="236">
    <w:name w:val="xl2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3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3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39">
    <w:name w:val="Char Char Char Char Char Char Char1"/>
    <w:basedOn w:val="1"/>
    <w:qFormat/>
    <w:uiPriority w:val="0"/>
    <w:rPr>
      <w:rFonts w:ascii="Arial" w:hAnsi="Arial"/>
      <w:snapToGrid w:val="0"/>
      <w:szCs w:val="21"/>
    </w:rPr>
  </w:style>
  <w:style w:type="paragraph" w:customStyle="1" w:styleId="240">
    <w:name w:val="Char1"/>
    <w:basedOn w:val="1"/>
    <w:qFormat/>
    <w:uiPriority w:val="0"/>
    <w:pPr>
      <w:widowControl/>
      <w:spacing w:after="160" w:line="240" w:lineRule="exact"/>
      <w:jc w:val="left"/>
    </w:pPr>
    <w:rPr>
      <w:rFonts w:ascii="宋体"/>
      <w:kern w:val="0"/>
      <w:sz w:val="34"/>
      <w:szCs w:val="20"/>
    </w:rPr>
  </w:style>
  <w:style w:type="paragraph" w:customStyle="1" w:styleId="241">
    <w:name w:val="p15"/>
    <w:basedOn w:val="1"/>
    <w:qFormat/>
    <w:uiPriority w:val="0"/>
    <w:pPr>
      <w:widowControl/>
      <w:ind w:left="210"/>
      <w:jc w:val="left"/>
    </w:pPr>
    <w:rPr>
      <w:smallCaps/>
      <w:kern w:val="0"/>
      <w:sz w:val="20"/>
      <w:szCs w:val="20"/>
    </w:rPr>
  </w:style>
  <w:style w:type="paragraph" w:customStyle="1" w:styleId="242">
    <w:name w:val="_Style 16"/>
    <w:basedOn w:val="1"/>
    <w:qFormat/>
    <w:uiPriority w:val="0"/>
    <w:pPr>
      <w:widowControl/>
      <w:spacing w:after="160" w:line="240" w:lineRule="exact"/>
      <w:jc w:val="left"/>
    </w:pPr>
  </w:style>
  <w:style w:type="paragraph" w:customStyle="1" w:styleId="243">
    <w:name w:val="19"/>
    <w:basedOn w:val="1"/>
    <w:qFormat/>
    <w:uiPriority w:val="0"/>
    <w:pPr>
      <w:widowControl/>
      <w:snapToGrid w:val="0"/>
      <w:spacing w:before="100" w:beforeAutospacing="1" w:after="120" w:line="360" w:lineRule="atLeast"/>
      <w:jc w:val="left"/>
    </w:pPr>
    <w:rPr>
      <w:rFonts w:ascii="宋体" w:hAnsi="宋体"/>
      <w:kern w:val="0"/>
      <w:sz w:val="28"/>
      <w:szCs w:val="20"/>
    </w:rPr>
  </w:style>
  <w:style w:type="paragraph" w:customStyle="1" w:styleId="244">
    <w:name w:val="缺省文本"/>
    <w:basedOn w:val="1"/>
    <w:qFormat/>
    <w:uiPriority w:val="0"/>
    <w:pPr>
      <w:autoSpaceDE w:val="0"/>
      <w:autoSpaceDN w:val="0"/>
      <w:adjustRightInd w:val="0"/>
      <w:jc w:val="left"/>
    </w:pPr>
    <w:rPr>
      <w:rFonts w:ascii="仿宋_GB2312" w:eastAsia="仿宋_GB2312"/>
      <w:kern w:val="0"/>
      <w:sz w:val="24"/>
      <w:szCs w:val="20"/>
    </w:rPr>
  </w:style>
  <w:style w:type="paragraph" w:customStyle="1" w:styleId="245">
    <w:name w:val="正文文本 31"/>
    <w:basedOn w:val="1"/>
    <w:qFormat/>
    <w:uiPriority w:val="0"/>
    <w:pPr>
      <w:adjustRightInd w:val="0"/>
      <w:spacing w:line="312" w:lineRule="atLeast"/>
      <w:jc w:val="center"/>
      <w:textAlignment w:val="baseline"/>
    </w:pPr>
    <w:rPr>
      <w:kern w:val="0"/>
      <w:szCs w:val="20"/>
    </w:rPr>
  </w:style>
  <w:style w:type="paragraph" w:customStyle="1" w:styleId="246">
    <w:name w:val="Char Char"/>
    <w:basedOn w:val="1"/>
    <w:qFormat/>
    <w:uiPriority w:val="0"/>
    <w:pPr>
      <w:ind w:left="567" w:hanging="279"/>
    </w:pPr>
    <w:rPr>
      <w:rFonts w:ascii="Calibri" w:hAnsi="Calibri"/>
    </w:rPr>
  </w:style>
  <w:style w:type="paragraph" w:customStyle="1" w:styleId="247">
    <w:name w:val="WPSOffice手动目录 1"/>
    <w:qFormat/>
    <w:uiPriority w:val="0"/>
    <w:rPr>
      <w:rFonts w:ascii="Times New Roman" w:hAnsi="Times New Roman" w:eastAsia="宋体" w:cs="Times New Roman"/>
      <w:lang w:val="en-US" w:eastAsia="zh-CN" w:bidi="ar-SA"/>
    </w:rPr>
  </w:style>
  <w:style w:type="paragraph" w:customStyle="1" w:styleId="248">
    <w:name w:val="TOC 标题3"/>
    <w:basedOn w:val="2"/>
    <w:next w:val="1"/>
    <w:unhideWhenUsed/>
    <w:qFormat/>
    <w:uiPriority w:val="39"/>
    <w:pPr>
      <w:widowControl/>
      <w:spacing w:before="0" w:after="0" w:line="276" w:lineRule="auto"/>
      <w:jc w:val="left"/>
      <w:outlineLvl w:val="9"/>
    </w:pPr>
    <w:rPr>
      <w:rFonts w:ascii="Calibri Light" w:hAnsi="Calibri Light"/>
      <w:color w:val="2E74B5"/>
      <w:kern w:val="0"/>
      <w:sz w:val="28"/>
      <w:szCs w:val="28"/>
    </w:rPr>
  </w:style>
  <w:style w:type="paragraph" w:customStyle="1" w:styleId="249">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50">
    <w:name w:val="纯文本1"/>
    <w:basedOn w:val="1"/>
    <w:qFormat/>
    <w:uiPriority w:val="0"/>
    <w:pPr>
      <w:adjustRightInd w:val="0"/>
      <w:textAlignment w:val="baseline"/>
    </w:pPr>
    <w:rPr>
      <w:szCs w:val="20"/>
    </w:rPr>
  </w:style>
  <w:style w:type="paragraph" w:customStyle="1" w:styleId="251">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5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253">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25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55">
    <w:name w:val="标题 2-"/>
    <w:basedOn w:val="3"/>
    <w:qFormat/>
    <w:uiPriority w:val="0"/>
    <w:pPr>
      <w:spacing w:before="240" w:after="120" w:line="360" w:lineRule="auto"/>
      <w:jc w:val="center"/>
    </w:pPr>
    <w:rPr>
      <w:rFonts w:ascii="Times New Roman" w:hAnsi="Times New Roman"/>
      <w:b w:val="0"/>
      <w:bCs w:val="0"/>
      <w:sz w:val="24"/>
      <w:szCs w:val="20"/>
    </w:rPr>
  </w:style>
  <w:style w:type="paragraph" w:customStyle="1" w:styleId="256">
    <w:name w:val="样式 标题 2标题 2 Char Char Char Char Char2标题 2 Char1 Char + 五号"/>
    <w:basedOn w:val="3"/>
    <w:next w:val="1"/>
    <w:qFormat/>
    <w:uiPriority w:val="0"/>
    <w:pPr>
      <w:keepNext w:val="0"/>
      <w:keepLines w:val="0"/>
      <w:spacing w:before="0" w:after="0" w:line="360" w:lineRule="auto"/>
      <w:ind w:left="567" w:hanging="567"/>
    </w:pPr>
    <w:rPr>
      <w:rFonts w:ascii="Times New Roman" w:hAnsi="Times New Roman" w:eastAsia="宋体"/>
      <w:bCs w:val="0"/>
      <w:kern w:val="0"/>
      <w:sz w:val="21"/>
      <w:szCs w:val="20"/>
    </w:rPr>
  </w:style>
  <w:style w:type="paragraph" w:customStyle="1" w:styleId="257">
    <w:name w:val="xl5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258">
    <w:name w:val="TOC 标题1"/>
    <w:basedOn w:val="2"/>
    <w:next w:val="1"/>
    <w:qFormat/>
    <w:uiPriority w:val="39"/>
    <w:pPr>
      <w:widowControl/>
      <w:spacing w:before="480" w:after="0" w:line="276" w:lineRule="auto"/>
      <w:jc w:val="left"/>
      <w:outlineLvl w:val="9"/>
    </w:pPr>
    <w:rPr>
      <w:rFonts w:ascii="Cambria" w:hAnsi="Cambria"/>
      <w:color w:val="365F90"/>
      <w:kern w:val="0"/>
      <w:sz w:val="28"/>
      <w:szCs w:val="28"/>
    </w:rPr>
  </w:style>
  <w:style w:type="paragraph" w:customStyle="1" w:styleId="259">
    <w:name w:val="Char Char2 Char Char"/>
    <w:basedOn w:val="1"/>
    <w:qFormat/>
    <w:uiPriority w:val="0"/>
    <w:rPr>
      <w:rFonts w:ascii="仿宋_GB2312" w:eastAsia="仿宋_GB2312"/>
      <w:b/>
      <w:sz w:val="32"/>
      <w:szCs w:val="32"/>
    </w:rPr>
  </w:style>
  <w:style w:type="paragraph" w:customStyle="1" w:styleId="26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61">
    <w:name w:val="p18"/>
    <w:basedOn w:val="1"/>
    <w:qFormat/>
    <w:uiPriority w:val="99"/>
    <w:pPr>
      <w:widowControl/>
      <w:ind w:firstLine="420"/>
    </w:pPr>
    <w:rPr>
      <w:kern w:val="0"/>
      <w:szCs w:val="21"/>
    </w:rPr>
  </w:style>
  <w:style w:type="paragraph" w:customStyle="1" w:styleId="262">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263">
    <w:name w:val="A4-SIZE"/>
    <w:basedOn w:val="1"/>
    <w:qFormat/>
    <w:uiPriority w:val="0"/>
    <w:pPr>
      <w:widowControl/>
      <w:autoSpaceDE w:val="0"/>
      <w:autoSpaceDN w:val="0"/>
      <w:jc w:val="left"/>
    </w:pPr>
    <w:rPr>
      <w:rFonts w:ascii="Roman 12cpi" w:hAnsi="Roman 12cpi"/>
      <w:kern w:val="0"/>
      <w:sz w:val="20"/>
      <w:szCs w:val="20"/>
      <w:lang w:val="en-GB"/>
    </w:rPr>
  </w:style>
  <w:style w:type="paragraph" w:customStyle="1" w:styleId="264">
    <w:name w:val="font5"/>
    <w:basedOn w:val="1"/>
    <w:qFormat/>
    <w:uiPriority w:val="0"/>
    <w:pPr>
      <w:widowControl/>
      <w:spacing w:before="100" w:beforeAutospacing="1" w:after="100" w:afterAutospacing="1"/>
      <w:jc w:val="left"/>
    </w:pPr>
    <w:rPr>
      <w:rFonts w:hint="eastAsia" w:ascii="宋体" w:hAnsi="宋体"/>
      <w:kern w:val="0"/>
      <w:sz w:val="18"/>
      <w:szCs w:val="20"/>
    </w:rPr>
  </w:style>
  <w:style w:type="paragraph" w:customStyle="1" w:styleId="265">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26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0"/>
      <w:szCs w:val="20"/>
    </w:rPr>
  </w:style>
  <w:style w:type="paragraph" w:customStyle="1" w:styleId="267">
    <w:name w:val="xl4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68">
    <w:name w:val="_Style 7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9">
    <w:name w:val="Char Char Char Char Char Char Char12"/>
    <w:basedOn w:val="1"/>
    <w:qFormat/>
    <w:uiPriority w:val="0"/>
    <w:rPr>
      <w:rFonts w:ascii="Arial" w:hAnsi="Arial"/>
      <w:snapToGrid w:val="0"/>
      <w:szCs w:val="21"/>
    </w:rPr>
  </w:style>
  <w:style w:type="paragraph" w:customStyle="1" w:styleId="270">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271">
    <w:name w:val="样式 楷体_GB2312 小四 首行缩进:  0.8 厘米 行距: 固定值 28 磅"/>
    <w:basedOn w:val="1"/>
    <w:qFormat/>
    <w:uiPriority w:val="0"/>
    <w:pPr>
      <w:ind w:firstLine="550" w:firstLineChars="262"/>
    </w:pPr>
    <w:rPr>
      <w:szCs w:val="21"/>
    </w:rPr>
  </w:style>
  <w:style w:type="paragraph" w:customStyle="1" w:styleId="272">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273">
    <w:name w:val="末级"/>
    <w:basedOn w:val="1"/>
    <w:qFormat/>
    <w:uiPriority w:val="0"/>
    <w:pPr>
      <w:tabs>
        <w:tab w:val="left" w:pos="851"/>
      </w:tabs>
      <w:spacing w:line="360" w:lineRule="auto"/>
      <w:ind w:firstLine="510"/>
    </w:pPr>
    <w:rPr>
      <w:sz w:val="24"/>
    </w:rPr>
  </w:style>
  <w:style w:type="paragraph" w:customStyle="1" w:styleId="274">
    <w:name w:val="xl5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b/>
      <w:kern w:val="0"/>
      <w:sz w:val="32"/>
      <w:szCs w:val="20"/>
    </w:rPr>
  </w:style>
  <w:style w:type="paragraph" w:customStyle="1" w:styleId="275">
    <w:name w:val="Char2"/>
    <w:basedOn w:val="1"/>
    <w:qFormat/>
    <w:uiPriority w:val="0"/>
    <w:pPr>
      <w:spacing w:line="360" w:lineRule="auto"/>
    </w:pPr>
    <w:rPr>
      <w:rFonts w:ascii="黑体" w:hAnsi="黑体"/>
      <w:sz w:val="24"/>
      <w:lang w:val="zh-CN"/>
    </w:rPr>
  </w:style>
  <w:style w:type="paragraph" w:customStyle="1" w:styleId="276">
    <w:name w:val="段落样式"/>
    <w:basedOn w:val="1"/>
    <w:qFormat/>
    <w:uiPriority w:val="0"/>
    <w:pPr>
      <w:widowControl/>
      <w:spacing w:line="400" w:lineRule="exact"/>
      <w:ind w:firstLine="480" w:firstLineChars="200"/>
    </w:pPr>
    <w:rPr>
      <w:rFonts w:ascii="黑体" w:hAnsi="黑体"/>
      <w:kern w:val="0"/>
      <w:sz w:val="24"/>
    </w:rPr>
  </w:style>
  <w:style w:type="paragraph" w:customStyle="1" w:styleId="277">
    <w:name w:val="Char12"/>
    <w:basedOn w:val="1"/>
    <w:qFormat/>
    <w:uiPriority w:val="0"/>
    <w:pPr>
      <w:widowControl/>
      <w:spacing w:after="160" w:line="240" w:lineRule="exact"/>
      <w:jc w:val="left"/>
    </w:pPr>
    <w:rPr>
      <w:rFonts w:ascii="宋体"/>
      <w:kern w:val="0"/>
      <w:sz w:val="34"/>
      <w:szCs w:val="20"/>
    </w:rPr>
  </w:style>
  <w:style w:type="paragraph" w:customStyle="1" w:styleId="278">
    <w:name w:val="样式1"/>
    <w:basedOn w:val="1"/>
    <w:qFormat/>
    <w:uiPriority w:val="0"/>
    <w:pPr>
      <w:spacing w:line="360" w:lineRule="auto"/>
      <w:jc w:val="center"/>
    </w:pPr>
    <w:rPr>
      <w:rFonts w:ascii="宋体" w:hAnsi="宋体"/>
      <w:b/>
      <w:sz w:val="32"/>
      <w:szCs w:val="30"/>
    </w:rPr>
  </w:style>
  <w:style w:type="paragraph" w:customStyle="1" w:styleId="279">
    <w:name w:val="样式3"/>
    <w:basedOn w:val="5"/>
    <w:qFormat/>
    <w:uiPriority w:val="0"/>
    <w:pPr>
      <w:tabs>
        <w:tab w:val="left" w:pos="425"/>
        <w:tab w:val="left" w:pos="709"/>
      </w:tabs>
      <w:adjustRightInd w:val="0"/>
      <w:snapToGrid w:val="0"/>
      <w:spacing w:line="360" w:lineRule="auto"/>
      <w:ind w:left="425" w:hanging="425"/>
      <w:jc w:val="left"/>
    </w:pPr>
    <w:rPr>
      <w:bCs w:val="0"/>
      <w:sz w:val="24"/>
      <w:szCs w:val="20"/>
    </w:rPr>
  </w:style>
  <w:style w:type="paragraph" w:customStyle="1" w:styleId="280">
    <w:name w:val="Char Char Char Char Char Char Char Char1"/>
    <w:basedOn w:val="1"/>
    <w:qFormat/>
    <w:uiPriority w:val="0"/>
    <w:rPr>
      <w:szCs w:val="20"/>
    </w:rPr>
  </w:style>
  <w:style w:type="paragraph" w:customStyle="1" w:styleId="281">
    <w:name w:val="列出段落1"/>
    <w:basedOn w:val="1"/>
    <w:qFormat/>
    <w:uiPriority w:val="0"/>
    <w:pPr>
      <w:ind w:firstLine="420" w:firstLineChars="200"/>
    </w:pPr>
    <w:rPr>
      <w:rFonts w:ascii="Calibri" w:hAnsi="Calibri"/>
      <w:szCs w:val="22"/>
    </w:rPr>
  </w:style>
  <w:style w:type="paragraph" w:customStyle="1" w:styleId="282">
    <w:name w:val="正文缩进2"/>
    <w:basedOn w:val="1"/>
    <w:qFormat/>
    <w:uiPriority w:val="0"/>
    <w:pPr>
      <w:ind w:firstLine="420"/>
    </w:pPr>
    <w:rPr>
      <w:szCs w:val="20"/>
    </w:rPr>
  </w:style>
  <w:style w:type="paragraph" w:customStyle="1" w:styleId="283">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284">
    <w:name w:val="正文段"/>
    <w:basedOn w:val="1"/>
    <w:qFormat/>
    <w:uiPriority w:val="0"/>
    <w:pPr>
      <w:spacing w:line="360" w:lineRule="auto"/>
      <w:ind w:firstLine="420"/>
    </w:pPr>
    <w:rPr>
      <w:rFonts w:ascii="宋体"/>
      <w:sz w:val="24"/>
    </w:rPr>
  </w:style>
  <w:style w:type="paragraph" w:customStyle="1" w:styleId="285">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87">
    <w:name w:val="_Style 286"/>
    <w:qFormat/>
    <w:uiPriority w:val="0"/>
    <w:rPr>
      <w:rFonts w:ascii="Times New Roman" w:hAnsi="Times New Roman" w:eastAsia="宋体" w:cs="Times New Roman"/>
      <w:kern w:val="2"/>
      <w:sz w:val="21"/>
      <w:szCs w:val="24"/>
      <w:lang w:val="en-US" w:eastAsia="zh-CN" w:bidi="ar-SA"/>
    </w:rPr>
  </w:style>
  <w:style w:type="paragraph" w:customStyle="1" w:styleId="28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kern w:val="0"/>
      <w:sz w:val="20"/>
      <w:szCs w:val="20"/>
    </w:rPr>
  </w:style>
  <w:style w:type="paragraph" w:customStyle="1" w:styleId="28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0"/>
      <w:szCs w:val="20"/>
    </w:rPr>
  </w:style>
  <w:style w:type="paragraph" w:customStyle="1" w:styleId="290">
    <w:name w:val="font0"/>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291">
    <w:name w:val="Char Char Char Char Char Char Char Char Char"/>
    <w:basedOn w:val="1"/>
    <w:qFormat/>
    <w:uiPriority w:val="0"/>
    <w:pPr>
      <w:widowControl/>
      <w:spacing w:after="160" w:line="240" w:lineRule="exact"/>
      <w:jc w:val="left"/>
    </w:pPr>
    <w:rPr>
      <w:szCs w:val="20"/>
    </w:rPr>
  </w:style>
  <w:style w:type="paragraph" w:customStyle="1" w:styleId="292">
    <w:name w:val="一级标"/>
    <w:basedOn w:val="1"/>
    <w:qFormat/>
    <w:uiPriority w:val="0"/>
    <w:pPr>
      <w:spacing w:line="300" w:lineRule="auto"/>
      <w:outlineLvl w:val="0"/>
    </w:pPr>
    <w:rPr>
      <w:sz w:val="24"/>
      <w:szCs w:val="20"/>
    </w:rPr>
  </w:style>
  <w:style w:type="paragraph" w:customStyle="1" w:styleId="29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94">
    <w:name w:val="样式6"/>
    <w:basedOn w:val="8"/>
    <w:qFormat/>
    <w:uiPriority w:val="0"/>
    <w:pPr>
      <w:tabs>
        <w:tab w:val="left" w:pos="425"/>
      </w:tabs>
      <w:adjustRightInd w:val="0"/>
      <w:spacing w:before="0" w:after="0" w:line="360" w:lineRule="auto"/>
      <w:ind w:left="425" w:hanging="425"/>
    </w:pPr>
    <w:rPr>
      <w:rFonts w:ascii="宋体" w:eastAsia="宋体"/>
      <w:b w:val="0"/>
    </w:rPr>
  </w:style>
  <w:style w:type="paragraph" w:customStyle="1" w:styleId="295">
    <w:name w:val="xl5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296">
    <w:name w:val="1 Char Char Char"/>
    <w:basedOn w:val="1"/>
    <w:next w:val="5"/>
    <w:qFormat/>
    <w:uiPriority w:val="0"/>
    <w:pPr>
      <w:spacing w:line="500" w:lineRule="exact"/>
      <w:ind w:firstLine="200"/>
      <w:jc w:val="center"/>
    </w:pPr>
    <w:rPr>
      <w:rFonts w:ascii="仿宋_GB2312" w:hAnsi="Arial" w:eastAsia="仿宋_GB2312" w:cs="Arial"/>
      <w:bCs/>
      <w:sz w:val="32"/>
      <w:szCs w:val="32"/>
    </w:rPr>
  </w:style>
  <w:style w:type="paragraph" w:customStyle="1" w:styleId="297">
    <w:name w:val="p0"/>
    <w:basedOn w:val="1"/>
    <w:qFormat/>
    <w:uiPriority w:val="0"/>
    <w:pPr>
      <w:widowControl/>
    </w:pPr>
    <w:rPr>
      <w:kern w:val="0"/>
      <w:szCs w:val="21"/>
    </w:rPr>
  </w:style>
  <w:style w:type="paragraph" w:customStyle="1" w:styleId="298">
    <w:name w:val="p16"/>
    <w:basedOn w:val="1"/>
    <w:qFormat/>
    <w:uiPriority w:val="99"/>
    <w:pPr>
      <w:widowControl/>
      <w:ind w:left="210"/>
      <w:jc w:val="left"/>
    </w:pPr>
    <w:rPr>
      <w:smallCaps/>
      <w:kern w:val="0"/>
      <w:sz w:val="20"/>
      <w:szCs w:val="20"/>
    </w:rPr>
  </w:style>
  <w:style w:type="paragraph" w:customStyle="1" w:styleId="299">
    <w:name w:val="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300">
    <w:name w:val="样式 标题 3 + 仿宋_GB2312 小四 段前: 0 磅 段后: 0 磅"/>
    <w:basedOn w:val="5"/>
    <w:qFormat/>
    <w:uiPriority w:val="0"/>
    <w:pPr>
      <w:keepNext/>
      <w:keepLines/>
      <w:spacing w:before="156" w:beforeLines="50" w:line="415" w:lineRule="auto"/>
      <w:jc w:val="center"/>
    </w:pPr>
    <w:rPr>
      <w:rFonts w:ascii="仿宋_GB2312" w:eastAsia="仿宋_GB2312" w:cs="宋体"/>
      <w:kern w:val="0"/>
      <w:sz w:val="24"/>
      <w:szCs w:val="20"/>
    </w:rPr>
  </w:style>
  <w:style w:type="paragraph" w:customStyle="1" w:styleId="301">
    <w:name w:val="补充"/>
    <w:basedOn w:val="9"/>
    <w:qFormat/>
    <w:uiPriority w:val="0"/>
    <w:pPr>
      <w:spacing w:line="360" w:lineRule="auto"/>
      <w:ind w:firstLine="0"/>
    </w:pPr>
    <w:rPr>
      <w:b/>
      <w:szCs w:val="24"/>
    </w:rPr>
  </w:style>
  <w:style w:type="paragraph" w:customStyle="1" w:styleId="302">
    <w:name w:val="xl6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303">
    <w:name w:val="Char"/>
    <w:basedOn w:val="1"/>
    <w:qFormat/>
    <w:uiPriority w:val="0"/>
    <w:pPr>
      <w:widowControl/>
      <w:spacing w:after="160" w:line="240" w:lineRule="exact"/>
      <w:jc w:val="left"/>
    </w:pPr>
    <w:rPr>
      <w:rFonts w:ascii="Tahoma" w:hAnsi="Tahoma"/>
      <w:kern w:val="0"/>
      <w:sz w:val="24"/>
      <w:lang w:eastAsia="en-US"/>
    </w:rPr>
  </w:style>
  <w:style w:type="paragraph" w:customStyle="1" w:styleId="304">
    <w:name w:val="Char Char Char1 Char"/>
    <w:basedOn w:val="1"/>
    <w:qFormat/>
    <w:uiPriority w:val="0"/>
    <w:rPr>
      <w:szCs w:val="20"/>
    </w:rPr>
  </w:style>
  <w:style w:type="paragraph" w:styleId="30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06">
    <w:name w:val="xl62"/>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307">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308">
    <w:name w:val="font7"/>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309">
    <w:name w:val="样式5"/>
    <w:basedOn w:val="7"/>
    <w:qFormat/>
    <w:uiPriority w:val="0"/>
    <w:pPr>
      <w:keepNext w:val="0"/>
      <w:keepLines w:val="0"/>
      <w:tabs>
        <w:tab w:val="left" w:pos="425"/>
        <w:tab w:val="left" w:pos="648"/>
      </w:tabs>
      <w:adjustRightInd w:val="0"/>
      <w:snapToGrid w:val="0"/>
      <w:spacing w:before="0" w:after="0" w:line="360" w:lineRule="auto"/>
      <w:ind w:left="425" w:hanging="137"/>
    </w:pPr>
    <w:rPr>
      <w:rFonts w:ascii="宋体"/>
      <w:bCs w:val="0"/>
      <w:sz w:val="24"/>
      <w:szCs w:val="20"/>
    </w:rPr>
  </w:style>
  <w:style w:type="paragraph" w:customStyle="1" w:styleId="31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12"/>
      <w:szCs w:val="20"/>
    </w:rPr>
  </w:style>
  <w:style w:type="paragraph" w:customStyle="1" w:styleId="31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0"/>
      <w:szCs w:val="20"/>
    </w:rPr>
  </w:style>
  <w:style w:type="paragraph" w:customStyle="1" w:styleId="312">
    <w:name w:val="样式7"/>
    <w:basedOn w:val="32"/>
    <w:qFormat/>
    <w:uiPriority w:val="0"/>
    <w:pPr>
      <w:pBdr>
        <w:bottom w:val="single" w:color="auto" w:sz="4" w:space="1"/>
      </w:pBdr>
      <w:tabs>
        <w:tab w:val="clear" w:pos="4153"/>
        <w:tab w:val="clear" w:pos="8306"/>
      </w:tabs>
      <w:snapToGrid/>
      <w:ind w:right="360"/>
      <w:jc w:val="both"/>
    </w:pPr>
    <w:rPr>
      <w:szCs w:val="20"/>
    </w:rPr>
  </w:style>
  <w:style w:type="paragraph" w:customStyle="1" w:styleId="313">
    <w:name w:val="修订1"/>
    <w:qFormat/>
    <w:uiPriority w:val="99"/>
    <w:rPr>
      <w:rFonts w:ascii="Times New Roman" w:hAnsi="Times New Roman" w:eastAsia="宋体" w:cs="Times New Roman"/>
      <w:kern w:val="2"/>
      <w:sz w:val="21"/>
      <w:szCs w:val="24"/>
      <w:lang w:val="en-US" w:eastAsia="zh-CN" w:bidi="ar-SA"/>
    </w:rPr>
  </w:style>
  <w:style w:type="paragraph" w:customStyle="1" w:styleId="314">
    <w:name w:val="正文缩进3"/>
    <w:basedOn w:val="1"/>
    <w:qFormat/>
    <w:uiPriority w:val="0"/>
    <w:pPr>
      <w:ind w:firstLine="420"/>
    </w:pPr>
    <w:rPr>
      <w:szCs w:val="20"/>
    </w:rPr>
  </w:style>
  <w:style w:type="paragraph" w:customStyle="1" w:styleId="315">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b/>
      <w:kern w:val="0"/>
      <w:sz w:val="32"/>
      <w:szCs w:val="20"/>
    </w:rPr>
  </w:style>
  <w:style w:type="paragraph" w:customStyle="1" w:styleId="316">
    <w:name w:val="xl4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kern w:val="0"/>
      <w:sz w:val="20"/>
      <w:szCs w:val="20"/>
    </w:rPr>
  </w:style>
  <w:style w:type="paragraph" w:customStyle="1" w:styleId="317">
    <w:name w:val="样式2"/>
    <w:basedOn w:val="41"/>
    <w:qFormat/>
    <w:uiPriority w:val="0"/>
    <w:pPr>
      <w:ind w:firstLine="2720"/>
    </w:pPr>
    <w:rPr>
      <w:bCs/>
    </w:rPr>
  </w:style>
  <w:style w:type="paragraph" w:customStyle="1" w:styleId="318">
    <w:name w:val="xl3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319">
    <w:name w:val="首行缩进:"/>
    <w:basedOn w:val="1"/>
    <w:qFormat/>
    <w:uiPriority w:val="0"/>
    <w:pPr>
      <w:ind w:firstLine="480"/>
    </w:pPr>
    <w:rPr>
      <w:szCs w:val="20"/>
    </w:rPr>
  </w:style>
  <w:style w:type="paragraph" w:customStyle="1" w:styleId="320">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kern w:val="0"/>
      <w:sz w:val="20"/>
      <w:szCs w:val="20"/>
    </w:rPr>
  </w:style>
  <w:style w:type="paragraph" w:customStyle="1" w:styleId="321">
    <w:name w:val="xl27"/>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322">
    <w:name w:val="样式 段落样式 + 首行缩进:  2 字符"/>
    <w:basedOn w:val="1"/>
    <w:qFormat/>
    <w:uiPriority w:val="0"/>
    <w:pPr>
      <w:widowControl/>
      <w:spacing w:line="400" w:lineRule="exact"/>
      <w:ind w:firstLine="472" w:firstLineChars="200"/>
    </w:pPr>
    <w:rPr>
      <w:rFonts w:ascii="宋体" w:hAnsi="宋体" w:cs="宋体"/>
      <w:kern w:val="0"/>
      <w:sz w:val="24"/>
      <w:szCs w:val="20"/>
    </w:rPr>
  </w:style>
  <w:style w:type="paragraph" w:customStyle="1" w:styleId="323">
    <w:name w:val="xl5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kern w:val="0"/>
      <w:sz w:val="20"/>
      <w:szCs w:val="20"/>
    </w:rPr>
  </w:style>
  <w:style w:type="paragraph" w:customStyle="1" w:styleId="32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table" w:customStyle="1" w:styleId="325">
    <w:name w:val="网格型1"/>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6">
    <w:name w:val="列表段落1"/>
    <w:basedOn w:val="1"/>
    <w:unhideWhenUsed/>
    <w:qFormat/>
    <w:uiPriority w:val="34"/>
    <w:pPr>
      <w:autoSpaceDE w:val="0"/>
      <w:autoSpaceDN w:val="0"/>
      <w:adjustRightInd w:val="0"/>
      <w:jc w:val="left"/>
    </w:pPr>
    <w:rPr>
      <w:szCs w:val="20"/>
    </w:rPr>
  </w:style>
  <w:style w:type="character" w:customStyle="1" w:styleId="327">
    <w:name w:val="layui-layer-tabnow"/>
    <w:qFormat/>
    <w:uiPriority w:val="0"/>
    <w:rPr>
      <w:bdr w:val="single" w:color="CCCCCC" w:sz="6" w:space="0"/>
      <w:shd w:val="clear" w:color="auto" w:fill="FFFFFF"/>
    </w:rPr>
  </w:style>
  <w:style w:type="character" w:customStyle="1" w:styleId="328">
    <w:name w:val="first-child"/>
    <w:qFormat/>
    <w:uiPriority w:val="0"/>
  </w:style>
  <w:style w:type="table" w:customStyle="1" w:styleId="329">
    <w:name w:val="网格型2"/>
    <w:basedOn w:val="5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0">
    <w:name w:val="Heading4"/>
    <w:basedOn w:val="1"/>
    <w:next w:val="1"/>
    <w:qFormat/>
    <w:uiPriority w:val="0"/>
    <w:pPr>
      <w:keepNext/>
      <w:keepLines/>
      <w:spacing w:before="280" w:beforeLines="50" w:after="290" w:line="376" w:lineRule="auto"/>
      <w:ind w:left="709" w:right="-27" w:rightChars="-27" w:hanging="709"/>
    </w:pPr>
    <w:rPr>
      <w:rFonts w:ascii="Arial" w:hAnsi="Arial" w:eastAsia="黑体"/>
      <w:sz w:val="28"/>
      <w:szCs w:val="28"/>
    </w:rPr>
  </w:style>
  <w:style w:type="character" w:customStyle="1" w:styleId="331">
    <w:name w:val="_Style 100"/>
    <w:qFormat/>
    <w:uiPriority w:val="21"/>
    <w:rPr>
      <w:b/>
      <w:bCs/>
      <w:i/>
      <w:iCs/>
      <w:color w:val="4F81BD"/>
    </w:rPr>
  </w:style>
  <w:style w:type="character" w:customStyle="1" w:styleId="332">
    <w:name w:val="称呼 Char1"/>
    <w:qFormat/>
    <w:uiPriority w:val="0"/>
    <w:rPr>
      <w:kern w:val="2"/>
      <w:sz w:val="21"/>
      <w:szCs w:val="24"/>
    </w:rPr>
  </w:style>
  <w:style w:type="character" w:customStyle="1" w:styleId="333">
    <w:name w:val="15"/>
    <w:unhideWhenUsed/>
    <w:qFormat/>
    <w:uiPriority w:val="99"/>
    <w:rPr>
      <w:rFonts w:hint="default" w:ascii="Times New Roman"/>
    </w:rPr>
  </w:style>
  <w:style w:type="character" w:customStyle="1" w:styleId="334">
    <w:name w:val="标题 6 字符"/>
    <w:semiHidden/>
    <w:qFormat/>
    <w:uiPriority w:val="9"/>
    <w:rPr>
      <w:rFonts w:ascii="等线 Light" w:hAnsi="等线 Light" w:eastAsia="等线 Light" w:cs="Times New Roman"/>
      <w:b/>
      <w:bCs/>
      <w:kern w:val="2"/>
      <w:sz w:val="24"/>
      <w:szCs w:val="24"/>
    </w:rPr>
  </w:style>
  <w:style w:type="character" w:customStyle="1" w:styleId="335">
    <w:name w:val="标题1 Char Char Char"/>
    <w:qFormat/>
    <w:uiPriority w:val="0"/>
    <w:rPr>
      <w:rFonts w:eastAsia="宋体"/>
      <w:b/>
      <w:kern w:val="44"/>
      <w:sz w:val="32"/>
      <w:lang w:val="en-US" w:eastAsia="zh-CN"/>
    </w:rPr>
  </w:style>
  <w:style w:type="character" w:customStyle="1" w:styleId="336">
    <w:name w:val="标题 5 字符"/>
    <w:semiHidden/>
    <w:qFormat/>
    <w:uiPriority w:val="9"/>
    <w:rPr>
      <w:b/>
      <w:bCs/>
      <w:kern w:val="2"/>
      <w:sz w:val="28"/>
      <w:szCs w:val="28"/>
    </w:rPr>
  </w:style>
  <w:style w:type="character" w:customStyle="1" w:styleId="337">
    <w:name w:val="Heading 4 Char"/>
    <w:qFormat/>
    <w:uiPriority w:val="9"/>
    <w:rPr>
      <w:rFonts w:ascii="Cambria" w:hAnsi="Cambria" w:eastAsia="宋体" w:cs="Times New Roman"/>
      <w:b/>
      <w:bCs/>
      <w:kern w:val="2"/>
      <w:sz w:val="28"/>
      <w:szCs w:val="28"/>
    </w:rPr>
  </w:style>
  <w:style w:type="character" w:customStyle="1" w:styleId="338">
    <w:name w:val="ind:txt Char Char"/>
    <w:qFormat/>
    <w:uiPriority w:val="0"/>
    <w:rPr>
      <w:rFonts w:eastAsia="宋体"/>
      <w:sz w:val="24"/>
      <w:lang w:val="en-US" w:eastAsia="zh-CN"/>
    </w:rPr>
  </w:style>
  <w:style w:type="character" w:customStyle="1" w:styleId="339">
    <w:name w:val="末级 Char Char Char Char"/>
    <w:qFormat/>
    <w:uiPriority w:val="0"/>
    <w:rPr>
      <w:rFonts w:eastAsia="宋体"/>
      <w:kern w:val="2"/>
      <w:sz w:val="24"/>
      <w:lang w:val="en-US" w:eastAsia="zh-CN"/>
    </w:rPr>
  </w:style>
  <w:style w:type="character" w:customStyle="1" w:styleId="340">
    <w:name w:val="图表左对齐 Char Char Char"/>
    <w:qFormat/>
    <w:uiPriority w:val="0"/>
    <w:rPr>
      <w:rFonts w:ascii="宋体" w:hAnsi="宋体" w:eastAsia="宋体"/>
      <w:spacing w:val="-10"/>
      <w:kern w:val="2"/>
      <w:sz w:val="28"/>
      <w:lang w:val="en-US" w:eastAsia="zh-CN"/>
    </w:rPr>
  </w:style>
  <w:style w:type="character" w:customStyle="1" w:styleId="341">
    <w:name w:val="样式 标题 2标题 1.1head:2#2 headlinehheadlineS&amp;R2ERMH2Head 2 +... Char Char Char"/>
    <w:qFormat/>
    <w:uiPriority w:val="0"/>
    <w:rPr>
      <w:rFonts w:ascii="Arial" w:hAnsi="Arial" w:eastAsia="宋体"/>
      <w:b/>
      <w:sz w:val="24"/>
      <w:lang w:val="en-US" w:eastAsia="zh-CN"/>
    </w:rPr>
  </w:style>
  <w:style w:type="character" w:customStyle="1" w:styleId="342">
    <w:name w:val="_Style 116"/>
    <w:qFormat/>
    <w:uiPriority w:val="33"/>
    <w:rPr>
      <w:b/>
      <w:bCs/>
      <w:smallCaps/>
      <w:spacing w:val="5"/>
    </w:rPr>
  </w:style>
  <w:style w:type="character" w:customStyle="1" w:styleId="343">
    <w:name w:val="标题 1 字符"/>
    <w:qFormat/>
    <w:uiPriority w:val="9"/>
    <w:rPr>
      <w:b/>
      <w:bCs/>
      <w:kern w:val="44"/>
      <w:sz w:val="44"/>
      <w:szCs w:val="44"/>
    </w:rPr>
  </w:style>
  <w:style w:type="character" w:customStyle="1" w:styleId="344">
    <w:name w:val="4 dash Char1"/>
    <w:qFormat/>
    <w:locked/>
    <w:uiPriority w:val="0"/>
    <w:rPr>
      <w:rFonts w:ascii="Arial" w:hAnsi="Arial" w:eastAsia="宋体"/>
      <w:kern w:val="2"/>
      <w:sz w:val="28"/>
      <w:lang w:val="en-US" w:eastAsia="zh-CN"/>
    </w:rPr>
  </w:style>
  <w:style w:type="character" w:customStyle="1" w:styleId="345">
    <w:name w:val="页眉 Char1"/>
    <w:qFormat/>
    <w:uiPriority w:val="99"/>
    <w:rPr>
      <w:rFonts w:ascii="Times New Roman" w:hAnsi="Times New Roman" w:eastAsia="宋体" w:cs="Times New Roman"/>
      <w:sz w:val="18"/>
      <w:szCs w:val="18"/>
    </w:rPr>
  </w:style>
  <w:style w:type="character" w:customStyle="1" w:styleId="346">
    <w:name w:val="明显引用 字符1"/>
    <w:link w:val="347"/>
    <w:qFormat/>
    <w:uiPriority w:val="30"/>
    <w:rPr>
      <w:b/>
      <w:bCs/>
      <w:i/>
      <w:iCs/>
      <w:color w:val="4F81BD"/>
      <w:kern w:val="2"/>
      <w:sz w:val="21"/>
      <w:szCs w:val="24"/>
    </w:rPr>
  </w:style>
  <w:style w:type="paragraph" w:styleId="347">
    <w:name w:val="Intense Quote"/>
    <w:basedOn w:val="1"/>
    <w:next w:val="1"/>
    <w:link w:val="346"/>
    <w:qFormat/>
    <w:uiPriority w:val="30"/>
    <w:pPr>
      <w:pBdr>
        <w:bottom w:val="single" w:color="4F81BD" w:sz="4" w:space="4"/>
      </w:pBdr>
      <w:spacing w:after="280" w:line="360" w:lineRule="auto"/>
      <w:ind w:left="936" w:right="936" w:rightChars="-27" w:hanging="709"/>
    </w:pPr>
    <w:rPr>
      <w:b/>
      <w:bCs/>
      <w:i/>
      <w:iCs/>
      <w:color w:val="4F81BD"/>
    </w:rPr>
  </w:style>
  <w:style w:type="character" w:customStyle="1" w:styleId="348">
    <w:name w:val="明显引用 Char1"/>
    <w:qFormat/>
    <w:uiPriority w:val="99"/>
    <w:rPr>
      <w:b/>
      <w:bCs/>
      <w:i/>
      <w:iCs/>
      <w:color w:val="4F81BD"/>
      <w:kern w:val="2"/>
      <w:sz w:val="21"/>
      <w:szCs w:val="24"/>
    </w:rPr>
  </w:style>
  <w:style w:type="character" w:customStyle="1" w:styleId="349">
    <w:name w:val="引用 字符1"/>
    <w:link w:val="350"/>
    <w:qFormat/>
    <w:uiPriority w:val="29"/>
    <w:rPr>
      <w:i/>
      <w:iCs/>
      <w:color w:val="000000"/>
      <w:kern w:val="2"/>
      <w:sz w:val="21"/>
      <w:szCs w:val="24"/>
    </w:rPr>
  </w:style>
  <w:style w:type="paragraph" w:styleId="350">
    <w:name w:val="Quote"/>
    <w:basedOn w:val="1"/>
    <w:next w:val="1"/>
    <w:link w:val="349"/>
    <w:qFormat/>
    <w:uiPriority w:val="29"/>
    <w:pPr>
      <w:spacing w:beforeLines="50" w:line="360" w:lineRule="auto"/>
      <w:ind w:left="709" w:right="-27" w:rightChars="-27" w:hanging="709"/>
    </w:pPr>
    <w:rPr>
      <w:i/>
      <w:iCs/>
      <w:color w:val="000000"/>
    </w:rPr>
  </w:style>
  <w:style w:type="character" w:customStyle="1" w:styleId="351">
    <w:name w:val="引用 Char1"/>
    <w:qFormat/>
    <w:uiPriority w:val="99"/>
    <w:rPr>
      <w:i/>
      <w:iCs/>
      <w:color w:val="000000"/>
      <w:kern w:val="2"/>
      <w:sz w:val="21"/>
      <w:szCs w:val="24"/>
    </w:rPr>
  </w:style>
  <w:style w:type="character" w:customStyle="1" w:styleId="352">
    <w:name w:val="正文文本缩进 3 字符"/>
    <w:semiHidden/>
    <w:qFormat/>
    <w:uiPriority w:val="99"/>
    <w:rPr>
      <w:kern w:val="2"/>
      <w:sz w:val="16"/>
      <w:szCs w:val="16"/>
    </w:rPr>
  </w:style>
  <w:style w:type="character" w:customStyle="1" w:styleId="353">
    <w:name w:val="文档结构图 字符"/>
    <w:semiHidden/>
    <w:qFormat/>
    <w:uiPriority w:val="99"/>
    <w:rPr>
      <w:rFonts w:ascii="Microsoft YaHei UI" w:eastAsia="Microsoft YaHei UI"/>
      <w:kern w:val="2"/>
      <w:sz w:val="18"/>
      <w:szCs w:val="18"/>
    </w:rPr>
  </w:style>
  <w:style w:type="character" w:customStyle="1" w:styleId="354">
    <w:name w:val="标题 8 字符"/>
    <w:semiHidden/>
    <w:qFormat/>
    <w:uiPriority w:val="9"/>
    <w:rPr>
      <w:rFonts w:ascii="等线 Light" w:hAnsi="等线 Light" w:eastAsia="等线 Light" w:cs="Times New Roman"/>
      <w:kern w:val="2"/>
      <w:sz w:val="24"/>
      <w:szCs w:val="24"/>
    </w:rPr>
  </w:style>
  <w:style w:type="character" w:customStyle="1" w:styleId="355">
    <w:name w:val="Char Char Char1"/>
    <w:qFormat/>
    <w:uiPriority w:val="0"/>
    <w:rPr>
      <w:rFonts w:ascii="宋体" w:hAnsi="宋体" w:eastAsia="宋体"/>
      <w:kern w:val="2"/>
      <w:sz w:val="24"/>
      <w:lang w:val="en-US" w:eastAsia="zh-CN"/>
    </w:rPr>
  </w:style>
  <w:style w:type="character" w:customStyle="1" w:styleId="356">
    <w:name w:val="标题 9 字符"/>
    <w:semiHidden/>
    <w:qFormat/>
    <w:uiPriority w:val="9"/>
    <w:rPr>
      <w:rFonts w:ascii="等线 Light" w:hAnsi="等线 Light" w:eastAsia="等线 Light" w:cs="Times New Roman"/>
      <w:kern w:val="2"/>
      <w:sz w:val="21"/>
      <w:szCs w:val="21"/>
    </w:rPr>
  </w:style>
  <w:style w:type="character" w:customStyle="1" w:styleId="357">
    <w:name w:val="标题 7 字符"/>
    <w:semiHidden/>
    <w:qFormat/>
    <w:uiPriority w:val="9"/>
    <w:rPr>
      <w:b/>
      <w:bCs/>
      <w:kern w:val="2"/>
      <w:sz w:val="24"/>
      <w:szCs w:val="24"/>
    </w:rPr>
  </w:style>
  <w:style w:type="character" w:customStyle="1" w:styleId="358">
    <w:name w:val="样式 标题 2标题 1.1head:2#2 headlinehheadlineS&amp;R2ERMH2Head 2 +... Char Char"/>
    <w:qFormat/>
    <w:uiPriority w:val="0"/>
    <w:rPr>
      <w:rFonts w:ascii="Arial" w:hAnsi="Arial" w:eastAsia="宋体"/>
      <w:b/>
      <w:sz w:val="24"/>
      <w:lang w:val="en-US" w:eastAsia="zh-CN"/>
    </w:rPr>
  </w:style>
  <w:style w:type="character" w:customStyle="1" w:styleId="359">
    <w:name w:val="樣式 標題 3 + (中文) MS Gothic 10.5 點 Char Char Char Char Char Char Char"/>
    <w:qFormat/>
    <w:uiPriority w:val="0"/>
    <w:rPr>
      <w:rFonts w:hAnsi="PMingLiU" w:eastAsia="MS Gothic"/>
      <w:snapToGrid/>
      <w:kern w:val="2"/>
      <w:sz w:val="24"/>
      <w:lang w:val="en-AU" w:eastAsia="zh-TW"/>
    </w:rPr>
  </w:style>
  <w:style w:type="character" w:customStyle="1" w:styleId="360">
    <w:name w:val="10"/>
    <w:unhideWhenUsed/>
    <w:qFormat/>
    <w:uiPriority w:val="99"/>
    <w:rPr>
      <w:rFonts w:hint="default" w:ascii="Times New Roman"/>
    </w:rPr>
  </w:style>
  <w:style w:type="character" w:customStyle="1" w:styleId="361">
    <w:name w:val="Char Char4"/>
    <w:qFormat/>
    <w:locked/>
    <w:uiPriority w:val="0"/>
    <w:rPr>
      <w:rFonts w:ascii="Calibri" w:hAnsi="Calibri" w:eastAsia="宋体"/>
      <w:kern w:val="2"/>
      <w:sz w:val="18"/>
      <w:lang w:val="en-US" w:eastAsia="zh-CN"/>
    </w:rPr>
  </w:style>
  <w:style w:type="character" w:customStyle="1" w:styleId="362">
    <w:name w:val="标题 4 Char Char Char"/>
    <w:qFormat/>
    <w:uiPriority w:val="0"/>
    <w:rPr>
      <w:rFonts w:ascii="Arial" w:hAnsi="Arial" w:eastAsia="宋体"/>
      <w:kern w:val="2"/>
      <w:sz w:val="28"/>
      <w:lang w:val="en-US" w:eastAsia="zh-CN"/>
    </w:rPr>
  </w:style>
  <w:style w:type="character" w:customStyle="1" w:styleId="363">
    <w:name w:val="正文文本缩进 2 字符"/>
    <w:semiHidden/>
    <w:qFormat/>
    <w:uiPriority w:val="99"/>
    <w:rPr>
      <w:kern w:val="2"/>
      <w:sz w:val="21"/>
      <w:szCs w:val="24"/>
    </w:rPr>
  </w:style>
  <w:style w:type="character" w:customStyle="1" w:styleId="364">
    <w:name w:val="副标题 字符"/>
    <w:qFormat/>
    <w:uiPriority w:val="11"/>
    <w:rPr>
      <w:rFonts w:ascii="等线" w:hAnsi="等线" w:eastAsia="等线" w:cs="Times New Roman"/>
      <w:b/>
      <w:bCs/>
      <w:kern w:val="28"/>
      <w:sz w:val="32"/>
      <w:szCs w:val="32"/>
    </w:rPr>
  </w:style>
  <w:style w:type="character" w:customStyle="1" w:styleId="365">
    <w:name w:val="_Style 150"/>
    <w:qFormat/>
    <w:uiPriority w:val="32"/>
    <w:rPr>
      <w:b/>
      <w:bCs/>
      <w:smallCaps/>
      <w:color w:val="C0504D"/>
      <w:spacing w:val="5"/>
      <w:u w:val="single"/>
    </w:rPr>
  </w:style>
  <w:style w:type="character" w:customStyle="1" w:styleId="366">
    <w:name w:val="日期 字符"/>
    <w:semiHidden/>
    <w:qFormat/>
    <w:uiPriority w:val="99"/>
    <w:rPr>
      <w:kern w:val="2"/>
      <w:sz w:val="21"/>
      <w:szCs w:val="24"/>
    </w:rPr>
  </w:style>
  <w:style w:type="character" w:customStyle="1" w:styleId="367">
    <w:name w:val="正文文本 2 字符"/>
    <w:semiHidden/>
    <w:qFormat/>
    <w:uiPriority w:val="99"/>
    <w:rPr>
      <w:kern w:val="2"/>
      <w:sz w:val="21"/>
      <w:szCs w:val="24"/>
    </w:rPr>
  </w:style>
  <w:style w:type="character" w:customStyle="1" w:styleId="368">
    <w:name w:val="纯文本 Char Char"/>
    <w:qFormat/>
    <w:uiPriority w:val="0"/>
    <w:rPr>
      <w:rFonts w:ascii="宋体" w:hAnsi="Courier New" w:eastAsia="宋体"/>
      <w:kern w:val="2"/>
      <w:sz w:val="21"/>
      <w:lang w:val="en-US" w:eastAsia="zh-CN"/>
    </w:rPr>
  </w:style>
  <w:style w:type="character" w:customStyle="1" w:styleId="369">
    <w:name w:val="图表左对齐 Char"/>
    <w:qFormat/>
    <w:locked/>
    <w:uiPriority w:val="0"/>
    <w:rPr>
      <w:rFonts w:ascii="宋体" w:hAnsi="宋体" w:eastAsia="宋体"/>
      <w:spacing w:val="-10"/>
      <w:kern w:val="2"/>
      <w:sz w:val="28"/>
      <w:lang w:val="en-US" w:eastAsia="zh-CN"/>
    </w:rPr>
  </w:style>
  <w:style w:type="character" w:customStyle="1" w:styleId="370">
    <w:name w:val="_Style 155"/>
    <w:qFormat/>
    <w:uiPriority w:val="31"/>
    <w:rPr>
      <w:smallCaps/>
      <w:color w:val="C0504D"/>
      <w:u w:val="single"/>
    </w:rPr>
  </w:style>
  <w:style w:type="character" w:customStyle="1" w:styleId="371">
    <w:name w:val="引用 字符"/>
    <w:qFormat/>
    <w:uiPriority w:val="29"/>
    <w:rPr>
      <w:i/>
      <w:iCs/>
      <w:color w:val="404040"/>
      <w:kern w:val="2"/>
      <w:sz w:val="21"/>
      <w:szCs w:val="24"/>
    </w:rPr>
  </w:style>
  <w:style w:type="character" w:customStyle="1" w:styleId="372">
    <w:name w:val="称呼 字符"/>
    <w:semiHidden/>
    <w:qFormat/>
    <w:uiPriority w:val="99"/>
    <w:rPr>
      <w:kern w:val="2"/>
      <w:sz w:val="21"/>
      <w:szCs w:val="24"/>
    </w:rPr>
  </w:style>
  <w:style w:type="character" w:customStyle="1" w:styleId="373">
    <w:name w:val="Heading 3 Char"/>
    <w:qFormat/>
    <w:uiPriority w:val="9"/>
    <w:rPr>
      <w:b/>
      <w:bCs/>
      <w:kern w:val="2"/>
      <w:sz w:val="32"/>
      <w:szCs w:val="32"/>
    </w:rPr>
  </w:style>
  <w:style w:type="character" w:customStyle="1" w:styleId="374">
    <w:name w:val="正文文本缩进 字符"/>
    <w:semiHidden/>
    <w:qFormat/>
    <w:uiPriority w:val="99"/>
    <w:rPr>
      <w:kern w:val="2"/>
      <w:sz w:val="21"/>
      <w:szCs w:val="24"/>
    </w:rPr>
  </w:style>
  <w:style w:type="character" w:customStyle="1" w:styleId="375">
    <w:name w:val="批注主题 字符"/>
    <w:semiHidden/>
    <w:qFormat/>
    <w:uiPriority w:val="99"/>
    <w:rPr>
      <w:b/>
      <w:bCs/>
      <w:kern w:val="2"/>
      <w:sz w:val="21"/>
      <w:szCs w:val="24"/>
    </w:rPr>
  </w:style>
  <w:style w:type="character" w:customStyle="1" w:styleId="376">
    <w:name w:val="正文文本 3 字符"/>
    <w:semiHidden/>
    <w:qFormat/>
    <w:uiPriority w:val="99"/>
    <w:rPr>
      <w:kern w:val="2"/>
      <w:sz w:val="16"/>
      <w:szCs w:val="16"/>
    </w:rPr>
  </w:style>
  <w:style w:type="character" w:customStyle="1" w:styleId="377">
    <w:name w:val="标题 3 字符"/>
    <w:semiHidden/>
    <w:qFormat/>
    <w:uiPriority w:val="9"/>
    <w:rPr>
      <w:b/>
      <w:bCs/>
      <w:kern w:val="2"/>
      <w:sz w:val="32"/>
      <w:szCs w:val="32"/>
    </w:rPr>
  </w:style>
  <w:style w:type="character" w:customStyle="1" w:styleId="378">
    <w:name w:val="fontstyle01"/>
    <w:qFormat/>
    <w:uiPriority w:val="0"/>
    <w:rPr>
      <w:rFonts w:hint="eastAsia" w:ascii="宋体" w:hAnsi="宋体" w:eastAsia="宋体"/>
      <w:color w:val="000000"/>
      <w:sz w:val="22"/>
      <w:szCs w:val="22"/>
    </w:rPr>
  </w:style>
  <w:style w:type="character" w:customStyle="1" w:styleId="379">
    <w:name w:val="图表左对齐 Char Char"/>
    <w:link w:val="380"/>
    <w:qFormat/>
    <w:locked/>
    <w:uiPriority w:val="0"/>
    <w:rPr>
      <w:spacing w:val="-10"/>
      <w:kern w:val="2"/>
      <w:sz w:val="28"/>
    </w:rPr>
  </w:style>
  <w:style w:type="paragraph" w:customStyle="1" w:styleId="380">
    <w:name w:val="图表左对齐"/>
    <w:basedOn w:val="1"/>
    <w:link w:val="379"/>
    <w:qFormat/>
    <w:uiPriority w:val="0"/>
    <w:pPr>
      <w:spacing w:beforeLines="50" w:line="360" w:lineRule="exact"/>
      <w:ind w:left="709" w:right="-27" w:rightChars="-27" w:hanging="709"/>
      <w:jc w:val="left"/>
    </w:pPr>
    <w:rPr>
      <w:spacing w:val="-10"/>
      <w:sz w:val="28"/>
      <w:szCs w:val="20"/>
    </w:rPr>
  </w:style>
  <w:style w:type="character" w:customStyle="1" w:styleId="381">
    <w:name w:val="标题1 Char Char"/>
    <w:qFormat/>
    <w:locked/>
    <w:uiPriority w:val="0"/>
    <w:rPr>
      <w:rFonts w:ascii="宋体" w:hAnsi="宋体" w:eastAsia="黑体"/>
      <w:b/>
      <w:kern w:val="44"/>
      <w:sz w:val="24"/>
    </w:rPr>
  </w:style>
  <w:style w:type="character" w:customStyle="1" w:styleId="382">
    <w:name w:val="标题 字符"/>
    <w:qFormat/>
    <w:uiPriority w:val="10"/>
    <w:rPr>
      <w:rFonts w:ascii="等线 Light" w:hAnsi="等线 Light" w:eastAsia="等线 Light" w:cs="Times New Roman"/>
      <w:b/>
      <w:bCs/>
      <w:kern w:val="2"/>
      <w:sz w:val="32"/>
      <w:szCs w:val="32"/>
    </w:rPr>
  </w:style>
  <w:style w:type="character" w:customStyle="1" w:styleId="383">
    <w:name w:val="页眉 字符"/>
    <w:qFormat/>
    <w:uiPriority w:val="99"/>
    <w:rPr>
      <w:kern w:val="2"/>
      <w:sz w:val="18"/>
      <w:szCs w:val="18"/>
    </w:rPr>
  </w:style>
  <w:style w:type="character" w:customStyle="1" w:styleId="384">
    <w:name w:val="标题 4 字符"/>
    <w:semiHidden/>
    <w:qFormat/>
    <w:uiPriority w:val="9"/>
    <w:rPr>
      <w:rFonts w:ascii="等线 Light" w:hAnsi="等线 Light" w:eastAsia="等线 Light" w:cs="Times New Roman"/>
      <w:b/>
      <w:bCs/>
      <w:kern w:val="2"/>
      <w:sz w:val="28"/>
      <w:szCs w:val="28"/>
    </w:rPr>
  </w:style>
  <w:style w:type="character" w:customStyle="1" w:styleId="385">
    <w:name w:val="HTML 预设格式 字符"/>
    <w:semiHidden/>
    <w:qFormat/>
    <w:uiPriority w:val="99"/>
    <w:rPr>
      <w:rFonts w:ascii="Courier New" w:hAnsi="Courier New" w:cs="Courier New"/>
      <w:kern w:val="2"/>
    </w:rPr>
  </w:style>
  <w:style w:type="character" w:customStyle="1" w:styleId="386">
    <w:name w:val="样式 标题 2标题 1.1head:2#2 headlinehheadlineS&amp;R2ERMH2Head 2 +... Char"/>
    <w:qFormat/>
    <w:uiPriority w:val="0"/>
    <w:rPr>
      <w:rFonts w:ascii="Arial" w:hAnsi="Arial" w:eastAsia="宋体"/>
      <w:b/>
      <w:sz w:val="24"/>
      <w:lang w:val="en-US" w:eastAsia="zh-CN"/>
    </w:rPr>
  </w:style>
  <w:style w:type="character" w:customStyle="1" w:styleId="387">
    <w:name w:val="标题 2 Char1"/>
    <w:qFormat/>
    <w:uiPriority w:val="9"/>
    <w:rPr>
      <w:rFonts w:ascii="Arial" w:hAnsi="Arial" w:eastAsia="黑体"/>
      <w:b/>
      <w:bCs/>
      <w:kern w:val="2"/>
      <w:sz w:val="32"/>
      <w:szCs w:val="32"/>
      <w:lang w:val="en-US" w:eastAsia="zh-CN" w:bidi="ar-SA"/>
    </w:rPr>
  </w:style>
  <w:style w:type="character" w:customStyle="1" w:styleId="388">
    <w:name w:val="Char Char Char"/>
    <w:qFormat/>
    <w:uiPriority w:val="0"/>
    <w:rPr>
      <w:rFonts w:eastAsia="宋体"/>
      <w:kern w:val="2"/>
      <w:sz w:val="24"/>
      <w:lang w:val="en-US" w:eastAsia="zh-CN"/>
    </w:rPr>
  </w:style>
  <w:style w:type="character" w:customStyle="1" w:styleId="389">
    <w:name w:val="55 Char Char"/>
    <w:qFormat/>
    <w:uiPriority w:val="0"/>
    <w:rPr>
      <w:rFonts w:eastAsia="宋体"/>
      <w:kern w:val="2"/>
      <w:sz w:val="24"/>
      <w:lang w:val="en-US" w:eastAsia="zh-CN"/>
    </w:rPr>
  </w:style>
  <w:style w:type="character" w:customStyle="1" w:styleId="390">
    <w:name w:val="页脚 字符"/>
    <w:semiHidden/>
    <w:qFormat/>
    <w:uiPriority w:val="99"/>
    <w:rPr>
      <w:kern w:val="2"/>
      <w:sz w:val="18"/>
      <w:szCs w:val="18"/>
    </w:rPr>
  </w:style>
  <w:style w:type="character" w:customStyle="1" w:styleId="391">
    <w:name w:val="_Style 184"/>
    <w:qFormat/>
    <w:uiPriority w:val="19"/>
    <w:rPr>
      <w:i/>
      <w:iCs/>
      <w:color w:val="808080"/>
    </w:rPr>
  </w:style>
  <w:style w:type="character" w:customStyle="1" w:styleId="392">
    <w:name w:val="_Style 185"/>
    <w:unhideWhenUsed/>
    <w:qFormat/>
    <w:uiPriority w:val="99"/>
    <w:rPr>
      <w:color w:val="605E5C"/>
      <w:shd w:val="clear" w:color="auto" w:fill="E1DFDD"/>
    </w:rPr>
  </w:style>
  <w:style w:type="character" w:customStyle="1" w:styleId="393">
    <w:name w:val="明显引用 字符"/>
    <w:qFormat/>
    <w:uiPriority w:val="30"/>
    <w:rPr>
      <w:i/>
      <w:iCs/>
      <w:color w:val="4472C4"/>
      <w:kern w:val="2"/>
      <w:sz w:val="21"/>
      <w:szCs w:val="24"/>
    </w:rPr>
  </w:style>
  <w:style w:type="paragraph" w:customStyle="1" w:styleId="394">
    <w:name w:val="mjd"/>
    <w:basedOn w:val="1"/>
    <w:qFormat/>
    <w:uiPriority w:val="0"/>
    <w:pPr>
      <w:tabs>
        <w:tab w:val="left" w:pos="1080"/>
        <w:tab w:val="left" w:pos="6960"/>
      </w:tabs>
      <w:autoSpaceDE w:val="0"/>
      <w:autoSpaceDN w:val="0"/>
      <w:adjustRightInd w:val="0"/>
      <w:spacing w:beforeLines="50" w:line="312" w:lineRule="atLeast"/>
      <w:ind w:left="1080" w:right="-27" w:rightChars="-27" w:hanging="1080"/>
      <w:jc w:val="left"/>
    </w:pPr>
    <w:rPr>
      <w:rFonts w:ascii="宋体" w:hAnsi="Tms Rmn"/>
      <w:kern w:val="0"/>
      <w:szCs w:val="20"/>
    </w:rPr>
  </w:style>
  <w:style w:type="paragraph" w:customStyle="1" w:styleId="395">
    <w:name w:val="样式标题2"/>
    <w:basedOn w:val="3"/>
    <w:qFormat/>
    <w:uiPriority w:val="0"/>
    <w:pPr>
      <w:tabs>
        <w:tab w:val="left" w:pos="480"/>
      </w:tabs>
      <w:spacing w:before="100" w:beforeAutospacing="1" w:after="100" w:afterAutospacing="1"/>
      <w:ind w:left="709" w:right="-27" w:rightChars="-27" w:hanging="709"/>
    </w:pPr>
    <w:rPr>
      <w:rFonts w:eastAsia="宋体"/>
      <w:b w:val="0"/>
      <w:kern w:val="44"/>
      <w:sz w:val="36"/>
      <w:szCs w:val="36"/>
    </w:rPr>
  </w:style>
  <w:style w:type="paragraph" w:customStyle="1" w:styleId="396">
    <w:name w:val="孙（1）"/>
    <w:qFormat/>
    <w:uiPriority w:val="0"/>
    <w:pPr>
      <w:spacing w:beforeLines="50" w:after="100" w:line="360" w:lineRule="auto"/>
      <w:ind w:left="709" w:right="-27" w:rightChars="-27" w:hanging="709"/>
      <w:jc w:val="both"/>
      <w:outlineLvl w:val="1"/>
    </w:pPr>
    <w:rPr>
      <w:rFonts w:ascii="Times New Roman" w:hAnsi="Times New Roman" w:eastAsia="宋体" w:cs="Times New Roman"/>
      <w:b/>
      <w:sz w:val="24"/>
      <w:szCs w:val="24"/>
      <w:lang w:val="en-US" w:eastAsia="zh-CN" w:bidi="ar-SA"/>
    </w:rPr>
  </w:style>
  <w:style w:type="paragraph" w:customStyle="1" w:styleId="397">
    <w:name w:val="_Style 191"/>
    <w:basedOn w:val="2"/>
    <w:next w:val="1"/>
    <w:qFormat/>
    <w:uiPriority w:val="39"/>
    <w:pPr>
      <w:spacing w:before="0" w:line="578" w:lineRule="auto"/>
      <w:ind w:left="709" w:right="-27" w:rightChars="-27" w:hanging="709"/>
      <w:outlineLvl w:val="9"/>
    </w:pPr>
  </w:style>
  <w:style w:type="paragraph" w:customStyle="1" w:styleId="398">
    <w:name w:val="正文文本1"/>
    <w:qFormat/>
    <w:uiPriority w:val="0"/>
    <w:pPr>
      <w:widowControl w:val="0"/>
      <w:autoSpaceDE w:val="0"/>
      <w:autoSpaceDN w:val="0"/>
      <w:adjustRightInd w:val="0"/>
      <w:spacing w:beforeLines="50" w:line="300" w:lineRule="atLeast"/>
      <w:ind w:left="1134" w:right="-27" w:rightChars="-27" w:hanging="709"/>
      <w:jc w:val="both"/>
    </w:pPr>
    <w:rPr>
      <w:rFonts w:ascii="Times New Roman" w:hAnsi="Times New Roman" w:eastAsia="宋体" w:cs="Times New Roman"/>
      <w:color w:val="000000"/>
      <w:sz w:val="24"/>
      <w:lang w:val="en-US" w:eastAsia="zh-CN" w:bidi="ar-SA"/>
    </w:rPr>
  </w:style>
  <w:style w:type="paragraph" w:customStyle="1" w:styleId="399">
    <w:name w:val="2"/>
    <w:basedOn w:val="1"/>
    <w:next w:val="26"/>
    <w:qFormat/>
    <w:uiPriority w:val="0"/>
    <w:pPr>
      <w:spacing w:beforeLines="50" w:line="360" w:lineRule="auto"/>
      <w:ind w:left="709" w:right="-27" w:rightChars="-27" w:hanging="709"/>
    </w:pPr>
    <w:rPr>
      <w:rFonts w:ascii="宋体" w:hAnsi="Courier New"/>
      <w:szCs w:val="20"/>
    </w:rPr>
  </w:style>
  <w:style w:type="paragraph" w:customStyle="1" w:styleId="400">
    <w:name w:val="ｽﾀｲﾙ 1"/>
    <w:basedOn w:val="1"/>
    <w:qFormat/>
    <w:uiPriority w:val="0"/>
    <w:pPr>
      <w:adjustRightInd w:val="0"/>
      <w:spacing w:beforeLines="50" w:line="360" w:lineRule="atLeast"/>
      <w:ind w:left="709" w:right="-27" w:rightChars="-27" w:hanging="709"/>
      <w:textAlignment w:val="baseline"/>
    </w:pPr>
    <w:rPr>
      <w:rFonts w:ascii="Arial" w:hAnsi="Arial" w:eastAsia="MS Gothic"/>
      <w:color w:val="000000"/>
      <w:kern w:val="0"/>
      <w:sz w:val="24"/>
      <w:szCs w:val="20"/>
      <w:lang w:eastAsia="ja-JP"/>
    </w:rPr>
  </w:style>
  <w:style w:type="paragraph" w:customStyle="1" w:styleId="401">
    <w:name w:val="Char21"/>
    <w:basedOn w:val="1"/>
    <w:qFormat/>
    <w:uiPriority w:val="0"/>
    <w:pPr>
      <w:spacing w:beforeLines="50" w:line="360" w:lineRule="auto"/>
      <w:ind w:left="709" w:right="-27" w:rightChars="-27" w:hanging="709"/>
    </w:pPr>
  </w:style>
  <w:style w:type="paragraph" w:customStyle="1" w:styleId="402">
    <w:name w:val="批注框文本1"/>
    <w:basedOn w:val="1"/>
    <w:qFormat/>
    <w:uiPriority w:val="0"/>
    <w:pPr>
      <w:spacing w:beforeLines="50" w:line="360" w:lineRule="auto"/>
      <w:ind w:left="709" w:right="-27" w:rightChars="-27" w:hanging="709"/>
    </w:pPr>
    <w:rPr>
      <w:sz w:val="16"/>
      <w:szCs w:val="16"/>
    </w:rPr>
  </w:style>
  <w:style w:type="paragraph" w:customStyle="1" w:styleId="403">
    <w:name w:val="Char Char Char1 Char Char Char Char"/>
    <w:basedOn w:val="1"/>
    <w:qFormat/>
    <w:uiPriority w:val="0"/>
    <w:pPr>
      <w:spacing w:beforeLines="50" w:line="360" w:lineRule="auto"/>
      <w:ind w:left="709" w:right="-27" w:rightChars="-27" w:hanging="709"/>
    </w:pPr>
    <w:rPr>
      <w:rFonts w:ascii="Tahoma" w:hAnsi="Tahoma"/>
      <w:sz w:val="24"/>
      <w:szCs w:val="20"/>
    </w:rPr>
  </w:style>
  <w:style w:type="paragraph" w:customStyle="1" w:styleId="404">
    <w:name w:val="style2"/>
    <w:basedOn w:val="1"/>
    <w:qFormat/>
    <w:uiPriority w:val="0"/>
    <w:pPr>
      <w:widowControl/>
      <w:spacing w:beforeAutospacing="1" w:after="100" w:afterAutospacing="1" w:line="360" w:lineRule="auto"/>
      <w:ind w:left="709" w:right="-27" w:rightChars="-27" w:hanging="709"/>
      <w:jc w:val="left"/>
    </w:pPr>
    <w:rPr>
      <w:rFonts w:ascii="ˎ̥" w:hAnsi="ˎ̥" w:cs="宋体"/>
      <w:kern w:val="0"/>
      <w:sz w:val="18"/>
      <w:szCs w:val="18"/>
    </w:rPr>
  </w:style>
  <w:style w:type="paragraph" w:customStyle="1" w:styleId="405">
    <w:name w:val="封面标准号2"/>
    <w:basedOn w:val="1"/>
    <w:qFormat/>
    <w:uiPriority w:val="0"/>
    <w:pPr>
      <w:kinsoku w:val="0"/>
      <w:overflowPunct w:val="0"/>
      <w:autoSpaceDE w:val="0"/>
      <w:autoSpaceDN w:val="0"/>
      <w:adjustRightInd w:val="0"/>
      <w:spacing w:line="280" w:lineRule="exact"/>
      <w:ind w:left="709" w:right="-27" w:rightChars="-27" w:hanging="709"/>
      <w:jc w:val="right"/>
      <w:textAlignment w:val="center"/>
    </w:pPr>
    <w:rPr>
      <w:kern w:val="0"/>
      <w:sz w:val="28"/>
      <w:szCs w:val="20"/>
    </w:rPr>
  </w:style>
  <w:style w:type="paragraph" w:customStyle="1" w:styleId="406">
    <w:name w:val="Part Title"/>
    <w:basedOn w:val="1"/>
    <w:next w:val="1"/>
    <w:qFormat/>
    <w:uiPriority w:val="0"/>
    <w:pPr>
      <w:keepNext/>
      <w:keepLines/>
      <w:widowControl/>
      <w:tabs>
        <w:tab w:val="left" w:pos="720"/>
        <w:tab w:val="left" w:pos="1080"/>
        <w:tab w:val="left" w:pos="1627"/>
      </w:tabs>
      <w:spacing w:after="120" w:line="300" w:lineRule="exact"/>
      <w:ind w:left="709" w:right="-27" w:rightChars="-27" w:hanging="709"/>
      <w:jc w:val="center"/>
    </w:pPr>
    <w:rPr>
      <w:rFonts w:ascii="Arial" w:hAnsi="Arial"/>
      <w:b/>
      <w:kern w:val="28"/>
      <w:sz w:val="36"/>
      <w:szCs w:val="20"/>
    </w:rPr>
  </w:style>
  <w:style w:type="paragraph" w:customStyle="1" w:styleId="407">
    <w:name w:val="tll"/>
    <w:basedOn w:val="1"/>
    <w:qFormat/>
    <w:uiPriority w:val="0"/>
    <w:pPr>
      <w:autoSpaceDE w:val="0"/>
      <w:autoSpaceDN w:val="0"/>
      <w:adjustRightInd w:val="0"/>
      <w:spacing w:beforeLines="50" w:line="300" w:lineRule="atLeast"/>
      <w:ind w:left="709" w:right="-27" w:rightChars="-27" w:firstLine="709"/>
      <w:jc w:val="left"/>
      <w:textAlignment w:val="baseline"/>
    </w:pPr>
    <w:rPr>
      <w:rFonts w:ascii="仿宋_GB2312" w:hAnsi="Arial" w:eastAsia="仿宋_GB2312"/>
      <w:kern w:val="0"/>
      <w:szCs w:val="20"/>
    </w:rPr>
  </w:style>
  <w:style w:type="paragraph" w:customStyle="1" w:styleId="408">
    <w:name w:val="招标文件1.1"/>
    <w:qFormat/>
    <w:uiPriority w:val="0"/>
    <w:pPr>
      <w:tabs>
        <w:tab w:val="left" w:pos="630"/>
        <w:tab w:val="left" w:pos="1080"/>
      </w:tabs>
      <w:spacing w:beforeLines="50" w:after="120" w:line="480" w:lineRule="exact"/>
      <w:ind w:left="1080" w:right="-27" w:rightChars="-27" w:hanging="1080"/>
      <w:jc w:val="both"/>
      <w:outlineLvl w:val="2"/>
    </w:pPr>
    <w:rPr>
      <w:rFonts w:ascii="宋体" w:hAnsi="Times New Roman" w:eastAsia="宋体" w:cs="Times New Roman"/>
      <w:b/>
      <w:spacing w:val="10"/>
      <w:w w:val="95"/>
      <w:sz w:val="24"/>
      <w:lang w:val="en-US" w:eastAsia="zh-CN" w:bidi="ar-SA"/>
    </w:rPr>
  </w:style>
  <w:style w:type="paragraph" w:customStyle="1" w:styleId="409">
    <w:name w:val="格式1"/>
    <w:basedOn w:val="2"/>
    <w:qFormat/>
    <w:uiPriority w:val="0"/>
    <w:pPr>
      <w:keepLines w:val="0"/>
      <w:spacing w:before="0" w:after="0" w:line="240" w:lineRule="auto"/>
      <w:ind w:left="709" w:right="-27" w:rightChars="-27" w:hanging="709"/>
      <w:jc w:val="center"/>
    </w:pPr>
    <w:rPr>
      <w:rFonts w:ascii="黑体" w:hAnsi="Arial" w:eastAsia="黑体" w:cs="Arial"/>
      <w:b w:val="0"/>
      <w:kern w:val="2"/>
      <w:sz w:val="32"/>
      <w:szCs w:val="24"/>
    </w:rPr>
  </w:style>
  <w:style w:type="paragraph" w:customStyle="1" w:styleId="410">
    <w:name w:val="Char4"/>
    <w:basedOn w:val="1"/>
    <w:qFormat/>
    <w:uiPriority w:val="0"/>
    <w:pPr>
      <w:spacing w:beforeLines="50" w:line="360" w:lineRule="auto"/>
      <w:ind w:left="709" w:right="-27" w:rightChars="-27" w:hanging="709"/>
    </w:pPr>
    <w:rPr>
      <w:rFonts w:ascii="仿宋_GB2312" w:eastAsia="仿宋_GB2312"/>
      <w:b/>
      <w:sz w:val="32"/>
      <w:szCs w:val="32"/>
    </w:rPr>
  </w:style>
  <w:style w:type="paragraph" w:customStyle="1" w:styleId="411">
    <w:name w:val="标题2 Char"/>
    <w:basedOn w:val="3"/>
    <w:qFormat/>
    <w:uiPriority w:val="0"/>
    <w:pPr>
      <w:tabs>
        <w:tab w:val="left" w:pos="709"/>
      </w:tabs>
      <w:adjustRightInd w:val="0"/>
      <w:spacing w:before="0" w:after="0" w:line="360" w:lineRule="auto"/>
      <w:ind w:left="709" w:right="-27" w:rightChars="-27" w:hanging="709"/>
      <w:textAlignment w:val="baseline"/>
    </w:pPr>
    <w:rPr>
      <w:rFonts w:eastAsia="仿宋_GB2312" w:cs="Arial"/>
      <w:b w:val="0"/>
      <w:bCs w:val="0"/>
      <w:kern w:val="0"/>
      <w:sz w:val="21"/>
      <w:szCs w:val="24"/>
    </w:rPr>
  </w:style>
  <w:style w:type="paragraph" w:customStyle="1" w:styleId="412">
    <w:name w:val="Sub title 1"/>
    <w:basedOn w:val="1"/>
    <w:qFormat/>
    <w:uiPriority w:val="0"/>
    <w:pPr>
      <w:tabs>
        <w:tab w:val="left" w:pos="1304"/>
      </w:tabs>
      <w:autoSpaceDE w:val="0"/>
      <w:autoSpaceDN w:val="0"/>
      <w:adjustRightInd w:val="0"/>
      <w:spacing w:line="300" w:lineRule="atLeast"/>
      <w:ind w:left="1304" w:right="-27" w:rightChars="-27" w:hanging="170"/>
    </w:pPr>
    <w:rPr>
      <w:rFonts w:ascii="Arial" w:hAnsi="Arial"/>
      <w:kern w:val="0"/>
      <w:szCs w:val="20"/>
    </w:rPr>
  </w:style>
  <w:style w:type="paragraph" w:customStyle="1" w:styleId="413">
    <w:name w:val="专用"/>
    <w:basedOn w:val="1"/>
    <w:qFormat/>
    <w:uiPriority w:val="0"/>
    <w:pPr>
      <w:spacing w:beforeLines="50" w:afterLines="100" w:line="360" w:lineRule="auto"/>
      <w:ind w:left="838" w:right="-27" w:rightChars="-27" w:hanging="838" w:hangingChars="262"/>
    </w:pPr>
    <w:rPr>
      <w:rFonts w:ascii="宋体"/>
      <w:b/>
      <w:color w:val="000000"/>
      <w:sz w:val="32"/>
      <w:szCs w:val="20"/>
    </w:rPr>
  </w:style>
  <w:style w:type="paragraph" w:customStyle="1" w:styleId="414">
    <w:name w:val="样式 样式 正文段落 + 段前: 0.2 行 + 段前: 0.5 行"/>
    <w:basedOn w:val="1"/>
    <w:qFormat/>
    <w:uiPriority w:val="0"/>
    <w:pPr>
      <w:autoSpaceDE w:val="0"/>
      <w:autoSpaceDN w:val="0"/>
      <w:adjustRightInd w:val="0"/>
      <w:snapToGrid w:val="0"/>
      <w:spacing w:beforeLines="20" w:line="540" w:lineRule="exact"/>
      <w:ind w:left="709" w:right="-27" w:rightChars="-27" w:firstLine="567"/>
      <w:textAlignment w:val="baseline"/>
    </w:pPr>
    <w:rPr>
      <w:rFonts w:ascii="宋体" w:hAnsi="Tms Rmn" w:cs="宋体"/>
      <w:kern w:val="0"/>
      <w:sz w:val="26"/>
      <w:szCs w:val="20"/>
    </w:rPr>
  </w:style>
  <w:style w:type="paragraph" w:customStyle="1" w:styleId="415">
    <w:name w:val="招标文件1.1.1.1"/>
    <w:basedOn w:val="1"/>
    <w:qFormat/>
    <w:uiPriority w:val="0"/>
    <w:pPr>
      <w:tabs>
        <w:tab w:val="left" w:pos="1440"/>
      </w:tabs>
      <w:spacing w:after="120" w:line="480" w:lineRule="exact"/>
      <w:ind w:left="1440" w:right="-27" w:rightChars="-27" w:hanging="1440"/>
      <w:jc w:val="left"/>
      <w:outlineLvl w:val="4"/>
    </w:pPr>
    <w:rPr>
      <w:rFonts w:ascii="宋体" w:hAnsi="宋体"/>
      <w:b/>
      <w:color w:val="000000"/>
      <w:spacing w:val="10"/>
      <w:w w:val="95"/>
      <w:szCs w:val="21"/>
    </w:rPr>
  </w:style>
  <w:style w:type="paragraph" w:customStyle="1" w:styleId="416">
    <w:name w:val="Normal 4"/>
    <w:basedOn w:val="1"/>
    <w:qFormat/>
    <w:uiPriority w:val="0"/>
    <w:pPr>
      <w:spacing w:beforeLines="50" w:line="440" w:lineRule="exact"/>
      <w:ind w:left="1078" w:leftChars="317" w:right="-27" w:rightChars="-27" w:firstLine="480" w:firstLineChars="200"/>
    </w:pPr>
    <w:rPr>
      <w:rFonts w:ascii="宋体" w:hAnsi="宋体"/>
      <w:color w:val="000000"/>
      <w:kern w:val="0"/>
      <w:sz w:val="24"/>
      <w:szCs w:val="20"/>
    </w:rPr>
  </w:style>
  <w:style w:type="paragraph" w:customStyle="1" w:styleId="417">
    <w:name w:val="Char Char Char Char Char Char"/>
    <w:basedOn w:val="1"/>
    <w:qFormat/>
    <w:uiPriority w:val="0"/>
    <w:pPr>
      <w:spacing w:beforeLines="50" w:line="360" w:lineRule="auto"/>
      <w:ind w:left="709" w:right="-27" w:rightChars="-27" w:hanging="709"/>
    </w:pPr>
    <w:rPr>
      <w:rFonts w:ascii="Tahoma" w:hAnsi="Tahoma"/>
      <w:sz w:val="24"/>
      <w:szCs w:val="20"/>
    </w:rPr>
  </w:style>
  <w:style w:type="paragraph" w:customStyle="1" w:styleId="418">
    <w:name w:val="3"/>
    <w:basedOn w:val="1"/>
    <w:next w:val="9"/>
    <w:qFormat/>
    <w:uiPriority w:val="0"/>
    <w:pPr>
      <w:adjustRightInd w:val="0"/>
      <w:spacing w:beforeLines="50" w:line="360" w:lineRule="atLeast"/>
      <w:ind w:left="709" w:right="-27" w:rightChars="-27" w:firstLine="482"/>
      <w:textAlignment w:val="baseline"/>
    </w:pPr>
    <w:rPr>
      <w:kern w:val="0"/>
      <w:sz w:val="24"/>
      <w:szCs w:val="20"/>
    </w:rPr>
  </w:style>
  <w:style w:type="paragraph" w:customStyle="1" w:styleId="419">
    <w:name w:val="招标文件正文"/>
    <w:qFormat/>
    <w:uiPriority w:val="0"/>
    <w:pPr>
      <w:spacing w:beforeLines="50" w:after="120" w:line="300" w:lineRule="auto"/>
      <w:ind w:left="709" w:right="-27" w:rightChars="-27" w:firstLine="200" w:firstLineChars="200"/>
      <w:jc w:val="both"/>
    </w:pPr>
    <w:rPr>
      <w:rFonts w:ascii="宋体" w:hAnsi="Times New Roman" w:eastAsia="宋体" w:cs="Times New Roman"/>
      <w:spacing w:val="10"/>
      <w:w w:val="95"/>
      <w:sz w:val="21"/>
      <w:lang w:val="en-US" w:eastAsia="zh-CN" w:bidi="ar-SA"/>
    </w:rPr>
  </w:style>
  <w:style w:type="paragraph" w:customStyle="1" w:styleId="420">
    <w:name w:val="xl68"/>
    <w:basedOn w:val="1"/>
    <w:qFormat/>
    <w:uiPriority w:val="0"/>
    <w:pPr>
      <w:widowControl/>
      <w:pBdr>
        <w:bottom w:val="single" w:color="auto" w:sz="4" w:space="0"/>
      </w:pBdr>
      <w:spacing w:beforeAutospacing="1" w:after="100" w:afterAutospacing="1" w:line="360" w:lineRule="auto"/>
      <w:ind w:left="709" w:right="-27" w:rightChars="-27" w:hanging="709"/>
      <w:jc w:val="center"/>
    </w:pPr>
    <w:rPr>
      <w:rFonts w:ascii="宋体" w:hAnsi="宋体"/>
      <w:kern w:val="0"/>
      <w:sz w:val="20"/>
      <w:szCs w:val="20"/>
    </w:rPr>
  </w:style>
  <w:style w:type="paragraph" w:customStyle="1" w:styleId="421">
    <w:name w:val="列出段落2"/>
    <w:basedOn w:val="1"/>
    <w:qFormat/>
    <w:uiPriority w:val="34"/>
    <w:pPr>
      <w:spacing w:beforeLines="50" w:line="360" w:lineRule="auto"/>
      <w:ind w:left="709" w:right="-27" w:rightChars="-27" w:firstLine="420" w:firstLineChars="200"/>
    </w:pPr>
  </w:style>
  <w:style w:type="paragraph" w:customStyle="1" w:styleId="422">
    <w:name w:val="Numbered List"/>
    <w:basedOn w:val="32"/>
    <w:qFormat/>
    <w:uiPriority w:val="0"/>
    <w:pPr>
      <w:widowControl/>
      <w:pBdr>
        <w:bottom w:val="none" w:color="auto" w:sz="0" w:space="0"/>
      </w:pBdr>
      <w:tabs>
        <w:tab w:val="left" w:pos="360"/>
        <w:tab w:val="clear" w:pos="4153"/>
        <w:tab w:val="clear" w:pos="8306"/>
      </w:tabs>
      <w:snapToGrid/>
      <w:spacing w:beforeLines="50" w:line="360" w:lineRule="auto"/>
      <w:ind w:left="360" w:right="-27" w:rightChars="-27" w:hanging="360"/>
      <w:jc w:val="left"/>
    </w:pPr>
    <w:rPr>
      <w:rFonts w:ascii="Univers" w:hAnsi="Univers"/>
      <w:kern w:val="0"/>
      <w:sz w:val="22"/>
      <w:szCs w:val="20"/>
    </w:rPr>
  </w:style>
  <w:style w:type="paragraph" w:customStyle="1" w:styleId="423">
    <w:name w:val="Char Char Char2 Char1"/>
    <w:basedOn w:val="1"/>
    <w:qFormat/>
    <w:uiPriority w:val="0"/>
    <w:pPr>
      <w:spacing w:beforeLines="50" w:line="360" w:lineRule="auto"/>
      <w:ind w:left="709" w:right="-27" w:rightChars="-27" w:firstLine="360" w:firstLineChars="150"/>
    </w:pPr>
    <w:rPr>
      <w:rFonts w:ascii="Tahoma" w:hAnsi="Tahoma"/>
      <w:sz w:val="24"/>
      <w:szCs w:val="20"/>
    </w:rPr>
  </w:style>
  <w:style w:type="paragraph" w:customStyle="1" w:styleId="424">
    <w:name w:val="Body text 1"/>
    <w:basedOn w:val="1"/>
    <w:qFormat/>
    <w:uiPriority w:val="0"/>
    <w:pPr>
      <w:tabs>
        <w:tab w:val="left" w:pos="1134"/>
      </w:tabs>
      <w:autoSpaceDE w:val="0"/>
      <w:autoSpaceDN w:val="0"/>
      <w:adjustRightInd w:val="0"/>
      <w:spacing w:line="300" w:lineRule="atLeast"/>
      <w:ind w:left="1134" w:right="-27" w:rightChars="-27" w:hanging="1134"/>
    </w:pPr>
    <w:rPr>
      <w:color w:val="000000"/>
      <w:kern w:val="0"/>
      <w:sz w:val="24"/>
      <w:szCs w:val="20"/>
    </w:rPr>
  </w:style>
  <w:style w:type="paragraph" w:customStyle="1" w:styleId="425">
    <w:name w:val="2-2ji"/>
    <w:basedOn w:val="3"/>
    <w:qFormat/>
    <w:uiPriority w:val="0"/>
    <w:pPr>
      <w:spacing w:before="0" w:after="0" w:line="360" w:lineRule="auto"/>
      <w:ind w:left="709" w:right="-27" w:rightChars="-27" w:hanging="709"/>
      <w:jc w:val="center"/>
    </w:pPr>
    <w:rPr>
      <w:rFonts w:ascii="宋体" w:hAnsi="宋体" w:eastAsia="宋体"/>
      <w:b w:val="0"/>
      <w:kern w:val="44"/>
      <w:sz w:val="36"/>
      <w:szCs w:val="24"/>
    </w:rPr>
  </w:style>
  <w:style w:type="paragraph" w:customStyle="1" w:styleId="426">
    <w:name w:val="招标文件1"/>
    <w:basedOn w:val="1"/>
    <w:qFormat/>
    <w:uiPriority w:val="0"/>
    <w:pPr>
      <w:tabs>
        <w:tab w:val="left" w:pos="420"/>
        <w:tab w:val="left" w:pos="1134"/>
      </w:tabs>
      <w:spacing w:after="120" w:line="480" w:lineRule="exact"/>
      <w:ind w:left="1134" w:right="-27" w:rightChars="-27" w:hanging="1134"/>
      <w:jc w:val="left"/>
      <w:outlineLvl w:val="1"/>
    </w:pPr>
    <w:rPr>
      <w:rFonts w:ascii="宋体" w:hAnsi="宋体"/>
      <w:b/>
      <w:color w:val="000000"/>
      <w:spacing w:val="10"/>
      <w:w w:val="95"/>
      <w:kern w:val="0"/>
      <w:sz w:val="28"/>
      <w:szCs w:val="21"/>
    </w:rPr>
  </w:style>
  <w:style w:type="paragraph" w:customStyle="1" w:styleId="427">
    <w:name w:val="招标文件1.1.1"/>
    <w:qFormat/>
    <w:uiPriority w:val="0"/>
    <w:pPr>
      <w:tabs>
        <w:tab w:val="left" w:pos="1080"/>
      </w:tabs>
      <w:spacing w:beforeLines="50" w:after="120" w:line="480" w:lineRule="exact"/>
      <w:ind w:left="1080" w:right="-27" w:rightChars="-27" w:hanging="1080"/>
      <w:jc w:val="both"/>
      <w:outlineLvl w:val="3"/>
    </w:pPr>
    <w:rPr>
      <w:rFonts w:ascii="宋体" w:hAnsi="Times New Roman" w:eastAsia="宋体" w:cs="Times New Roman"/>
      <w:b/>
      <w:spacing w:val="10"/>
      <w:w w:val="95"/>
      <w:sz w:val="21"/>
      <w:lang w:val="en-US" w:eastAsia="zh-CN" w:bidi="ar-SA"/>
    </w:rPr>
  </w:style>
  <w:style w:type="paragraph" w:customStyle="1" w:styleId="428">
    <w:name w:val="2ji"/>
    <w:basedOn w:val="3"/>
    <w:qFormat/>
    <w:uiPriority w:val="0"/>
    <w:pPr>
      <w:spacing w:before="0" w:after="0" w:line="360" w:lineRule="auto"/>
      <w:ind w:left="709" w:right="-27" w:rightChars="-27" w:hanging="709"/>
    </w:pPr>
    <w:rPr>
      <w:rFonts w:ascii="宋体" w:hAnsi="宋体" w:eastAsia="宋体"/>
      <w:b w:val="0"/>
      <w:bCs w:val="0"/>
      <w:kern w:val="44"/>
      <w:sz w:val="21"/>
      <w:szCs w:val="21"/>
    </w:rPr>
  </w:style>
  <w:style w:type="paragraph" w:customStyle="1" w:styleId="429">
    <w:name w:val="Char Char Char1 Char Char Char Char Char Char Char Char Char Char"/>
    <w:basedOn w:val="1"/>
    <w:qFormat/>
    <w:uiPriority w:val="0"/>
    <w:pPr>
      <w:spacing w:beforeLines="50" w:line="360" w:lineRule="auto"/>
      <w:ind w:left="709" w:right="-27" w:rightChars="-27" w:hanging="709"/>
    </w:pPr>
    <w:rPr>
      <w:rFonts w:ascii="Tahoma" w:hAnsi="Tahoma"/>
      <w:sz w:val="24"/>
      <w:szCs w:val="20"/>
    </w:rPr>
  </w:style>
  <w:style w:type="paragraph" w:customStyle="1" w:styleId="430">
    <w:name w:val="Footer First"/>
    <w:basedOn w:val="31"/>
    <w:qFormat/>
    <w:uiPriority w:val="0"/>
    <w:pPr>
      <w:keepLines/>
      <w:widowControl/>
      <w:tabs>
        <w:tab w:val="left" w:pos="1080"/>
        <w:tab w:val="left" w:pos="1627"/>
        <w:tab w:val="left" w:pos="2160"/>
        <w:tab w:val="left" w:pos="2880"/>
        <w:tab w:val="center" w:pos="4320"/>
        <w:tab w:val="clear" w:pos="4153"/>
        <w:tab w:val="clear" w:pos="8306"/>
      </w:tabs>
      <w:snapToGrid/>
      <w:spacing w:beforeLines="50" w:line="300" w:lineRule="exact"/>
      <w:ind w:left="709" w:right="-27" w:rightChars="-27" w:hanging="709"/>
      <w:jc w:val="center"/>
    </w:pPr>
    <w:rPr>
      <w:rFonts w:ascii="Univers" w:hAnsi="Univers"/>
      <w:kern w:val="0"/>
      <w:sz w:val="22"/>
      <w:szCs w:val="20"/>
    </w:rPr>
  </w:style>
  <w:style w:type="paragraph" w:customStyle="1" w:styleId="431">
    <w:name w:val="样式 正文缩进 + 首行缩进:  2 字符 段前: 1 行 段后: 1 行"/>
    <w:basedOn w:val="9"/>
    <w:qFormat/>
    <w:uiPriority w:val="0"/>
    <w:pPr>
      <w:spacing w:beforeLines="100" w:afterLines="100" w:line="360" w:lineRule="auto"/>
      <w:ind w:left="709" w:right="-27" w:rightChars="-27" w:firstLine="560" w:firstLineChars="200"/>
    </w:pPr>
    <w:rPr>
      <w:rFonts w:cs="宋体"/>
    </w:rPr>
  </w:style>
  <w:style w:type="paragraph" w:customStyle="1" w:styleId="432">
    <w:name w:val="图表中对齐"/>
    <w:basedOn w:val="1"/>
    <w:qFormat/>
    <w:uiPriority w:val="0"/>
    <w:pPr>
      <w:adjustRightInd w:val="0"/>
      <w:spacing w:beforeLines="50" w:line="360" w:lineRule="exact"/>
      <w:ind w:left="709" w:right="-27" w:rightChars="-27" w:hanging="709"/>
      <w:jc w:val="center"/>
      <w:textAlignment w:val="baseline"/>
    </w:pPr>
    <w:rPr>
      <w:spacing w:val="-10"/>
      <w:sz w:val="24"/>
      <w:szCs w:val="21"/>
    </w:rPr>
  </w:style>
  <w:style w:type="paragraph" w:customStyle="1" w:styleId="433">
    <w:name w:val="样式 图表 + 五号"/>
    <w:basedOn w:val="1"/>
    <w:qFormat/>
    <w:uiPriority w:val="0"/>
    <w:pPr>
      <w:spacing w:beforeLines="50" w:line="360" w:lineRule="exact"/>
      <w:ind w:left="1200" w:right="-27" w:rightChars="-27" w:hanging="1200"/>
      <w:jc w:val="center"/>
    </w:pPr>
    <w:rPr>
      <w:spacing w:val="-10"/>
      <w:szCs w:val="28"/>
    </w:rPr>
  </w:style>
  <w:style w:type="paragraph" w:customStyle="1" w:styleId="434">
    <w:name w:val="格式2"/>
    <w:qFormat/>
    <w:uiPriority w:val="0"/>
    <w:pPr>
      <w:spacing w:beforeLines="50" w:line="360" w:lineRule="auto"/>
      <w:ind w:left="709" w:right="-27" w:rightChars="-27" w:hanging="709"/>
      <w:jc w:val="both"/>
    </w:pPr>
    <w:rPr>
      <w:rFonts w:ascii="黑体" w:hAnsi="Times New Roman" w:eastAsia="黑体" w:cs="Times New Roman"/>
      <w:bCs/>
      <w:lang w:val="en-US" w:eastAsia="zh-CN" w:bidi="ar-SA"/>
    </w:rPr>
  </w:style>
  <w:style w:type="paragraph" w:customStyle="1" w:styleId="435">
    <w:name w:val="正文1缩进"/>
    <w:basedOn w:val="260"/>
    <w:qFormat/>
    <w:uiPriority w:val="0"/>
    <w:pPr>
      <w:widowControl w:val="0"/>
      <w:tabs>
        <w:tab w:val="left" w:pos="720"/>
        <w:tab w:val="right" w:pos="1191"/>
      </w:tabs>
      <w:adjustRightInd w:val="0"/>
      <w:snapToGrid w:val="0"/>
      <w:spacing w:beforeLines="50" w:afterLines="50" w:line="380" w:lineRule="atLeast"/>
      <w:ind w:left="984" w:leftChars="410" w:right="-27" w:rightChars="-27" w:firstLine="5" w:firstLineChars="2"/>
    </w:pPr>
    <w:rPr>
      <w:rFonts w:ascii="宋体" w:hAnsi="宋体"/>
      <w:color w:val="000000"/>
      <w:kern w:val="0"/>
      <w:sz w:val="24"/>
      <w:szCs w:val="24"/>
    </w:rPr>
  </w:style>
  <w:style w:type="paragraph" w:customStyle="1" w:styleId="436">
    <w:name w:val="标题 111"/>
    <w:basedOn w:val="2"/>
    <w:qFormat/>
    <w:uiPriority w:val="0"/>
    <w:pPr>
      <w:pageBreakBefore/>
      <w:tabs>
        <w:tab w:val="left" w:pos="450"/>
      </w:tabs>
      <w:spacing w:before="240" w:after="240" w:line="360" w:lineRule="auto"/>
      <w:ind w:left="200" w:right="-27" w:rightChars="-27" w:hanging="200" w:hangingChars="200"/>
      <w:jc w:val="center"/>
    </w:pPr>
    <w:rPr>
      <w:rFonts w:ascii="MS Mincho" w:hAnsi="MS Mincho" w:eastAsia="MS Mincho"/>
      <w:color w:val="000000"/>
      <w:sz w:val="32"/>
      <w:szCs w:val="20"/>
    </w:rPr>
  </w:style>
  <w:style w:type="paragraph" w:customStyle="1" w:styleId="437">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8">
    <w:name w:val="样式 标题2 + 字距调整8 磅"/>
    <w:basedOn w:val="411"/>
    <w:qFormat/>
    <w:uiPriority w:val="0"/>
    <w:rPr>
      <w:kern w:val="16"/>
    </w:rPr>
  </w:style>
  <w:style w:type="paragraph" w:customStyle="1" w:styleId="439">
    <w:name w:val="p17"/>
    <w:basedOn w:val="1"/>
    <w:unhideWhenUsed/>
    <w:qFormat/>
    <w:uiPriority w:val="99"/>
    <w:pPr>
      <w:widowControl/>
      <w:spacing w:beforeLines="50" w:line="360" w:lineRule="auto"/>
      <w:ind w:left="709" w:right="-27" w:rightChars="-27" w:hanging="709"/>
    </w:pPr>
    <w:rPr>
      <w:rFonts w:hint="eastAsia" w:ascii="宋体" w:hAnsi="宋体"/>
    </w:rPr>
  </w:style>
  <w:style w:type="paragraph" w:customStyle="1" w:styleId="440">
    <w:name w:val="招标文件A）"/>
    <w:qFormat/>
    <w:uiPriority w:val="0"/>
    <w:pPr>
      <w:tabs>
        <w:tab w:val="left" w:pos="2160"/>
      </w:tabs>
      <w:spacing w:beforeLines="50" w:after="120" w:line="300" w:lineRule="auto"/>
      <w:ind w:left="2160" w:right="-27" w:rightChars="-27" w:hanging="2160"/>
      <w:jc w:val="both"/>
      <w:outlineLvl w:val="6"/>
    </w:pPr>
    <w:rPr>
      <w:rFonts w:ascii="宋体" w:hAnsi="Times New Roman" w:eastAsia="宋体" w:cs="Times New Roman"/>
      <w:spacing w:val="10"/>
      <w:w w:val="95"/>
      <w:sz w:val="21"/>
      <w:lang w:val="en-US" w:eastAsia="zh-CN" w:bidi="ar-SA"/>
    </w:rPr>
  </w:style>
  <w:style w:type="paragraph" w:customStyle="1" w:styleId="441">
    <w:name w:val="Char41"/>
    <w:basedOn w:val="1"/>
    <w:qFormat/>
    <w:uiPriority w:val="0"/>
    <w:pPr>
      <w:spacing w:beforeLines="50" w:line="360" w:lineRule="auto"/>
      <w:ind w:left="709" w:right="-27" w:rightChars="-27" w:hanging="709"/>
    </w:pPr>
    <w:rPr>
      <w:rFonts w:ascii="仿宋_GB2312" w:eastAsia="仿宋_GB2312"/>
      <w:b/>
      <w:sz w:val="32"/>
      <w:szCs w:val="32"/>
    </w:rPr>
  </w:style>
  <w:style w:type="paragraph" w:customStyle="1" w:styleId="442">
    <w:name w:val="8"/>
    <w:basedOn w:val="1"/>
    <w:next w:val="118"/>
    <w:qFormat/>
    <w:uiPriority w:val="34"/>
    <w:pPr>
      <w:spacing w:beforeLines="50" w:line="360" w:lineRule="auto"/>
      <w:ind w:left="709" w:right="-27" w:rightChars="-27" w:firstLine="420" w:firstLineChars="200"/>
    </w:pPr>
    <w:rPr>
      <w:rFonts w:ascii="Calibri" w:hAnsi="Calibri"/>
      <w:szCs w:val="22"/>
    </w:rPr>
  </w:style>
  <w:style w:type="paragraph" w:customStyle="1" w:styleId="443">
    <w:name w:val="Char Char Char1 Char Char Char Char Char Char Char Char Char Char Char Char Char Char Char Char Char Char Char Char Char Char Char Char1 Char Char Char Char Char Char Char"/>
    <w:basedOn w:val="1"/>
    <w:qFormat/>
    <w:uiPriority w:val="0"/>
    <w:pPr>
      <w:spacing w:beforeLines="50" w:line="360" w:lineRule="auto"/>
      <w:ind w:left="709" w:right="-27" w:rightChars="-27" w:hanging="709"/>
    </w:pPr>
    <w:rPr>
      <w:rFonts w:ascii="Tahoma" w:hAnsi="Tahoma"/>
      <w:sz w:val="24"/>
      <w:szCs w:val="20"/>
    </w:rPr>
  </w:style>
  <w:style w:type="paragraph" w:customStyle="1" w:styleId="444">
    <w:name w:val="Sprechblasentext"/>
    <w:basedOn w:val="1"/>
    <w:qFormat/>
    <w:uiPriority w:val="0"/>
    <w:pPr>
      <w:spacing w:beforeLines="50" w:line="300" w:lineRule="atLeast"/>
      <w:ind w:left="709" w:right="-27" w:rightChars="-27" w:firstLine="709"/>
    </w:pPr>
    <w:rPr>
      <w:rFonts w:ascii="Tahoma" w:hAnsi="Tahoma" w:cs="Tahoma"/>
      <w:sz w:val="16"/>
      <w:szCs w:val="16"/>
    </w:rPr>
  </w:style>
  <w:style w:type="paragraph" w:customStyle="1" w:styleId="445">
    <w:name w:val="p19"/>
    <w:basedOn w:val="1"/>
    <w:unhideWhenUsed/>
    <w:qFormat/>
    <w:uiPriority w:val="99"/>
    <w:pPr>
      <w:widowControl/>
      <w:spacing w:beforeLines="50" w:line="360" w:lineRule="auto"/>
      <w:ind w:left="709" w:right="-27" w:rightChars="-27" w:hanging="709"/>
      <w:jc w:val="left"/>
    </w:pPr>
    <w:rPr>
      <w:rFonts w:hint="eastAsia"/>
      <w:sz w:val="18"/>
    </w:rPr>
  </w:style>
  <w:style w:type="paragraph" w:customStyle="1" w:styleId="446">
    <w:name w:val="Char Char Char Char Char"/>
    <w:basedOn w:val="1"/>
    <w:qFormat/>
    <w:uiPriority w:val="0"/>
    <w:pPr>
      <w:spacing w:beforeLines="50" w:line="360" w:lineRule="auto"/>
      <w:ind w:left="709" w:right="-27" w:rightChars="-27" w:firstLine="360" w:firstLineChars="150"/>
    </w:pPr>
    <w:rPr>
      <w:rFonts w:ascii="Tahoma" w:hAnsi="Tahoma"/>
      <w:sz w:val="24"/>
      <w:szCs w:val="20"/>
    </w:rPr>
  </w:style>
  <w:style w:type="paragraph" w:customStyle="1" w:styleId="447">
    <w:name w:val="Char Char Char Char Char Char Char Char Char Char Char Char1 Char Char Char Char Char Char1 Char Char Char Char Char Char Char"/>
    <w:basedOn w:val="1"/>
    <w:qFormat/>
    <w:uiPriority w:val="0"/>
    <w:pPr>
      <w:spacing w:beforeLines="50" w:line="360" w:lineRule="auto"/>
      <w:ind w:left="709" w:right="-27" w:rightChars="-27" w:hanging="709"/>
    </w:pPr>
    <w:rPr>
      <w:rFonts w:ascii="Tahoma" w:hAnsi="Tahoma" w:cs="仿宋_GB2312"/>
      <w:sz w:val="24"/>
      <w:szCs w:val="20"/>
    </w:rPr>
  </w:style>
  <w:style w:type="paragraph" w:customStyle="1" w:styleId="448">
    <w:name w:val="通用"/>
    <w:basedOn w:val="1"/>
    <w:qFormat/>
    <w:uiPriority w:val="0"/>
    <w:pPr>
      <w:spacing w:beforeLines="50" w:line="360" w:lineRule="auto"/>
      <w:ind w:left="840" w:leftChars="400" w:right="-27" w:rightChars="-27" w:hanging="709"/>
    </w:pPr>
    <w:rPr>
      <w:rFonts w:ascii="宋体" w:hAnsi="宋体"/>
      <w:szCs w:val="20"/>
    </w:rPr>
  </w:style>
  <w:style w:type="paragraph" w:customStyle="1" w:styleId="449">
    <w:name w:val="正文 样式"/>
    <w:basedOn w:val="1"/>
    <w:qFormat/>
    <w:uiPriority w:val="0"/>
    <w:pPr>
      <w:spacing w:beforeLines="50" w:line="360" w:lineRule="auto"/>
      <w:ind w:left="1080" w:leftChars="450" w:right="-27" w:rightChars="-27" w:firstLine="540" w:firstLineChars="225"/>
    </w:pPr>
    <w:rPr>
      <w:sz w:val="24"/>
      <w:szCs w:val="20"/>
    </w:rPr>
  </w:style>
  <w:style w:type="paragraph" w:customStyle="1" w:styleId="450">
    <w:name w:val="合同书"/>
    <w:basedOn w:val="1"/>
    <w:qFormat/>
    <w:uiPriority w:val="0"/>
    <w:pPr>
      <w:spacing w:beforeLines="50" w:afterLines="100" w:line="360" w:lineRule="auto"/>
      <w:ind w:left="709" w:right="-27" w:rightChars="-27" w:hanging="709"/>
      <w:jc w:val="center"/>
    </w:pPr>
    <w:rPr>
      <w:rFonts w:hAnsi="宋体"/>
      <w:b/>
      <w:color w:val="000000"/>
      <w:sz w:val="44"/>
      <w:szCs w:val="44"/>
    </w:rPr>
  </w:style>
  <w:style w:type="paragraph" w:customStyle="1" w:styleId="451">
    <w:name w:val="正文2"/>
    <w:basedOn w:val="1"/>
    <w:qFormat/>
    <w:uiPriority w:val="0"/>
    <w:pPr>
      <w:adjustRightInd w:val="0"/>
      <w:spacing w:beforeLines="50" w:after="60" w:line="360" w:lineRule="atLeast"/>
      <w:ind w:left="57" w:right="57" w:rightChars="-27" w:hanging="709"/>
      <w:jc w:val="center"/>
      <w:textAlignment w:val="baseline"/>
    </w:pPr>
    <w:rPr>
      <w:rFonts w:ascii="宋体"/>
      <w:kern w:val="0"/>
      <w:szCs w:val="20"/>
    </w:rPr>
  </w:style>
  <w:style w:type="paragraph" w:customStyle="1" w:styleId="452">
    <w:name w:val="StandardOhneEinzug"/>
    <w:basedOn w:val="1"/>
    <w:qFormat/>
    <w:uiPriority w:val="0"/>
    <w:pPr>
      <w:widowControl/>
      <w:tabs>
        <w:tab w:val="left" w:pos="2520"/>
      </w:tabs>
      <w:spacing w:beforeLines="50" w:after="240" w:line="288" w:lineRule="auto"/>
      <w:ind w:left="2520" w:right="-27" w:rightChars="-27" w:hanging="2520"/>
      <w:jc w:val="left"/>
    </w:pPr>
    <w:rPr>
      <w:rFonts w:ascii="Arial" w:hAnsi="Arial"/>
      <w:color w:val="000000"/>
      <w:kern w:val="0"/>
      <w:sz w:val="22"/>
      <w:szCs w:val="20"/>
      <w:lang w:val="de-DE"/>
    </w:rPr>
  </w:style>
  <w:style w:type="paragraph" w:customStyle="1" w:styleId="453">
    <w:name w:val="Char Char Char Char1"/>
    <w:basedOn w:val="16"/>
    <w:qFormat/>
    <w:uiPriority w:val="0"/>
    <w:pPr>
      <w:adjustRightInd w:val="0"/>
      <w:spacing w:beforeLines="50" w:line="436" w:lineRule="exact"/>
      <w:ind w:left="357" w:right="-27" w:rightChars="-27" w:hanging="709"/>
      <w:jc w:val="left"/>
      <w:outlineLvl w:val="3"/>
    </w:pPr>
    <w:rPr>
      <w:rFonts w:ascii="Tahoma" w:hAnsi="Tahoma"/>
      <w:b/>
      <w:sz w:val="24"/>
      <w:szCs w:val="24"/>
    </w:rPr>
  </w:style>
  <w:style w:type="paragraph" w:customStyle="1" w:styleId="454">
    <w:name w:val="Char Char Char1 Char Char Char Char Char Char Char"/>
    <w:basedOn w:val="1"/>
    <w:qFormat/>
    <w:uiPriority w:val="0"/>
    <w:pPr>
      <w:spacing w:beforeLines="50" w:line="360" w:lineRule="auto"/>
      <w:ind w:left="709" w:right="-27" w:rightChars="-27" w:hanging="709"/>
    </w:pPr>
    <w:rPr>
      <w:rFonts w:ascii="Tahoma" w:hAnsi="Tahoma"/>
      <w:sz w:val="24"/>
      <w:szCs w:val="20"/>
    </w:rPr>
  </w:style>
  <w:style w:type="paragraph" w:customStyle="1" w:styleId="455">
    <w:name w:val="p20"/>
    <w:basedOn w:val="1"/>
    <w:unhideWhenUsed/>
    <w:qFormat/>
    <w:uiPriority w:val="99"/>
    <w:pPr>
      <w:widowControl/>
      <w:pBdr>
        <w:bottom w:val="single" w:color="000000" w:sz="6" w:space="1"/>
      </w:pBdr>
      <w:spacing w:beforeLines="50" w:line="360" w:lineRule="auto"/>
      <w:ind w:left="709" w:right="-27" w:rightChars="-27" w:hanging="709"/>
      <w:jc w:val="center"/>
    </w:pPr>
    <w:rPr>
      <w:rFonts w:hint="eastAsia"/>
      <w:sz w:val="18"/>
    </w:rPr>
  </w:style>
  <w:style w:type="paragraph" w:customStyle="1" w:styleId="456">
    <w:name w:val="样式 标题 2标题 1.1head:2#2 headlinehheadlineS&amp;R2ERMH2Head 2 +..."/>
    <w:basedOn w:val="3"/>
    <w:qFormat/>
    <w:uiPriority w:val="0"/>
    <w:pPr>
      <w:tabs>
        <w:tab w:val="left" w:pos="907"/>
      </w:tabs>
      <w:autoSpaceDE w:val="0"/>
      <w:autoSpaceDN w:val="0"/>
      <w:adjustRightInd w:val="0"/>
      <w:spacing w:before="120" w:after="120" w:line="360" w:lineRule="auto"/>
      <w:ind w:left="907" w:right="-27" w:rightChars="-27" w:hanging="907"/>
      <w:jc w:val="center"/>
      <w:textAlignment w:val="baseline"/>
    </w:pPr>
    <w:rPr>
      <w:rFonts w:eastAsia="宋体"/>
      <w:b w:val="0"/>
      <w:kern w:val="0"/>
      <w:sz w:val="24"/>
      <w:szCs w:val="20"/>
    </w:rPr>
  </w:style>
  <w:style w:type="paragraph" w:customStyle="1" w:styleId="457">
    <w:name w:val="技术标题2"/>
    <w:basedOn w:val="1"/>
    <w:qFormat/>
    <w:uiPriority w:val="0"/>
    <w:pPr>
      <w:keepNext/>
      <w:keepLines/>
      <w:adjustRightInd w:val="0"/>
      <w:snapToGrid w:val="0"/>
      <w:spacing w:beforeLines="150" w:afterLines="50" w:line="360" w:lineRule="auto"/>
      <w:ind w:left="709" w:right="-27" w:rightChars="-27" w:hanging="709"/>
      <w:outlineLvl w:val="3"/>
    </w:pPr>
    <w:rPr>
      <w:rFonts w:ascii="Arial" w:hAnsi="Arial"/>
      <w:b/>
      <w:bCs/>
      <w:color w:val="000000"/>
      <w:sz w:val="32"/>
      <w:szCs w:val="28"/>
    </w:rPr>
  </w:style>
  <w:style w:type="paragraph" w:customStyle="1" w:styleId="458">
    <w:name w:val="报告正文 Char1 Char"/>
    <w:basedOn w:val="1"/>
    <w:qFormat/>
    <w:uiPriority w:val="0"/>
    <w:pPr>
      <w:spacing w:beforeLines="50" w:line="480" w:lineRule="exact"/>
      <w:ind w:left="709" w:right="-27" w:rightChars="-27" w:firstLine="200" w:firstLineChars="200"/>
    </w:pPr>
    <w:rPr>
      <w:rFonts w:ascii="宋体"/>
      <w:color w:val="0000FF"/>
      <w:sz w:val="28"/>
      <w:szCs w:val="28"/>
    </w:rPr>
  </w:style>
  <w:style w:type="paragraph" w:customStyle="1" w:styleId="459">
    <w:name w:val="三点段 Char"/>
    <w:basedOn w:val="1"/>
    <w:qFormat/>
    <w:uiPriority w:val="0"/>
    <w:pPr>
      <w:spacing w:beforeLines="50" w:line="360" w:lineRule="auto"/>
      <w:ind w:left="1200" w:right="-27" w:rightChars="-27" w:hanging="1200" w:hangingChars="500"/>
    </w:pPr>
    <w:rPr>
      <w:rFonts w:ascii="宋体"/>
      <w:sz w:val="24"/>
    </w:rPr>
  </w:style>
  <w:style w:type="paragraph" w:customStyle="1" w:styleId="460">
    <w:name w:val="默认段落字体 Para Char"/>
    <w:basedOn w:val="1"/>
    <w:next w:val="1"/>
    <w:qFormat/>
    <w:uiPriority w:val="0"/>
    <w:pPr>
      <w:spacing w:beforeLines="50" w:line="360" w:lineRule="auto"/>
      <w:ind w:left="709" w:right="-27" w:rightChars="-27" w:hanging="709"/>
    </w:pPr>
  </w:style>
  <w:style w:type="paragraph" w:customStyle="1" w:styleId="461">
    <w:name w:val="4"/>
    <w:basedOn w:val="1"/>
    <w:next w:val="9"/>
    <w:qFormat/>
    <w:uiPriority w:val="0"/>
    <w:pPr>
      <w:adjustRightInd w:val="0"/>
      <w:spacing w:beforeLines="50" w:line="360" w:lineRule="atLeast"/>
      <w:ind w:left="709" w:right="-27" w:rightChars="-27" w:firstLine="482"/>
      <w:textAlignment w:val="baseline"/>
    </w:pPr>
    <w:rPr>
      <w:kern w:val="0"/>
      <w:sz w:val="24"/>
      <w:szCs w:val="20"/>
    </w:rPr>
  </w:style>
  <w:style w:type="paragraph" w:customStyle="1" w:styleId="462">
    <w:name w:val="6"/>
    <w:basedOn w:val="1"/>
    <w:next w:val="9"/>
    <w:qFormat/>
    <w:uiPriority w:val="0"/>
    <w:pPr>
      <w:spacing w:beforeLines="50" w:line="360" w:lineRule="auto"/>
      <w:ind w:left="709" w:right="-27" w:rightChars="-27" w:firstLine="420"/>
    </w:pPr>
    <w:rPr>
      <w:szCs w:val="20"/>
    </w:rPr>
  </w:style>
  <w:style w:type="paragraph" w:customStyle="1" w:styleId="463">
    <w:name w:val="(文字) (文字) Char Char (文字) (文字)"/>
    <w:basedOn w:val="1"/>
    <w:qFormat/>
    <w:uiPriority w:val="0"/>
    <w:pPr>
      <w:spacing w:beforeLines="50" w:line="360" w:lineRule="auto"/>
      <w:ind w:left="709" w:right="-27" w:rightChars="-27" w:hanging="709"/>
    </w:pPr>
    <w:rPr>
      <w:rFonts w:ascii="仿宋_GB2312" w:eastAsia="仿宋_GB2312"/>
      <w:b/>
      <w:sz w:val="32"/>
      <w:szCs w:val="32"/>
    </w:rPr>
  </w:style>
  <w:style w:type="paragraph" w:customStyle="1" w:styleId="464">
    <w:name w:val="&gt;"/>
    <w:basedOn w:val="1"/>
    <w:next w:val="1"/>
    <w:qFormat/>
    <w:uiPriority w:val="2"/>
    <w:pPr>
      <w:spacing w:beforeLines="50" w:afterLines="50" w:line="360" w:lineRule="auto"/>
      <w:ind w:right="240" w:rightChars="100"/>
    </w:pPr>
    <w:rPr>
      <w:rFonts w:ascii="Calibri" w:hAnsi="Calibri"/>
      <w:sz w:val="28"/>
      <w:szCs w:val="28"/>
    </w:rPr>
  </w:style>
  <w:style w:type="paragraph" w:customStyle="1" w:styleId="465">
    <w:name w:val="图表小四中对齐"/>
    <w:basedOn w:val="1"/>
    <w:qFormat/>
    <w:uiPriority w:val="0"/>
    <w:pPr>
      <w:adjustRightInd w:val="0"/>
      <w:spacing w:beforeLines="50" w:line="360" w:lineRule="exact"/>
      <w:ind w:left="709" w:right="-27" w:rightChars="-27" w:hanging="709"/>
      <w:jc w:val="center"/>
      <w:textAlignment w:val="baseline"/>
    </w:pPr>
    <w:rPr>
      <w:sz w:val="24"/>
    </w:rPr>
  </w:style>
  <w:style w:type="paragraph" w:customStyle="1" w:styleId="466">
    <w:name w:val="Char Char Char Char2"/>
    <w:basedOn w:val="1"/>
    <w:qFormat/>
    <w:uiPriority w:val="0"/>
    <w:pPr>
      <w:spacing w:beforeLines="50" w:line="360" w:lineRule="auto"/>
      <w:ind w:left="709" w:right="-27" w:rightChars="-27" w:firstLine="360" w:firstLineChars="150"/>
    </w:pPr>
  </w:style>
  <w:style w:type="paragraph" w:customStyle="1" w:styleId="467">
    <w:name w:val="图表"/>
    <w:basedOn w:val="1"/>
    <w:qFormat/>
    <w:uiPriority w:val="0"/>
    <w:pPr>
      <w:spacing w:beforeLines="50" w:line="360" w:lineRule="exact"/>
      <w:ind w:left="709" w:right="-27" w:rightChars="-27" w:hanging="709"/>
      <w:jc w:val="left"/>
    </w:pPr>
    <w:rPr>
      <w:spacing w:val="-10"/>
      <w:sz w:val="24"/>
      <w:szCs w:val="28"/>
    </w:rPr>
  </w:style>
  <w:style w:type="paragraph" w:customStyle="1" w:styleId="468">
    <w:name w:val="Char Char Char1 Char Char Char Char Char Char Char Char Char Char Char Char Char Char Char Char"/>
    <w:basedOn w:val="1"/>
    <w:qFormat/>
    <w:uiPriority w:val="0"/>
    <w:pPr>
      <w:spacing w:beforeLines="50" w:line="360" w:lineRule="auto"/>
      <w:ind w:left="709" w:right="-27" w:rightChars="-27" w:hanging="709"/>
    </w:pPr>
    <w:rPr>
      <w:rFonts w:ascii="Tahoma" w:hAnsi="Tahoma"/>
      <w:sz w:val="24"/>
      <w:szCs w:val="20"/>
    </w:rPr>
  </w:style>
  <w:style w:type="paragraph" w:customStyle="1" w:styleId="469">
    <w:name w:val="注"/>
    <w:basedOn w:val="1"/>
    <w:qFormat/>
    <w:uiPriority w:val="0"/>
    <w:pPr>
      <w:adjustRightInd w:val="0"/>
      <w:spacing w:beforeLines="50" w:line="360" w:lineRule="atLeast"/>
      <w:ind w:left="840" w:right="-27" w:rightChars="-27" w:hanging="420"/>
      <w:jc w:val="left"/>
      <w:textAlignment w:val="baseline"/>
    </w:pPr>
    <w:rPr>
      <w:kern w:val="0"/>
      <w:szCs w:val="20"/>
    </w:rPr>
  </w:style>
  <w:style w:type="paragraph" w:customStyle="1" w:styleId="470">
    <w:name w:val="标书正文1"/>
    <w:basedOn w:val="1"/>
    <w:qFormat/>
    <w:uiPriority w:val="0"/>
    <w:pPr>
      <w:spacing w:beforeLines="50" w:afterLines="50" w:line="360" w:lineRule="exact"/>
      <w:ind w:left="1077" w:right="-27" w:rightChars="-27" w:hanging="709"/>
    </w:pPr>
    <w:rPr>
      <w:rFonts w:ascii="宋体" w:hAnsi="宋体"/>
      <w:color w:val="FF0000"/>
    </w:rPr>
  </w:style>
  <w:style w:type="paragraph" w:customStyle="1" w:styleId="471">
    <w:name w:val="Char Char Char2 Char"/>
    <w:basedOn w:val="1"/>
    <w:qFormat/>
    <w:uiPriority w:val="0"/>
    <w:pPr>
      <w:spacing w:beforeLines="50" w:line="360" w:lineRule="auto"/>
      <w:ind w:left="709" w:right="-27" w:rightChars="-27" w:firstLine="360" w:firstLineChars="150"/>
    </w:pPr>
    <w:rPr>
      <w:rFonts w:ascii="Tahoma" w:hAnsi="Tahoma"/>
      <w:sz w:val="24"/>
      <w:szCs w:val="20"/>
    </w:rPr>
  </w:style>
  <w:style w:type="paragraph" w:customStyle="1" w:styleId="472">
    <w:name w:val="项目符号"/>
    <w:basedOn w:val="1"/>
    <w:qFormat/>
    <w:uiPriority w:val="0"/>
    <w:pPr>
      <w:spacing w:beforeLines="50" w:line="360" w:lineRule="auto"/>
      <w:ind w:left="709" w:right="-27" w:rightChars="-27" w:hanging="709"/>
    </w:pPr>
    <w:rPr>
      <w:sz w:val="24"/>
      <w:szCs w:val="20"/>
    </w:rPr>
  </w:style>
  <w:style w:type="paragraph" w:customStyle="1" w:styleId="473">
    <w:name w:val="5"/>
    <w:basedOn w:val="1"/>
    <w:next w:val="46"/>
    <w:qFormat/>
    <w:uiPriority w:val="0"/>
    <w:pPr>
      <w:widowControl/>
      <w:spacing w:beforeAutospacing="1" w:after="100" w:afterAutospacing="1" w:line="360" w:lineRule="auto"/>
      <w:ind w:left="709" w:right="-27" w:rightChars="-27" w:hanging="709"/>
      <w:jc w:val="left"/>
    </w:pPr>
    <w:rPr>
      <w:rFonts w:ascii="宋体" w:hAnsi="宋体"/>
      <w:kern w:val="0"/>
      <w:sz w:val="24"/>
    </w:rPr>
  </w:style>
  <w:style w:type="paragraph" w:customStyle="1" w:styleId="474">
    <w:name w:val="第一章"/>
    <w:basedOn w:val="1"/>
    <w:next w:val="1"/>
    <w:qFormat/>
    <w:uiPriority w:val="0"/>
    <w:pPr>
      <w:tabs>
        <w:tab w:val="left" w:pos="360"/>
      </w:tabs>
      <w:spacing w:beforeLines="50" w:line="360" w:lineRule="auto"/>
      <w:ind w:left="500" w:right="-27" w:rightChars="-27" w:hanging="500" w:hangingChars="500"/>
      <w:jc w:val="center"/>
    </w:pPr>
    <w:rPr>
      <w:rFonts w:eastAsia="黑体"/>
      <w:sz w:val="44"/>
    </w:rPr>
  </w:style>
  <w:style w:type="paragraph" w:customStyle="1" w:styleId="475">
    <w:name w:val="Headline"/>
    <w:qFormat/>
    <w:uiPriority w:val="0"/>
    <w:pPr>
      <w:pageBreakBefore/>
      <w:widowControl w:val="0"/>
      <w:tabs>
        <w:tab w:val="left" w:pos="1701"/>
      </w:tabs>
      <w:autoSpaceDE w:val="0"/>
      <w:autoSpaceDN w:val="0"/>
      <w:adjustRightInd w:val="0"/>
      <w:spacing w:beforeLines="50" w:after="1134" w:line="900" w:lineRule="atLeast"/>
      <w:ind w:left="1701" w:right="-27" w:rightChars="-27" w:hanging="1701"/>
      <w:jc w:val="center"/>
    </w:pPr>
    <w:rPr>
      <w:rFonts w:ascii="Arial" w:hAnsi="Arial" w:eastAsia="黑体" w:cs="Times New Roman"/>
      <w:b/>
      <w:spacing w:val="-35"/>
      <w:sz w:val="72"/>
      <w:lang w:val="en-US" w:eastAsia="zh-CN" w:bidi="ar-SA"/>
    </w:rPr>
  </w:style>
  <w:style w:type="paragraph" w:customStyle="1" w:styleId="476">
    <w:name w:val="7"/>
    <w:basedOn w:val="1"/>
    <w:next w:val="1"/>
    <w:qFormat/>
    <w:uiPriority w:val="0"/>
    <w:pPr>
      <w:spacing w:beforeLines="50" w:line="360" w:lineRule="auto"/>
      <w:ind w:left="709" w:right="-27" w:rightChars="-27" w:hanging="709"/>
    </w:pPr>
  </w:style>
  <w:style w:type="paragraph" w:customStyle="1" w:styleId="477">
    <w:name w:val="标题3"/>
    <w:basedOn w:val="5"/>
    <w:qFormat/>
    <w:uiPriority w:val="0"/>
    <w:pPr>
      <w:keepNext/>
      <w:tabs>
        <w:tab w:val="left" w:pos="360"/>
        <w:tab w:val="left" w:pos="840"/>
        <w:tab w:val="left" w:pos="2160"/>
      </w:tabs>
      <w:adjustRightInd w:val="0"/>
      <w:spacing w:beforeLines="50" w:line="360" w:lineRule="auto"/>
      <w:ind w:left="709" w:right="-27" w:rightChars="-27" w:hanging="709"/>
      <w:textAlignment w:val="baseline"/>
    </w:pPr>
    <w:rPr>
      <w:b w:val="0"/>
      <w:kern w:val="0"/>
      <w:sz w:val="24"/>
      <w:szCs w:val="20"/>
    </w:rPr>
  </w:style>
  <w:style w:type="paragraph" w:customStyle="1" w:styleId="478">
    <w:name w:val="招标文件1）"/>
    <w:qFormat/>
    <w:uiPriority w:val="0"/>
    <w:pPr>
      <w:tabs>
        <w:tab w:val="left" w:pos="1800"/>
      </w:tabs>
      <w:spacing w:beforeLines="50" w:after="120" w:line="300" w:lineRule="auto"/>
      <w:ind w:left="1800" w:right="-27" w:rightChars="-27" w:hanging="1800"/>
      <w:jc w:val="both"/>
      <w:outlineLvl w:val="5"/>
    </w:pPr>
    <w:rPr>
      <w:rFonts w:ascii="宋体" w:hAnsi="Times New Roman" w:eastAsia="宋体" w:cs="Times New Roman"/>
      <w:spacing w:val="10"/>
      <w:w w:val="95"/>
      <w:sz w:val="21"/>
      <w:lang w:val="en-US" w:eastAsia="zh-CN" w:bidi="ar-SA"/>
    </w:rPr>
  </w:style>
  <w:style w:type="paragraph" w:customStyle="1" w:styleId="479">
    <w:name w:val="_Style 338"/>
    <w:qFormat/>
    <w:uiPriority w:val="99"/>
    <w:pPr>
      <w:spacing w:beforeLines="50" w:line="360" w:lineRule="auto"/>
      <w:ind w:left="709" w:right="-27" w:rightChars="-27" w:hanging="709"/>
      <w:jc w:val="both"/>
    </w:pPr>
    <w:rPr>
      <w:rFonts w:ascii="Times New Roman" w:hAnsi="Times New Roman" w:eastAsia="宋体" w:cs="Times New Roman"/>
      <w:kern w:val="2"/>
      <w:sz w:val="21"/>
      <w:szCs w:val="24"/>
      <w:lang w:val="en-US" w:eastAsia="zh-CN" w:bidi="ar-SA"/>
    </w:rPr>
  </w:style>
  <w:style w:type="paragraph" w:customStyle="1" w:styleId="480">
    <w:name w:val="Subhead 1"/>
    <w:basedOn w:val="1"/>
    <w:qFormat/>
    <w:uiPriority w:val="0"/>
    <w:pPr>
      <w:keepNext/>
      <w:pageBreakBefore/>
      <w:widowControl/>
      <w:tabs>
        <w:tab w:val="left" w:pos="1134"/>
        <w:tab w:val="left" w:pos="2552"/>
      </w:tabs>
      <w:autoSpaceDE w:val="0"/>
      <w:autoSpaceDN w:val="0"/>
      <w:adjustRightInd w:val="0"/>
      <w:spacing w:after="400" w:line="420" w:lineRule="atLeast"/>
      <w:ind w:left="1134" w:right="-27" w:rightChars="-27" w:hanging="1134"/>
      <w:jc w:val="left"/>
    </w:pPr>
    <w:rPr>
      <w:rFonts w:ascii="Arial" w:hAnsi="Arial" w:eastAsia="黑体"/>
      <w:b/>
      <w:kern w:val="0"/>
      <w:sz w:val="32"/>
      <w:szCs w:val="20"/>
    </w:rPr>
  </w:style>
  <w:style w:type="paragraph" w:customStyle="1" w:styleId="481">
    <w:name w:val="0 正文 Fairy Topia"/>
    <w:basedOn w:val="1"/>
    <w:qFormat/>
    <w:uiPriority w:val="0"/>
    <w:pPr>
      <w:spacing w:beforeLines="50" w:line="360" w:lineRule="auto"/>
      <w:ind w:left="709" w:right="-27" w:rightChars="-27" w:firstLine="482"/>
    </w:pPr>
    <w:rPr>
      <w:rFonts w:cs="微软雅黑"/>
      <w:sz w:val="24"/>
    </w:rPr>
  </w:style>
  <w:style w:type="paragraph" w:customStyle="1" w:styleId="482">
    <w:name w:val="列出段落3"/>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104</Pages>
  <Words>9115</Words>
  <Characters>51960</Characters>
  <Lines>433</Lines>
  <Paragraphs>121</Paragraphs>
  <TotalTime>106</TotalTime>
  <ScaleCrop>false</ScaleCrop>
  <LinksUpToDate>false</LinksUpToDate>
  <CharactersWithSpaces>60954</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2022-05-16T00:48:00Z</dcterms:created>
  <dc:creator>微软用户</dc:creator>
  <cp:lastModifiedBy>liang</cp:lastModifiedBy>
  <cp:lastPrinted>2022-08-28T23:59:00Z</cp:lastPrinted>
  <dcterms:modified xsi:type="dcterms:W3CDTF">2024-11-18T16:56:13Z</dcterms:modified>
  <dc:title>宁波市轨道交通1号线一期工程</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4BAFB0453E414489B6631E48D01EFAA4_13</vt:lpwstr>
  </property>
</Properties>
</file>